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9D9652">
      <w:pPr>
        <w:spacing w:line="360" w:lineRule="auto"/>
        <w:ind w:firstLine="300" w:firstLineChars="50"/>
        <w:rPr>
          <w:sz w:val="60"/>
          <w:szCs w:val="60"/>
        </w:rPr>
      </w:pPr>
    </w:p>
    <w:p w14:paraId="0D9CB08B">
      <w:pPr>
        <w:spacing w:line="360" w:lineRule="auto"/>
        <w:ind w:firstLine="300" w:firstLineChars="50"/>
        <w:rPr>
          <w:sz w:val="60"/>
          <w:szCs w:val="60"/>
        </w:rPr>
      </w:pPr>
    </w:p>
    <w:p w14:paraId="4F2D756C">
      <w:pPr>
        <w:jc w:val="center"/>
        <w:rPr>
          <w:b/>
          <w:bCs/>
          <w:sz w:val="60"/>
          <w:szCs w:val="60"/>
        </w:rPr>
      </w:pPr>
      <w:r>
        <w:rPr>
          <w:b/>
          <w:bCs/>
          <w:sz w:val="60"/>
          <w:szCs w:val="60"/>
        </w:rPr>
        <w:t>北京市政府采购项目</w:t>
      </w:r>
    </w:p>
    <w:p w14:paraId="1DFEA187">
      <w:pPr>
        <w:jc w:val="center"/>
        <w:rPr>
          <w:b/>
          <w:bCs/>
          <w:sz w:val="60"/>
          <w:szCs w:val="60"/>
        </w:rPr>
      </w:pPr>
      <w:r>
        <w:rPr>
          <w:b/>
          <w:bCs/>
          <w:sz w:val="60"/>
          <w:szCs w:val="60"/>
        </w:rPr>
        <w:t>公开招标文件</w:t>
      </w:r>
    </w:p>
    <w:p w14:paraId="4C878418">
      <w:pPr>
        <w:jc w:val="center"/>
        <w:rPr>
          <w:b/>
          <w:bCs/>
          <w:sz w:val="60"/>
          <w:szCs w:val="60"/>
        </w:rPr>
      </w:pPr>
    </w:p>
    <w:p w14:paraId="05E37493">
      <w:pPr>
        <w:jc w:val="center"/>
        <w:rPr>
          <w:b/>
          <w:bCs/>
          <w:sz w:val="60"/>
          <w:szCs w:val="60"/>
        </w:rPr>
      </w:pPr>
    </w:p>
    <w:p w14:paraId="01FBD571">
      <w:pPr>
        <w:spacing w:line="360" w:lineRule="auto"/>
        <w:jc w:val="center"/>
        <w:rPr>
          <w:sz w:val="60"/>
          <w:szCs w:val="60"/>
        </w:rPr>
      </w:pPr>
    </w:p>
    <w:p w14:paraId="3537FFB5">
      <w:pPr>
        <w:tabs>
          <w:tab w:val="left" w:pos="3240"/>
          <w:tab w:val="left" w:pos="3420"/>
        </w:tabs>
        <w:spacing w:line="360" w:lineRule="auto"/>
        <w:ind w:firstLine="720" w:firstLineChars="200"/>
        <w:jc w:val="left"/>
        <w:rPr>
          <w:bCs/>
          <w:sz w:val="36"/>
          <w:szCs w:val="36"/>
        </w:rPr>
      </w:pPr>
      <w:r>
        <w:rPr>
          <w:bCs/>
          <w:sz w:val="36"/>
          <w:szCs w:val="36"/>
        </w:rPr>
        <w:t>项目名称：</w:t>
      </w:r>
      <w:r>
        <w:rPr>
          <w:rFonts w:hint="eastAsia"/>
          <w:bCs/>
          <w:sz w:val="36"/>
          <w:szCs w:val="36"/>
        </w:rPr>
        <w:t>北京市突发地质灾害监测预警系统工程运行</w:t>
      </w:r>
    </w:p>
    <w:p w14:paraId="40598A50">
      <w:pPr>
        <w:tabs>
          <w:tab w:val="left" w:pos="3240"/>
          <w:tab w:val="left" w:pos="3420"/>
        </w:tabs>
        <w:spacing w:line="360" w:lineRule="auto"/>
        <w:ind w:firstLine="2520" w:firstLineChars="700"/>
        <w:jc w:val="left"/>
        <w:rPr>
          <w:bCs/>
          <w:sz w:val="36"/>
          <w:szCs w:val="36"/>
        </w:rPr>
      </w:pPr>
      <w:r>
        <w:rPr>
          <w:rFonts w:hint="eastAsia"/>
          <w:bCs/>
          <w:sz w:val="36"/>
          <w:szCs w:val="36"/>
        </w:rPr>
        <w:t>其他运行维护服务等采购项目</w:t>
      </w:r>
    </w:p>
    <w:p w14:paraId="461BFB73">
      <w:pPr>
        <w:tabs>
          <w:tab w:val="left" w:pos="3240"/>
          <w:tab w:val="left" w:pos="3420"/>
        </w:tabs>
        <w:spacing w:line="360" w:lineRule="auto"/>
        <w:ind w:left="2832" w:leftChars="444" w:hanging="1900" w:hangingChars="528"/>
        <w:jc w:val="left"/>
        <w:rPr>
          <w:bCs/>
          <w:sz w:val="36"/>
          <w:szCs w:val="36"/>
        </w:rPr>
      </w:pPr>
      <w:r>
        <w:rPr>
          <w:bCs/>
          <w:sz w:val="36"/>
          <w:szCs w:val="36"/>
        </w:rPr>
        <w:t>项目编号</w:t>
      </w:r>
      <w:r>
        <w:rPr>
          <w:rFonts w:hint="eastAsia"/>
          <w:bCs/>
          <w:sz w:val="36"/>
          <w:szCs w:val="36"/>
        </w:rPr>
        <w:t>：GXTC-C-26780028</w:t>
      </w:r>
    </w:p>
    <w:p w14:paraId="3A8A4332">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北京市地质灾害防治研究所</w:t>
      </w:r>
    </w:p>
    <w:p w14:paraId="65409587">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国信招标集团股份有限公司</w:t>
      </w:r>
      <w:r>
        <w:rPr>
          <w:bCs/>
          <w:sz w:val="36"/>
          <w:szCs w:val="36"/>
        </w:rPr>
        <w:t xml:space="preserve"> </w:t>
      </w:r>
    </w:p>
    <w:p w14:paraId="79B53701">
      <w:pPr>
        <w:widowControl/>
        <w:jc w:val="left"/>
        <w:rPr>
          <w:b/>
          <w:bCs/>
          <w:sz w:val="44"/>
        </w:rPr>
      </w:pPr>
      <w:r>
        <w:rPr>
          <w:b/>
          <w:bCs/>
          <w:sz w:val="44"/>
        </w:rPr>
        <w:br w:type="page"/>
      </w:r>
    </w:p>
    <w:p w14:paraId="2799B7D3">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850" w:bottom="1418" w:left="850" w:header="851" w:footer="851" w:gutter="0"/>
          <w:pgNumType w:start="1"/>
          <w:cols w:space="720" w:num="1"/>
          <w:titlePg/>
          <w:docGrid w:linePitch="462" w:charSpace="0"/>
        </w:sectPr>
      </w:pPr>
    </w:p>
    <w:p w14:paraId="41A1E9C1">
      <w:pPr>
        <w:spacing w:line="360" w:lineRule="auto"/>
        <w:jc w:val="center"/>
        <w:outlineLvl w:val="0"/>
        <w:rPr>
          <w:b/>
          <w:sz w:val="36"/>
          <w:szCs w:val="36"/>
        </w:rPr>
      </w:pPr>
      <w:bookmarkStart w:id="0" w:name="_Toc99301418"/>
      <w:r>
        <w:rPr>
          <w:b/>
          <w:sz w:val="36"/>
          <w:szCs w:val="36"/>
        </w:rPr>
        <w:t>目      录</w:t>
      </w:r>
      <w:bookmarkEnd w:id="0"/>
    </w:p>
    <w:p w14:paraId="7B916BEC"/>
    <w:p w14:paraId="14E642A2"/>
    <w:p w14:paraId="60970B1B"/>
    <w:p w14:paraId="1D91E4E0">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01062598">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0"/>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3DCDEE1">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0"/>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2B5F5374">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0"/>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031155CC">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0"/>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fldChar w:fldCharType="end"/>
      </w:r>
    </w:p>
    <w:p w14:paraId="4B151F9E">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0"/>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ascii="Times New Roman" w:hAnsi="Times New Roman"/>
        </w:rPr>
        <w:fldChar w:fldCharType="end"/>
      </w:r>
    </w:p>
    <w:p w14:paraId="046AC633">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0"/>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85</w:t>
      </w:r>
      <w:r>
        <w:rPr>
          <w:rFonts w:ascii="Times New Roman" w:hAnsi="Times New Roman"/>
        </w:rPr>
        <w:fldChar w:fldCharType="end"/>
      </w:r>
      <w:r>
        <w:rPr>
          <w:rFonts w:ascii="Times New Roman" w:hAnsi="Times New Roman"/>
        </w:rPr>
        <w:fldChar w:fldCharType="end"/>
      </w:r>
    </w:p>
    <w:p w14:paraId="0F4235D2">
      <w:pPr>
        <w:pStyle w:val="30"/>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0"/>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223</w:t>
      </w:r>
      <w:r>
        <w:rPr>
          <w:rFonts w:ascii="Times New Roman" w:hAnsi="Times New Roman"/>
        </w:rPr>
        <w:fldChar w:fldCharType="end"/>
      </w:r>
      <w:r>
        <w:rPr>
          <w:rFonts w:ascii="Times New Roman" w:hAnsi="Times New Roman"/>
        </w:rPr>
        <w:fldChar w:fldCharType="end"/>
      </w:r>
    </w:p>
    <w:p w14:paraId="7A1781F7">
      <w:pPr>
        <w:pStyle w:val="30"/>
        <w:spacing w:line="480" w:lineRule="auto"/>
        <w:rPr>
          <w:rFonts w:ascii="Times New Roman" w:hAnsi="Times New Roman" w:eastAsiaTheme="minorEastAsia"/>
          <w:b w:val="0"/>
        </w:rPr>
      </w:pPr>
      <w:r>
        <w:rPr>
          <w:rFonts w:ascii="Times New Roman" w:hAnsi="Times New Roman"/>
          <w:b w:val="0"/>
        </w:rPr>
        <w:fldChar w:fldCharType="end"/>
      </w:r>
    </w:p>
    <w:p w14:paraId="72E1E846"/>
    <w:p w14:paraId="5F98B5E5">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008704C3">
      <w:pPr>
        <w:pStyle w:val="30"/>
        <w:spacing w:line="360" w:lineRule="auto"/>
        <w:rPr>
          <w:rFonts w:ascii="Times New Roman" w:hAnsi="Times New Roman"/>
          <w:b w:val="0"/>
        </w:rPr>
      </w:pPr>
    </w:p>
    <w:p w14:paraId="56CE55E6">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44C24713">
      <w:pPr>
        <w:spacing w:line="360" w:lineRule="auto"/>
        <w:ind w:firstLine="640" w:firstLineChars="200"/>
        <w:rPr>
          <w:sz w:val="32"/>
          <w:szCs w:val="32"/>
        </w:rPr>
      </w:pPr>
    </w:p>
    <w:p w14:paraId="6C2D8622">
      <w:pPr>
        <w:pStyle w:val="3"/>
        <w:spacing w:before="0" w:line="360" w:lineRule="auto"/>
        <w:jc w:val="left"/>
        <w:rPr>
          <w:rFonts w:ascii="Times New Roman" w:hAnsi="Times New Roman" w:eastAsia="宋体"/>
          <w:sz w:val="24"/>
          <w:szCs w:val="24"/>
        </w:rPr>
      </w:pPr>
      <w:bookmarkStart w:id="2" w:name="_Toc28359002"/>
      <w:bookmarkStart w:id="3" w:name="_Toc35393790"/>
      <w:bookmarkStart w:id="4" w:name="_Toc35393621"/>
      <w:bookmarkStart w:id="5" w:name="_Toc28359079"/>
      <w:bookmarkStart w:id="6" w:name="_Hlk24379207"/>
      <w:r>
        <w:rPr>
          <w:rFonts w:ascii="Times New Roman" w:hAnsi="Times New Roman" w:eastAsia="宋体"/>
          <w:sz w:val="24"/>
          <w:szCs w:val="24"/>
        </w:rPr>
        <w:t>一、项目基本情况</w:t>
      </w:r>
      <w:bookmarkEnd w:id="2"/>
      <w:bookmarkEnd w:id="3"/>
      <w:bookmarkEnd w:id="4"/>
      <w:bookmarkEnd w:id="5"/>
    </w:p>
    <w:p w14:paraId="297FA536">
      <w:pPr>
        <w:spacing w:line="360" w:lineRule="auto"/>
        <w:ind w:firstLine="480" w:firstLineChars="200"/>
        <w:rPr>
          <w:sz w:val="24"/>
        </w:rPr>
      </w:pPr>
      <w:r>
        <w:rPr>
          <w:sz w:val="24"/>
        </w:rPr>
        <w:t>1.项目编号：</w:t>
      </w:r>
      <w:r>
        <w:rPr>
          <w:rFonts w:hint="eastAsia"/>
          <w:sz w:val="24"/>
        </w:rPr>
        <w:t>GXTC-C-26780028</w:t>
      </w:r>
    </w:p>
    <w:p w14:paraId="20F1E0F6">
      <w:pPr>
        <w:spacing w:line="360" w:lineRule="auto"/>
        <w:ind w:firstLine="480" w:firstLineChars="200"/>
        <w:rPr>
          <w:sz w:val="24"/>
        </w:rPr>
      </w:pPr>
      <w:r>
        <w:rPr>
          <w:sz w:val="24"/>
        </w:rPr>
        <w:t>2.项目名称：</w:t>
      </w:r>
      <w:r>
        <w:rPr>
          <w:rFonts w:hint="eastAsia"/>
          <w:sz w:val="24"/>
        </w:rPr>
        <w:t>北京市突发地质灾害监测预警系统工程运行其他运行维护服务等采购项目</w:t>
      </w:r>
    </w:p>
    <w:bookmarkEnd w:id="6"/>
    <w:p w14:paraId="7A4FF6C2">
      <w:pPr>
        <w:spacing w:line="360" w:lineRule="auto"/>
        <w:ind w:firstLine="480" w:firstLineChars="200"/>
        <w:rPr>
          <w:sz w:val="24"/>
        </w:rPr>
      </w:pPr>
      <w:r>
        <w:rPr>
          <w:sz w:val="24"/>
        </w:rPr>
        <w:t>3.项目预算金额：</w:t>
      </w:r>
      <w:r>
        <w:rPr>
          <w:rFonts w:hint="eastAsia"/>
          <w:sz w:val="24"/>
        </w:rPr>
        <w:t>972.207259</w:t>
      </w:r>
      <w:r>
        <w:rPr>
          <w:sz w:val="24"/>
        </w:rPr>
        <w:t>万元、项目最高限价：</w:t>
      </w:r>
      <w:r>
        <w:rPr>
          <w:rFonts w:hint="eastAsia"/>
          <w:sz w:val="24"/>
        </w:rPr>
        <w:t>972.207259</w:t>
      </w:r>
      <w:r>
        <w:rPr>
          <w:sz w:val="24"/>
        </w:rPr>
        <w:t>万元</w:t>
      </w:r>
    </w:p>
    <w:p w14:paraId="68BA75EC">
      <w:pPr>
        <w:spacing w:line="360" w:lineRule="auto"/>
        <w:ind w:firstLine="480" w:firstLineChars="200"/>
        <w:rPr>
          <w:sz w:val="24"/>
        </w:rPr>
      </w:pPr>
      <w:r>
        <w:rPr>
          <w:sz w:val="24"/>
        </w:rPr>
        <w:t>4.采购需求：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558"/>
        <w:gridCol w:w="1702"/>
        <w:gridCol w:w="998"/>
        <w:gridCol w:w="4275"/>
      </w:tblGrid>
      <w:tr w14:paraId="4D52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544ACBE7">
            <w:pPr>
              <w:jc w:val="center"/>
              <w:rPr>
                <w:bCs/>
                <w:szCs w:val="21"/>
              </w:rPr>
            </w:pPr>
            <w:r>
              <w:rPr>
                <w:bCs/>
                <w:szCs w:val="21"/>
              </w:rPr>
              <w:t>包号</w:t>
            </w:r>
          </w:p>
        </w:tc>
        <w:tc>
          <w:tcPr>
            <w:tcW w:w="843" w:type="pct"/>
            <w:vAlign w:val="center"/>
          </w:tcPr>
          <w:p w14:paraId="547D4FB5">
            <w:pPr>
              <w:jc w:val="center"/>
              <w:rPr>
                <w:bCs/>
                <w:szCs w:val="21"/>
              </w:rPr>
            </w:pPr>
            <w:r>
              <w:rPr>
                <w:bCs/>
                <w:szCs w:val="21"/>
              </w:rPr>
              <w:t>标的名称</w:t>
            </w:r>
          </w:p>
        </w:tc>
        <w:tc>
          <w:tcPr>
            <w:tcW w:w="921" w:type="pct"/>
            <w:vAlign w:val="center"/>
          </w:tcPr>
          <w:p w14:paraId="6667B715">
            <w:pPr>
              <w:jc w:val="center"/>
              <w:rPr>
                <w:bCs/>
                <w:szCs w:val="21"/>
              </w:rPr>
            </w:pPr>
            <w:r>
              <w:rPr>
                <w:bCs/>
                <w:szCs w:val="21"/>
              </w:rPr>
              <w:t>采购包</w:t>
            </w:r>
          </w:p>
          <w:p w14:paraId="33E782C9">
            <w:pPr>
              <w:jc w:val="center"/>
              <w:rPr>
                <w:bCs/>
                <w:szCs w:val="21"/>
              </w:rPr>
            </w:pPr>
            <w:r>
              <w:rPr>
                <w:bCs/>
                <w:szCs w:val="21"/>
              </w:rPr>
              <w:t>预算金额</w:t>
            </w:r>
          </w:p>
          <w:p w14:paraId="539130E9">
            <w:pPr>
              <w:jc w:val="center"/>
              <w:rPr>
                <w:bCs/>
                <w:szCs w:val="21"/>
              </w:rPr>
            </w:pPr>
            <w:r>
              <w:rPr>
                <w:bCs/>
                <w:szCs w:val="21"/>
              </w:rPr>
              <w:t>（万元）</w:t>
            </w:r>
          </w:p>
        </w:tc>
        <w:tc>
          <w:tcPr>
            <w:tcW w:w="540" w:type="pct"/>
            <w:vAlign w:val="center"/>
          </w:tcPr>
          <w:p w14:paraId="040E36F6">
            <w:pPr>
              <w:jc w:val="center"/>
              <w:rPr>
                <w:bCs/>
                <w:szCs w:val="21"/>
              </w:rPr>
            </w:pPr>
            <w:r>
              <w:rPr>
                <w:bCs/>
                <w:szCs w:val="21"/>
              </w:rPr>
              <w:t>数量</w:t>
            </w:r>
          </w:p>
        </w:tc>
        <w:tc>
          <w:tcPr>
            <w:tcW w:w="2314" w:type="pct"/>
            <w:vAlign w:val="center"/>
          </w:tcPr>
          <w:p w14:paraId="305F2674">
            <w:pPr>
              <w:jc w:val="center"/>
              <w:rPr>
                <w:szCs w:val="21"/>
              </w:rPr>
            </w:pPr>
            <w:r>
              <w:rPr>
                <w:szCs w:val="21"/>
              </w:rPr>
              <w:t>简要技术需求或服务要求</w:t>
            </w:r>
          </w:p>
        </w:tc>
      </w:tr>
      <w:tr w14:paraId="1CC9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027F78B8">
            <w:pPr>
              <w:jc w:val="center"/>
              <w:rPr>
                <w:bCs/>
                <w:szCs w:val="21"/>
              </w:rPr>
            </w:pPr>
            <w:r>
              <w:rPr>
                <w:bCs/>
                <w:szCs w:val="21"/>
              </w:rPr>
              <w:t>01</w:t>
            </w:r>
          </w:p>
        </w:tc>
        <w:tc>
          <w:tcPr>
            <w:tcW w:w="843" w:type="pct"/>
            <w:vAlign w:val="center"/>
          </w:tcPr>
          <w:p w14:paraId="6F46CF1B">
            <w:pPr>
              <w:jc w:val="center"/>
              <w:rPr>
                <w:bCs/>
                <w:szCs w:val="21"/>
              </w:rPr>
            </w:pPr>
            <w:r>
              <w:rPr>
                <w:rFonts w:hint="eastAsia"/>
                <w:bCs/>
                <w:szCs w:val="21"/>
              </w:rPr>
              <w:t>密云、怀柔等区1090台套监测仪器维护服务</w:t>
            </w:r>
          </w:p>
        </w:tc>
        <w:tc>
          <w:tcPr>
            <w:tcW w:w="921" w:type="pct"/>
            <w:vAlign w:val="center"/>
          </w:tcPr>
          <w:p w14:paraId="0A843BB8">
            <w:pPr>
              <w:jc w:val="center"/>
              <w:rPr>
                <w:bCs/>
                <w:szCs w:val="21"/>
              </w:rPr>
            </w:pPr>
            <w:r>
              <w:rPr>
                <w:rFonts w:hint="eastAsia"/>
                <w:bCs/>
                <w:szCs w:val="21"/>
              </w:rPr>
              <w:t>222.026</w:t>
            </w:r>
          </w:p>
        </w:tc>
        <w:tc>
          <w:tcPr>
            <w:tcW w:w="540" w:type="pct"/>
            <w:vAlign w:val="center"/>
          </w:tcPr>
          <w:p w14:paraId="0DF3C475">
            <w:pPr>
              <w:jc w:val="center"/>
              <w:rPr>
                <w:bCs/>
                <w:szCs w:val="21"/>
              </w:rPr>
            </w:pPr>
            <w:r>
              <w:rPr>
                <w:rFonts w:hint="eastAsia"/>
                <w:bCs/>
                <w:szCs w:val="21"/>
              </w:rPr>
              <w:t>1</w:t>
            </w:r>
          </w:p>
        </w:tc>
        <w:tc>
          <w:tcPr>
            <w:tcW w:w="2314" w:type="pct"/>
            <w:vAlign w:val="center"/>
          </w:tcPr>
          <w:p w14:paraId="5BC48256">
            <w:pPr>
              <w:jc w:val="center"/>
              <w:rPr>
                <w:bCs/>
                <w:szCs w:val="21"/>
              </w:rPr>
            </w:pPr>
            <w:r>
              <w:rPr>
                <w:rFonts w:hint="eastAsia"/>
                <w:bCs/>
                <w:szCs w:val="21"/>
              </w:rPr>
              <w:t>密云、怀柔等区1090台套监测仪器维护服务</w:t>
            </w:r>
          </w:p>
        </w:tc>
      </w:tr>
      <w:tr w14:paraId="061F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66651F29">
            <w:pPr>
              <w:jc w:val="center"/>
              <w:rPr>
                <w:bCs/>
                <w:szCs w:val="21"/>
              </w:rPr>
            </w:pPr>
            <w:r>
              <w:rPr>
                <w:bCs/>
                <w:szCs w:val="21"/>
              </w:rPr>
              <w:t>02</w:t>
            </w:r>
          </w:p>
        </w:tc>
        <w:tc>
          <w:tcPr>
            <w:tcW w:w="843" w:type="pct"/>
            <w:vAlign w:val="center"/>
          </w:tcPr>
          <w:p w14:paraId="5069452E">
            <w:pPr>
              <w:jc w:val="center"/>
              <w:rPr>
                <w:bCs/>
                <w:szCs w:val="21"/>
              </w:rPr>
            </w:pPr>
            <w:r>
              <w:rPr>
                <w:rFonts w:hint="eastAsia"/>
                <w:bCs/>
                <w:szCs w:val="21"/>
              </w:rPr>
              <w:t>门头沟、延庆等区512台套监测仪器维护服务</w:t>
            </w:r>
          </w:p>
        </w:tc>
        <w:tc>
          <w:tcPr>
            <w:tcW w:w="921" w:type="pct"/>
            <w:vAlign w:val="center"/>
          </w:tcPr>
          <w:p w14:paraId="718FD504">
            <w:pPr>
              <w:jc w:val="center"/>
              <w:rPr>
                <w:bCs/>
                <w:szCs w:val="21"/>
              </w:rPr>
            </w:pPr>
            <w:r>
              <w:rPr>
                <w:rFonts w:hint="eastAsia"/>
                <w:bCs/>
                <w:szCs w:val="21"/>
              </w:rPr>
              <w:t>131.048</w:t>
            </w:r>
          </w:p>
        </w:tc>
        <w:tc>
          <w:tcPr>
            <w:tcW w:w="540" w:type="pct"/>
            <w:vAlign w:val="center"/>
          </w:tcPr>
          <w:p w14:paraId="35EBFC74">
            <w:pPr>
              <w:jc w:val="center"/>
              <w:rPr>
                <w:bCs/>
                <w:szCs w:val="21"/>
              </w:rPr>
            </w:pPr>
            <w:r>
              <w:rPr>
                <w:rFonts w:hint="eastAsia"/>
                <w:bCs/>
                <w:szCs w:val="21"/>
              </w:rPr>
              <w:t>1</w:t>
            </w:r>
          </w:p>
        </w:tc>
        <w:tc>
          <w:tcPr>
            <w:tcW w:w="2314" w:type="pct"/>
            <w:vAlign w:val="center"/>
          </w:tcPr>
          <w:p w14:paraId="3940CDAD">
            <w:pPr>
              <w:jc w:val="center"/>
              <w:rPr>
                <w:bCs/>
                <w:szCs w:val="21"/>
              </w:rPr>
            </w:pPr>
            <w:r>
              <w:rPr>
                <w:rFonts w:hint="eastAsia"/>
                <w:bCs/>
                <w:szCs w:val="21"/>
              </w:rPr>
              <w:t>门头沟、延庆等区512台套监测仪器维护服务</w:t>
            </w:r>
          </w:p>
        </w:tc>
      </w:tr>
      <w:tr w14:paraId="0324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75824FA3">
            <w:pPr>
              <w:jc w:val="center"/>
              <w:rPr>
                <w:bCs/>
                <w:szCs w:val="21"/>
              </w:rPr>
            </w:pPr>
            <w:r>
              <w:rPr>
                <w:rFonts w:hint="eastAsia"/>
                <w:bCs/>
                <w:szCs w:val="21"/>
              </w:rPr>
              <w:t>03</w:t>
            </w:r>
          </w:p>
        </w:tc>
        <w:tc>
          <w:tcPr>
            <w:tcW w:w="843" w:type="pct"/>
            <w:vAlign w:val="center"/>
          </w:tcPr>
          <w:p w14:paraId="23360AEA">
            <w:pPr>
              <w:jc w:val="center"/>
              <w:rPr>
                <w:bCs/>
                <w:szCs w:val="21"/>
              </w:rPr>
            </w:pPr>
            <w:r>
              <w:rPr>
                <w:rFonts w:hint="eastAsia"/>
                <w:bCs/>
                <w:szCs w:val="21"/>
              </w:rPr>
              <w:t>昌平、平谷等区210台套监测仪器维护服务</w:t>
            </w:r>
          </w:p>
        </w:tc>
        <w:tc>
          <w:tcPr>
            <w:tcW w:w="921" w:type="pct"/>
            <w:vAlign w:val="center"/>
          </w:tcPr>
          <w:p w14:paraId="6B4D7FA8">
            <w:pPr>
              <w:jc w:val="center"/>
              <w:rPr>
                <w:bCs/>
                <w:szCs w:val="21"/>
              </w:rPr>
            </w:pPr>
            <w:r>
              <w:rPr>
                <w:rFonts w:hint="eastAsia"/>
                <w:bCs/>
                <w:szCs w:val="21"/>
              </w:rPr>
              <w:t>70.102</w:t>
            </w:r>
          </w:p>
        </w:tc>
        <w:tc>
          <w:tcPr>
            <w:tcW w:w="540" w:type="pct"/>
            <w:vAlign w:val="center"/>
          </w:tcPr>
          <w:p w14:paraId="17274945">
            <w:pPr>
              <w:jc w:val="center"/>
              <w:rPr>
                <w:bCs/>
                <w:szCs w:val="21"/>
              </w:rPr>
            </w:pPr>
            <w:r>
              <w:rPr>
                <w:rFonts w:hint="eastAsia"/>
                <w:bCs/>
                <w:szCs w:val="21"/>
              </w:rPr>
              <w:t>1</w:t>
            </w:r>
          </w:p>
        </w:tc>
        <w:tc>
          <w:tcPr>
            <w:tcW w:w="2314" w:type="pct"/>
            <w:vAlign w:val="center"/>
          </w:tcPr>
          <w:p w14:paraId="59328BA5">
            <w:pPr>
              <w:jc w:val="center"/>
              <w:rPr>
                <w:bCs/>
                <w:szCs w:val="21"/>
              </w:rPr>
            </w:pPr>
            <w:r>
              <w:rPr>
                <w:rFonts w:hint="eastAsia"/>
                <w:bCs/>
                <w:szCs w:val="21"/>
              </w:rPr>
              <w:t>昌平、平谷等区210台套监测仪器维护服务</w:t>
            </w:r>
          </w:p>
        </w:tc>
      </w:tr>
      <w:tr w14:paraId="0336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1BE85DB3">
            <w:pPr>
              <w:jc w:val="center"/>
              <w:rPr>
                <w:bCs/>
                <w:szCs w:val="21"/>
              </w:rPr>
            </w:pPr>
            <w:r>
              <w:rPr>
                <w:rFonts w:hint="eastAsia"/>
                <w:bCs/>
                <w:szCs w:val="21"/>
              </w:rPr>
              <w:t>04</w:t>
            </w:r>
          </w:p>
        </w:tc>
        <w:tc>
          <w:tcPr>
            <w:tcW w:w="843" w:type="pct"/>
            <w:vAlign w:val="center"/>
          </w:tcPr>
          <w:p w14:paraId="3C5F56C6">
            <w:pPr>
              <w:jc w:val="center"/>
              <w:rPr>
                <w:bCs/>
                <w:szCs w:val="21"/>
              </w:rPr>
            </w:pPr>
            <w:r>
              <w:rPr>
                <w:rFonts w:hint="eastAsia"/>
                <w:bCs/>
                <w:szCs w:val="21"/>
              </w:rPr>
              <w:t>机房运维及网络安全服务</w:t>
            </w:r>
          </w:p>
        </w:tc>
        <w:tc>
          <w:tcPr>
            <w:tcW w:w="921" w:type="pct"/>
            <w:vAlign w:val="center"/>
          </w:tcPr>
          <w:p w14:paraId="3090C3FF">
            <w:pPr>
              <w:jc w:val="center"/>
              <w:rPr>
                <w:bCs/>
                <w:szCs w:val="21"/>
              </w:rPr>
            </w:pPr>
            <w:r>
              <w:rPr>
                <w:rFonts w:hint="eastAsia"/>
                <w:bCs/>
                <w:szCs w:val="21"/>
              </w:rPr>
              <w:t>56.08</w:t>
            </w:r>
          </w:p>
        </w:tc>
        <w:tc>
          <w:tcPr>
            <w:tcW w:w="540" w:type="pct"/>
            <w:vAlign w:val="center"/>
          </w:tcPr>
          <w:p w14:paraId="3CBBCDDA">
            <w:pPr>
              <w:jc w:val="center"/>
              <w:rPr>
                <w:bCs/>
                <w:szCs w:val="21"/>
              </w:rPr>
            </w:pPr>
            <w:r>
              <w:rPr>
                <w:rFonts w:hint="eastAsia"/>
                <w:bCs/>
                <w:szCs w:val="21"/>
              </w:rPr>
              <w:t>1</w:t>
            </w:r>
          </w:p>
        </w:tc>
        <w:tc>
          <w:tcPr>
            <w:tcW w:w="2314" w:type="pct"/>
            <w:vAlign w:val="center"/>
          </w:tcPr>
          <w:p w14:paraId="0BD4F13A">
            <w:pPr>
              <w:jc w:val="center"/>
              <w:rPr>
                <w:bCs/>
                <w:szCs w:val="21"/>
              </w:rPr>
            </w:pPr>
            <w:r>
              <w:rPr>
                <w:rFonts w:hint="eastAsia"/>
                <w:bCs/>
                <w:szCs w:val="21"/>
              </w:rPr>
              <w:t>机房运维及网络安全服务</w:t>
            </w:r>
          </w:p>
        </w:tc>
      </w:tr>
      <w:tr w14:paraId="5359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6C4AEBA2">
            <w:pPr>
              <w:jc w:val="center"/>
              <w:rPr>
                <w:bCs/>
                <w:szCs w:val="21"/>
              </w:rPr>
            </w:pPr>
            <w:r>
              <w:rPr>
                <w:rFonts w:hint="eastAsia"/>
                <w:bCs/>
                <w:szCs w:val="21"/>
              </w:rPr>
              <w:t>05</w:t>
            </w:r>
          </w:p>
        </w:tc>
        <w:tc>
          <w:tcPr>
            <w:tcW w:w="843" w:type="pct"/>
            <w:vAlign w:val="center"/>
          </w:tcPr>
          <w:p w14:paraId="113EA71C">
            <w:pPr>
              <w:jc w:val="center"/>
              <w:rPr>
                <w:bCs/>
                <w:szCs w:val="21"/>
              </w:rPr>
            </w:pPr>
            <w:r>
              <w:rPr>
                <w:rFonts w:hint="eastAsia"/>
                <w:bCs/>
                <w:szCs w:val="21"/>
              </w:rPr>
              <w:t>信息系统运维服务</w:t>
            </w:r>
          </w:p>
        </w:tc>
        <w:tc>
          <w:tcPr>
            <w:tcW w:w="921" w:type="pct"/>
            <w:vAlign w:val="center"/>
          </w:tcPr>
          <w:p w14:paraId="2B9D8DF4">
            <w:pPr>
              <w:jc w:val="center"/>
              <w:rPr>
                <w:bCs/>
                <w:szCs w:val="21"/>
              </w:rPr>
            </w:pPr>
            <w:r>
              <w:rPr>
                <w:rFonts w:hint="eastAsia"/>
                <w:bCs/>
                <w:szCs w:val="21"/>
              </w:rPr>
              <w:t>57.6</w:t>
            </w:r>
          </w:p>
        </w:tc>
        <w:tc>
          <w:tcPr>
            <w:tcW w:w="540" w:type="pct"/>
            <w:vAlign w:val="center"/>
          </w:tcPr>
          <w:p w14:paraId="565B86A2">
            <w:pPr>
              <w:jc w:val="center"/>
              <w:rPr>
                <w:bCs/>
                <w:szCs w:val="21"/>
              </w:rPr>
            </w:pPr>
            <w:r>
              <w:rPr>
                <w:rFonts w:hint="eastAsia"/>
                <w:bCs/>
                <w:szCs w:val="21"/>
              </w:rPr>
              <w:t>1</w:t>
            </w:r>
          </w:p>
        </w:tc>
        <w:tc>
          <w:tcPr>
            <w:tcW w:w="2314" w:type="pct"/>
            <w:vAlign w:val="center"/>
          </w:tcPr>
          <w:p w14:paraId="1048C926">
            <w:pPr>
              <w:jc w:val="center"/>
              <w:rPr>
                <w:bCs/>
                <w:szCs w:val="21"/>
              </w:rPr>
            </w:pPr>
            <w:r>
              <w:rPr>
                <w:rFonts w:hint="eastAsia"/>
                <w:bCs/>
                <w:szCs w:val="21"/>
              </w:rPr>
              <w:t>信息系统运维服务</w:t>
            </w:r>
          </w:p>
        </w:tc>
      </w:tr>
      <w:tr w14:paraId="26A9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2A4BE6F0">
            <w:pPr>
              <w:jc w:val="center"/>
              <w:rPr>
                <w:bCs/>
                <w:szCs w:val="21"/>
              </w:rPr>
            </w:pPr>
            <w:r>
              <w:rPr>
                <w:rFonts w:hint="eastAsia"/>
                <w:bCs/>
                <w:szCs w:val="21"/>
              </w:rPr>
              <w:t>06</w:t>
            </w:r>
          </w:p>
        </w:tc>
        <w:tc>
          <w:tcPr>
            <w:tcW w:w="843" w:type="pct"/>
            <w:vAlign w:val="center"/>
          </w:tcPr>
          <w:p w14:paraId="3CE75E0E">
            <w:pPr>
              <w:jc w:val="center"/>
              <w:rPr>
                <w:bCs/>
                <w:szCs w:val="21"/>
              </w:rPr>
            </w:pPr>
            <w:r>
              <w:rPr>
                <w:rFonts w:hint="eastAsia"/>
                <w:bCs/>
                <w:szCs w:val="21"/>
              </w:rPr>
              <w:t>卫星遥感数据采购技术服务</w:t>
            </w:r>
          </w:p>
        </w:tc>
        <w:tc>
          <w:tcPr>
            <w:tcW w:w="921" w:type="pct"/>
            <w:vAlign w:val="center"/>
          </w:tcPr>
          <w:p w14:paraId="131002E6">
            <w:pPr>
              <w:jc w:val="center"/>
              <w:rPr>
                <w:bCs/>
                <w:szCs w:val="21"/>
              </w:rPr>
            </w:pPr>
            <w:r>
              <w:rPr>
                <w:rFonts w:hint="eastAsia"/>
                <w:bCs/>
                <w:szCs w:val="21"/>
              </w:rPr>
              <w:t>237.34</w:t>
            </w:r>
          </w:p>
        </w:tc>
        <w:tc>
          <w:tcPr>
            <w:tcW w:w="540" w:type="pct"/>
            <w:vAlign w:val="center"/>
          </w:tcPr>
          <w:p w14:paraId="684BF3CA">
            <w:pPr>
              <w:jc w:val="center"/>
              <w:rPr>
                <w:bCs/>
                <w:szCs w:val="21"/>
              </w:rPr>
            </w:pPr>
            <w:r>
              <w:rPr>
                <w:rFonts w:hint="eastAsia"/>
                <w:bCs/>
                <w:szCs w:val="21"/>
              </w:rPr>
              <w:t>1</w:t>
            </w:r>
          </w:p>
        </w:tc>
        <w:tc>
          <w:tcPr>
            <w:tcW w:w="2314" w:type="pct"/>
            <w:vAlign w:val="center"/>
          </w:tcPr>
          <w:p w14:paraId="44D47C1A">
            <w:pPr>
              <w:jc w:val="center"/>
              <w:rPr>
                <w:bCs/>
                <w:szCs w:val="21"/>
              </w:rPr>
            </w:pPr>
            <w:r>
              <w:rPr>
                <w:rFonts w:hint="eastAsia"/>
                <w:bCs/>
                <w:szCs w:val="21"/>
              </w:rPr>
              <w:t>卫星遥感数据采购技术服务</w:t>
            </w:r>
          </w:p>
        </w:tc>
      </w:tr>
      <w:tr w14:paraId="6649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59E8ACB3">
            <w:pPr>
              <w:jc w:val="center"/>
              <w:rPr>
                <w:bCs/>
                <w:szCs w:val="21"/>
              </w:rPr>
            </w:pPr>
            <w:r>
              <w:rPr>
                <w:rFonts w:hint="eastAsia"/>
                <w:bCs/>
                <w:szCs w:val="21"/>
              </w:rPr>
              <w:t>07</w:t>
            </w:r>
          </w:p>
        </w:tc>
        <w:tc>
          <w:tcPr>
            <w:tcW w:w="843" w:type="pct"/>
            <w:vAlign w:val="center"/>
          </w:tcPr>
          <w:p w14:paraId="4E363DEC">
            <w:pPr>
              <w:jc w:val="center"/>
              <w:rPr>
                <w:bCs/>
                <w:szCs w:val="21"/>
              </w:rPr>
            </w:pPr>
            <w:r>
              <w:rPr>
                <w:rFonts w:hint="eastAsia"/>
                <w:bCs/>
                <w:szCs w:val="21"/>
              </w:rPr>
              <w:t>采空塌陷灾害地表形变人工监测服务</w:t>
            </w:r>
          </w:p>
        </w:tc>
        <w:tc>
          <w:tcPr>
            <w:tcW w:w="921" w:type="pct"/>
            <w:vAlign w:val="center"/>
          </w:tcPr>
          <w:p w14:paraId="11F259FC">
            <w:pPr>
              <w:jc w:val="center"/>
              <w:rPr>
                <w:bCs/>
                <w:szCs w:val="21"/>
              </w:rPr>
            </w:pPr>
            <w:r>
              <w:rPr>
                <w:rFonts w:hint="eastAsia"/>
                <w:bCs/>
                <w:szCs w:val="21"/>
              </w:rPr>
              <w:t>110.922859</w:t>
            </w:r>
          </w:p>
        </w:tc>
        <w:tc>
          <w:tcPr>
            <w:tcW w:w="540" w:type="pct"/>
            <w:vAlign w:val="center"/>
          </w:tcPr>
          <w:p w14:paraId="1972C475">
            <w:pPr>
              <w:jc w:val="center"/>
              <w:rPr>
                <w:bCs/>
                <w:szCs w:val="21"/>
              </w:rPr>
            </w:pPr>
            <w:r>
              <w:rPr>
                <w:rFonts w:hint="eastAsia"/>
                <w:bCs/>
                <w:szCs w:val="21"/>
              </w:rPr>
              <w:t>1</w:t>
            </w:r>
          </w:p>
        </w:tc>
        <w:tc>
          <w:tcPr>
            <w:tcW w:w="2314" w:type="pct"/>
            <w:vAlign w:val="center"/>
          </w:tcPr>
          <w:p w14:paraId="62E780E9">
            <w:pPr>
              <w:jc w:val="center"/>
              <w:rPr>
                <w:bCs/>
                <w:szCs w:val="21"/>
              </w:rPr>
            </w:pPr>
            <w:r>
              <w:rPr>
                <w:rFonts w:hint="eastAsia"/>
                <w:bCs/>
                <w:szCs w:val="21"/>
              </w:rPr>
              <w:t>采空塌陷灾害地表形变人工监测服务</w:t>
            </w:r>
          </w:p>
        </w:tc>
      </w:tr>
      <w:tr w14:paraId="56D1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28A6433D">
            <w:pPr>
              <w:jc w:val="center"/>
              <w:rPr>
                <w:bCs/>
                <w:szCs w:val="21"/>
              </w:rPr>
            </w:pPr>
            <w:r>
              <w:rPr>
                <w:rFonts w:hint="eastAsia"/>
                <w:bCs/>
                <w:szCs w:val="21"/>
              </w:rPr>
              <w:t>08</w:t>
            </w:r>
          </w:p>
        </w:tc>
        <w:tc>
          <w:tcPr>
            <w:tcW w:w="843" w:type="pct"/>
            <w:vAlign w:val="center"/>
          </w:tcPr>
          <w:p w14:paraId="0D6E5155">
            <w:pPr>
              <w:jc w:val="center"/>
              <w:rPr>
                <w:bCs/>
                <w:szCs w:val="21"/>
              </w:rPr>
            </w:pPr>
            <w:r>
              <w:rPr>
                <w:rFonts w:hint="eastAsia"/>
                <w:bCs/>
                <w:szCs w:val="21"/>
              </w:rPr>
              <w:t>政务云租赁扩展服务</w:t>
            </w:r>
          </w:p>
        </w:tc>
        <w:tc>
          <w:tcPr>
            <w:tcW w:w="921" w:type="pct"/>
            <w:vAlign w:val="center"/>
          </w:tcPr>
          <w:p w14:paraId="5C32D902">
            <w:pPr>
              <w:jc w:val="center"/>
              <w:rPr>
                <w:bCs/>
                <w:szCs w:val="21"/>
              </w:rPr>
            </w:pPr>
            <w:r>
              <w:rPr>
                <w:rFonts w:hint="eastAsia"/>
                <w:bCs/>
                <w:szCs w:val="21"/>
              </w:rPr>
              <w:t>87.0884</w:t>
            </w:r>
          </w:p>
        </w:tc>
        <w:tc>
          <w:tcPr>
            <w:tcW w:w="540" w:type="pct"/>
            <w:vAlign w:val="center"/>
          </w:tcPr>
          <w:p w14:paraId="25BC053C">
            <w:pPr>
              <w:jc w:val="center"/>
              <w:rPr>
                <w:bCs/>
                <w:szCs w:val="21"/>
              </w:rPr>
            </w:pPr>
            <w:r>
              <w:rPr>
                <w:rFonts w:hint="eastAsia"/>
                <w:bCs/>
                <w:szCs w:val="21"/>
              </w:rPr>
              <w:t>1</w:t>
            </w:r>
          </w:p>
        </w:tc>
        <w:tc>
          <w:tcPr>
            <w:tcW w:w="2314" w:type="pct"/>
            <w:vAlign w:val="center"/>
          </w:tcPr>
          <w:p w14:paraId="39218AAA">
            <w:pPr>
              <w:jc w:val="center"/>
              <w:rPr>
                <w:bCs/>
                <w:szCs w:val="21"/>
              </w:rPr>
            </w:pPr>
            <w:r>
              <w:rPr>
                <w:rFonts w:hint="eastAsia"/>
                <w:bCs/>
                <w:szCs w:val="21"/>
              </w:rPr>
              <w:t>政务云租赁扩展服务</w:t>
            </w:r>
          </w:p>
        </w:tc>
      </w:tr>
    </w:tbl>
    <w:p w14:paraId="3D59D797">
      <w:pPr>
        <w:spacing w:line="360" w:lineRule="auto"/>
        <w:ind w:firstLine="480" w:firstLineChars="200"/>
        <w:rPr>
          <w:rFonts w:hint="eastAsia" w:eastAsia="宋体"/>
          <w:sz w:val="24"/>
          <w:lang w:val="en-US" w:eastAsia="zh-CN"/>
        </w:rPr>
      </w:pPr>
      <w:r>
        <w:rPr>
          <w:sz w:val="24"/>
        </w:rPr>
        <w:t>5.合同履行期限：</w:t>
      </w:r>
      <w:r>
        <w:rPr>
          <w:rFonts w:hint="eastAsia"/>
          <w:sz w:val="24"/>
          <w:lang w:val="en-US" w:eastAsia="zh-CN"/>
        </w:rPr>
        <w:t>详见</w:t>
      </w:r>
      <w:r>
        <w:rPr>
          <w:rFonts w:ascii="Times New Roman" w:hAnsi="Times New Roman" w:eastAsia="宋体"/>
          <w:sz w:val="24"/>
          <w:szCs w:val="24"/>
        </w:rPr>
        <w:t>其他补充事宜</w:t>
      </w:r>
    </w:p>
    <w:p w14:paraId="0880A5BA">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4A627330">
      <w:pPr>
        <w:pStyle w:val="3"/>
        <w:spacing w:before="0" w:line="360" w:lineRule="auto"/>
        <w:jc w:val="left"/>
        <w:rPr>
          <w:rFonts w:ascii="Times New Roman" w:hAnsi="Times New Roman" w:eastAsia="宋体"/>
          <w:sz w:val="24"/>
          <w:szCs w:val="24"/>
        </w:rPr>
      </w:pPr>
      <w:bookmarkStart w:id="7" w:name="_Toc28359003"/>
      <w:bookmarkStart w:id="8" w:name="_Toc28359080"/>
      <w:bookmarkStart w:id="9" w:name="_Toc35393622"/>
      <w:bookmarkStart w:id="10" w:name="_Toc35393791"/>
      <w:r>
        <w:rPr>
          <w:rFonts w:ascii="Times New Roman" w:hAnsi="Times New Roman" w:eastAsia="宋体"/>
          <w:sz w:val="24"/>
          <w:szCs w:val="24"/>
        </w:rPr>
        <w:t>二、申请人的资格要求（须同时满足）</w:t>
      </w:r>
      <w:bookmarkEnd w:id="7"/>
      <w:bookmarkEnd w:id="8"/>
      <w:bookmarkEnd w:id="9"/>
      <w:bookmarkEnd w:id="10"/>
    </w:p>
    <w:p w14:paraId="3DE9CF21">
      <w:pPr>
        <w:spacing w:line="360" w:lineRule="auto"/>
        <w:ind w:firstLine="480" w:firstLineChars="200"/>
        <w:rPr>
          <w:sz w:val="24"/>
        </w:rPr>
      </w:pPr>
      <w:r>
        <w:rPr>
          <w:sz w:val="24"/>
        </w:rPr>
        <w:t>1.满足《中华人民共和国政府采购法》第二十二条规定；</w:t>
      </w:r>
    </w:p>
    <w:p w14:paraId="4DBC04E5">
      <w:pPr>
        <w:spacing w:line="360" w:lineRule="auto"/>
        <w:ind w:firstLine="480" w:firstLineChars="200"/>
        <w:rPr>
          <w:sz w:val="24"/>
        </w:rPr>
      </w:pPr>
      <w:bookmarkStart w:id="11" w:name="_Toc28359004"/>
      <w:bookmarkStart w:id="12" w:name="_Toc28359081"/>
      <w:r>
        <w:rPr>
          <w:sz w:val="24"/>
        </w:rPr>
        <w:t>2.落实政府采购政策需满足的资格要求：</w:t>
      </w:r>
    </w:p>
    <w:p w14:paraId="4114B236">
      <w:pPr>
        <w:spacing w:line="360" w:lineRule="auto"/>
        <w:ind w:firstLine="480" w:firstLineChars="200"/>
        <w:rPr>
          <w:sz w:val="24"/>
        </w:rPr>
      </w:pPr>
      <w:r>
        <w:rPr>
          <w:sz w:val="24"/>
        </w:rPr>
        <w:t>2.1 中小企业政策</w:t>
      </w:r>
    </w:p>
    <w:p w14:paraId="5205A678">
      <w:pPr>
        <w:spacing w:line="360" w:lineRule="auto"/>
        <w:ind w:firstLine="480" w:firstLineChars="200"/>
        <w:rPr>
          <w:sz w:val="24"/>
        </w:rPr>
      </w:pPr>
      <w:r>
        <w:rPr>
          <w:sz w:val="24"/>
        </w:rPr>
        <w:t>本项目</w:t>
      </w:r>
      <w:r>
        <w:rPr>
          <w:rFonts w:hint="eastAsia"/>
          <w:sz w:val="24"/>
        </w:rPr>
        <w:t>采购包4、采购包6、采购包8不专</w:t>
      </w:r>
      <w:r>
        <w:rPr>
          <w:sz w:val="24"/>
        </w:rPr>
        <w:t>门面向中小企业预留采购份额。</w:t>
      </w:r>
    </w:p>
    <w:p w14:paraId="3DD0362A">
      <w:pPr>
        <w:spacing w:line="360" w:lineRule="auto"/>
        <w:ind w:firstLine="480" w:firstLineChars="200"/>
        <w:rPr>
          <w:sz w:val="24"/>
        </w:rPr>
      </w:pPr>
      <w:r>
        <w:rPr>
          <w:sz w:val="24"/>
        </w:rPr>
        <w:t>本项目</w:t>
      </w:r>
      <w:r>
        <w:rPr>
          <w:rFonts w:hint="eastAsia"/>
          <w:sz w:val="24"/>
        </w:rPr>
        <w:t>采购包1、采购包2、采购包3、采购包5、采购包7</w:t>
      </w:r>
      <w:r>
        <w:rPr>
          <w:sz w:val="24"/>
        </w:rPr>
        <w:t>专门面向中小</w:t>
      </w:r>
      <w:r>
        <w:rPr>
          <w:rFonts w:hint="eastAsia"/>
          <w:sz w:val="24"/>
        </w:rPr>
        <w:t>企业</w:t>
      </w:r>
      <w:r>
        <w:rPr>
          <w:sz w:val="24"/>
        </w:rPr>
        <w:t>采购。即：提供的货物全部由符合政策要求的中小企业制造、服务全部由符合政策要求的中小企业承接。</w:t>
      </w:r>
    </w:p>
    <w:p w14:paraId="77BACAA9">
      <w:pPr>
        <w:spacing w:line="360" w:lineRule="auto"/>
        <w:ind w:firstLine="480" w:firstLineChars="200"/>
        <w:rPr>
          <w:sz w:val="24"/>
        </w:rPr>
      </w:pPr>
      <w:r>
        <w:rPr>
          <w:sz w:val="24"/>
        </w:rPr>
        <w:t>2.2 其它落实政府采购政策的资格要求：</w:t>
      </w:r>
      <w:r>
        <w:rPr>
          <w:rFonts w:hint="eastAsia"/>
          <w:sz w:val="24"/>
        </w:rPr>
        <w:t>无</w:t>
      </w:r>
      <w:r>
        <w:rPr>
          <w:sz w:val="24"/>
        </w:rPr>
        <w:t>。</w:t>
      </w:r>
    </w:p>
    <w:p w14:paraId="53FDBAB1">
      <w:pPr>
        <w:spacing w:line="360" w:lineRule="auto"/>
        <w:ind w:firstLine="480" w:firstLineChars="200"/>
        <w:rPr>
          <w:i/>
          <w:iCs/>
          <w:sz w:val="24"/>
          <w:u w:val="single"/>
        </w:rPr>
      </w:pPr>
      <w:r>
        <w:rPr>
          <w:sz w:val="24"/>
        </w:rPr>
        <w:t>3.本项目的特定资格要求：</w:t>
      </w:r>
    </w:p>
    <w:p w14:paraId="47EFF789">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3.1本项目是否属于政府购买服务：否</w:t>
      </w:r>
    </w:p>
    <w:p w14:paraId="5BF81770">
      <w:pPr>
        <w:pStyle w:val="17"/>
        <w:spacing w:before="0" w:line="360" w:lineRule="auto"/>
        <w:ind w:left="420" w:leftChars="200"/>
        <w:rPr>
          <w:rFonts w:hint="eastAsia"/>
        </w:rPr>
      </w:pPr>
      <w:r>
        <w:t>3.2其他特定资格要求</w:t>
      </w:r>
      <w:r>
        <w:rPr>
          <w:rFonts w:eastAsiaTheme="minorEastAsia"/>
        </w:rPr>
        <w:t>：</w:t>
      </w:r>
    </w:p>
    <w:p w14:paraId="57A80744">
      <w:pPr>
        <w:pStyle w:val="17"/>
        <w:spacing w:before="0" w:line="360" w:lineRule="auto"/>
        <w:ind w:left="420" w:leftChars="200"/>
        <w:rPr>
          <w:rFonts w:hint="eastAsia" w:cs="宋体"/>
          <w:spacing w:val="2"/>
        </w:rPr>
      </w:pPr>
      <w:r>
        <w:rPr>
          <w:rFonts w:hint="eastAsia" w:cs="宋体"/>
          <w:spacing w:val="2"/>
        </w:rPr>
        <w:t>3.2.1单位负责人为同一人或者存在直接控股、管理关系的不同供应商，不得参</w:t>
      </w:r>
    </w:p>
    <w:p w14:paraId="642BA4E7">
      <w:pPr>
        <w:pStyle w:val="17"/>
        <w:spacing w:before="0" w:line="360" w:lineRule="auto"/>
        <w:ind w:left="420" w:leftChars="200"/>
        <w:rPr>
          <w:rFonts w:hint="eastAsia" w:eastAsia="宋体" w:cs="宋体"/>
          <w:spacing w:val="2"/>
          <w:lang w:eastAsia="zh-CN"/>
        </w:rPr>
      </w:pPr>
      <w:r>
        <w:rPr>
          <w:rFonts w:hint="eastAsia" w:cs="宋体"/>
          <w:spacing w:val="2"/>
        </w:rPr>
        <w:t>加同一合同项下的政府采购活动</w:t>
      </w:r>
      <w:r>
        <w:rPr>
          <w:rFonts w:hint="eastAsia" w:cs="宋体"/>
          <w:spacing w:val="2"/>
          <w:lang w:eastAsia="zh-CN"/>
        </w:rPr>
        <w:t>。</w:t>
      </w:r>
    </w:p>
    <w:p w14:paraId="79620CA7">
      <w:pPr>
        <w:pStyle w:val="17"/>
        <w:spacing w:before="0" w:line="360" w:lineRule="auto"/>
        <w:ind w:left="420" w:leftChars="200"/>
        <w:rPr>
          <w:rFonts w:hint="eastAsia" w:cs="宋体"/>
          <w:spacing w:val="2"/>
        </w:rPr>
      </w:pPr>
      <w:r>
        <w:rPr>
          <w:rFonts w:hint="eastAsia" w:cs="宋体"/>
          <w:spacing w:val="2"/>
        </w:rPr>
        <w:t>3.2.2除单一来源采购项目外，为采购项目提供整体设计、规范编制或者项目管</w:t>
      </w:r>
    </w:p>
    <w:p w14:paraId="418C6199">
      <w:pPr>
        <w:pStyle w:val="17"/>
        <w:spacing w:before="0" w:line="360" w:lineRule="auto"/>
        <w:ind w:left="420" w:leftChars="200"/>
        <w:rPr>
          <w:rFonts w:hint="eastAsia" w:cs="宋体"/>
          <w:spacing w:val="2"/>
        </w:rPr>
      </w:pPr>
      <w:r>
        <w:rPr>
          <w:rFonts w:hint="eastAsia" w:cs="宋体"/>
          <w:spacing w:val="2"/>
        </w:rPr>
        <w:t>理、监理、检测等服务的供应商，不得再参加该采购项目的其他采购活动。</w:t>
      </w:r>
    </w:p>
    <w:p w14:paraId="4188F908">
      <w:pPr>
        <w:pStyle w:val="17"/>
        <w:spacing w:before="0" w:line="360" w:lineRule="auto"/>
        <w:ind w:left="420" w:leftChars="200"/>
        <w:rPr>
          <w:rFonts w:hint="eastAsia" w:cs="宋体"/>
          <w:spacing w:val="2"/>
        </w:rPr>
      </w:pPr>
      <w:r>
        <w:rPr>
          <w:rFonts w:hint="eastAsia" w:cs="宋体"/>
          <w:spacing w:val="2"/>
        </w:rPr>
        <w:t>3.2.3供应商不能被列入“信用中国”网站（</w:t>
      </w:r>
      <w:r>
        <w:fldChar w:fldCharType="begin"/>
      </w:r>
      <w:r>
        <w:instrText xml:space="preserve"> HYPERLINK "http://www.creditchina.gov.cn" </w:instrText>
      </w:r>
      <w:r>
        <w:fldChar w:fldCharType="separate"/>
      </w:r>
      <w:r>
        <w:rPr>
          <w:rFonts w:hint="eastAsia" w:cs="宋体"/>
          <w:spacing w:val="2"/>
        </w:rPr>
        <w:t>www.creditchina.gov.cn</w:t>
      </w:r>
      <w:r>
        <w:rPr>
          <w:rFonts w:hint="eastAsia" w:cs="宋体"/>
          <w:spacing w:val="2"/>
        </w:rPr>
        <w:fldChar w:fldCharType="end"/>
      </w:r>
      <w:r>
        <w:rPr>
          <w:rFonts w:hint="eastAsia" w:cs="宋体"/>
          <w:spacing w:val="2"/>
        </w:rPr>
        <w:t>）失信被</w:t>
      </w:r>
    </w:p>
    <w:p w14:paraId="3EC68890">
      <w:pPr>
        <w:pStyle w:val="17"/>
        <w:spacing w:before="0" w:line="360" w:lineRule="auto"/>
        <w:ind w:left="420" w:leftChars="200"/>
        <w:rPr>
          <w:rFonts w:hint="eastAsia" w:cs="宋体"/>
          <w:spacing w:val="2"/>
        </w:rPr>
      </w:pPr>
      <w:r>
        <w:rPr>
          <w:rFonts w:hint="eastAsia" w:cs="宋体"/>
          <w:spacing w:val="2"/>
        </w:rPr>
        <w:t>执行人、重大税收违法案件当事人名单”和中国政府采购网（</w:t>
      </w:r>
      <w:r>
        <w:fldChar w:fldCharType="begin"/>
      </w:r>
      <w:r>
        <w:instrText xml:space="preserve"> HYPERLINK "http://www.ccgp.gov.cn" </w:instrText>
      </w:r>
      <w:r>
        <w:fldChar w:fldCharType="separate"/>
      </w:r>
      <w:r>
        <w:rPr>
          <w:rFonts w:hint="eastAsia" w:cs="宋体"/>
          <w:spacing w:val="2"/>
        </w:rPr>
        <w:t>www.ccgp.gov.cn</w:t>
      </w:r>
      <w:r>
        <w:rPr>
          <w:rFonts w:hint="eastAsia" w:cs="宋体"/>
          <w:spacing w:val="2"/>
        </w:rPr>
        <w:fldChar w:fldCharType="end"/>
      </w:r>
      <w:r>
        <w:rPr>
          <w:rFonts w:hint="eastAsia" w:cs="宋体"/>
          <w:spacing w:val="2"/>
        </w:rPr>
        <w:t>）</w:t>
      </w:r>
    </w:p>
    <w:p w14:paraId="6171E24A">
      <w:pPr>
        <w:pStyle w:val="17"/>
        <w:spacing w:before="0" w:line="360" w:lineRule="auto"/>
        <w:ind w:left="420" w:leftChars="200"/>
        <w:rPr>
          <w:rFonts w:hint="eastAsia" w:cs="宋体"/>
          <w:spacing w:val="2"/>
        </w:rPr>
      </w:pPr>
      <w:r>
        <w:rPr>
          <w:rFonts w:hint="eastAsia" w:cs="宋体"/>
          <w:spacing w:val="2"/>
        </w:rPr>
        <w:t>政府采购严重违法失信行为记录名单。否则其投标将被拒绝。</w:t>
      </w:r>
    </w:p>
    <w:p w14:paraId="690312E3">
      <w:pPr>
        <w:pStyle w:val="17"/>
        <w:spacing w:before="0" w:line="360" w:lineRule="auto"/>
        <w:ind w:left="420" w:leftChars="200"/>
        <w:rPr>
          <w:rFonts w:hint="eastAsia" w:cs="宋体"/>
          <w:b/>
          <w:bCs/>
          <w:spacing w:val="2"/>
        </w:rPr>
      </w:pPr>
      <w:r>
        <w:rPr>
          <w:rFonts w:hint="eastAsia" w:cs="宋体"/>
          <w:b/>
          <w:bCs/>
          <w:spacing w:val="2"/>
        </w:rPr>
        <w:t>3.2.4本项目07包投标人须具有国家测绘行政主管部门颁发的甲级测绘资质和国家建设行政主管部门颁发的工程勘察综合类甲级资质。</w:t>
      </w:r>
    </w:p>
    <w:bookmarkEnd w:id="11"/>
    <w:bookmarkEnd w:id="12"/>
    <w:p w14:paraId="1924A336">
      <w:pPr>
        <w:pStyle w:val="3"/>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14:paraId="2D961F51">
      <w:pPr>
        <w:adjustRightInd w:val="0"/>
        <w:snapToGrid w:val="0"/>
        <w:spacing w:line="360" w:lineRule="auto"/>
        <w:ind w:firstLine="480" w:firstLineChars="200"/>
        <w:rPr>
          <w:sz w:val="24"/>
          <w:lang w:bidi="ar"/>
        </w:rPr>
      </w:pPr>
      <w:r>
        <w:rPr>
          <w:sz w:val="24"/>
          <w:lang w:bidi="ar"/>
        </w:rPr>
        <w:t>1.时间：</w:t>
      </w:r>
      <w:r>
        <w:rPr>
          <w:rFonts w:hint="eastAsia"/>
          <w:sz w:val="24"/>
          <w:lang w:bidi="ar"/>
        </w:rPr>
        <w:t>2026</w:t>
      </w:r>
      <w:r>
        <w:rPr>
          <w:sz w:val="24"/>
          <w:lang w:bidi="ar"/>
        </w:rPr>
        <w:t>年</w:t>
      </w:r>
      <w:r>
        <w:rPr>
          <w:rFonts w:hint="eastAsia"/>
          <w:sz w:val="24"/>
          <w:lang w:bidi="ar"/>
        </w:rPr>
        <w:t>04</w:t>
      </w:r>
      <w:r>
        <w:rPr>
          <w:sz w:val="24"/>
          <w:lang w:bidi="ar"/>
        </w:rPr>
        <w:t>月</w:t>
      </w:r>
      <w:r>
        <w:rPr>
          <w:rFonts w:hint="eastAsia"/>
          <w:sz w:val="24"/>
          <w:lang w:val="en-US" w:eastAsia="zh-CN" w:bidi="ar"/>
        </w:rPr>
        <w:t>15</w:t>
      </w:r>
      <w:r>
        <w:rPr>
          <w:sz w:val="24"/>
          <w:lang w:bidi="ar"/>
        </w:rPr>
        <w:t>日至</w:t>
      </w:r>
      <w:r>
        <w:rPr>
          <w:rFonts w:hint="eastAsia"/>
          <w:sz w:val="24"/>
          <w:lang w:bidi="ar"/>
        </w:rPr>
        <w:t>2026</w:t>
      </w:r>
      <w:r>
        <w:rPr>
          <w:sz w:val="24"/>
          <w:lang w:bidi="ar"/>
        </w:rPr>
        <w:t>年</w:t>
      </w:r>
      <w:r>
        <w:rPr>
          <w:rFonts w:hint="eastAsia"/>
          <w:sz w:val="24"/>
          <w:lang w:bidi="ar"/>
        </w:rPr>
        <w:t>04</w:t>
      </w:r>
      <w:r>
        <w:rPr>
          <w:sz w:val="24"/>
          <w:lang w:bidi="ar"/>
        </w:rPr>
        <w:t>月</w:t>
      </w:r>
      <w:r>
        <w:rPr>
          <w:rFonts w:hint="eastAsia"/>
          <w:sz w:val="24"/>
          <w:lang w:val="en-US" w:eastAsia="zh-CN" w:bidi="ar"/>
        </w:rPr>
        <w:t>22</w:t>
      </w:r>
      <w:r>
        <w:rPr>
          <w:sz w:val="24"/>
          <w:lang w:bidi="ar"/>
        </w:rPr>
        <w:t>日，每天上午</w:t>
      </w:r>
      <w:r>
        <w:rPr>
          <w:rFonts w:hint="eastAsia"/>
          <w:sz w:val="24"/>
          <w:lang w:bidi="ar"/>
        </w:rPr>
        <w:t>9:00</w:t>
      </w:r>
      <w:r>
        <w:rPr>
          <w:sz w:val="24"/>
          <w:lang w:bidi="ar"/>
        </w:rPr>
        <w:t>至</w:t>
      </w:r>
      <w:r>
        <w:rPr>
          <w:rFonts w:hint="eastAsia"/>
          <w:sz w:val="24"/>
          <w:lang w:bidi="ar"/>
        </w:rPr>
        <w:t>11:30</w:t>
      </w:r>
      <w:r>
        <w:rPr>
          <w:sz w:val="24"/>
          <w:lang w:bidi="ar"/>
        </w:rPr>
        <w:t>，下午</w:t>
      </w:r>
      <w:r>
        <w:rPr>
          <w:rFonts w:hint="eastAsia"/>
          <w:sz w:val="24"/>
          <w:lang w:bidi="ar"/>
        </w:rPr>
        <w:t>13:00</w:t>
      </w:r>
      <w:r>
        <w:rPr>
          <w:sz w:val="24"/>
          <w:lang w:bidi="ar"/>
        </w:rPr>
        <w:t>至</w:t>
      </w:r>
      <w:r>
        <w:rPr>
          <w:rFonts w:hint="eastAsia"/>
          <w:sz w:val="24"/>
          <w:lang w:bidi="ar"/>
        </w:rPr>
        <w:t>24:00</w:t>
      </w:r>
      <w:r>
        <w:rPr>
          <w:sz w:val="24"/>
          <w:lang w:bidi="ar"/>
        </w:rPr>
        <w:t>（北京时间，法定节假日除外）。</w:t>
      </w:r>
    </w:p>
    <w:p w14:paraId="733C31F3">
      <w:pPr>
        <w:adjustRightInd w:val="0"/>
        <w:snapToGrid w:val="0"/>
        <w:spacing w:line="360" w:lineRule="auto"/>
        <w:ind w:firstLine="480" w:firstLineChars="200"/>
        <w:rPr>
          <w:sz w:val="24"/>
        </w:rPr>
      </w:pPr>
      <w:r>
        <w:rPr>
          <w:sz w:val="24"/>
          <w:lang w:bidi="ar"/>
        </w:rPr>
        <w:t>2.地点：北京市政府采购电子交易平台</w:t>
      </w:r>
    </w:p>
    <w:p w14:paraId="67553B13">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4BC83539">
      <w:pPr>
        <w:widowControl/>
        <w:adjustRightInd w:val="0"/>
        <w:snapToGrid w:val="0"/>
        <w:spacing w:line="360" w:lineRule="auto"/>
        <w:ind w:firstLine="480" w:firstLineChars="200"/>
        <w:jc w:val="left"/>
        <w:rPr>
          <w:sz w:val="24"/>
        </w:rPr>
      </w:pPr>
      <w:r>
        <w:rPr>
          <w:sz w:val="24"/>
          <w:lang w:bidi="ar"/>
        </w:rPr>
        <w:t>4.售价：0元。</w:t>
      </w:r>
    </w:p>
    <w:p w14:paraId="5AAEA612">
      <w:pPr>
        <w:tabs>
          <w:tab w:val="left" w:pos="900"/>
          <w:tab w:val="left" w:pos="1980"/>
        </w:tabs>
        <w:snapToGrid w:val="0"/>
        <w:spacing w:line="360" w:lineRule="auto"/>
        <w:ind w:left="840"/>
        <w:rPr>
          <w:sz w:val="24"/>
        </w:rPr>
      </w:pPr>
    </w:p>
    <w:p w14:paraId="7925DC9F">
      <w:pPr>
        <w:pStyle w:val="3"/>
        <w:widowControl/>
        <w:spacing w:before="0" w:line="360" w:lineRule="auto"/>
        <w:jc w:val="left"/>
        <w:rPr>
          <w:rFonts w:ascii="Times New Roman" w:hAnsi="Times New Roman" w:eastAsia="宋体"/>
          <w:sz w:val="24"/>
          <w:szCs w:val="24"/>
        </w:rPr>
      </w:pPr>
      <w:bookmarkStart w:id="15" w:name="_Toc28359082"/>
      <w:bookmarkStart w:id="16" w:name="_Toc28359005"/>
      <w:bookmarkStart w:id="17" w:name="_Toc35393793"/>
      <w:bookmarkStart w:id="18" w:name="_Toc35393624"/>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3C8DC908">
      <w:pPr>
        <w:spacing w:line="360" w:lineRule="auto"/>
        <w:ind w:firstLine="480" w:firstLineChars="200"/>
        <w:rPr>
          <w:bCs/>
          <w:sz w:val="24"/>
          <w:u w:val="single"/>
        </w:rPr>
      </w:pPr>
      <w:r>
        <w:rPr>
          <w:sz w:val="24"/>
          <w:lang w:bidi="ar"/>
        </w:rPr>
        <w:t>投标截止时间、开标时间：</w:t>
      </w:r>
      <w:r>
        <w:rPr>
          <w:rFonts w:hint="eastAsia"/>
          <w:sz w:val="24"/>
          <w:lang w:bidi="ar"/>
        </w:rPr>
        <w:t>2026</w:t>
      </w:r>
      <w:r>
        <w:rPr>
          <w:sz w:val="24"/>
          <w:lang w:bidi="ar"/>
        </w:rPr>
        <w:t>年</w:t>
      </w:r>
      <w:r>
        <w:rPr>
          <w:rFonts w:hint="eastAsia"/>
          <w:sz w:val="24"/>
          <w:lang w:val="en-US" w:eastAsia="zh-CN" w:bidi="ar"/>
        </w:rPr>
        <w:t>5</w:t>
      </w:r>
      <w:r>
        <w:rPr>
          <w:sz w:val="24"/>
          <w:lang w:bidi="ar"/>
        </w:rPr>
        <w:t>月</w:t>
      </w:r>
      <w:r>
        <w:rPr>
          <w:rFonts w:hint="eastAsia"/>
          <w:sz w:val="24"/>
          <w:lang w:val="en-US" w:eastAsia="zh-CN" w:bidi="ar"/>
        </w:rPr>
        <w:t>6</w:t>
      </w:r>
      <w:r>
        <w:rPr>
          <w:sz w:val="24"/>
          <w:lang w:bidi="ar"/>
        </w:rPr>
        <w:t>日</w:t>
      </w:r>
      <w:r>
        <w:rPr>
          <w:rFonts w:hint="eastAsia"/>
          <w:sz w:val="24"/>
          <w:lang w:val="en-US" w:eastAsia="zh-CN" w:bidi="ar"/>
        </w:rPr>
        <w:t>07</w:t>
      </w:r>
      <w:r>
        <w:rPr>
          <w:sz w:val="24"/>
          <w:lang w:bidi="ar"/>
        </w:rPr>
        <w:t>点</w:t>
      </w:r>
      <w:r>
        <w:rPr>
          <w:rFonts w:hint="eastAsia"/>
          <w:sz w:val="24"/>
          <w:lang w:val="en-US" w:eastAsia="zh-CN" w:bidi="ar"/>
        </w:rPr>
        <w:t>3</w:t>
      </w:r>
      <w:r>
        <w:rPr>
          <w:rFonts w:hint="eastAsia"/>
          <w:sz w:val="24"/>
          <w:lang w:bidi="ar"/>
        </w:rPr>
        <w:t>0</w:t>
      </w:r>
      <w:r>
        <w:rPr>
          <w:sz w:val="24"/>
          <w:lang w:bidi="ar"/>
        </w:rPr>
        <w:t>分</w:t>
      </w:r>
      <w:r>
        <w:rPr>
          <w:bCs/>
          <w:sz w:val="24"/>
          <w:lang w:bidi="ar"/>
        </w:rPr>
        <w:t>（北京时间）</w:t>
      </w:r>
      <w:r>
        <w:rPr>
          <w:iCs/>
          <w:sz w:val="24"/>
          <w:lang w:bidi="ar"/>
        </w:rPr>
        <w:t>。</w:t>
      </w:r>
    </w:p>
    <w:p w14:paraId="266608C1">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336AAD94">
      <w:pPr>
        <w:spacing w:line="360" w:lineRule="auto"/>
        <w:ind w:firstLine="480" w:firstLineChars="200"/>
        <w:rPr>
          <w:bCs/>
          <w:sz w:val="24"/>
          <w:u w:val="single"/>
        </w:rPr>
      </w:pPr>
    </w:p>
    <w:p w14:paraId="1E91DBF6">
      <w:pPr>
        <w:pStyle w:val="3"/>
        <w:spacing w:before="0" w:line="360" w:lineRule="auto"/>
        <w:jc w:val="left"/>
        <w:rPr>
          <w:rFonts w:ascii="Times New Roman" w:hAnsi="Times New Roman" w:eastAsia="宋体"/>
          <w:sz w:val="24"/>
          <w:szCs w:val="24"/>
        </w:rPr>
      </w:pPr>
      <w:bookmarkStart w:id="19" w:name="_Toc35393625"/>
      <w:bookmarkStart w:id="20" w:name="_Toc28359007"/>
      <w:bookmarkStart w:id="21" w:name="_Toc35393794"/>
      <w:bookmarkStart w:id="22" w:name="_Toc28359084"/>
      <w:r>
        <w:rPr>
          <w:rFonts w:ascii="Times New Roman" w:hAnsi="Times New Roman" w:eastAsia="宋体"/>
          <w:sz w:val="24"/>
          <w:szCs w:val="24"/>
        </w:rPr>
        <w:t>五、公告期限</w:t>
      </w:r>
      <w:bookmarkEnd w:id="19"/>
      <w:bookmarkEnd w:id="20"/>
      <w:bookmarkEnd w:id="21"/>
      <w:bookmarkEnd w:id="22"/>
    </w:p>
    <w:p w14:paraId="5CB033FF">
      <w:pPr>
        <w:spacing w:line="360" w:lineRule="auto"/>
        <w:ind w:firstLine="480" w:firstLineChars="200"/>
        <w:rPr>
          <w:kern w:val="0"/>
          <w:sz w:val="24"/>
        </w:rPr>
      </w:pPr>
      <w:r>
        <w:rPr>
          <w:kern w:val="0"/>
          <w:sz w:val="24"/>
        </w:rPr>
        <w:t>自本公告发布之日起5个工作日。</w:t>
      </w:r>
    </w:p>
    <w:p w14:paraId="6EC7B059">
      <w:pPr>
        <w:spacing w:line="360" w:lineRule="auto"/>
        <w:ind w:firstLine="480" w:firstLineChars="200"/>
        <w:rPr>
          <w:kern w:val="0"/>
          <w:sz w:val="24"/>
        </w:rPr>
      </w:pPr>
    </w:p>
    <w:p w14:paraId="7DC54A0D">
      <w:pPr>
        <w:pStyle w:val="3"/>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六、其他补充事宜</w:t>
      </w:r>
      <w:bookmarkEnd w:id="23"/>
      <w:bookmarkEnd w:id="24"/>
    </w:p>
    <w:p w14:paraId="14B6E184">
      <w:pPr>
        <w:spacing w:line="360" w:lineRule="auto"/>
        <w:ind w:firstLine="480" w:firstLineChars="200"/>
        <w:rPr>
          <w:sz w:val="24"/>
        </w:rPr>
      </w:pPr>
      <w:r>
        <w:rPr>
          <w:sz w:val="24"/>
        </w:rPr>
        <w:t>1.本项目需要落实的政府采购政策：</w:t>
      </w:r>
      <w:r>
        <w:rPr>
          <w:rFonts w:hint="eastAsia"/>
          <w:sz w:val="24"/>
          <w:lang w:bidi="ar"/>
        </w:rPr>
        <w:t>促进中小企业及监狱企业发展、促进残疾人就业、支持乡村产业振兴、优先采购节能环保产品等</w:t>
      </w:r>
      <w:r>
        <w:rPr>
          <w:sz w:val="24"/>
          <w:lang w:bidi="ar"/>
        </w:rPr>
        <w:t>。</w:t>
      </w:r>
      <w:r>
        <w:rPr>
          <w:sz w:val="24"/>
        </w:rPr>
        <w:t xml:space="preserve"> </w:t>
      </w:r>
    </w:p>
    <w:p w14:paraId="46F6441E">
      <w:pPr>
        <w:widowControl/>
        <w:adjustRightInd w:val="0"/>
        <w:snapToGrid w:val="0"/>
        <w:spacing w:line="360" w:lineRule="auto"/>
        <w:ind w:firstLine="480" w:firstLineChars="200"/>
        <w:jc w:val="left"/>
        <w:rPr>
          <w:bCs/>
          <w:sz w:val="24"/>
          <w:lang w:bidi="ar"/>
        </w:rPr>
      </w:pPr>
      <w:r>
        <w:rPr>
          <w:sz w:val="24"/>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70A01175">
      <w:pPr>
        <w:adjustRightInd w:val="0"/>
        <w:snapToGrid w:val="0"/>
        <w:spacing w:line="360" w:lineRule="auto"/>
        <w:ind w:firstLine="480" w:firstLineChars="200"/>
        <w:rPr>
          <w:sz w:val="24"/>
          <w:lang w:bidi="ar"/>
        </w:rPr>
      </w:pPr>
      <w:r>
        <w:rPr>
          <w:sz w:val="24"/>
          <w:lang w:bidi="ar"/>
        </w:rPr>
        <w:t>CA数字证书服务热线 010-58511086</w:t>
      </w:r>
    </w:p>
    <w:p w14:paraId="47CA982F">
      <w:pPr>
        <w:adjustRightInd w:val="0"/>
        <w:snapToGrid w:val="0"/>
        <w:spacing w:line="360" w:lineRule="auto"/>
        <w:ind w:firstLine="480" w:firstLineChars="200"/>
        <w:rPr>
          <w:sz w:val="24"/>
        </w:rPr>
      </w:pPr>
      <w:r>
        <w:rPr>
          <w:sz w:val="24"/>
          <w:lang w:bidi="ar"/>
        </w:rPr>
        <w:t>电子营业执照服务热线 400-699-7000</w:t>
      </w:r>
    </w:p>
    <w:p w14:paraId="423D2575">
      <w:pPr>
        <w:adjustRightInd w:val="0"/>
        <w:snapToGrid w:val="0"/>
        <w:spacing w:line="360" w:lineRule="auto"/>
        <w:ind w:firstLine="480" w:firstLineChars="200"/>
        <w:rPr>
          <w:sz w:val="24"/>
        </w:rPr>
      </w:pPr>
      <w:r>
        <w:rPr>
          <w:sz w:val="24"/>
          <w:lang w:bidi="ar"/>
        </w:rPr>
        <w:t>技术支持服务热线 010-86483801</w:t>
      </w:r>
    </w:p>
    <w:p w14:paraId="3ED2BFF0">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361A2A23">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4CF534A">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40BAF7CD">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5FC15CF8">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18188CB5">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0DAC3D7">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397B88A">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4E8F7122">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FF3F2FA">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CBD418D">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0388AB3F">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2D1E4E74">
      <w:pPr>
        <w:widowControl/>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7EB48550">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E6B51B6">
      <w:pPr>
        <w:widowControl/>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262A9281">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4A431B2E">
      <w:pPr>
        <w:spacing w:line="360" w:lineRule="auto"/>
        <w:ind w:firstLine="480" w:firstLineChars="200"/>
        <w:rPr>
          <w:sz w:val="24"/>
        </w:rPr>
      </w:pPr>
      <w:r>
        <w:rPr>
          <w:rFonts w:hint="eastAsia"/>
          <w:sz w:val="24"/>
        </w:rPr>
        <w:t>3.</w:t>
      </w:r>
    </w:p>
    <w:p w14:paraId="0B769605">
      <w:pPr>
        <w:spacing w:line="360" w:lineRule="auto"/>
        <w:ind w:firstLine="480" w:firstLineChars="200"/>
        <w:rPr>
          <w:rFonts w:hint="eastAsia" w:ascii="宋体" w:hAnsi="宋体" w:cs="宋体"/>
          <w:sz w:val="24"/>
        </w:rPr>
      </w:pPr>
      <w:r>
        <w:rPr>
          <w:rFonts w:hint="eastAsia"/>
          <w:sz w:val="24"/>
        </w:rPr>
        <w:t>01包：密云</w:t>
      </w:r>
      <w:r>
        <w:rPr>
          <w:rFonts w:hint="eastAsia" w:ascii="宋体" w:hAnsi="宋体" w:cs="宋体"/>
          <w:sz w:val="24"/>
        </w:rPr>
        <w:t>、怀柔等区1090台套监测仪器维护服务，维护费最高限价201.76万元，维修费最高限价20.266万元；总价最高限价222.026万元。</w:t>
      </w:r>
    </w:p>
    <w:p w14:paraId="5F65FD47">
      <w:pPr>
        <w:spacing w:line="360" w:lineRule="auto"/>
        <w:ind w:firstLine="480" w:firstLineChars="200"/>
        <w:rPr>
          <w:rFonts w:hint="eastAsia" w:ascii="宋体" w:hAnsi="宋体" w:cs="宋体"/>
          <w:sz w:val="24"/>
        </w:rPr>
      </w:pPr>
      <w:r>
        <w:rPr>
          <w:rFonts w:hint="eastAsia" w:ascii="宋体" w:hAnsi="宋体" w:cs="宋体"/>
          <w:sz w:val="24"/>
        </w:rPr>
        <w:t>02包：门头沟、延庆等区512台套监测仪器维护服务，维护费最高限价94.48万元，维修费最高限价36.568万元；总价最高限价131.048万元。</w:t>
      </w:r>
    </w:p>
    <w:p w14:paraId="66B28739">
      <w:pPr>
        <w:spacing w:line="360" w:lineRule="auto"/>
        <w:ind w:firstLine="480" w:firstLineChars="200"/>
        <w:rPr>
          <w:rFonts w:hint="eastAsia" w:ascii="宋体" w:hAnsi="宋体" w:cs="宋体"/>
          <w:sz w:val="24"/>
        </w:rPr>
      </w:pPr>
      <w:r>
        <w:rPr>
          <w:rFonts w:hint="eastAsia" w:ascii="宋体" w:hAnsi="宋体" w:cs="宋体"/>
          <w:sz w:val="24"/>
        </w:rPr>
        <w:t>03包：昌平、平谷等区210台套监测仪器维护服务，维护费最高限价39.52万元，维修费最高限价30.582万元；总价最高限价70.102万元。</w:t>
      </w:r>
    </w:p>
    <w:p w14:paraId="69FA8E44">
      <w:pPr>
        <w:spacing w:line="360" w:lineRule="auto"/>
        <w:ind w:firstLine="480" w:firstLineChars="200"/>
        <w:rPr>
          <w:rFonts w:hint="eastAsia" w:ascii="宋体" w:hAnsi="宋体" w:cs="宋体"/>
          <w:sz w:val="24"/>
        </w:rPr>
      </w:pPr>
      <w:r>
        <w:rPr>
          <w:rFonts w:hint="eastAsia" w:ascii="宋体" w:hAnsi="宋体" w:cs="宋体"/>
          <w:sz w:val="24"/>
        </w:rPr>
        <w:t>04包：机房运维及网络安全服务，总价最高限价56.08万元。</w:t>
      </w:r>
    </w:p>
    <w:p w14:paraId="4C30AA82">
      <w:pPr>
        <w:spacing w:line="360" w:lineRule="auto"/>
        <w:ind w:firstLine="480" w:firstLineChars="200"/>
        <w:rPr>
          <w:rFonts w:hint="eastAsia" w:ascii="宋体" w:hAnsi="宋体" w:cs="宋体"/>
          <w:sz w:val="24"/>
        </w:rPr>
      </w:pPr>
      <w:r>
        <w:rPr>
          <w:rFonts w:hint="eastAsia" w:ascii="宋体" w:hAnsi="宋体" w:cs="宋体"/>
          <w:sz w:val="24"/>
        </w:rPr>
        <w:t>05包：信息系统运维服务，总价最高限价57.6万元。</w:t>
      </w:r>
    </w:p>
    <w:p w14:paraId="020A14F9">
      <w:pPr>
        <w:spacing w:line="360" w:lineRule="auto"/>
        <w:ind w:firstLine="480" w:firstLineChars="200"/>
        <w:rPr>
          <w:rFonts w:hint="eastAsia" w:ascii="宋体" w:hAnsi="宋体" w:cs="宋体"/>
          <w:sz w:val="24"/>
        </w:rPr>
      </w:pPr>
      <w:r>
        <w:rPr>
          <w:rFonts w:hint="eastAsia" w:ascii="宋体" w:hAnsi="宋体" w:cs="宋体"/>
          <w:sz w:val="24"/>
        </w:rPr>
        <w:t>06包：卫星遥感数据采购技术服务，总价最高限价237.34万元。</w:t>
      </w:r>
    </w:p>
    <w:p w14:paraId="57D33C78">
      <w:pPr>
        <w:spacing w:line="360" w:lineRule="auto"/>
        <w:ind w:firstLine="480" w:firstLineChars="200"/>
        <w:rPr>
          <w:rFonts w:hint="eastAsia" w:ascii="宋体" w:hAnsi="宋体" w:cs="宋体"/>
          <w:sz w:val="24"/>
        </w:rPr>
      </w:pPr>
      <w:r>
        <w:rPr>
          <w:rFonts w:hint="eastAsia" w:ascii="宋体" w:hAnsi="宋体" w:cs="宋体"/>
          <w:sz w:val="24"/>
        </w:rPr>
        <w:t>07包：采空塌陷灾害地表形变人工监测服务，总价最高限价110.922859万元。</w:t>
      </w:r>
    </w:p>
    <w:p w14:paraId="091A462C">
      <w:pPr>
        <w:spacing w:line="360" w:lineRule="auto"/>
        <w:ind w:firstLine="480" w:firstLineChars="200"/>
        <w:rPr>
          <w:rFonts w:hint="eastAsia" w:ascii="宋体" w:hAnsi="宋体" w:cs="宋体"/>
          <w:sz w:val="24"/>
        </w:rPr>
      </w:pPr>
      <w:r>
        <w:rPr>
          <w:rFonts w:hint="eastAsia" w:ascii="宋体" w:hAnsi="宋体" w:cs="宋体"/>
          <w:sz w:val="24"/>
        </w:rPr>
        <w:t>08包：政务云租赁扩展服务，总价最高限价87.0884万元。</w:t>
      </w:r>
    </w:p>
    <w:p w14:paraId="3CA1DF26">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w:t>
      </w:r>
    </w:p>
    <w:p w14:paraId="0A70C66B">
      <w:pPr>
        <w:spacing w:line="360" w:lineRule="auto"/>
        <w:ind w:firstLine="480" w:firstLineChars="200"/>
        <w:rPr>
          <w:rFonts w:hint="eastAsia" w:ascii="宋体" w:hAnsi="宋体" w:cs="宋体"/>
          <w:sz w:val="24"/>
        </w:rPr>
      </w:pPr>
      <w:r>
        <w:rPr>
          <w:rFonts w:hint="eastAsia" w:ascii="宋体" w:hAnsi="宋体" w:cs="宋体"/>
          <w:sz w:val="24"/>
        </w:rPr>
        <w:t>合同履行期限：</w:t>
      </w:r>
    </w:p>
    <w:p w14:paraId="58C921EF">
      <w:pPr>
        <w:spacing w:line="360" w:lineRule="auto"/>
        <w:ind w:firstLine="480" w:firstLineChars="200"/>
        <w:rPr>
          <w:rFonts w:hint="eastAsia" w:ascii="宋体" w:hAnsi="宋体" w:cs="宋体"/>
          <w:sz w:val="24"/>
        </w:rPr>
      </w:pPr>
      <w:r>
        <w:rPr>
          <w:rFonts w:hint="eastAsia" w:ascii="宋体" w:hAnsi="宋体" w:cs="宋体"/>
          <w:sz w:val="24"/>
        </w:rPr>
        <w:t>01包：合同签订之日起至2026年12月31日前，完成本项目全部工作内容。</w:t>
      </w:r>
    </w:p>
    <w:p w14:paraId="2B3C1072">
      <w:pPr>
        <w:spacing w:line="360" w:lineRule="auto"/>
        <w:ind w:firstLine="480" w:firstLineChars="200"/>
        <w:rPr>
          <w:rFonts w:hint="eastAsia" w:ascii="宋体" w:hAnsi="宋体" w:cs="宋体"/>
          <w:sz w:val="24"/>
        </w:rPr>
      </w:pPr>
      <w:r>
        <w:rPr>
          <w:rFonts w:hint="eastAsia" w:ascii="宋体" w:hAnsi="宋体" w:cs="宋体"/>
          <w:sz w:val="24"/>
        </w:rPr>
        <w:t>02包：合同签订之日起至2026年12月31日前，完成本项目全部工作内容。</w:t>
      </w:r>
    </w:p>
    <w:p w14:paraId="4D6757BA">
      <w:pPr>
        <w:spacing w:line="360" w:lineRule="auto"/>
        <w:ind w:firstLine="480" w:firstLineChars="200"/>
        <w:rPr>
          <w:rFonts w:hint="eastAsia" w:ascii="宋体" w:hAnsi="宋体" w:cs="宋体"/>
          <w:sz w:val="24"/>
        </w:rPr>
      </w:pPr>
      <w:r>
        <w:rPr>
          <w:rFonts w:hint="eastAsia" w:ascii="宋体" w:hAnsi="宋体" w:cs="宋体"/>
          <w:sz w:val="24"/>
        </w:rPr>
        <w:t>03包：合同签订之日起至2026年12月31日前，完成本项目全部工作内容。</w:t>
      </w:r>
    </w:p>
    <w:p w14:paraId="02703A84">
      <w:pPr>
        <w:spacing w:line="360" w:lineRule="auto"/>
        <w:ind w:firstLine="480" w:firstLineChars="200"/>
        <w:rPr>
          <w:rFonts w:hint="eastAsia" w:ascii="宋体" w:hAnsi="宋体" w:cs="宋体"/>
          <w:sz w:val="24"/>
        </w:rPr>
      </w:pPr>
      <w:r>
        <w:rPr>
          <w:rFonts w:hint="eastAsia" w:ascii="宋体" w:hAnsi="宋体" w:cs="宋体"/>
          <w:sz w:val="24"/>
        </w:rPr>
        <w:t>04包：服务期限自合同签订之日起至2026年12月31日。</w:t>
      </w:r>
    </w:p>
    <w:p w14:paraId="3C019A01">
      <w:pPr>
        <w:spacing w:line="360" w:lineRule="auto"/>
        <w:ind w:firstLine="480" w:firstLineChars="200"/>
        <w:rPr>
          <w:rFonts w:hint="eastAsia" w:ascii="宋体" w:hAnsi="宋体" w:cs="宋体"/>
          <w:sz w:val="24"/>
        </w:rPr>
      </w:pPr>
      <w:r>
        <w:rPr>
          <w:rFonts w:hint="eastAsia" w:ascii="宋体" w:hAnsi="宋体" w:cs="宋体"/>
          <w:sz w:val="24"/>
        </w:rPr>
        <w:t>05包：合同签订之日起至2026年12月31日前，完成本项目全部工作内容。</w:t>
      </w:r>
    </w:p>
    <w:p w14:paraId="42AD4C81">
      <w:pPr>
        <w:spacing w:line="360" w:lineRule="auto"/>
        <w:ind w:firstLine="480" w:firstLineChars="200"/>
        <w:rPr>
          <w:rFonts w:hint="eastAsia" w:ascii="宋体" w:hAnsi="宋体" w:cs="宋体"/>
          <w:sz w:val="24"/>
        </w:rPr>
      </w:pPr>
      <w:r>
        <w:rPr>
          <w:rFonts w:hint="eastAsia" w:ascii="宋体" w:hAnsi="宋体" w:cs="宋体"/>
          <w:sz w:val="24"/>
        </w:rPr>
        <w:t>06包：合同签订之日起至2026年11月30日前，完成本项目全部工作内容。</w:t>
      </w:r>
    </w:p>
    <w:p w14:paraId="70CB1E0E">
      <w:pPr>
        <w:spacing w:line="360" w:lineRule="auto"/>
        <w:ind w:firstLine="480" w:firstLineChars="200"/>
        <w:rPr>
          <w:rFonts w:hint="eastAsia" w:ascii="宋体" w:hAnsi="宋体" w:cs="宋体"/>
          <w:sz w:val="24"/>
        </w:rPr>
      </w:pPr>
      <w:r>
        <w:rPr>
          <w:rFonts w:hint="eastAsia" w:ascii="宋体" w:hAnsi="宋体" w:cs="宋体"/>
          <w:sz w:val="24"/>
        </w:rPr>
        <w:t>07包：本合同自签订之日至 2026 年12月31日在北京履行。</w:t>
      </w:r>
    </w:p>
    <w:p w14:paraId="55DC928F">
      <w:pPr>
        <w:spacing w:line="360" w:lineRule="auto"/>
        <w:ind w:firstLine="480" w:firstLineChars="200"/>
        <w:rPr>
          <w:rFonts w:hint="eastAsia" w:ascii="宋体" w:hAnsi="宋体" w:cs="宋体"/>
          <w:sz w:val="24"/>
        </w:rPr>
      </w:pPr>
      <w:r>
        <w:rPr>
          <w:rFonts w:hint="eastAsia" w:ascii="宋体" w:hAnsi="宋体" w:cs="宋体"/>
          <w:sz w:val="24"/>
        </w:rPr>
        <w:t>08包：为期12个月的政务云资源租用服务。</w:t>
      </w:r>
    </w:p>
    <w:p w14:paraId="42C140E7">
      <w:pPr>
        <w:spacing w:line="360" w:lineRule="auto"/>
        <w:ind w:firstLine="480" w:firstLineChars="200"/>
        <w:rPr>
          <w:rFonts w:hint="eastAsia" w:ascii="宋体" w:hAnsi="宋体" w:cs="宋体"/>
          <w:sz w:val="24"/>
        </w:rPr>
      </w:pPr>
    </w:p>
    <w:p w14:paraId="350F4842">
      <w:pPr>
        <w:pStyle w:val="3"/>
        <w:spacing w:before="0" w:line="360" w:lineRule="auto"/>
        <w:jc w:val="left"/>
        <w:rPr>
          <w:rFonts w:ascii="Times New Roman" w:hAnsi="Times New Roman" w:eastAsia="宋体"/>
          <w:sz w:val="24"/>
          <w:szCs w:val="24"/>
        </w:rPr>
      </w:pPr>
      <w:bookmarkStart w:id="25" w:name="_Toc28359008"/>
      <w:bookmarkStart w:id="26" w:name="_Toc35393627"/>
      <w:bookmarkStart w:id="27" w:name="_Toc35393796"/>
      <w:bookmarkStart w:id="28" w:name="_Toc28359085"/>
      <w:r>
        <w:rPr>
          <w:rFonts w:ascii="Times New Roman" w:hAnsi="Times New Roman" w:eastAsia="宋体"/>
          <w:sz w:val="24"/>
          <w:szCs w:val="24"/>
        </w:rPr>
        <w:t>七、对本次招标提出询问，请按以下方式联系。</w:t>
      </w:r>
      <w:bookmarkEnd w:id="25"/>
      <w:bookmarkEnd w:id="26"/>
      <w:bookmarkEnd w:id="27"/>
      <w:bookmarkEnd w:id="28"/>
    </w:p>
    <w:p w14:paraId="2653E48B">
      <w:pPr>
        <w:spacing w:line="360" w:lineRule="auto"/>
        <w:ind w:left="1080" w:leftChars="371" w:hanging="301" w:hangingChars="125"/>
        <w:jc w:val="left"/>
        <w:rPr>
          <w:b/>
          <w:sz w:val="24"/>
        </w:rPr>
      </w:pPr>
      <w:r>
        <w:rPr>
          <w:b/>
          <w:sz w:val="24"/>
        </w:rPr>
        <w:t>1.采购人信息</w:t>
      </w:r>
    </w:p>
    <w:p w14:paraId="7B7376CB">
      <w:pPr>
        <w:spacing w:line="360" w:lineRule="auto"/>
        <w:ind w:left="1079" w:leftChars="371" w:hanging="300" w:hangingChars="125"/>
        <w:jc w:val="left"/>
        <w:rPr>
          <w:sz w:val="24"/>
        </w:rPr>
      </w:pPr>
      <w:bookmarkStart w:id="29" w:name="_Toc28359086"/>
      <w:bookmarkStart w:id="30" w:name="_Toc28359009"/>
      <w:r>
        <w:rPr>
          <w:sz w:val="24"/>
        </w:rPr>
        <w:t>名    称：</w:t>
      </w:r>
      <w:r>
        <w:rPr>
          <w:rFonts w:hint="eastAsia"/>
          <w:sz w:val="24"/>
          <w:u w:val="single"/>
        </w:rPr>
        <w:t>北京市地质灾害防治研究所</w:t>
      </w:r>
    </w:p>
    <w:p w14:paraId="17A142D5">
      <w:pPr>
        <w:spacing w:line="360" w:lineRule="auto"/>
        <w:ind w:left="1079" w:leftChars="371" w:hanging="300" w:hangingChars="125"/>
        <w:jc w:val="left"/>
        <w:rPr>
          <w:sz w:val="24"/>
        </w:rPr>
      </w:pPr>
      <w:r>
        <w:rPr>
          <w:sz w:val="24"/>
        </w:rPr>
        <w:t>地    址：</w:t>
      </w:r>
      <w:r>
        <w:rPr>
          <w:rFonts w:hint="eastAsia"/>
          <w:sz w:val="24"/>
          <w:u w:val="single"/>
        </w:rPr>
        <w:t>北京市西城区黄寺大街24号</w:t>
      </w:r>
    </w:p>
    <w:p w14:paraId="208DAD3D">
      <w:pPr>
        <w:spacing w:line="360" w:lineRule="auto"/>
        <w:ind w:left="1079" w:leftChars="371" w:hanging="300" w:hangingChars="125"/>
        <w:jc w:val="left"/>
        <w:rPr>
          <w:sz w:val="24"/>
          <w:u w:val="single"/>
        </w:rPr>
      </w:pPr>
      <w:r>
        <w:rPr>
          <w:sz w:val="24"/>
        </w:rPr>
        <w:t>联系方式：</w:t>
      </w:r>
      <w:r>
        <w:rPr>
          <w:rFonts w:hint="eastAsia"/>
          <w:sz w:val="24"/>
          <w:u w:val="single"/>
        </w:rPr>
        <w:t>刘老师 19901207155</w:t>
      </w:r>
    </w:p>
    <w:p w14:paraId="763BB80D">
      <w:pPr>
        <w:spacing w:line="360" w:lineRule="auto"/>
        <w:ind w:left="1080" w:leftChars="371" w:hanging="301" w:hangingChars="125"/>
        <w:jc w:val="left"/>
        <w:rPr>
          <w:b/>
          <w:sz w:val="24"/>
        </w:rPr>
      </w:pPr>
      <w:r>
        <w:rPr>
          <w:b/>
          <w:sz w:val="24"/>
        </w:rPr>
        <w:t>2.采购代理机构信息</w:t>
      </w:r>
      <w:bookmarkEnd w:id="29"/>
      <w:bookmarkEnd w:id="30"/>
    </w:p>
    <w:p w14:paraId="6C10C215">
      <w:pPr>
        <w:spacing w:line="360" w:lineRule="auto"/>
        <w:ind w:left="1076" w:leftChars="371" w:hanging="297" w:hangingChars="124"/>
        <w:jc w:val="left"/>
        <w:rPr>
          <w:sz w:val="24"/>
        </w:rPr>
      </w:pPr>
      <w:bookmarkStart w:id="31" w:name="_Toc28359087"/>
      <w:bookmarkStart w:id="32" w:name="_Toc28359010"/>
      <w:r>
        <w:rPr>
          <w:sz w:val="24"/>
        </w:rPr>
        <w:t>名    称：</w:t>
      </w:r>
      <w:r>
        <w:rPr>
          <w:rFonts w:hint="eastAsia"/>
          <w:sz w:val="24"/>
          <w:u w:val="single"/>
        </w:rPr>
        <w:t>国信招标集团股份有限公司</w:t>
      </w:r>
    </w:p>
    <w:p w14:paraId="59F2871B">
      <w:pPr>
        <w:spacing w:line="360" w:lineRule="auto"/>
        <w:ind w:left="1076" w:leftChars="371" w:hanging="297" w:hangingChars="124"/>
        <w:jc w:val="left"/>
        <w:rPr>
          <w:sz w:val="24"/>
        </w:rPr>
      </w:pPr>
      <w:r>
        <w:rPr>
          <w:sz w:val="24"/>
        </w:rPr>
        <w:t>地    址：</w:t>
      </w:r>
      <w:r>
        <w:rPr>
          <w:rFonts w:hint="eastAsia"/>
          <w:sz w:val="24"/>
          <w:u w:val="single"/>
        </w:rPr>
        <w:t>北京市海淀区四季青常青路和泓四季6号楼国信招标</w:t>
      </w:r>
    </w:p>
    <w:p w14:paraId="4835EACE">
      <w:pPr>
        <w:spacing w:line="360" w:lineRule="auto"/>
        <w:ind w:left="1076" w:leftChars="371" w:hanging="297" w:hangingChars="124"/>
        <w:jc w:val="left"/>
        <w:rPr>
          <w:sz w:val="24"/>
          <w:u w:val="single"/>
        </w:rPr>
      </w:pPr>
      <w:r>
        <w:rPr>
          <w:sz w:val="24"/>
        </w:rPr>
        <w:t>联系方式：</w:t>
      </w:r>
      <w:r>
        <w:rPr>
          <w:rFonts w:hint="eastAsia"/>
          <w:sz w:val="24"/>
          <w:u w:val="single"/>
        </w:rPr>
        <w:t>徐伟哲、李玥 13720096219</w:t>
      </w:r>
    </w:p>
    <w:p w14:paraId="577DAC10">
      <w:pPr>
        <w:spacing w:line="360" w:lineRule="auto"/>
        <w:ind w:left="1080" w:leftChars="371" w:hanging="301" w:hangingChars="125"/>
        <w:jc w:val="left"/>
        <w:rPr>
          <w:b/>
          <w:sz w:val="24"/>
          <w:u w:val="single"/>
        </w:rPr>
      </w:pPr>
      <w:r>
        <w:rPr>
          <w:b/>
          <w:sz w:val="24"/>
        </w:rPr>
        <w:t>3.项目联系方式</w:t>
      </w:r>
      <w:bookmarkEnd w:id="31"/>
      <w:bookmarkEnd w:id="32"/>
    </w:p>
    <w:p w14:paraId="0B3EC9BE">
      <w:pPr>
        <w:pStyle w:val="23"/>
        <w:spacing w:line="360" w:lineRule="auto"/>
        <w:ind w:left="1076" w:leftChars="371" w:hanging="297" w:hangingChars="124"/>
        <w:rPr>
          <w:rFonts w:hint="default" w:ascii="Times New Roman" w:hAnsi="Times New Roman"/>
          <w:sz w:val="24"/>
          <w:u w:val="single"/>
          <w:lang w:bidi="ar"/>
        </w:rPr>
      </w:pPr>
      <w:r>
        <w:rPr>
          <w:rFonts w:hint="default" w:ascii="Times New Roman" w:hAnsi="Times New Roman"/>
          <w:sz w:val="24"/>
          <w:szCs w:val="24"/>
        </w:rPr>
        <w:t>项目联系人：</w:t>
      </w:r>
      <w:r>
        <w:rPr>
          <w:rFonts w:ascii="Times New Roman" w:hAnsi="Times New Roman"/>
          <w:sz w:val="24"/>
          <w:u w:val="single"/>
        </w:rPr>
        <w:t>徐伟哲、李玥</w:t>
      </w:r>
    </w:p>
    <w:p w14:paraId="02CE2F08">
      <w:pPr>
        <w:pStyle w:val="23"/>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rPr>
        <w:t>电      话：</w:t>
      </w:r>
      <w:r>
        <w:rPr>
          <w:rFonts w:ascii="Times New Roman" w:hAnsi="Times New Roman"/>
          <w:sz w:val="24"/>
          <w:u w:val="single"/>
        </w:rPr>
        <w:t>13720096219</w:t>
      </w:r>
    </w:p>
    <w:p w14:paraId="3AEEF171">
      <w:pPr>
        <w:spacing w:line="360" w:lineRule="auto"/>
        <w:ind w:firstLine="5880" w:firstLineChars="2450"/>
        <w:jc w:val="right"/>
        <w:rPr>
          <w:sz w:val="24"/>
        </w:rPr>
      </w:pPr>
    </w:p>
    <w:p w14:paraId="7BB143FB">
      <w:pPr>
        <w:spacing w:line="360" w:lineRule="auto"/>
        <w:jc w:val="center"/>
        <w:outlineLvl w:val="0"/>
        <w:rPr>
          <w:b/>
          <w:sz w:val="32"/>
          <w:szCs w:val="32"/>
        </w:rPr>
      </w:pPr>
      <w:r>
        <w:rPr>
          <w:sz w:val="24"/>
        </w:rPr>
        <w:br w:type="page"/>
      </w:r>
      <w:bookmarkStart w:id="33" w:name="_Toc195842950"/>
      <w:bookmarkStart w:id="34" w:name="_Toc226965856"/>
      <w:bookmarkStart w:id="35" w:name="_Toc127161488"/>
      <w:bookmarkStart w:id="36" w:name="_Toc99301420"/>
      <w:bookmarkStart w:id="37" w:name="_Toc150774783"/>
      <w:bookmarkStart w:id="38" w:name="_Toc512937850"/>
      <w:bookmarkStart w:id="39" w:name="_Toc353873938"/>
      <w:bookmarkStart w:id="40" w:name="_Toc127151777"/>
      <w:bookmarkStart w:id="41" w:name="_Toc305158928"/>
      <w:bookmarkStart w:id="42" w:name="_Toc265228423"/>
      <w:bookmarkStart w:id="43" w:name="_Toc264969275"/>
      <w:bookmarkStart w:id="44" w:name="_Toc353825548"/>
      <w:bookmarkStart w:id="45" w:name="_Toc305158854"/>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5A89F369">
      <w:pPr>
        <w:pStyle w:val="3"/>
        <w:tabs>
          <w:tab w:val="center" w:pos="4592"/>
          <w:tab w:val="left" w:pos="7860"/>
        </w:tabs>
        <w:spacing w:before="0" w:line="360" w:lineRule="auto"/>
        <w:rPr>
          <w:rFonts w:ascii="Times New Roman" w:hAnsi="Times New Roman" w:eastAsia="宋体"/>
          <w:sz w:val="28"/>
        </w:rPr>
      </w:pPr>
      <w:bookmarkStart w:id="46" w:name="_Toc142311021"/>
      <w:bookmarkStart w:id="47" w:name="_Toc226337215"/>
      <w:bookmarkStart w:id="48" w:name="_Toc226965792"/>
      <w:bookmarkStart w:id="49" w:name="_Toc164608788"/>
      <w:bookmarkStart w:id="50" w:name="_Toc226309763"/>
      <w:bookmarkStart w:id="51" w:name="_Toc150480757"/>
      <w:bookmarkStart w:id="52" w:name="_Toc150774619"/>
      <w:bookmarkStart w:id="53" w:name="_Toc164229214"/>
      <w:bookmarkStart w:id="54" w:name="_Toc150774724"/>
      <w:bookmarkStart w:id="55" w:name="_Toc151193907"/>
      <w:bookmarkStart w:id="56" w:name="_Toc127161433"/>
      <w:bookmarkStart w:id="57" w:name="_Toc149720812"/>
      <w:bookmarkStart w:id="58" w:name="_Toc226965709"/>
      <w:bookmarkStart w:id="59" w:name="_Toc520356144"/>
      <w:bookmarkStart w:id="60" w:name="_Toc151193761"/>
      <w:bookmarkStart w:id="61" w:name="_Toc151193689"/>
      <w:bookmarkStart w:id="62" w:name="_Toc195842884"/>
      <w:bookmarkStart w:id="63" w:name="_Toc151190146"/>
      <w:bookmarkStart w:id="64" w:name="_Toc151193617"/>
      <w:bookmarkStart w:id="65" w:name="_Toc150509270"/>
      <w:bookmarkStart w:id="66" w:name="_Toc164351613"/>
      <w:bookmarkStart w:id="67" w:name="_Toc164229360"/>
      <w:bookmarkStart w:id="68" w:name="_Toc164608633"/>
      <w:bookmarkStart w:id="69" w:name="_Toc127151720"/>
      <w:bookmarkStart w:id="70" w:name="_Toc151193833"/>
      <w:bookmarkStart w:id="71" w:name="_Toc127151519"/>
      <w:r>
        <w:rPr>
          <w:rFonts w:ascii="Times New Roman" w:hAnsi="Times New Roman" w:eastAsia="宋体"/>
          <w:sz w:val="28"/>
        </w:rPr>
        <w:t>投标人须知资料表</w:t>
      </w:r>
    </w:p>
    <w:p w14:paraId="794BED77">
      <w:pPr>
        <w:jc w:val="center"/>
        <w:rPr>
          <w:b/>
          <w:sz w:val="28"/>
          <w:szCs w:val="28"/>
        </w:rPr>
      </w:pPr>
    </w:p>
    <w:p w14:paraId="70E1E4C4">
      <w:pPr>
        <w:spacing w:line="360" w:lineRule="auto"/>
        <w:ind w:firstLine="480"/>
        <w:rPr>
          <w:sz w:val="24"/>
        </w:rPr>
      </w:pPr>
      <w:r>
        <w:rPr>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3AE9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5121AD5">
            <w:pPr>
              <w:jc w:val="center"/>
              <w:rPr>
                <w:b/>
                <w:bCs/>
                <w:sz w:val="24"/>
              </w:rPr>
            </w:pPr>
            <w:r>
              <w:rPr>
                <w:b/>
                <w:sz w:val="24"/>
              </w:rPr>
              <w:t>条款号</w:t>
            </w:r>
          </w:p>
        </w:tc>
        <w:tc>
          <w:tcPr>
            <w:tcW w:w="1701" w:type="dxa"/>
            <w:vAlign w:val="center"/>
          </w:tcPr>
          <w:p w14:paraId="429C18F2">
            <w:pPr>
              <w:jc w:val="center"/>
              <w:rPr>
                <w:b/>
                <w:bCs/>
                <w:sz w:val="24"/>
              </w:rPr>
            </w:pPr>
            <w:r>
              <w:rPr>
                <w:b/>
                <w:bCs/>
                <w:sz w:val="24"/>
              </w:rPr>
              <w:t>条目</w:t>
            </w:r>
          </w:p>
        </w:tc>
        <w:tc>
          <w:tcPr>
            <w:tcW w:w="7540" w:type="dxa"/>
            <w:vAlign w:val="center"/>
          </w:tcPr>
          <w:p w14:paraId="7975E543">
            <w:pPr>
              <w:jc w:val="center"/>
              <w:rPr>
                <w:b/>
                <w:bCs/>
                <w:sz w:val="24"/>
              </w:rPr>
            </w:pPr>
            <w:r>
              <w:rPr>
                <w:b/>
                <w:bCs/>
                <w:sz w:val="24"/>
              </w:rPr>
              <w:t>内容</w:t>
            </w:r>
          </w:p>
        </w:tc>
      </w:tr>
      <w:tr w14:paraId="7124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177DD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2943EA37">
            <w:pPr>
              <w:jc w:val="center"/>
              <w:rPr>
                <w:sz w:val="24"/>
              </w:rPr>
            </w:pPr>
            <w:r>
              <w:rPr>
                <w:sz w:val="24"/>
              </w:rPr>
              <w:t>项目属性</w:t>
            </w:r>
          </w:p>
        </w:tc>
        <w:tc>
          <w:tcPr>
            <w:tcW w:w="7540" w:type="dxa"/>
            <w:vAlign w:val="center"/>
          </w:tcPr>
          <w:p w14:paraId="2D7D078A">
            <w:pPr>
              <w:jc w:val="left"/>
              <w:rPr>
                <w:sz w:val="24"/>
              </w:rPr>
            </w:pPr>
            <w:r>
              <w:rPr>
                <w:sz w:val="24"/>
              </w:rPr>
              <w:t>项目属性：</w:t>
            </w:r>
          </w:p>
          <w:p w14:paraId="3096FE85">
            <w:pPr>
              <w:jc w:val="left"/>
              <w:rPr>
                <w:sz w:val="24"/>
              </w:rPr>
            </w:pPr>
            <w:r>
              <w:rPr>
                <w:rFonts w:eastAsiaTheme="minorEastAsia"/>
                <w:sz w:val="24"/>
              </w:rPr>
              <w:t>■</w:t>
            </w:r>
            <w:r>
              <w:rPr>
                <w:sz w:val="24"/>
              </w:rPr>
              <w:t>服务</w:t>
            </w:r>
          </w:p>
          <w:p w14:paraId="2BAEEF70">
            <w:pPr>
              <w:jc w:val="left"/>
              <w:rPr>
                <w:sz w:val="24"/>
              </w:rPr>
            </w:pPr>
            <w:r>
              <w:rPr>
                <w:sz w:val="24"/>
              </w:rPr>
              <w:t>□货物</w:t>
            </w:r>
          </w:p>
        </w:tc>
      </w:tr>
      <w:tr w14:paraId="4030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ACC9B1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36674F53">
            <w:pPr>
              <w:jc w:val="center"/>
              <w:rPr>
                <w:sz w:val="24"/>
              </w:rPr>
            </w:pPr>
            <w:r>
              <w:rPr>
                <w:sz w:val="24"/>
              </w:rPr>
              <w:t>科研仪器设备</w:t>
            </w:r>
          </w:p>
        </w:tc>
        <w:tc>
          <w:tcPr>
            <w:tcW w:w="7540" w:type="dxa"/>
            <w:vAlign w:val="center"/>
          </w:tcPr>
          <w:p w14:paraId="345AE7F0">
            <w:pPr>
              <w:jc w:val="left"/>
              <w:rPr>
                <w:sz w:val="24"/>
              </w:rPr>
            </w:pPr>
            <w:r>
              <w:rPr>
                <w:sz w:val="24"/>
              </w:rPr>
              <w:t>是否属于科研仪器设备采购项目：</w:t>
            </w:r>
          </w:p>
          <w:p w14:paraId="1E80B24A">
            <w:pPr>
              <w:jc w:val="left"/>
              <w:rPr>
                <w:sz w:val="24"/>
              </w:rPr>
            </w:pPr>
            <w:r>
              <w:rPr>
                <w:sz w:val="24"/>
              </w:rPr>
              <w:t>□是</w:t>
            </w:r>
          </w:p>
          <w:p w14:paraId="4A447B07">
            <w:pPr>
              <w:jc w:val="left"/>
              <w:rPr>
                <w:sz w:val="24"/>
              </w:rPr>
            </w:pPr>
            <w:r>
              <w:rPr>
                <w:rFonts w:eastAsiaTheme="minorEastAsia"/>
                <w:sz w:val="24"/>
              </w:rPr>
              <w:t>■</w:t>
            </w:r>
            <w:r>
              <w:rPr>
                <w:sz w:val="24"/>
              </w:rPr>
              <w:t>否</w:t>
            </w:r>
          </w:p>
        </w:tc>
      </w:tr>
      <w:tr w14:paraId="13EC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29AA56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21C74372">
            <w:pPr>
              <w:jc w:val="center"/>
              <w:rPr>
                <w:sz w:val="24"/>
              </w:rPr>
            </w:pPr>
            <w:r>
              <w:rPr>
                <w:sz w:val="24"/>
              </w:rPr>
              <w:t>核心产品</w:t>
            </w:r>
          </w:p>
        </w:tc>
        <w:tc>
          <w:tcPr>
            <w:tcW w:w="7540" w:type="dxa"/>
            <w:vAlign w:val="center"/>
          </w:tcPr>
          <w:p w14:paraId="747331A5">
            <w:pPr>
              <w:pStyle w:val="23"/>
              <w:adjustRightInd w:val="0"/>
              <w:snapToGrid w:val="0"/>
              <w:rPr>
                <w:rFonts w:hint="default" w:ascii="Times New Roman" w:hAnsi="Times New Roman"/>
                <w:sz w:val="24"/>
                <w:szCs w:val="24"/>
              </w:rPr>
            </w:pPr>
            <w:r>
              <w:rPr>
                <w:rFonts w:hint="default" w:ascii="Times New Roman" w:hAnsi="Times New Roman" w:eastAsiaTheme="minorEastAsia"/>
                <w:sz w:val="24"/>
                <w:szCs w:val="24"/>
              </w:rPr>
              <w:t>■</w:t>
            </w:r>
            <w:r>
              <w:rPr>
                <w:rFonts w:hint="default" w:ascii="Times New Roman" w:hAnsi="Times New Roman"/>
                <w:sz w:val="24"/>
                <w:szCs w:val="24"/>
              </w:rPr>
              <w:t>关于核心产品本项目不适用。</w:t>
            </w:r>
          </w:p>
          <w:p w14:paraId="024480DB">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190FF30E">
            <w:pPr>
              <w:jc w:val="left"/>
              <w:rPr>
                <w:sz w:val="24"/>
              </w:rPr>
            </w:pPr>
            <w:r>
              <w:rPr>
                <w:sz w:val="24"/>
              </w:rPr>
              <w:t>□本项目__包为非单一产品采购项目，核心产品为：____。</w:t>
            </w:r>
          </w:p>
        </w:tc>
      </w:tr>
      <w:tr w14:paraId="433E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3D3F72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55BEA468">
            <w:pPr>
              <w:jc w:val="center"/>
              <w:rPr>
                <w:sz w:val="24"/>
              </w:rPr>
            </w:pPr>
            <w:r>
              <w:rPr>
                <w:sz w:val="24"/>
              </w:rPr>
              <w:t>现场考察</w:t>
            </w:r>
          </w:p>
        </w:tc>
        <w:tc>
          <w:tcPr>
            <w:tcW w:w="7540" w:type="dxa"/>
            <w:vAlign w:val="center"/>
          </w:tcPr>
          <w:p w14:paraId="0DB61DEC">
            <w:pPr>
              <w:jc w:val="left"/>
              <w:rPr>
                <w:sz w:val="24"/>
              </w:rPr>
            </w:pPr>
            <w:r>
              <w:rPr>
                <w:rFonts w:eastAsiaTheme="minorEastAsia"/>
                <w:sz w:val="24"/>
              </w:rPr>
              <w:t>■</w:t>
            </w:r>
            <w:r>
              <w:rPr>
                <w:sz w:val="24"/>
              </w:rPr>
              <w:t>不组织</w:t>
            </w:r>
          </w:p>
          <w:p w14:paraId="1EA6AF0B">
            <w:pPr>
              <w:jc w:val="left"/>
              <w:rPr>
                <w:bCs/>
                <w:sz w:val="24"/>
              </w:rPr>
            </w:pPr>
            <w:r>
              <w:rPr>
                <w:sz w:val="24"/>
              </w:rPr>
              <w:t>□组织，考察时间：__年_月_日_</w:t>
            </w:r>
            <w:r>
              <w:rPr>
                <w:bCs/>
                <w:sz w:val="24"/>
              </w:rPr>
              <w:t>点</w:t>
            </w:r>
            <w:r>
              <w:rPr>
                <w:sz w:val="24"/>
              </w:rPr>
              <w:t>_</w:t>
            </w:r>
            <w:r>
              <w:rPr>
                <w:bCs/>
                <w:sz w:val="24"/>
              </w:rPr>
              <w:t>分</w:t>
            </w:r>
          </w:p>
          <w:p w14:paraId="7B95F755">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2AFD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F498719">
            <w:pPr>
              <w:pStyle w:val="23"/>
              <w:adjustRightInd w:val="0"/>
              <w:snapToGrid w:val="0"/>
              <w:jc w:val="center"/>
              <w:rPr>
                <w:rFonts w:hint="default" w:ascii="Times New Roman" w:hAnsi="Times New Roman"/>
                <w:sz w:val="24"/>
                <w:szCs w:val="24"/>
              </w:rPr>
            </w:pPr>
          </w:p>
        </w:tc>
        <w:tc>
          <w:tcPr>
            <w:tcW w:w="1701" w:type="dxa"/>
            <w:vAlign w:val="center"/>
          </w:tcPr>
          <w:p w14:paraId="52D0AF3C">
            <w:pPr>
              <w:jc w:val="center"/>
              <w:rPr>
                <w:sz w:val="24"/>
              </w:rPr>
            </w:pPr>
            <w:r>
              <w:rPr>
                <w:sz w:val="24"/>
              </w:rPr>
              <w:t>开标前答疑会</w:t>
            </w:r>
          </w:p>
        </w:tc>
        <w:tc>
          <w:tcPr>
            <w:tcW w:w="7540" w:type="dxa"/>
            <w:vAlign w:val="center"/>
          </w:tcPr>
          <w:p w14:paraId="2ADF72E1">
            <w:pPr>
              <w:jc w:val="left"/>
              <w:rPr>
                <w:sz w:val="24"/>
              </w:rPr>
            </w:pPr>
            <w:r>
              <w:rPr>
                <w:rFonts w:eastAsiaTheme="minorEastAsia"/>
                <w:sz w:val="24"/>
              </w:rPr>
              <w:t>■</w:t>
            </w:r>
            <w:r>
              <w:rPr>
                <w:sz w:val="24"/>
              </w:rPr>
              <w:t>不召开</w:t>
            </w:r>
          </w:p>
          <w:p w14:paraId="5946F2A9">
            <w:pPr>
              <w:jc w:val="left"/>
              <w:rPr>
                <w:sz w:val="24"/>
              </w:rPr>
            </w:pPr>
            <w:r>
              <w:rPr>
                <w:sz w:val="24"/>
              </w:rPr>
              <w:t>□召开，召开时间：__年_月_日_</w:t>
            </w:r>
            <w:r>
              <w:rPr>
                <w:bCs/>
                <w:sz w:val="24"/>
              </w:rPr>
              <w:t>点</w:t>
            </w:r>
            <w:r>
              <w:rPr>
                <w:sz w:val="24"/>
              </w:rPr>
              <w:t>_</w:t>
            </w:r>
            <w:r>
              <w:rPr>
                <w:bCs/>
                <w:sz w:val="24"/>
              </w:rPr>
              <w:t>分</w:t>
            </w:r>
          </w:p>
          <w:p w14:paraId="11D81DD5">
            <w:pPr>
              <w:jc w:val="left"/>
              <w:rPr>
                <w:sz w:val="24"/>
              </w:rPr>
            </w:pPr>
            <w:r>
              <w:rPr>
                <w:sz w:val="24"/>
              </w:rPr>
              <w:t>召开地点：____________。</w:t>
            </w:r>
          </w:p>
        </w:tc>
      </w:tr>
      <w:tr w14:paraId="1982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9E7D5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1A3C219E">
            <w:pPr>
              <w:jc w:val="center"/>
              <w:rPr>
                <w:sz w:val="24"/>
              </w:rPr>
            </w:pPr>
            <w:r>
              <w:rPr>
                <w:sz w:val="24"/>
              </w:rPr>
              <w:t>样品</w:t>
            </w:r>
          </w:p>
        </w:tc>
        <w:tc>
          <w:tcPr>
            <w:tcW w:w="7540" w:type="dxa"/>
            <w:vAlign w:val="center"/>
          </w:tcPr>
          <w:p w14:paraId="0FE27328">
            <w:pPr>
              <w:jc w:val="left"/>
              <w:rPr>
                <w:sz w:val="24"/>
              </w:rPr>
            </w:pPr>
            <w:r>
              <w:rPr>
                <w:sz w:val="24"/>
              </w:rPr>
              <w:t>投标样品递交：</w:t>
            </w:r>
          </w:p>
          <w:p w14:paraId="7D688751">
            <w:pPr>
              <w:jc w:val="left"/>
              <w:rPr>
                <w:sz w:val="24"/>
              </w:rPr>
            </w:pPr>
            <w:r>
              <w:rPr>
                <w:rFonts w:eastAsiaTheme="minorEastAsia"/>
                <w:sz w:val="24"/>
              </w:rPr>
              <w:t>■</w:t>
            </w:r>
            <w:r>
              <w:rPr>
                <w:sz w:val="24"/>
              </w:rPr>
              <w:t>不需要</w:t>
            </w:r>
          </w:p>
          <w:p w14:paraId="2E1C1AB3">
            <w:pPr>
              <w:jc w:val="left"/>
              <w:rPr>
                <w:sz w:val="24"/>
              </w:rPr>
            </w:pPr>
            <w:r>
              <w:rPr>
                <w:sz w:val="24"/>
              </w:rPr>
              <w:t>□需要，具体要求如下：</w:t>
            </w:r>
          </w:p>
          <w:p w14:paraId="07390AA4">
            <w:pPr>
              <w:jc w:val="left"/>
              <w:rPr>
                <w:sz w:val="24"/>
                <w:u w:val="single"/>
              </w:rPr>
            </w:pPr>
            <w:r>
              <w:rPr>
                <w:sz w:val="24"/>
              </w:rPr>
              <w:t>（1）样品制作的标准和要求：_________；</w:t>
            </w:r>
          </w:p>
          <w:p w14:paraId="3259DF3D">
            <w:pPr>
              <w:jc w:val="left"/>
              <w:rPr>
                <w:sz w:val="24"/>
              </w:rPr>
            </w:pPr>
            <w:r>
              <w:rPr>
                <w:sz w:val="24"/>
              </w:rPr>
              <w:t>（2）是否需要随样品提交相关检测报告：</w:t>
            </w:r>
          </w:p>
          <w:p w14:paraId="3CD600B3">
            <w:pPr>
              <w:ind w:firstLine="600" w:firstLineChars="250"/>
              <w:jc w:val="left"/>
              <w:rPr>
                <w:sz w:val="24"/>
              </w:rPr>
            </w:pPr>
            <w:r>
              <w:rPr>
                <w:sz w:val="24"/>
              </w:rPr>
              <w:t>□不需要</w:t>
            </w:r>
          </w:p>
          <w:p w14:paraId="78E5AF30">
            <w:pPr>
              <w:ind w:firstLine="600" w:firstLineChars="250"/>
              <w:jc w:val="left"/>
              <w:rPr>
                <w:sz w:val="24"/>
              </w:rPr>
            </w:pPr>
            <w:r>
              <w:rPr>
                <w:sz w:val="24"/>
              </w:rPr>
              <w:t>□需要</w:t>
            </w:r>
          </w:p>
          <w:p w14:paraId="1E7EAE50">
            <w:pPr>
              <w:jc w:val="left"/>
              <w:rPr>
                <w:sz w:val="24"/>
              </w:rPr>
            </w:pPr>
            <w:r>
              <w:rPr>
                <w:sz w:val="24"/>
              </w:rPr>
              <w:t>（3）样品递交要求：_________；</w:t>
            </w:r>
          </w:p>
          <w:p w14:paraId="7CF1FFDC">
            <w:pPr>
              <w:jc w:val="left"/>
              <w:rPr>
                <w:sz w:val="24"/>
              </w:rPr>
            </w:pPr>
            <w:r>
              <w:rPr>
                <w:sz w:val="24"/>
              </w:rPr>
              <w:t>（4）未中标人样品退还：_________；</w:t>
            </w:r>
          </w:p>
          <w:p w14:paraId="6AF1A217">
            <w:pPr>
              <w:jc w:val="left"/>
              <w:rPr>
                <w:sz w:val="24"/>
                <w:u w:val="single"/>
              </w:rPr>
            </w:pPr>
            <w:r>
              <w:rPr>
                <w:sz w:val="24"/>
              </w:rPr>
              <w:t>（5）中标人样品保管、封存及退还：_________；</w:t>
            </w:r>
          </w:p>
          <w:p w14:paraId="52E44045">
            <w:pPr>
              <w:jc w:val="left"/>
              <w:rPr>
                <w:sz w:val="24"/>
              </w:rPr>
            </w:pPr>
            <w:r>
              <w:rPr>
                <w:sz w:val="24"/>
              </w:rPr>
              <w:t>（6）其他要求（如有）：_________。</w:t>
            </w:r>
          </w:p>
        </w:tc>
      </w:tr>
      <w:tr w14:paraId="2714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3C3245F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6FB27B07">
            <w:pPr>
              <w:jc w:val="center"/>
              <w:rPr>
                <w:sz w:val="24"/>
              </w:rPr>
            </w:pPr>
            <w:r>
              <w:rPr>
                <w:sz w:val="24"/>
              </w:rPr>
              <w:t>标的所属行业</w:t>
            </w:r>
          </w:p>
        </w:tc>
        <w:tc>
          <w:tcPr>
            <w:tcW w:w="7540" w:type="dxa"/>
            <w:vAlign w:val="center"/>
          </w:tcPr>
          <w:p w14:paraId="2D26B022">
            <w:pPr>
              <w:jc w:val="left"/>
              <w:rPr>
                <w:sz w:val="24"/>
              </w:rPr>
            </w:pPr>
            <w:r>
              <w:rPr>
                <w:sz w:val="24"/>
              </w:rPr>
              <w:t>本项目采购标的对应的中小企业划分标准所属行业：</w:t>
            </w:r>
          </w:p>
          <w:tbl>
            <w:tblPr>
              <w:tblStyle w:val="42"/>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801"/>
              <w:gridCol w:w="3239"/>
            </w:tblGrid>
            <w:tr w14:paraId="4E7B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403FD41B">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6BB8DBC9">
                  <w:pPr>
                    <w:jc w:val="center"/>
                    <w:rPr>
                      <w:rFonts w:eastAsiaTheme="minorEastAsia"/>
                      <w:bCs/>
                      <w:sz w:val="24"/>
                    </w:rPr>
                  </w:pPr>
                  <w:r>
                    <w:rPr>
                      <w:rFonts w:eastAsiaTheme="minorEastAsia"/>
                      <w:bCs/>
                      <w:sz w:val="24"/>
                    </w:rPr>
                    <w:t>标的名称</w:t>
                  </w:r>
                </w:p>
              </w:tc>
              <w:tc>
                <w:tcPr>
                  <w:tcW w:w="2380" w:type="pct"/>
                  <w:tcBorders>
                    <w:top w:val="single" w:color="auto" w:sz="4" w:space="0"/>
                    <w:left w:val="single" w:color="auto" w:sz="4" w:space="0"/>
                    <w:bottom w:val="single" w:color="auto" w:sz="4" w:space="0"/>
                    <w:right w:val="single" w:color="auto" w:sz="4" w:space="0"/>
                  </w:tcBorders>
                  <w:vAlign w:val="center"/>
                </w:tcPr>
                <w:p w14:paraId="2DD48EE7">
                  <w:pPr>
                    <w:jc w:val="center"/>
                    <w:rPr>
                      <w:rFonts w:eastAsiaTheme="minorEastAsia"/>
                      <w:sz w:val="24"/>
                    </w:rPr>
                  </w:pPr>
                  <w:r>
                    <w:rPr>
                      <w:rFonts w:eastAsiaTheme="minorEastAsia"/>
                      <w:sz w:val="24"/>
                    </w:rPr>
                    <w:t>中小企业划分标准所属行业</w:t>
                  </w:r>
                </w:p>
              </w:tc>
            </w:tr>
            <w:tr w14:paraId="2E98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61026633">
                  <w:pPr>
                    <w:jc w:val="center"/>
                    <w:rPr>
                      <w:rFonts w:eastAsiaTheme="minorEastAsia"/>
                      <w:bCs/>
                      <w:sz w:val="24"/>
                    </w:rPr>
                  </w:pPr>
                  <w:r>
                    <w:rPr>
                      <w:rFonts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34179FD9">
                  <w:pPr>
                    <w:jc w:val="center"/>
                    <w:rPr>
                      <w:rFonts w:eastAsiaTheme="minorEastAsia"/>
                      <w:bCs/>
                      <w:sz w:val="24"/>
                    </w:rPr>
                  </w:pPr>
                  <w:r>
                    <w:rPr>
                      <w:rFonts w:hint="eastAsia" w:eastAsiaTheme="minorEastAsia"/>
                      <w:bCs/>
                      <w:sz w:val="24"/>
                    </w:rPr>
                    <w:t>密云、怀柔等区1090台套监测仪器维护服务</w:t>
                  </w:r>
                </w:p>
              </w:tc>
              <w:tc>
                <w:tcPr>
                  <w:tcW w:w="2380" w:type="pct"/>
                  <w:tcBorders>
                    <w:top w:val="single" w:color="auto" w:sz="4" w:space="0"/>
                    <w:left w:val="single" w:color="auto" w:sz="4" w:space="0"/>
                    <w:bottom w:val="single" w:color="auto" w:sz="4" w:space="0"/>
                    <w:right w:val="single" w:color="auto" w:sz="4" w:space="0"/>
                  </w:tcBorders>
                  <w:vAlign w:val="center"/>
                </w:tcPr>
                <w:p w14:paraId="095C2233">
                  <w:pPr>
                    <w:spacing w:line="360" w:lineRule="auto"/>
                    <w:jc w:val="center"/>
                    <w:rPr>
                      <w:rFonts w:eastAsiaTheme="minorEastAsia"/>
                      <w:kern w:val="0"/>
                      <w:sz w:val="24"/>
                    </w:rPr>
                  </w:pPr>
                  <w:r>
                    <w:rPr>
                      <w:rFonts w:hint="eastAsia" w:ascii="宋体" w:hAnsi="宋体" w:cs="宋体"/>
                      <w:color w:val="000000"/>
                      <w:sz w:val="24"/>
                    </w:rPr>
                    <w:t>信息传输业</w:t>
                  </w:r>
                </w:p>
              </w:tc>
            </w:tr>
            <w:tr w14:paraId="3A15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3347DE28">
                  <w:pPr>
                    <w:jc w:val="center"/>
                    <w:rPr>
                      <w:rFonts w:eastAsiaTheme="minorEastAsia"/>
                      <w:bCs/>
                      <w:sz w:val="24"/>
                    </w:rPr>
                  </w:pPr>
                  <w:r>
                    <w:rPr>
                      <w:rFonts w:eastAsiaTheme="minorEastAsia"/>
                      <w:bCs/>
                      <w:sz w:val="24"/>
                    </w:rPr>
                    <w:t>02</w:t>
                  </w:r>
                </w:p>
              </w:tc>
              <w:tc>
                <w:tcPr>
                  <w:tcW w:w="2058" w:type="pct"/>
                  <w:tcBorders>
                    <w:top w:val="single" w:color="auto" w:sz="4" w:space="0"/>
                    <w:left w:val="single" w:color="auto" w:sz="4" w:space="0"/>
                    <w:bottom w:val="single" w:color="auto" w:sz="4" w:space="0"/>
                    <w:right w:val="single" w:color="auto" w:sz="4" w:space="0"/>
                  </w:tcBorders>
                  <w:vAlign w:val="center"/>
                </w:tcPr>
                <w:p w14:paraId="67227560">
                  <w:pPr>
                    <w:jc w:val="center"/>
                    <w:rPr>
                      <w:rFonts w:eastAsiaTheme="minorEastAsia"/>
                      <w:bCs/>
                      <w:sz w:val="24"/>
                    </w:rPr>
                  </w:pPr>
                  <w:r>
                    <w:rPr>
                      <w:rFonts w:hint="eastAsia" w:eastAsiaTheme="minorEastAsia"/>
                      <w:bCs/>
                      <w:sz w:val="24"/>
                    </w:rPr>
                    <w:t>门头沟、延庆等区512台套监测仪器维护服务</w:t>
                  </w:r>
                </w:p>
              </w:tc>
              <w:tc>
                <w:tcPr>
                  <w:tcW w:w="2380" w:type="pct"/>
                  <w:tcBorders>
                    <w:top w:val="single" w:color="auto" w:sz="4" w:space="0"/>
                    <w:left w:val="single" w:color="auto" w:sz="4" w:space="0"/>
                    <w:bottom w:val="single" w:color="auto" w:sz="4" w:space="0"/>
                    <w:right w:val="single" w:color="auto" w:sz="4" w:space="0"/>
                  </w:tcBorders>
                  <w:vAlign w:val="center"/>
                </w:tcPr>
                <w:p w14:paraId="2FFDE3B4">
                  <w:pPr>
                    <w:spacing w:line="360" w:lineRule="auto"/>
                    <w:jc w:val="center"/>
                    <w:rPr>
                      <w:rFonts w:eastAsiaTheme="minorEastAsia"/>
                      <w:kern w:val="0"/>
                      <w:sz w:val="24"/>
                    </w:rPr>
                  </w:pPr>
                  <w:r>
                    <w:rPr>
                      <w:rFonts w:hint="eastAsia" w:ascii="宋体" w:hAnsi="宋体" w:cs="宋体"/>
                      <w:color w:val="000000"/>
                      <w:sz w:val="24"/>
                    </w:rPr>
                    <w:t>信息传输业</w:t>
                  </w:r>
                </w:p>
              </w:tc>
            </w:tr>
            <w:tr w14:paraId="6E7F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5D1B531F">
                  <w:pPr>
                    <w:jc w:val="center"/>
                    <w:rPr>
                      <w:rFonts w:eastAsiaTheme="minorEastAsia"/>
                      <w:bCs/>
                      <w:sz w:val="24"/>
                    </w:rPr>
                  </w:pPr>
                  <w:r>
                    <w:rPr>
                      <w:rFonts w:hint="eastAsia" w:eastAsiaTheme="minorEastAsia"/>
                      <w:bCs/>
                      <w:sz w:val="24"/>
                    </w:rPr>
                    <w:t>03</w:t>
                  </w:r>
                </w:p>
              </w:tc>
              <w:tc>
                <w:tcPr>
                  <w:tcW w:w="2058" w:type="pct"/>
                  <w:tcBorders>
                    <w:top w:val="single" w:color="auto" w:sz="4" w:space="0"/>
                    <w:left w:val="single" w:color="auto" w:sz="4" w:space="0"/>
                    <w:bottom w:val="single" w:color="auto" w:sz="4" w:space="0"/>
                    <w:right w:val="single" w:color="auto" w:sz="4" w:space="0"/>
                  </w:tcBorders>
                  <w:vAlign w:val="center"/>
                </w:tcPr>
                <w:p w14:paraId="7C50BEF9">
                  <w:pPr>
                    <w:jc w:val="center"/>
                    <w:rPr>
                      <w:rFonts w:eastAsiaTheme="minorEastAsia"/>
                      <w:bCs/>
                      <w:sz w:val="24"/>
                    </w:rPr>
                  </w:pPr>
                  <w:r>
                    <w:rPr>
                      <w:rFonts w:hint="eastAsia" w:eastAsiaTheme="minorEastAsia"/>
                      <w:bCs/>
                      <w:sz w:val="24"/>
                    </w:rPr>
                    <w:t>昌平、平谷等区210台套监测仪器维护服务</w:t>
                  </w:r>
                </w:p>
              </w:tc>
              <w:tc>
                <w:tcPr>
                  <w:tcW w:w="2380" w:type="pct"/>
                  <w:tcBorders>
                    <w:top w:val="single" w:color="auto" w:sz="4" w:space="0"/>
                    <w:left w:val="single" w:color="auto" w:sz="4" w:space="0"/>
                    <w:bottom w:val="single" w:color="auto" w:sz="4" w:space="0"/>
                    <w:right w:val="single" w:color="auto" w:sz="4" w:space="0"/>
                  </w:tcBorders>
                  <w:vAlign w:val="center"/>
                </w:tcPr>
                <w:p w14:paraId="40BB5A2E">
                  <w:pPr>
                    <w:spacing w:line="360" w:lineRule="auto"/>
                    <w:jc w:val="center"/>
                    <w:rPr>
                      <w:rFonts w:eastAsiaTheme="minorEastAsia"/>
                      <w:kern w:val="0"/>
                      <w:sz w:val="24"/>
                    </w:rPr>
                  </w:pPr>
                  <w:r>
                    <w:rPr>
                      <w:rFonts w:hint="eastAsia" w:ascii="宋体" w:hAnsi="宋体" w:cs="宋体"/>
                      <w:color w:val="000000"/>
                      <w:sz w:val="24"/>
                    </w:rPr>
                    <w:t>信息传输业</w:t>
                  </w:r>
                </w:p>
              </w:tc>
            </w:tr>
            <w:tr w14:paraId="62E2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2BF08D2B">
                  <w:pPr>
                    <w:jc w:val="center"/>
                    <w:rPr>
                      <w:rFonts w:eastAsiaTheme="minorEastAsia"/>
                      <w:bCs/>
                      <w:sz w:val="24"/>
                    </w:rPr>
                  </w:pPr>
                  <w:r>
                    <w:rPr>
                      <w:rFonts w:hint="eastAsia" w:eastAsiaTheme="minorEastAsia"/>
                      <w:bCs/>
                      <w:sz w:val="24"/>
                    </w:rPr>
                    <w:t>04</w:t>
                  </w:r>
                </w:p>
              </w:tc>
              <w:tc>
                <w:tcPr>
                  <w:tcW w:w="2058" w:type="pct"/>
                  <w:tcBorders>
                    <w:top w:val="single" w:color="auto" w:sz="4" w:space="0"/>
                    <w:left w:val="single" w:color="auto" w:sz="4" w:space="0"/>
                    <w:bottom w:val="single" w:color="auto" w:sz="4" w:space="0"/>
                    <w:right w:val="single" w:color="auto" w:sz="4" w:space="0"/>
                  </w:tcBorders>
                  <w:vAlign w:val="center"/>
                </w:tcPr>
                <w:p w14:paraId="4664825D">
                  <w:pPr>
                    <w:jc w:val="center"/>
                    <w:rPr>
                      <w:rFonts w:eastAsiaTheme="minorEastAsia"/>
                      <w:bCs/>
                      <w:sz w:val="24"/>
                    </w:rPr>
                  </w:pPr>
                  <w:r>
                    <w:rPr>
                      <w:rFonts w:hint="eastAsia" w:eastAsiaTheme="minorEastAsia"/>
                      <w:bCs/>
                      <w:sz w:val="24"/>
                    </w:rPr>
                    <w:t>机房运维及网络安全服务</w:t>
                  </w:r>
                </w:p>
              </w:tc>
              <w:tc>
                <w:tcPr>
                  <w:tcW w:w="2380" w:type="pct"/>
                  <w:tcBorders>
                    <w:top w:val="single" w:color="auto" w:sz="4" w:space="0"/>
                    <w:left w:val="single" w:color="auto" w:sz="4" w:space="0"/>
                    <w:bottom w:val="single" w:color="auto" w:sz="4" w:space="0"/>
                    <w:right w:val="single" w:color="auto" w:sz="4" w:space="0"/>
                  </w:tcBorders>
                  <w:vAlign w:val="center"/>
                </w:tcPr>
                <w:p w14:paraId="18E9F82A">
                  <w:pPr>
                    <w:spacing w:line="360" w:lineRule="auto"/>
                    <w:jc w:val="center"/>
                    <w:rPr>
                      <w:rFonts w:eastAsiaTheme="minorEastAsia"/>
                      <w:kern w:val="0"/>
                      <w:sz w:val="24"/>
                    </w:rPr>
                  </w:pPr>
                  <w:r>
                    <w:rPr>
                      <w:rFonts w:hint="eastAsia" w:ascii="宋体" w:hAnsi="宋体" w:cs="宋体"/>
                      <w:color w:val="000000"/>
                      <w:sz w:val="24"/>
                    </w:rPr>
                    <w:t>软件和信息技术服务行业</w:t>
                  </w:r>
                </w:p>
              </w:tc>
            </w:tr>
            <w:tr w14:paraId="1A4C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16893C3B">
                  <w:pPr>
                    <w:jc w:val="center"/>
                    <w:rPr>
                      <w:rFonts w:eastAsiaTheme="minorEastAsia"/>
                      <w:bCs/>
                      <w:sz w:val="24"/>
                    </w:rPr>
                  </w:pPr>
                  <w:r>
                    <w:rPr>
                      <w:rFonts w:hint="eastAsia" w:eastAsiaTheme="minorEastAsia"/>
                      <w:bCs/>
                      <w:sz w:val="24"/>
                    </w:rPr>
                    <w:t>05</w:t>
                  </w:r>
                </w:p>
              </w:tc>
              <w:tc>
                <w:tcPr>
                  <w:tcW w:w="2058" w:type="pct"/>
                  <w:tcBorders>
                    <w:top w:val="single" w:color="auto" w:sz="4" w:space="0"/>
                    <w:left w:val="single" w:color="auto" w:sz="4" w:space="0"/>
                    <w:bottom w:val="single" w:color="auto" w:sz="4" w:space="0"/>
                    <w:right w:val="single" w:color="auto" w:sz="4" w:space="0"/>
                  </w:tcBorders>
                  <w:vAlign w:val="center"/>
                </w:tcPr>
                <w:p w14:paraId="29D85EB4">
                  <w:pPr>
                    <w:jc w:val="center"/>
                    <w:rPr>
                      <w:rFonts w:eastAsiaTheme="minorEastAsia"/>
                      <w:bCs/>
                      <w:sz w:val="24"/>
                    </w:rPr>
                  </w:pPr>
                  <w:r>
                    <w:rPr>
                      <w:rFonts w:hint="eastAsia" w:eastAsiaTheme="minorEastAsia"/>
                      <w:bCs/>
                      <w:sz w:val="24"/>
                    </w:rPr>
                    <w:t>信息系统运维服务</w:t>
                  </w:r>
                </w:p>
              </w:tc>
              <w:tc>
                <w:tcPr>
                  <w:tcW w:w="2380" w:type="pct"/>
                  <w:tcBorders>
                    <w:top w:val="single" w:color="auto" w:sz="4" w:space="0"/>
                    <w:left w:val="single" w:color="auto" w:sz="4" w:space="0"/>
                    <w:bottom w:val="single" w:color="auto" w:sz="4" w:space="0"/>
                    <w:right w:val="single" w:color="auto" w:sz="4" w:space="0"/>
                  </w:tcBorders>
                  <w:vAlign w:val="center"/>
                </w:tcPr>
                <w:p w14:paraId="6CB5ECDD">
                  <w:pPr>
                    <w:spacing w:line="360" w:lineRule="auto"/>
                    <w:jc w:val="center"/>
                    <w:rPr>
                      <w:rFonts w:eastAsiaTheme="minorEastAsia"/>
                      <w:kern w:val="0"/>
                      <w:sz w:val="24"/>
                    </w:rPr>
                  </w:pPr>
                  <w:r>
                    <w:rPr>
                      <w:rFonts w:hint="eastAsia" w:ascii="宋体" w:hAnsi="宋体" w:cs="宋体"/>
                      <w:color w:val="000000"/>
                      <w:sz w:val="24"/>
                    </w:rPr>
                    <w:t>软件和信息技术服务行业</w:t>
                  </w:r>
                </w:p>
              </w:tc>
            </w:tr>
            <w:tr w14:paraId="5F58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10588B51">
                  <w:pPr>
                    <w:jc w:val="center"/>
                    <w:rPr>
                      <w:rFonts w:eastAsiaTheme="minorEastAsia"/>
                      <w:bCs/>
                      <w:sz w:val="24"/>
                    </w:rPr>
                  </w:pPr>
                  <w:r>
                    <w:rPr>
                      <w:rFonts w:hint="eastAsia" w:eastAsiaTheme="minorEastAsia"/>
                      <w:bCs/>
                      <w:sz w:val="24"/>
                    </w:rPr>
                    <w:t>06</w:t>
                  </w:r>
                </w:p>
              </w:tc>
              <w:tc>
                <w:tcPr>
                  <w:tcW w:w="2058" w:type="pct"/>
                  <w:tcBorders>
                    <w:top w:val="single" w:color="auto" w:sz="4" w:space="0"/>
                    <w:left w:val="single" w:color="auto" w:sz="4" w:space="0"/>
                    <w:bottom w:val="single" w:color="auto" w:sz="4" w:space="0"/>
                    <w:right w:val="single" w:color="auto" w:sz="4" w:space="0"/>
                  </w:tcBorders>
                  <w:vAlign w:val="center"/>
                </w:tcPr>
                <w:p w14:paraId="2FE5602B">
                  <w:pPr>
                    <w:jc w:val="center"/>
                    <w:rPr>
                      <w:rFonts w:eastAsiaTheme="minorEastAsia"/>
                      <w:bCs/>
                      <w:sz w:val="24"/>
                    </w:rPr>
                  </w:pPr>
                  <w:r>
                    <w:rPr>
                      <w:rFonts w:hint="eastAsia" w:eastAsiaTheme="minorEastAsia"/>
                      <w:bCs/>
                      <w:sz w:val="24"/>
                    </w:rPr>
                    <w:t>卫星遥感数据采购技术服务</w:t>
                  </w:r>
                </w:p>
              </w:tc>
              <w:tc>
                <w:tcPr>
                  <w:tcW w:w="2380" w:type="pct"/>
                  <w:tcBorders>
                    <w:top w:val="single" w:color="auto" w:sz="4" w:space="0"/>
                    <w:left w:val="single" w:color="auto" w:sz="4" w:space="0"/>
                    <w:bottom w:val="single" w:color="auto" w:sz="4" w:space="0"/>
                    <w:right w:val="single" w:color="auto" w:sz="4" w:space="0"/>
                  </w:tcBorders>
                  <w:vAlign w:val="center"/>
                </w:tcPr>
                <w:p w14:paraId="0DA71EE0">
                  <w:pPr>
                    <w:spacing w:line="360" w:lineRule="auto"/>
                    <w:jc w:val="center"/>
                    <w:rPr>
                      <w:rFonts w:eastAsiaTheme="minorEastAsia"/>
                      <w:kern w:val="0"/>
                      <w:sz w:val="24"/>
                    </w:rPr>
                  </w:pPr>
                  <w:r>
                    <w:rPr>
                      <w:rFonts w:hint="eastAsia" w:ascii="宋体" w:hAnsi="宋体" w:cs="宋体"/>
                      <w:color w:val="000000"/>
                      <w:sz w:val="24"/>
                    </w:rPr>
                    <w:t>软件和信息技术服务行业</w:t>
                  </w:r>
                </w:p>
              </w:tc>
            </w:tr>
            <w:tr w14:paraId="4221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56004CE4">
                  <w:pPr>
                    <w:jc w:val="center"/>
                    <w:rPr>
                      <w:rFonts w:eastAsiaTheme="minorEastAsia"/>
                      <w:bCs/>
                      <w:sz w:val="24"/>
                    </w:rPr>
                  </w:pPr>
                  <w:r>
                    <w:rPr>
                      <w:rFonts w:hint="eastAsia" w:eastAsiaTheme="minorEastAsia"/>
                      <w:bCs/>
                      <w:sz w:val="24"/>
                    </w:rPr>
                    <w:t>07</w:t>
                  </w:r>
                </w:p>
              </w:tc>
              <w:tc>
                <w:tcPr>
                  <w:tcW w:w="2058" w:type="pct"/>
                  <w:tcBorders>
                    <w:top w:val="single" w:color="auto" w:sz="4" w:space="0"/>
                    <w:left w:val="single" w:color="auto" w:sz="4" w:space="0"/>
                    <w:bottom w:val="single" w:color="auto" w:sz="4" w:space="0"/>
                    <w:right w:val="single" w:color="auto" w:sz="4" w:space="0"/>
                  </w:tcBorders>
                  <w:vAlign w:val="center"/>
                </w:tcPr>
                <w:p w14:paraId="6492A2D7">
                  <w:pPr>
                    <w:jc w:val="center"/>
                    <w:rPr>
                      <w:rFonts w:eastAsiaTheme="minorEastAsia"/>
                      <w:bCs/>
                      <w:sz w:val="24"/>
                    </w:rPr>
                  </w:pPr>
                  <w:r>
                    <w:rPr>
                      <w:rFonts w:hint="eastAsia" w:eastAsiaTheme="minorEastAsia"/>
                      <w:bCs/>
                      <w:sz w:val="24"/>
                    </w:rPr>
                    <w:t>采空塌陷灾害地表形变人工监测服务</w:t>
                  </w:r>
                </w:p>
              </w:tc>
              <w:tc>
                <w:tcPr>
                  <w:tcW w:w="2380" w:type="pct"/>
                  <w:tcBorders>
                    <w:top w:val="single" w:color="auto" w:sz="4" w:space="0"/>
                    <w:left w:val="single" w:color="auto" w:sz="4" w:space="0"/>
                    <w:bottom w:val="single" w:color="auto" w:sz="4" w:space="0"/>
                    <w:right w:val="single" w:color="auto" w:sz="4" w:space="0"/>
                  </w:tcBorders>
                  <w:vAlign w:val="center"/>
                </w:tcPr>
                <w:p w14:paraId="687DEE0A">
                  <w:pPr>
                    <w:spacing w:line="360" w:lineRule="auto"/>
                    <w:jc w:val="center"/>
                    <w:rPr>
                      <w:rFonts w:eastAsiaTheme="minorEastAsia"/>
                      <w:kern w:val="0"/>
                      <w:sz w:val="24"/>
                    </w:rPr>
                  </w:pPr>
                  <w:r>
                    <w:rPr>
                      <w:rFonts w:hint="eastAsia" w:eastAsiaTheme="minorEastAsia"/>
                      <w:kern w:val="0"/>
                      <w:sz w:val="24"/>
                    </w:rPr>
                    <w:t>其他未列明行业</w:t>
                  </w:r>
                </w:p>
              </w:tc>
            </w:tr>
            <w:tr w14:paraId="4EE0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2B260CD2">
                  <w:pPr>
                    <w:jc w:val="center"/>
                    <w:rPr>
                      <w:rFonts w:eastAsiaTheme="minorEastAsia"/>
                      <w:bCs/>
                      <w:sz w:val="24"/>
                    </w:rPr>
                  </w:pPr>
                  <w:r>
                    <w:rPr>
                      <w:rFonts w:hint="eastAsia" w:eastAsiaTheme="minorEastAsia"/>
                      <w:bCs/>
                      <w:sz w:val="24"/>
                    </w:rPr>
                    <w:t>08</w:t>
                  </w:r>
                </w:p>
              </w:tc>
              <w:tc>
                <w:tcPr>
                  <w:tcW w:w="2058" w:type="pct"/>
                  <w:tcBorders>
                    <w:top w:val="single" w:color="auto" w:sz="4" w:space="0"/>
                    <w:left w:val="single" w:color="auto" w:sz="4" w:space="0"/>
                    <w:bottom w:val="single" w:color="auto" w:sz="4" w:space="0"/>
                    <w:right w:val="single" w:color="auto" w:sz="4" w:space="0"/>
                  </w:tcBorders>
                  <w:vAlign w:val="center"/>
                </w:tcPr>
                <w:p w14:paraId="6DC6AD00">
                  <w:pPr>
                    <w:jc w:val="center"/>
                    <w:rPr>
                      <w:rFonts w:eastAsiaTheme="minorEastAsia"/>
                      <w:bCs/>
                      <w:sz w:val="24"/>
                    </w:rPr>
                  </w:pPr>
                  <w:r>
                    <w:rPr>
                      <w:rFonts w:hint="eastAsia" w:eastAsiaTheme="minorEastAsia"/>
                      <w:bCs/>
                      <w:sz w:val="24"/>
                    </w:rPr>
                    <w:t>政务云租赁扩展服务</w:t>
                  </w:r>
                </w:p>
              </w:tc>
              <w:tc>
                <w:tcPr>
                  <w:tcW w:w="2380" w:type="pct"/>
                  <w:tcBorders>
                    <w:top w:val="single" w:color="auto" w:sz="4" w:space="0"/>
                    <w:left w:val="single" w:color="auto" w:sz="4" w:space="0"/>
                    <w:bottom w:val="single" w:color="auto" w:sz="4" w:space="0"/>
                    <w:right w:val="single" w:color="auto" w:sz="4" w:space="0"/>
                  </w:tcBorders>
                  <w:vAlign w:val="center"/>
                </w:tcPr>
                <w:p w14:paraId="79E7DB99">
                  <w:pPr>
                    <w:jc w:val="center"/>
                    <w:rPr>
                      <w:rFonts w:eastAsiaTheme="minorEastAsia"/>
                      <w:kern w:val="0"/>
                      <w:sz w:val="24"/>
                    </w:rPr>
                  </w:pPr>
                  <w:r>
                    <w:rPr>
                      <w:rFonts w:hint="eastAsia" w:ascii="宋体" w:hAnsi="宋体" w:cs="宋体"/>
                      <w:color w:val="000000"/>
                      <w:sz w:val="24"/>
                    </w:rPr>
                    <w:t>软件和信息技术服务行业</w:t>
                  </w:r>
                </w:p>
              </w:tc>
            </w:tr>
          </w:tbl>
          <w:p w14:paraId="12D59727">
            <w:pPr>
              <w:jc w:val="left"/>
              <w:rPr>
                <w:sz w:val="24"/>
              </w:rPr>
            </w:pPr>
          </w:p>
        </w:tc>
      </w:tr>
      <w:tr w14:paraId="0C72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552E340D">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688FBEB9">
            <w:pPr>
              <w:jc w:val="center"/>
              <w:rPr>
                <w:sz w:val="24"/>
              </w:rPr>
            </w:pPr>
            <w:r>
              <w:rPr>
                <w:sz w:val="24"/>
              </w:rPr>
              <w:t>投标报价</w:t>
            </w:r>
          </w:p>
        </w:tc>
        <w:tc>
          <w:tcPr>
            <w:tcW w:w="7540" w:type="dxa"/>
            <w:vAlign w:val="center"/>
          </w:tcPr>
          <w:p w14:paraId="6D949D8A">
            <w:pPr>
              <w:jc w:val="left"/>
              <w:rPr>
                <w:sz w:val="24"/>
              </w:rPr>
            </w:pPr>
            <w:r>
              <w:rPr>
                <w:sz w:val="24"/>
              </w:rPr>
              <w:t>投标报价的特殊规定：</w:t>
            </w:r>
          </w:p>
          <w:p w14:paraId="796CAB45">
            <w:pPr>
              <w:jc w:val="left"/>
              <w:rPr>
                <w:sz w:val="24"/>
              </w:rPr>
            </w:pPr>
            <w:r>
              <w:rPr>
                <w:rFonts w:eastAsiaTheme="minorEastAsia"/>
                <w:sz w:val="24"/>
              </w:rPr>
              <w:t>■</w:t>
            </w:r>
            <w:r>
              <w:rPr>
                <w:sz w:val="24"/>
              </w:rPr>
              <w:t>无</w:t>
            </w:r>
          </w:p>
          <w:p w14:paraId="58F364E2">
            <w:pPr>
              <w:jc w:val="left"/>
              <w:rPr>
                <w:sz w:val="24"/>
              </w:rPr>
            </w:pPr>
            <w:r>
              <w:rPr>
                <w:sz w:val="24"/>
              </w:rPr>
              <w:t>□有，具体情形：_____。</w:t>
            </w:r>
          </w:p>
        </w:tc>
      </w:tr>
      <w:tr w14:paraId="5375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1FB434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6F512DCB">
            <w:pPr>
              <w:jc w:val="center"/>
              <w:rPr>
                <w:sz w:val="24"/>
              </w:rPr>
            </w:pPr>
            <w:r>
              <w:rPr>
                <w:sz w:val="24"/>
              </w:rPr>
              <w:t>投标保证金</w:t>
            </w:r>
          </w:p>
        </w:tc>
        <w:tc>
          <w:tcPr>
            <w:tcW w:w="7540" w:type="dxa"/>
            <w:vAlign w:val="center"/>
          </w:tcPr>
          <w:p w14:paraId="1856C2A1">
            <w:pPr>
              <w:jc w:val="left"/>
              <w:rPr>
                <w:sz w:val="24"/>
              </w:rPr>
            </w:pPr>
            <w:r>
              <w:rPr>
                <w:rFonts w:hint="eastAsia"/>
                <w:sz w:val="24"/>
              </w:rPr>
              <w:t>本项目不适用</w:t>
            </w:r>
          </w:p>
        </w:tc>
      </w:tr>
      <w:tr w14:paraId="6D72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722C40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6BC8360F">
            <w:pPr>
              <w:jc w:val="center"/>
              <w:rPr>
                <w:sz w:val="24"/>
              </w:rPr>
            </w:pPr>
          </w:p>
        </w:tc>
        <w:tc>
          <w:tcPr>
            <w:tcW w:w="7540" w:type="dxa"/>
            <w:vAlign w:val="center"/>
          </w:tcPr>
          <w:p w14:paraId="7ACEC9A4">
            <w:pPr>
              <w:jc w:val="left"/>
              <w:rPr>
                <w:sz w:val="24"/>
              </w:rPr>
            </w:pPr>
            <w:r>
              <w:rPr>
                <w:sz w:val="24"/>
              </w:rPr>
              <w:t>投标保证金可以不予退还的其他情形：</w:t>
            </w:r>
          </w:p>
          <w:p w14:paraId="6A1AA3DE">
            <w:pPr>
              <w:jc w:val="left"/>
              <w:rPr>
                <w:sz w:val="24"/>
              </w:rPr>
            </w:pPr>
            <w:r>
              <w:rPr>
                <w:rFonts w:eastAsiaTheme="minorEastAsia"/>
                <w:sz w:val="24"/>
              </w:rPr>
              <w:t>■</w:t>
            </w:r>
            <w:r>
              <w:rPr>
                <w:sz w:val="24"/>
              </w:rPr>
              <w:t>无</w:t>
            </w:r>
          </w:p>
          <w:p w14:paraId="1B0D6F44">
            <w:pPr>
              <w:pStyle w:val="23"/>
              <w:adjustRightInd w:val="0"/>
              <w:snapToGrid w:val="0"/>
              <w:rPr>
                <w:rFonts w:hint="default" w:ascii="Times New Roman" w:hAnsi="Times New Roman"/>
                <w:sz w:val="24"/>
                <w:szCs w:val="24"/>
              </w:rPr>
            </w:pPr>
            <w:r>
              <w:rPr>
                <w:rFonts w:hint="default" w:ascii="Times New Roman" w:hAnsi="Times New Roman"/>
                <w:sz w:val="24"/>
              </w:rPr>
              <w:t>□有，具体情形：_____。</w:t>
            </w:r>
          </w:p>
        </w:tc>
      </w:tr>
      <w:tr w14:paraId="4322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34B3F6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08CC54DF">
            <w:pPr>
              <w:jc w:val="center"/>
              <w:rPr>
                <w:sz w:val="24"/>
              </w:rPr>
            </w:pPr>
            <w:r>
              <w:rPr>
                <w:sz w:val="24"/>
              </w:rPr>
              <w:t>投标有效期</w:t>
            </w:r>
          </w:p>
        </w:tc>
        <w:tc>
          <w:tcPr>
            <w:tcW w:w="7540" w:type="dxa"/>
            <w:vAlign w:val="center"/>
          </w:tcPr>
          <w:p w14:paraId="21E0AB8E">
            <w:pPr>
              <w:jc w:val="left"/>
              <w:rPr>
                <w:sz w:val="24"/>
              </w:rPr>
            </w:pPr>
            <w:r>
              <w:rPr>
                <w:sz w:val="24"/>
              </w:rPr>
              <w:t>自提交投标文件的截止之日起算</w:t>
            </w:r>
            <w:r>
              <w:rPr>
                <w:rFonts w:hint="eastAsia"/>
                <w:sz w:val="24"/>
              </w:rPr>
              <w:t>90</w:t>
            </w:r>
            <w:r>
              <w:rPr>
                <w:sz w:val="24"/>
              </w:rPr>
              <w:t>日历天。</w:t>
            </w:r>
          </w:p>
        </w:tc>
      </w:tr>
      <w:tr w14:paraId="17F1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B576C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569AF893">
            <w:pPr>
              <w:jc w:val="center"/>
              <w:rPr>
                <w:sz w:val="24"/>
              </w:rPr>
            </w:pPr>
            <w:r>
              <w:rPr>
                <w:sz w:val="24"/>
              </w:rPr>
              <w:t>解密时间</w:t>
            </w:r>
          </w:p>
        </w:tc>
        <w:tc>
          <w:tcPr>
            <w:tcW w:w="7540" w:type="dxa"/>
            <w:vAlign w:val="center"/>
          </w:tcPr>
          <w:p w14:paraId="123F0D66">
            <w:pPr>
              <w:jc w:val="left"/>
              <w:rPr>
                <w:sz w:val="24"/>
                <w:u w:val="single"/>
              </w:rPr>
            </w:pPr>
            <w:r>
              <w:rPr>
                <w:sz w:val="24"/>
              </w:rPr>
              <w:t>解密时间：</w:t>
            </w:r>
            <w:r>
              <w:rPr>
                <w:rFonts w:hint="eastAsia"/>
                <w:sz w:val="24"/>
                <w:u w:val="single"/>
              </w:rPr>
              <w:t>10</w:t>
            </w:r>
            <w:r>
              <w:rPr>
                <w:sz w:val="24"/>
              </w:rPr>
              <w:t>分钟</w:t>
            </w:r>
          </w:p>
        </w:tc>
      </w:tr>
      <w:tr w14:paraId="1ED1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88492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316AD05B">
            <w:pPr>
              <w:jc w:val="center"/>
              <w:rPr>
                <w:sz w:val="24"/>
              </w:rPr>
            </w:pPr>
            <w:r>
              <w:rPr>
                <w:sz w:val="24"/>
              </w:rPr>
              <w:t>确定中标人</w:t>
            </w:r>
          </w:p>
        </w:tc>
        <w:tc>
          <w:tcPr>
            <w:tcW w:w="7540" w:type="dxa"/>
            <w:vAlign w:val="center"/>
          </w:tcPr>
          <w:p w14:paraId="69C80A93">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3A4A893C">
            <w:pPr>
              <w:jc w:val="left"/>
              <w:rPr>
                <w:rFonts w:eastAsiaTheme="minorEastAsia"/>
                <w:sz w:val="24"/>
              </w:rPr>
            </w:pPr>
            <w:r>
              <w:rPr>
                <w:rFonts w:eastAsiaTheme="minorEastAsia"/>
                <w:sz w:val="24"/>
              </w:rPr>
              <w:t>■否</w:t>
            </w:r>
          </w:p>
          <w:p w14:paraId="587FA8D9">
            <w:pPr>
              <w:pStyle w:val="23"/>
              <w:adjustRightInd w:val="0"/>
              <w:snapToGrid w:val="0"/>
              <w:rPr>
                <w:rFonts w:hint="default" w:ascii="Times New Roman" w:hAnsi="Times New Roman"/>
                <w:sz w:val="24"/>
              </w:rPr>
            </w:pPr>
            <w:r>
              <w:rPr>
                <w:rFonts w:hint="default" w:ascii="Times New Roman" w:hAnsi="Times New Roman"/>
                <w:sz w:val="24"/>
              </w:rPr>
              <w:t>□是</w:t>
            </w:r>
          </w:p>
          <w:p w14:paraId="347D75CF">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4C1D4C08">
            <w:pPr>
              <w:pStyle w:val="23"/>
              <w:adjustRightInd w:val="0"/>
              <w:snapToGrid w:val="0"/>
              <w:rPr>
                <w:rFonts w:hint="default" w:ascii="Times New Roman" w:hAnsi="Times New Roman"/>
                <w:sz w:val="24"/>
              </w:rPr>
            </w:pPr>
            <w:r>
              <w:rPr>
                <w:rFonts w:hint="default" w:ascii="Times New Roman" w:hAnsi="Times New Roman"/>
                <w:sz w:val="24"/>
              </w:rPr>
              <w:t>■得分且投标报价均相同的，以</w:t>
            </w:r>
            <w:r>
              <w:rPr>
                <w:rFonts w:ascii="Times New Roman" w:hAnsi="Times New Roman"/>
                <w:sz w:val="24"/>
                <w:u w:val="single"/>
              </w:rPr>
              <w:t>技术部分</w:t>
            </w:r>
            <w:r>
              <w:rPr>
                <w:rFonts w:hint="default" w:ascii="Times New Roman" w:hAnsi="Times New Roman"/>
                <w:sz w:val="24"/>
              </w:rPr>
              <w:t>得分高者为中标人</w:t>
            </w:r>
          </w:p>
          <w:p w14:paraId="1AFAB3D6">
            <w:pPr>
              <w:jc w:val="left"/>
              <w:rPr>
                <w:sz w:val="24"/>
                <w:u w:val="single"/>
              </w:rPr>
            </w:pPr>
            <w:r>
              <w:rPr>
                <w:sz w:val="24"/>
              </w:rPr>
              <w:t>□随机抽取</w:t>
            </w:r>
          </w:p>
        </w:tc>
      </w:tr>
      <w:tr w14:paraId="3149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6E45A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22731D58">
            <w:pPr>
              <w:jc w:val="center"/>
              <w:rPr>
                <w:sz w:val="24"/>
              </w:rPr>
            </w:pPr>
            <w:r>
              <w:rPr>
                <w:sz w:val="24"/>
              </w:rPr>
              <w:t>分包</w:t>
            </w:r>
          </w:p>
        </w:tc>
        <w:tc>
          <w:tcPr>
            <w:tcW w:w="7540" w:type="dxa"/>
            <w:vAlign w:val="center"/>
          </w:tcPr>
          <w:p w14:paraId="35396E3E">
            <w:pPr>
              <w:jc w:val="left"/>
              <w:rPr>
                <w:sz w:val="24"/>
              </w:rPr>
            </w:pPr>
            <w:r>
              <w:rPr>
                <w:sz w:val="24"/>
              </w:rPr>
              <w:t xml:space="preserve">本项目的非主体、非关键性工作是否允许分包： </w:t>
            </w:r>
          </w:p>
          <w:p w14:paraId="77471FFB">
            <w:pPr>
              <w:jc w:val="left"/>
              <w:rPr>
                <w:sz w:val="24"/>
              </w:rPr>
            </w:pPr>
            <w:r>
              <w:rPr>
                <w:rFonts w:eastAsiaTheme="minorEastAsia"/>
                <w:sz w:val="24"/>
              </w:rPr>
              <w:t>■</w:t>
            </w:r>
            <w:r>
              <w:rPr>
                <w:sz w:val="24"/>
              </w:rPr>
              <w:t>不允许</w:t>
            </w:r>
          </w:p>
          <w:p w14:paraId="7EA2C9C1">
            <w:pPr>
              <w:jc w:val="left"/>
              <w:rPr>
                <w:sz w:val="24"/>
              </w:rPr>
            </w:pPr>
            <w:r>
              <w:rPr>
                <w:sz w:val="24"/>
              </w:rPr>
              <w:t>□允许，具体要求：</w:t>
            </w:r>
          </w:p>
          <w:p w14:paraId="4622EEC5">
            <w:pPr>
              <w:jc w:val="left"/>
              <w:rPr>
                <w:sz w:val="24"/>
              </w:rPr>
            </w:pPr>
            <w:r>
              <w:rPr>
                <w:sz w:val="24"/>
              </w:rPr>
              <w:t>（1）可以分包履行的具体内容：_____；</w:t>
            </w:r>
          </w:p>
          <w:p w14:paraId="452EC692">
            <w:pPr>
              <w:jc w:val="left"/>
              <w:rPr>
                <w:sz w:val="24"/>
              </w:rPr>
            </w:pPr>
            <w:r>
              <w:rPr>
                <w:sz w:val="24"/>
              </w:rPr>
              <w:t>（2）允许分包的金额或者比例：_____；</w:t>
            </w:r>
          </w:p>
          <w:p w14:paraId="2E84A210">
            <w:pPr>
              <w:jc w:val="left"/>
              <w:rPr>
                <w:sz w:val="24"/>
                <w:u w:val="single"/>
              </w:rPr>
            </w:pPr>
            <w:r>
              <w:rPr>
                <w:sz w:val="24"/>
              </w:rPr>
              <w:t>（3）其他要求：_____。</w:t>
            </w:r>
          </w:p>
        </w:tc>
      </w:tr>
      <w:tr w14:paraId="07C8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829E7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7406CD8A">
            <w:pPr>
              <w:jc w:val="center"/>
              <w:rPr>
                <w:sz w:val="24"/>
              </w:rPr>
            </w:pPr>
            <w:r>
              <w:rPr>
                <w:sz w:val="24"/>
              </w:rPr>
              <w:t>政采贷</w:t>
            </w:r>
          </w:p>
        </w:tc>
        <w:tc>
          <w:tcPr>
            <w:tcW w:w="7540" w:type="dxa"/>
            <w:vAlign w:val="center"/>
          </w:tcPr>
          <w:p w14:paraId="440826E3">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C7A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6CC51E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576FB8F4">
            <w:pPr>
              <w:jc w:val="center"/>
              <w:rPr>
                <w:sz w:val="24"/>
              </w:rPr>
            </w:pPr>
            <w:r>
              <w:rPr>
                <w:sz w:val="24"/>
              </w:rPr>
              <w:t>询问</w:t>
            </w:r>
          </w:p>
        </w:tc>
        <w:tc>
          <w:tcPr>
            <w:tcW w:w="7540" w:type="dxa"/>
            <w:vAlign w:val="center"/>
          </w:tcPr>
          <w:p w14:paraId="741749E5">
            <w:pPr>
              <w:jc w:val="left"/>
              <w:rPr>
                <w:sz w:val="24"/>
              </w:rPr>
            </w:pPr>
            <w:r>
              <w:rPr>
                <w:sz w:val="24"/>
              </w:rPr>
              <w:t>询问</w:t>
            </w:r>
            <w:r>
              <w:rPr>
                <w:rFonts w:hint="eastAsia"/>
                <w:sz w:val="24"/>
              </w:rPr>
              <w:t>提出</w:t>
            </w:r>
            <w:r>
              <w:rPr>
                <w:sz w:val="24"/>
              </w:rPr>
              <w:t>形式：</w:t>
            </w:r>
            <w:r>
              <w:rPr>
                <w:rFonts w:hint="eastAsia"/>
                <w:sz w:val="24"/>
              </w:rPr>
              <w:t>以书面或邮件（扫描原件）发送至710280222@qq.com且与代理机构确认已收到。</w:t>
            </w:r>
          </w:p>
        </w:tc>
      </w:tr>
      <w:tr w14:paraId="7987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2C81B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1C7883F3">
            <w:pPr>
              <w:jc w:val="center"/>
              <w:rPr>
                <w:sz w:val="24"/>
              </w:rPr>
            </w:pPr>
            <w:r>
              <w:rPr>
                <w:sz w:val="24"/>
              </w:rPr>
              <w:t>联系方式</w:t>
            </w:r>
          </w:p>
        </w:tc>
        <w:tc>
          <w:tcPr>
            <w:tcW w:w="7540" w:type="dxa"/>
            <w:vAlign w:val="center"/>
          </w:tcPr>
          <w:p w14:paraId="566AC589">
            <w:pPr>
              <w:jc w:val="left"/>
              <w:rPr>
                <w:sz w:val="24"/>
              </w:rPr>
            </w:pPr>
            <w:r>
              <w:rPr>
                <w:sz w:val="24"/>
              </w:rPr>
              <w:t>接收询问和质疑的联系方式</w:t>
            </w:r>
          </w:p>
          <w:p w14:paraId="592904D1">
            <w:pPr>
              <w:jc w:val="left"/>
              <w:rPr>
                <w:sz w:val="24"/>
              </w:rPr>
            </w:pPr>
            <w:r>
              <w:rPr>
                <w:rFonts w:hint="eastAsia"/>
                <w:sz w:val="24"/>
              </w:rPr>
              <w:t>联系部门：国信招标集团股份有限公司；</w:t>
            </w:r>
          </w:p>
          <w:p w14:paraId="15AA9CEC">
            <w:pPr>
              <w:jc w:val="left"/>
              <w:rPr>
                <w:sz w:val="24"/>
              </w:rPr>
            </w:pPr>
            <w:r>
              <w:rPr>
                <w:rFonts w:hint="eastAsia"/>
                <w:sz w:val="24"/>
              </w:rPr>
              <w:t>联系电话：徐伟哲、李玥13720096219；</w:t>
            </w:r>
          </w:p>
          <w:p w14:paraId="4D52B8CA">
            <w:pPr>
              <w:jc w:val="left"/>
              <w:rPr>
                <w:sz w:val="24"/>
              </w:rPr>
            </w:pPr>
            <w:r>
              <w:rPr>
                <w:rFonts w:hint="eastAsia"/>
                <w:sz w:val="24"/>
              </w:rPr>
              <w:t>通讯地址：北京市海淀区常青路和泓四季6号国信招标</w:t>
            </w:r>
            <w:r>
              <w:t>。</w:t>
            </w:r>
          </w:p>
        </w:tc>
      </w:tr>
      <w:tr w14:paraId="1A96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08B92B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588A1D8">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5B59ED4">
            <w:pPr>
              <w:jc w:val="left"/>
              <w:rPr>
                <w:sz w:val="24"/>
              </w:rPr>
            </w:pPr>
            <w:r>
              <w:rPr>
                <w:sz w:val="24"/>
              </w:rPr>
              <w:t>收费对象：</w:t>
            </w:r>
          </w:p>
          <w:p w14:paraId="339B102B">
            <w:pPr>
              <w:jc w:val="left"/>
              <w:rPr>
                <w:sz w:val="24"/>
              </w:rPr>
            </w:pPr>
            <w:r>
              <w:rPr>
                <w:sz w:val="24"/>
              </w:rPr>
              <w:t>□采购人</w:t>
            </w:r>
          </w:p>
          <w:p w14:paraId="5EC823B3">
            <w:pPr>
              <w:jc w:val="left"/>
              <w:rPr>
                <w:sz w:val="24"/>
              </w:rPr>
            </w:pPr>
            <w:r>
              <w:rPr>
                <w:rFonts w:eastAsiaTheme="minorEastAsia"/>
                <w:sz w:val="24"/>
              </w:rPr>
              <w:t>■</w:t>
            </w:r>
            <w:r>
              <w:rPr>
                <w:sz w:val="24"/>
              </w:rPr>
              <w:t>中标人</w:t>
            </w:r>
          </w:p>
          <w:p w14:paraId="3F0E8150">
            <w:pPr>
              <w:wordWrap w:val="0"/>
              <w:jc w:val="left"/>
              <w:rPr>
                <w:sz w:val="24"/>
              </w:rPr>
            </w:pPr>
            <w:r>
              <w:rPr>
                <w:sz w:val="24"/>
              </w:rPr>
              <w:t>收费标准：</w:t>
            </w:r>
            <w:r>
              <w:rPr>
                <w:rFonts w:hint="eastAsia" w:ascii="宋体" w:hAnsi="宋体" w:cs="Minion Pro Cond"/>
                <w:kern w:val="0"/>
                <w:sz w:val="24"/>
              </w:rPr>
              <w:t>参照</w:t>
            </w:r>
            <w:r>
              <w:rPr>
                <w:rFonts w:ascii="宋体" w:hAnsi="宋体" w:cs="Minion Pro Cond"/>
                <w:kern w:val="0"/>
                <w:sz w:val="24"/>
              </w:rPr>
              <w:t>原国家计委《招标代理服务收费管理暂行办法》（</w:t>
            </w:r>
            <w:r>
              <w:rPr>
                <w:rFonts w:hint="eastAsia" w:ascii="宋体" w:hAnsi="宋体" w:cs="Minion Pro Cond"/>
                <w:kern w:val="0"/>
                <w:sz w:val="24"/>
              </w:rPr>
              <w:t>[</w:t>
            </w:r>
            <w:r>
              <w:rPr>
                <w:rFonts w:ascii="宋体" w:hAnsi="宋体" w:cs="Minion Pro Cond"/>
                <w:kern w:val="0"/>
                <w:sz w:val="24"/>
              </w:rPr>
              <w:t>2002</w:t>
            </w:r>
            <w:r>
              <w:rPr>
                <w:rFonts w:hint="eastAsia" w:ascii="宋体" w:hAnsi="宋体" w:cs="Minion Pro Cond"/>
                <w:kern w:val="0"/>
                <w:sz w:val="24"/>
              </w:rPr>
              <w:t>]</w:t>
            </w:r>
            <w:r>
              <w:rPr>
                <w:rFonts w:ascii="宋体" w:hAnsi="宋体" w:cs="Minion Pro Cond"/>
                <w:kern w:val="0"/>
                <w:sz w:val="24"/>
              </w:rPr>
              <w:t>1980号）服务标准收费</w:t>
            </w:r>
            <w:r>
              <w:rPr>
                <w:sz w:val="24"/>
              </w:rPr>
              <w:t>；</w:t>
            </w:r>
          </w:p>
          <w:p w14:paraId="2A83BA7F">
            <w:pPr>
              <w:wordWrap w:val="0"/>
              <w:jc w:val="left"/>
              <w:rPr>
                <w:sz w:val="24"/>
              </w:rPr>
            </w:pPr>
            <w:r>
              <w:rPr>
                <w:sz w:val="24"/>
              </w:rPr>
              <w:t>缴纳时间：</w:t>
            </w:r>
            <w:r>
              <w:rPr>
                <w:rFonts w:hint="eastAsia" w:ascii="宋体" w:hAnsi="宋体" w:cs="Minion Pro Cond"/>
                <w:kern w:val="0"/>
                <w:sz w:val="24"/>
              </w:rPr>
              <w:t>在招标代理机构发出中标通知书后5个工作日内</w:t>
            </w:r>
            <w:r>
              <w:rPr>
                <w:sz w:val="24"/>
              </w:rPr>
              <w:t>。</w:t>
            </w:r>
          </w:p>
        </w:tc>
      </w:tr>
    </w:tbl>
    <w:p w14:paraId="48CF7164">
      <w:pPr>
        <w:tabs>
          <w:tab w:val="left" w:pos="5580"/>
        </w:tabs>
        <w:adjustRightInd w:val="0"/>
        <w:spacing w:line="360" w:lineRule="auto"/>
        <w:jc w:val="distribute"/>
        <w:rPr>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4CECC8F4">
      <w:pPr>
        <w:spacing w:before="240" w:beforeLines="100" w:after="240" w:afterLines="100"/>
        <w:jc w:val="center"/>
        <w:rPr>
          <w:b/>
          <w:sz w:val="28"/>
          <w:szCs w:val="28"/>
        </w:rPr>
      </w:pPr>
      <w:bookmarkStart w:id="72" w:name="_Toc353873932"/>
      <w:bookmarkStart w:id="73" w:name="_Toc127151517"/>
      <w:bookmarkStart w:id="74" w:name="_Toc264969207"/>
      <w:bookmarkStart w:id="75" w:name="_Toc150774722"/>
      <w:bookmarkStart w:id="76" w:name="_Toc142311019"/>
      <w:bookmarkStart w:id="77" w:name="_Toc353873662"/>
      <w:bookmarkStart w:id="78" w:name="_Toc195842882"/>
      <w:bookmarkStart w:id="79" w:name="_Toc353825542"/>
      <w:bookmarkStart w:id="80" w:name="_Toc305158785"/>
      <w:bookmarkStart w:id="81" w:name="_Toc305158859"/>
      <w:bookmarkStart w:id="82" w:name="_Toc150480755"/>
      <w:bookmarkStart w:id="83" w:name="_Toc265228355"/>
      <w:bookmarkStart w:id="84" w:name="_Toc226337213"/>
      <w:bookmarkStart w:id="85" w:name="_Toc226965790"/>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2E627C3">
      <w:pPr>
        <w:pStyle w:val="3"/>
        <w:tabs>
          <w:tab w:val="center" w:pos="4592"/>
          <w:tab w:val="left" w:pos="7860"/>
        </w:tabs>
        <w:spacing w:before="0" w:line="360" w:lineRule="auto"/>
        <w:jc w:val="left"/>
        <w:rPr>
          <w:rFonts w:ascii="Times New Roman" w:hAnsi="Times New Roman" w:eastAsia="宋体"/>
          <w:sz w:val="28"/>
        </w:rPr>
      </w:pPr>
      <w:bookmarkStart w:id="86" w:name="_Toc127151518"/>
      <w:bookmarkStart w:id="87" w:name="_Toc520356143"/>
      <w:r>
        <w:rPr>
          <w:rFonts w:ascii="Times New Roman" w:hAnsi="Times New Roman" w:eastAsia="宋体"/>
          <w:sz w:val="28"/>
        </w:rPr>
        <w:tab/>
      </w:r>
      <w:bookmarkStart w:id="88" w:name="_Toc195842883"/>
      <w:bookmarkStart w:id="89" w:name="_Toc142311020"/>
      <w:bookmarkStart w:id="90" w:name="_Toc265228356"/>
      <w:bookmarkStart w:id="91" w:name="_Toc151193832"/>
      <w:bookmarkStart w:id="92" w:name="_Toc305158786"/>
      <w:bookmarkStart w:id="93" w:name="_Toc151193906"/>
      <w:bookmarkStart w:id="94" w:name="_Toc226337214"/>
      <w:bookmarkStart w:id="95" w:name="_Toc151193760"/>
      <w:bookmarkStart w:id="96" w:name="_Toc226309762"/>
      <w:bookmarkStart w:id="97" w:name="_Toc151193616"/>
      <w:bookmarkStart w:id="98" w:name="_Toc305158860"/>
      <w:bookmarkStart w:id="99" w:name="_Toc151190145"/>
      <w:bookmarkStart w:id="100" w:name="_Toc150509269"/>
      <w:bookmarkStart w:id="101" w:name="_Toc150774723"/>
      <w:bookmarkStart w:id="102" w:name="_Toc151193688"/>
      <w:bookmarkStart w:id="103" w:name="_Toc150774618"/>
      <w:bookmarkStart w:id="104" w:name="_Toc264969208"/>
      <w:bookmarkStart w:id="105" w:name="_Toc226965791"/>
      <w:bookmarkStart w:id="106" w:name="_Toc226965708"/>
      <w:bookmarkStart w:id="107" w:name="_Toc150480756"/>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429025A1">
      <w:pPr>
        <w:numPr>
          <w:ilvl w:val="0"/>
          <w:numId w:val="8"/>
        </w:numPr>
        <w:tabs>
          <w:tab w:val="left" w:pos="360"/>
          <w:tab w:val="clear" w:pos="900"/>
        </w:tabs>
        <w:snapToGrid w:val="0"/>
        <w:spacing w:line="360" w:lineRule="auto"/>
        <w:ind w:left="357" w:hanging="357"/>
        <w:outlineLvl w:val="1"/>
        <w:rPr>
          <w:sz w:val="24"/>
        </w:rPr>
      </w:pPr>
      <w:bookmarkStart w:id="108" w:name="_Toc305158787"/>
      <w:bookmarkStart w:id="109" w:name="_Toc305158861"/>
      <w:bookmarkStart w:id="110" w:name="_Toc264969209"/>
      <w:bookmarkStart w:id="111" w:name="_Toc265228357"/>
      <w:r>
        <w:rPr>
          <w:sz w:val="24"/>
        </w:rPr>
        <w:t>采购人、采购代理机构、投标人</w:t>
      </w:r>
      <w:bookmarkEnd w:id="108"/>
      <w:bookmarkEnd w:id="109"/>
      <w:bookmarkEnd w:id="110"/>
      <w:bookmarkEnd w:id="111"/>
      <w:r>
        <w:rPr>
          <w:sz w:val="24"/>
        </w:rPr>
        <w:t>、联合体</w:t>
      </w:r>
    </w:p>
    <w:p w14:paraId="2F005766">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3B25A997">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2EE7CEE9">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DF99E4F">
      <w:pPr>
        <w:numPr>
          <w:ilvl w:val="0"/>
          <w:numId w:val="8"/>
        </w:numPr>
        <w:tabs>
          <w:tab w:val="left" w:pos="360"/>
          <w:tab w:val="clear" w:pos="900"/>
        </w:tabs>
        <w:snapToGrid w:val="0"/>
        <w:spacing w:line="360" w:lineRule="auto"/>
        <w:ind w:left="357" w:hanging="357"/>
        <w:outlineLvl w:val="1"/>
        <w:rPr>
          <w:sz w:val="24"/>
        </w:rPr>
      </w:pPr>
      <w:bookmarkStart w:id="112" w:name="_Toc226965710"/>
      <w:bookmarkStart w:id="113" w:name="_Toc151190147"/>
      <w:bookmarkStart w:id="114" w:name="_Toc151193618"/>
      <w:bookmarkStart w:id="115" w:name="_Toc127151721"/>
      <w:bookmarkStart w:id="116" w:name="_Toc164351614"/>
      <w:bookmarkStart w:id="117" w:name="_Toc150509271"/>
      <w:bookmarkStart w:id="118" w:name="_Toc226337216"/>
      <w:bookmarkStart w:id="119" w:name="_Toc305158862"/>
      <w:bookmarkStart w:id="120" w:name="_Toc151193834"/>
      <w:bookmarkStart w:id="121" w:name="_Toc127151520"/>
      <w:bookmarkStart w:id="122" w:name="_Toc127161434"/>
      <w:bookmarkStart w:id="123" w:name="_Toc150480758"/>
      <w:bookmarkStart w:id="124" w:name="_Toc151193908"/>
      <w:bookmarkStart w:id="125" w:name="_Toc150774620"/>
      <w:bookmarkStart w:id="126" w:name="_Toc226965793"/>
      <w:bookmarkStart w:id="127" w:name="_Toc149720813"/>
      <w:bookmarkStart w:id="128" w:name="_Toc265228358"/>
      <w:bookmarkStart w:id="129" w:name="_Toc264969210"/>
      <w:bookmarkStart w:id="130" w:name="_Toc164608634"/>
      <w:bookmarkStart w:id="131" w:name="_Toc305158788"/>
      <w:bookmarkStart w:id="132" w:name="_Toc164229215"/>
      <w:bookmarkStart w:id="133" w:name="_Toc151193690"/>
      <w:bookmarkStart w:id="134" w:name="_Toc195842885"/>
      <w:bookmarkStart w:id="135" w:name="_Toc151193762"/>
      <w:bookmarkStart w:id="136" w:name="_Toc226309764"/>
      <w:bookmarkStart w:id="137" w:name="_Toc164229361"/>
      <w:bookmarkStart w:id="138" w:name="_Toc150774725"/>
      <w:bookmarkStart w:id="139" w:name="_Toc164608789"/>
      <w:bookmarkStart w:id="140" w:name="_Toc142311022"/>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3C3AF220">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3C677CA8">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69261A5C">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75CE39BF">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038A5E09">
      <w:pPr>
        <w:numPr>
          <w:ilvl w:val="0"/>
          <w:numId w:val="8"/>
        </w:numPr>
        <w:tabs>
          <w:tab w:val="left" w:pos="360"/>
        </w:tabs>
        <w:snapToGrid w:val="0"/>
        <w:spacing w:line="360" w:lineRule="auto"/>
        <w:ind w:left="357" w:hanging="357"/>
        <w:outlineLvl w:val="1"/>
        <w:rPr>
          <w:sz w:val="24"/>
        </w:rPr>
      </w:pPr>
      <w:r>
        <w:rPr>
          <w:sz w:val="24"/>
        </w:rPr>
        <w:t>现场考察、开标前答疑会</w:t>
      </w:r>
    </w:p>
    <w:p w14:paraId="6E46264E">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520356146"/>
      <w:bookmarkStart w:id="142" w:name="_Toc226309766"/>
      <w:bookmarkStart w:id="143" w:name="_Toc226965712"/>
      <w:bookmarkStart w:id="144" w:name="_Toc151193764"/>
      <w:bookmarkStart w:id="145" w:name="_Toc264969212"/>
      <w:bookmarkStart w:id="146" w:name="_Toc151190149"/>
      <w:bookmarkStart w:id="147" w:name="_Toc150480760"/>
      <w:bookmarkStart w:id="148" w:name="_Toc151193836"/>
      <w:bookmarkStart w:id="149" w:name="_Toc142311024"/>
      <w:bookmarkStart w:id="150" w:name="_Toc151193620"/>
      <w:bookmarkStart w:id="151" w:name="_Toc151193692"/>
      <w:bookmarkStart w:id="152" w:name="_Toc226965795"/>
      <w:bookmarkStart w:id="153" w:name="_Toc195842887"/>
      <w:bookmarkStart w:id="154" w:name="_Toc151193910"/>
      <w:bookmarkStart w:id="155" w:name="_Toc305158864"/>
      <w:bookmarkStart w:id="156" w:name="_Toc305158790"/>
      <w:bookmarkStart w:id="157" w:name="_Toc265228360"/>
      <w:bookmarkStart w:id="158" w:name="_Toc150774622"/>
      <w:bookmarkStart w:id="159" w:name="_Toc127151522"/>
      <w:bookmarkStart w:id="160" w:name="_Toc150774727"/>
      <w:bookmarkStart w:id="161" w:name="_Toc150509273"/>
      <w:bookmarkStart w:id="162" w:name="_Toc226337218"/>
    </w:p>
    <w:p w14:paraId="14387088">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5441BDFD">
      <w:pPr>
        <w:numPr>
          <w:ilvl w:val="0"/>
          <w:numId w:val="8"/>
        </w:numPr>
        <w:tabs>
          <w:tab w:val="left" w:pos="360"/>
        </w:tabs>
        <w:snapToGrid w:val="0"/>
        <w:spacing w:line="360" w:lineRule="auto"/>
        <w:ind w:left="357" w:hanging="357"/>
        <w:outlineLvl w:val="1"/>
        <w:rPr>
          <w:sz w:val="24"/>
        </w:rPr>
      </w:pPr>
      <w:r>
        <w:rPr>
          <w:sz w:val="24"/>
        </w:rPr>
        <w:t>样品</w:t>
      </w:r>
    </w:p>
    <w:p w14:paraId="79226FAB">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3922EE61">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0C1FD170">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3BB27321">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47F790BB">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7F78244E">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3F15C464">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11BF423">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6871CB50">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rPr>
        <w:t>，落实本国产品标准。</w:t>
      </w:r>
    </w:p>
    <w:p w14:paraId="7091ABC7">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1F77EAD4">
      <w:pPr>
        <w:numPr>
          <w:ilvl w:val="2"/>
          <w:numId w:val="8"/>
        </w:numPr>
        <w:snapToGrid w:val="0"/>
        <w:spacing w:line="360" w:lineRule="auto"/>
        <w:rPr>
          <w:sz w:val="24"/>
        </w:rPr>
      </w:pPr>
      <w:r>
        <w:rPr>
          <w:sz w:val="24"/>
        </w:rPr>
        <w:t>中小企业定义：</w:t>
      </w:r>
    </w:p>
    <w:p w14:paraId="56789278">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A97DC0F">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EE21CD0">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37850F3">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9C637A4">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45185B7">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6838FF9">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0374322">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3175CF9">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2568C54">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7D52647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5CE5A729">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714AC00F">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5BB6FC6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5FEE0E7">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6E06C8B2">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54E3925">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4F30A3E">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ADCE981">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7F6D2CD">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301F39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0CEBB2A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4931FB6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1D874C02">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6A7BA02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23BCA1B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69481E9">
      <w:pPr>
        <w:numPr>
          <w:ilvl w:val="2"/>
          <w:numId w:val="8"/>
        </w:numPr>
        <w:snapToGrid w:val="0"/>
        <w:spacing w:line="360" w:lineRule="auto"/>
        <w:rPr>
          <w:sz w:val="24"/>
        </w:rPr>
      </w:pPr>
      <w:r>
        <w:rPr>
          <w:sz w:val="24"/>
        </w:rPr>
        <w:t>本项目是否专门面向中小企业预留采购份额见第一章《投标邀请》。</w:t>
      </w:r>
    </w:p>
    <w:p w14:paraId="5A48835C">
      <w:pPr>
        <w:numPr>
          <w:ilvl w:val="2"/>
          <w:numId w:val="8"/>
        </w:numPr>
        <w:snapToGrid w:val="0"/>
        <w:spacing w:line="360" w:lineRule="auto"/>
        <w:rPr>
          <w:sz w:val="24"/>
        </w:rPr>
      </w:pPr>
      <w:r>
        <w:rPr>
          <w:sz w:val="24"/>
        </w:rPr>
        <w:t>采购标的对应的中小企业划分标准所属行业见《投标人须知资料表》。</w:t>
      </w:r>
    </w:p>
    <w:p w14:paraId="2AE457B6">
      <w:pPr>
        <w:numPr>
          <w:ilvl w:val="2"/>
          <w:numId w:val="8"/>
        </w:numPr>
        <w:snapToGrid w:val="0"/>
        <w:spacing w:line="360" w:lineRule="auto"/>
        <w:rPr>
          <w:sz w:val="24"/>
        </w:rPr>
      </w:pPr>
      <w:r>
        <w:rPr>
          <w:sz w:val="24"/>
        </w:rPr>
        <w:t>小微企业价格评审优惠的政策调整：见第四章《评标程序、评标方法和评标标准》。</w:t>
      </w:r>
    </w:p>
    <w:p w14:paraId="15059B31">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131F5183">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386D699">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6E37469">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6EF5CF43">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671D257D">
      <w:pPr>
        <w:numPr>
          <w:ilvl w:val="1"/>
          <w:numId w:val="8"/>
        </w:numPr>
        <w:tabs>
          <w:tab w:val="left" w:pos="1080"/>
          <w:tab w:val="left" w:pos="2014"/>
        </w:tabs>
        <w:snapToGrid w:val="0"/>
        <w:spacing w:line="360" w:lineRule="auto"/>
        <w:ind w:left="1080" w:hanging="720"/>
        <w:rPr>
          <w:sz w:val="24"/>
        </w:rPr>
      </w:pPr>
      <w:r>
        <w:rPr>
          <w:sz w:val="24"/>
        </w:rPr>
        <w:t>正版软件</w:t>
      </w:r>
    </w:p>
    <w:p w14:paraId="643418D4">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DA976D9">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29414A03">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48C10D23">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3121CC76">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8AD8F0C">
      <w:pPr>
        <w:numPr>
          <w:ilvl w:val="1"/>
          <w:numId w:val="8"/>
        </w:numPr>
        <w:tabs>
          <w:tab w:val="left" w:pos="1080"/>
          <w:tab w:val="left" w:pos="2014"/>
        </w:tabs>
        <w:snapToGrid w:val="0"/>
        <w:spacing w:line="360" w:lineRule="auto"/>
        <w:ind w:left="1080" w:hanging="720"/>
        <w:rPr>
          <w:sz w:val="24"/>
        </w:rPr>
      </w:pPr>
      <w:r>
        <w:rPr>
          <w:sz w:val="24"/>
        </w:rPr>
        <w:t>采购需求标准</w:t>
      </w:r>
    </w:p>
    <w:p w14:paraId="3555CACD">
      <w:pPr>
        <w:numPr>
          <w:ilvl w:val="2"/>
          <w:numId w:val="8"/>
        </w:numPr>
        <w:tabs>
          <w:tab w:val="left" w:pos="2014"/>
        </w:tabs>
        <w:snapToGrid w:val="0"/>
        <w:spacing w:line="360" w:lineRule="auto"/>
        <w:rPr>
          <w:sz w:val="24"/>
        </w:rPr>
      </w:pPr>
      <w:r>
        <w:rPr>
          <w:sz w:val="24"/>
        </w:rPr>
        <w:t>商品包装、快递包装政府采购需求标准（试行）</w:t>
      </w:r>
    </w:p>
    <w:p w14:paraId="3751F5A9">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E4A3068">
      <w:pPr>
        <w:numPr>
          <w:ilvl w:val="2"/>
          <w:numId w:val="8"/>
        </w:numPr>
        <w:tabs>
          <w:tab w:val="left" w:pos="2014"/>
        </w:tabs>
        <w:snapToGrid w:val="0"/>
        <w:spacing w:line="360" w:lineRule="auto"/>
        <w:rPr>
          <w:sz w:val="24"/>
        </w:rPr>
      </w:pPr>
      <w:bookmarkStart w:id="164" w:name="_Hlk164953935"/>
      <w:r>
        <w:rPr>
          <w:sz w:val="24"/>
        </w:rPr>
        <w:t xml:space="preserve">其他政府采购需求标准 </w:t>
      </w:r>
    </w:p>
    <w:bookmarkEnd w:id="164"/>
    <w:p w14:paraId="5F2FE1B7">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4AF324D0">
      <w:pPr>
        <w:numPr>
          <w:ilvl w:val="0"/>
          <w:numId w:val="8"/>
        </w:numPr>
        <w:tabs>
          <w:tab w:val="left" w:pos="360"/>
        </w:tabs>
        <w:snapToGrid w:val="0"/>
        <w:spacing w:line="360" w:lineRule="auto"/>
        <w:ind w:left="357" w:hanging="357"/>
        <w:outlineLvl w:val="1"/>
        <w:rPr>
          <w:sz w:val="24"/>
        </w:rPr>
      </w:pPr>
      <w:r>
        <w:rPr>
          <w:sz w:val="24"/>
        </w:rPr>
        <w:t>投标费用</w:t>
      </w:r>
    </w:p>
    <w:p w14:paraId="6CD818A6">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39369762">
      <w:pPr>
        <w:tabs>
          <w:tab w:val="left" w:pos="1080"/>
        </w:tabs>
        <w:snapToGrid w:val="0"/>
        <w:spacing w:line="360" w:lineRule="auto"/>
        <w:ind w:left="1080"/>
        <w:rPr>
          <w:sz w:val="28"/>
        </w:rPr>
      </w:pPr>
      <w:bookmarkStart w:id="166" w:name="_1.8_计量单位"/>
      <w:bookmarkEnd w:id="166"/>
    </w:p>
    <w:p w14:paraId="7E5A66D6">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6D281095">
      <w:pPr>
        <w:numPr>
          <w:ilvl w:val="0"/>
          <w:numId w:val="8"/>
        </w:numPr>
        <w:tabs>
          <w:tab w:val="left" w:pos="360"/>
        </w:tabs>
        <w:snapToGrid w:val="0"/>
        <w:spacing w:line="360" w:lineRule="auto"/>
        <w:ind w:left="357" w:hanging="357"/>
        <w:outlineLvl w:val="1"/>
        <w:rPr>
          <w:sz w:val="24"/>
        </w:rPr>
      </w:pPr>
      <w:bookmarkStart w:id="167" w:name="_Toc127161437"/>
      <w:bookmarkStart w:id="168" w:name="_Toc151193693"/>
      <w:bookmarkStart w:id="169" w:name="_Toc151193911"/>
      <w:bookmarkStart w:id="170" w:name="_Toc520356147"/>
      <w:bookmarkStart w:id="171" w:name="_Toc264969213"/>
      <w:bookmarkStart w:id="172" w:name="_Toc164608637"/>
      <w:bookmarkStart w:id="173" w:name="_Toc305158791"/>
      <w:bookmarkStart w:id="174" w:name="_Toc150480761"/>
      <w:bookmarkStart w:id="175" w:name="_Toc265228361"/>
      <w:bookmarkStart w:id="176" w:name="_Toc164608792"/>
      <w:bookmarkStart w:id="177" w:name="_Toc151190150"/>
      <w:bookmarkStart w:id="178" w:name="_Toc150774728"/>
      <w:bookmarkStart w:id="179" w:name="_Toc151193837"/>
      <w:bookmarkStart w:id="180" w:name="_Toc127151523"/>
      <w:bookmarkStart w:id="181" w:name="_Toc150509274"/>
      <w:bookmarkStart w:id="182" w:name="_Toc149720816"/>
      <w:bookmarkStart w:id="183" w:name="_Toc164351617"/>
      <w:bookmarkStart w:id="184" w:name="_Toc142311025"/>
      <w:bookmarkStart w:id="185" w:name="_Toc195842888"/>
      <w:bookmarkStart w:id="186" w:name="_Toc164229364"/>
      <w:bookmarkStart w:id="187" w:name="_Toc151193765"/>
      <w:bookmarkStart w:id="188" w:name="_Toc127151724"/>
      <w:bookmarkStart w:id="189" w:name="_Toc151193621"/>
      <w:bookmarkStart w:id="190" w:name="_Toc150774623"/>
      <w:bookmarkStart w:id="191" w:name="_Toc226965796"/>
      <w:bookmarkStart w:id="192" w:name="_Toc164229218"/>
      <w:bookmarkStart w:id="193" w:name="_Toc226965713"/>
      <w:bookmarkStart w:id="194" w:name="_Toc226309767"/>
      <w:bookmarkStart w:id="195" w:name="_Toc305158865"/>
      <w:bookmarkStart w:id="196" w:name="_Toc226337219"/>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35111340">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6B1C401C">
      <w:pPr>
        <w:numPr>
          <w:ilvl w:val="0"/>
          <w:numId w:val="10"/>
        </w:numPr>
        <w:tabs>
          <w:tab w:val="left" w:pos="1980"/>
          <w:tab w:val="left" w:pos="2520"/>
        </w:tabs>
        <w:snapToGrid w:val="0"/>
        <w:spacing w:line="360" w:lineRule="auto"/>
        <w:ind w:left="1440" w:firstLine="5"/>
        <w:rPr>
          <w:sz w:val="24"/>
        </w:rPr>
      </w:pPr>
      <w:r>
        <w:rPr>
          <w:sz w:val="24"/>
        </w:rPr>
        <w:t>投标邀请</w:t>
      </w:r>
    </w:p>
    <w:p w14:paraId="35D4656A">
      <w:pPr>
        <w:numPr>
          <w:ilvl w:val="0"/>
          <w:numId w:val="10"/>
        </w:numPr>
        <w:tabs>
          <w:tab w:val="left" w:pos="1980"/>
          <w:tab w:val="left" w:pos="2520"/>
        </w:tabs>
        <w:snapToGrid w:val="0"/>
        <w:spacing w:line="360" w:lineRule="auto"/>
        <w:ind w:left="1440" w:firstLine="5"/>
        <w:rPr>
          <w:sz w:val="24"/>
        </w:rPr>
      </w:pPr>
      <w:r>
        <w:rPr>
          <w:sz w:val="24"/>
        </w:rPr>
        <w:t>投标人须知</w:t>
      </w:r>
    </w:p>
    <w:p w14:paraId="30435512">
      <w:pPr>
        <w:numPr>
          <w:ilvl w:val="0"/>
          <w:numId w:val="10"/>
        </w:numPr>
        <w:tabs>
          <w:tab w:val="left" w:pos="1980"/>
          <w:tab w:val="left" w:pos="2520"/>
        </w:tabs>
        <w:snapToGrid w:val="0"/>
        <w:spacing w:line="360" w:lineRule="auto"/>
        <w:ind w:left="1440" w:firstLine="5"/>
        <w:rPr>
          <w:sz w:val="24"/>
        </w:rPr>
      </w:pPr>
      <w:r>
        <w:rPr>
          <w:sz w:val="24"/>
        </w:rPr>
        <w:t>资格审查</w:t>
      </w:r>
    </w:p>
    <w:p w14:paraId="22236AE8">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43C9182E">
      <w:pPr>
        <w:numPr>
          <w:ilvl w:val="0"/>
          <w:numId w:val="10"/>
        </w:numPr>
        <w:tabs>
          <w:tab w:val="left" w:pos="1980"/>
          <w:tab w:val="left" w:pos="2520"/>
        </w:tabs>
        <w:snapToGrid w:val="0"/>
        <w:spacing w:line="360" w:lineRule="auto"/>
        <w:ind w:left="1440" w:firstLine="5"/>
        <w:rPr>
          <w:sz w:val="24"/>
        </w:rPr>
      </w:pPr>
      <w:r>
        <w:rPr>
          <w:sz w:val="24"/>
        </w:rPr>
        <w:t>采购需求</w:t>
      </w:r>
    </w:p>
    <w:p w14:paraId="14B164A5">
      <w:pPr>
        <w:numPr>
          <w:ilvl w:val="0"/>
          <w:numId w:val="10"/>
        </w:numPr>
        <w:tabs>
          <w:tab w:val="left" w:pos="1980"/>
          <w:tab w:val="left" w:pos="2520"/>
        </w:tabs>
        <w:snapToGrid w:val="0"/>
        <w:spacing w:line="360" w:lineRule="auto"/>
        <w:ind w:left="1440" w:firstLine="5"/>
        <w:rPr>
          <w:sz w:val="24"/>
        </w:rPr>
      </w:pPr>
      <w:r>
        <w:rPr>
          <w:sz w:val="24"/>
        </w:rPr>
        <w:t>拟签订的合同文本</w:t>
      </w:r>
    </w:p>
    <w:p w14:paraId="746ECFCD">
      <w:pPr>
        <w:numPr>
          <w:ilvl w:val="0"/>
          <w:numId w:val="10"/>
        </w:numPr>
        <w:tabs>
          <w:tab w:val="left" w:pos="1980"/>
          <w:tab w:val="left" w:pos="2520"/>
        </w:tabs>
        <w:snapToGrid w:val="0"/>
        <w:spacing w:line="360" w:lineRule="auto"/>
        <w:ind w:left="1440" w:firstLine="5"/>
        <w:rPr>
          <w:sz w:val="24"/>
        </w:rPr>
      </w:pPr>
      <w:r>
        <w:rPr>
          <w:sz w:val="24"/>
        </w:rPr>
        <w:t>投标文件格式</w:t>
      </w:r>
    </w:p>
    <w:p w14:paraId="5A26DEB6">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203AD40C">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0BE5815E">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7EA09EAE">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72F46781">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533A817">
      <w:pPr>
        <w:tabs>
          <w:tab w:val="left" w:pos="1080"/>
          <w:tab w:val="left" w:pos="1561"/>
        </w:tabs>
        <w:snapToGrid w:val="0"/>
        <w:spacing w:line="360" w:lineRule="auto"/>
        <w:ind w:left="1080"/>
        <w:rPr>
          <w:sz w:val="28"/>
        </w:rPr>
      </w:pPr>
      <w:bookmarkStart w:id="197" w:name="_Toc516367020"/>
      <w:bookmarkStart w:id="198" w:name="_Toc226965716"/>
      <w:bookmarkStart w:id="199" w:name="_Toc305158868"/>
      <w:bookmarkStart w:id="200" w:name="_Toc151190153"/>
      <w:bookmarkStart w:id="201" w:name="_Toc142311028"/>
      <w:bookmarkStart w:id="202" w:name="_Toc305158794"/>
      <w:bookmarkStart w:id="203" w:name="_Toc226337222"/>
      <w:bookmarkStart w:id="204" w:name="_Toc226309770"/>
      <w:bookmarkStart w:id="205" w:name="_Toc151193840"/>
      <w:bookmarkStart w:id="206" w:name="_Toc264969216"/>
      <w:bookmarkStart w:id="207" w:name="_Toc226965799"/>
      <w:bookmarkStart w:id="208" w:name="_Toc151193768"/>
      <w:bookmarkStart w:id="209" w:name="_Toc150509277"/>
      <w:bookmarkStart w:id="210" w:name="_Toc150480764"/>
      <w:bookmarkStart w:id="211" w:name="_Toc127151526"/>
      <w:bookmarkStart w:id="212" w:name="_Toc151193624"/>
      <w:bookmarkStart w:id="213" w:name="_Toc150774731"/>
      <w:bookmarkStart w:id="214" w:name="_Toc520356150"/>
      <w:bookmarkStart w:id="215" w:name="_Toc150774626"/>
      <w:bookmarkStart w:id="216" w:name="_Toc195842891"/>
      <w:bookmarkStart w:id="217" w:name="_Toc151193914"/>
      <w:bookmarkStart w:id="218" w:name="_Toc265228364"/>
      <w:bookmarkStart w:id="219" w:name="_Toc151193696"/>
    </w:p>
    <w:p w14:paraId="49C4474E">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9F06A15">
      <w:pPr>
        <w:numPr>
          <w:ilvl w:val="0"/>
          <w:numId w:val="8"/>
        </w:numPr>
        <w:tabs>
          <w:tab w:val="left" w:pos="360"/>
        </w:tabs>
        <w:snapToGrid w:val="0"/>
        <w:spacing w:line="360" w:lineRule="auto"/>
        <w:ind w:left="357" w:hanging="357"/>
        <w:outlineLvl w:val="1"/>
        <w:rPr>
          <w:sz w:val="24"/>
        </w:rPr>
      </w:pPr>
      <w:bookmarkStart w:id="220" w:name="_Toc226337223"/>
      <w:bookmarkStart w:id="221" w:name="_Toc516367021"/>
      <w:bookmarkStart w:id="222" w:name="_Toc164229368"/>
      <w:bookmarkStart w:id="223" w:name="_Toc151193697"/>
      <w:bookmarkStart w:id="224" w:name="_Toc151190154"/>
      <w:bookmarkStart w:id="225" w:name="_Toc150480765"/>
      <w:bookmarkStart w:id="226" w:name="_Toc151193915"/>
      <w:bookmarkStart w:id="227" w:name="_Toc150774627"/>
      <w:bookmarkStart w:id="228" w:name="_Toc151193841"/>
      <w:bookmarkStart w:id="229" w:name="_Toc226965717"/>
      <w:bookmarkStart w:id="230" w:name="_Toc305158795"/>
      <w:bookmarkStart w:id="231" w:name="_Toc149720820"/>
      <w:bookmarkStart w:id="232" w:name="_Toc195842892"/>
      <w:bookmarkStart w:id="233" w:name="_Toc265228365"/>
      <w:bookmarkStart w:id="234" w:name="_Toc150774732"/>
      <w:bookmarkStart w:id="235" w:name="_Toc520356151"/>
      <w:bookmarkStart w:id="236" w:name="_Toc226965800"/>
      <w:bookmarkStart w:id="237" w:name="_Toc164229222"/>
      <w:bookmarkStart w:id="238" w:name="_Toc164351621"/>
      <w:bookmarkStart w:id="239" w:name="_Toc127161441"/>
      <w:bookmarkStart w:id="240" w:name="_Toc151193769"/>
      <w:bookmarkStart w:id="241" w:name="_Toc264969217"/>
      <w:bookmarkStart w:id="242" w:name="_Toc127151728"/>
      <w:bookmarkStart w:id="243" w:name="_Toc226309771"/>
      <w:bookmarkStart w:id="244" w:name="_Toc151193625"/>
      <w:bookmarkStart w:id="245" w:name="_Toc142311029"/>
      <w:bookmarkStart w:id="246" w:name="_Toc305158869"/>
      <w:bookmarkStart w:id="247" w:name="_Toc164608796"/>
      <w:bookmarkStart w:id="248" w:name="_Toc164608641"/>
      <w:bookmarkStart w:id="249" w:name="_Toc127151527"/>
      <w:bookmarkStart w:id="250" w:name="_Toc150509278"/>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67226CEF">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2EBA0DB4">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2AC760D">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D39AB63">
      <w:pPr>
        <w:numPr>
          <w:ilvl w:val="0"/>
          <w:numId w:val="8"/>
        </w:numPr>
        <w:tabs>
          <w:tab w:val="left" w:pos="360"/>
        </w:tabs>
        <w:snapToGrid w:val="0"/>
        <w:spacing w:line="360" w:lineRule="auto"/>
        <w:ind w:left="357" w:hanging="357"/>
        <w:outlineLvl w:val="1"/>
        <w:rPr>
          <w:sz w:val="24"/>
        </w:rPr>
      </w:pPr>
      <w:bookmarkStart w:id="251" w:name="_Toc516367022"/>
      <w:bookmarkStart w:id="252" w:name="_Ref467306676"/>
      <w:bookmarkStart w:id="253" w:name="_Ref467306195"/>
      <w:bookmarkStart w:id="254" w:name="_Toc226965718"/>
      <w:bookmarkStart w:id="255" w:name="_Toc151193626"/>
      <w:bookmarkStart w:id="256" w:name="_Toc151190155"/>
      <w:bookmarkStart w:id="257" w:name="_Toc164608797"/>
      <w:bookmarkStart w:id="258" w:name="_Toc151193698"/>
      <w:bookmarkStart w:id="259" w:name="_Toc150774733"/>
      <w:bookmarkStart w:id="260" w:name="_Toc127161442"/>
      <w:bookmarkStart w:id="261" w:name="_Toc127151729"/>
      <w:bookmarkStart w:id="262" w:name="_Toc151193842"/>
      <w:bookmarkStart w:id="263" w:name="_Toc226309772"/>
      <w:bookmarkStart w:id="264" w:name="_Toc305158870"/>
      <w:bookmarkStart w:id="265" w:name="_Toc195842893"/>
      <w:bookmarkStart w:id="266" w:name="_Toc127151528"/>
      <w:bookmarkStart w:id="267" w:name="_Toc520356152"/>
      <w:bookmarkStart w:id="268" w:name="_Toc265228366"/>
      <w:bookmarkStart w:id="269" w:name="_Toc164229369"/>
      <w:bookmarkStart w:id="270" w:name="_Toc142311030"/>
      <w:bookmarkStart w:id="271" w:name="_Toc150509279"/>
      <w:bookmarkStart w:id="272" w:name="_Toc264969218"/>
      <w:bookmarkStart w:id="273" w:name="_Toc226337224"/>
      <w:bookmarkStart w:id="274" w:name="_Toc226965801"/>
      <w:bookmarkStart w:id="275" w:name="_Toc150480766"/>
      <w:bookmarkStart w:id="276" w:name="_Toc164351622"/>
      <w:bookmarkStart w:id="277" w:name="_Toc164229223"/>
      <w:bookmarkStart w:id="278" w:name="_Toc150774628"/>
      <w:bookmarkStart w:id="279" w:name="_Toc164608642"/>
      <w:bookmarkStart w:id="280" w:name="_Toc151193770"/>
      <w:bookmarkStart w:id="281" w:name="_Toc305158796"/>
      <w:bookmarkStart w:id="282" w:name="_Toc149720821"/>
      <w:bookmarkStart w:id="283" w:name="_Toc151193916"/>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870C690">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297E54BC">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E8582A4">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2F1BF53">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F457C7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07C3B1C1">
      <w:pPr>
        <w:numPr>
          <w:ilvl w:val="0"/>
          <w:numId w:val="8"/>
        </w:numPr>
        <w:tabs>
          <w:tab w:val="left" w:pos="360"/>
        </w:tabs>
        <w:snapToGrid w:val="0"/>
        <w:spacing w:line="360" w:lineRule="auto"/>
        <w:ind w:left="357" w:hanging="357"/>
        <w:outlineLvl w:val="1"/>
        <w:rPr>
          <w:sz w:val="24"/>
        </w:rPr>
      </w:pPr>
      <w:bookmarkStart w:id="285" w:name="_Toc150480768"/>
      <w:bookmarkStart w:id="286" w:name="_Toc149720823"/>
      <w:bookmarkStart w:id="287" w:name="_Toc164608644"/>
      <w:bookmarkStart w:id="288" w:name="_Toc150509281"/>
      <w:bookmarkStart w:id="289" w:name="_Toc151193700"/>
      <w:bookmarkStart w:id="290" w:name="_Toc150774735"/>
      <w:bookmarkStart w:id="291" w:name="_Toc520356155"/>
      <w:bookmarkStart w:id="292" w:name="_Toc151193628"/>
      <w:bookmarkStart w:id="293" w:name="_Toc164351624"/>
      <w:bookmarkStart w:id="294" w:name="_Toc127151530"/>
      <w:bookmarkStart w:id="295" w:name="_Toc164229225"/>
      <w:bookmarkStart w:id="296" w:name="_Toc195842895"/>
      <w:bookmarkStart w:id="297" w:name="_Toc151193918"/>
      <w:bookmarkStart w:id="298" w:name="_Toc151190157"/>
      <w:bookmarkStart w:id="299" w:name="_Toc151193844"/>
      <w:bookmarkStart w:id="300" w:name="_Toc150774630"/>
      <w:bookmarkStart w:id="301" w:name="_Toc127161444"/>
      <w:bookmarkStart w:id="302" w:name="_Toc164229371"/>
      <w:bookmarkStart w:id="303" w:name="_Toc151193772"/>
      <w:bookmarkStart w:id="304" w:name="_Toc142311032"/>
      <w:bookmarkStart w:id="305" w:name="_Toc127151731"/>
      <w:bookmarkStart w:id="306" w:name="_Toc164608799"/>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7986DD27">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45DF092B">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86F94F5">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BB248C8">
      <w:pPr>
        <w:numPr>
          <w:ilvl w:val="2"/>
          <w:numId w:val="8"/>
        </w:numPr>
        <w:snapToGrid w:val="0"/>
        <w:spacing w:line="360" w:lineRule="auto"/>
        <w:rPr>
          <w:sz w:val="24"/>
        </w:rPr>
      </w:pPr>
      <w:r>
        <w:rPr>
          <w:sz w:val="24"/>
        </w:rPr>
        <w:t xml:space="preserve">按照招标文件要求完成本项目的全部相关费用。 </w:t>
      </w:r>
    </w:p>
    <w:p w14:paraId="519EE8F6">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85C0A12">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DFB332C">
      <w:pPr>
        <w:numPr>
          <w:ilvl w:val="0"/>
          <w:numId w:val="8"/>
        </w:numPr>
        <w:tabs>
          <w:tab w:val="left" w:pos="360"/>
        </w:tabs>
        <w:snapToGrid w:val="0"/>
        <w:spacing w:line="360" w:lineRule="auto"/>
        <w:ind w:left="357" w:hanging="357"/>
        <w:outlineLvl w:val="1"/>
        <w:rPr>
          <w:sz w:val="24"/>
        </w:rPr>
      </w:pPr>
      <w:bookmarkStart w:id="307" w:name="_Toc164608645"/>
      <w:bookmarkStart w:id="308" w:name="_Toc150774736"/>
      <w:bookmarkStart w:id="309" w:name="_Toc164229372"/>
      <w:bookmarkStart w:id="310" w:name="_Toc151193773"/>
      <w:bookmarkStart w:id="311" w:name="_Toc265228369"/>
      <w:bookmarkStart w:id="312" w:name="_Toc226965804"/>
      <w:bookmarkStart w:id="313" w:name="_Toc305158873"/>
      <w:bookmarkStart w:id="314" w:name="_Toc127151531"/>
      <w:bookmarkStart w:id="315" w:name="_Ref467306513"/>
      <w:bookmarkStart w:id="316" w:name="_Toc151193701"/>
      <w:bookmarkStart w:id="317" w:name="_Toc226965721"/>
      <w:bookmarkStart w:id="318" w:name="_Toc151193919"/>
      <w:bookmarkStart w:id="319" w:name="_Toc151193629"/>
      <w:bookmarkStart w:id="320" w:name="_Toc127161445"/>
      <w:bookmarkStart w:id="321" w:name="_Toc149720824"/>
      <w:bookmarkStart w:id="322" w:name="_Toc226309775"/>
      <w:bookmarkStart w:id="323" w:name="_Toc226337227"/>
      <w:bookmarkStart w:id="324" w:name="_Toc151193845"/>
      <w:bookmarkStart w:id="325" w:name="_Toc264969221"/>
      <w:bookmarkStart w:id="326" w:name="_Toc195842896"/>
      <w:bookmarkStart w:id="327" w:name="_Toc127151732"/>
      <w:bookmarkStart w:id="328" w:name="_Toc142311033"/>
      <w:bookmarkStart w:id="329" w:name="_Toc164229226"/>
      <w:bookmarkStart w:id="330" w:name="_Toc164351625"/>
      <w:bookmarkStart w:id="331" w:name="_Toc164608800"/>
      <w:bookmarkStart w:id="332" w:name="_Toc150480769"/>
      <w:bookmarkStart w:id="333" w:name="_Toc150774631"/>
      <w:bookmarkStart w:id="334" w:name="_Toc150509282"/>
      <w:bookmarkStart w:id="335" w:name="_Toc520356156"/>
      <w:bookmarkStart w:id="336" w:name="_Toc151190158"/>
      <w:bookmarkStart w:id="337" w:name="_Toc305158799"/>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08E708A3">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22430D0A">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0157F87A">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26E40A82">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1573DAD2">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189E751C">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1FF6198">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0D4FB8B6">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466DC797">
      <w:pPr>
        <w:numPr>
          <w:ilvl w:val="2"/>
          <w:numId w:val="8"/>
        </w:numPr>
        <w:snapToGrid w:val="0"/>
        <w:spacing w:line="360" w:lineRule="auto"/>
        <w:rPr>
          <w:sz w:val="24"/>
        </w:rPr>
      </w:pPr>
      <w:r>
        <w:rPr>
          <w:sz w:val="24"/>
        </w:rPr>
        <w:t>中标人的投标保证金，自采购合同签订之日起5个工作日内退还中标人；</w:t>
      </w:r>
    </w:p>
    <w:p w14:paraId="7C8EC727">
      <w:pPr>
        <w:numPr>
          <w:ilvl w:val="2"/>
          <w:numId w:val="8"/>
        </w:numPr>
        <w:snapToGrid w:val="0"/>
        <w:spacing w:line="360" w:lineRule="auto"/>
        <w:rPr>
          <w:sz w:val="24"/>
        </w:rPr>
      </w:pPr>
      <w:r>
        <w:rPr>
          <w:sz w:val="24"/>
        </w:rPr>
        <w:t>未中标投标人的投标保证金，自中标通知书发出之日起5个工作日内退还未中标人；</w:t>
      </w:r>
    </w:p>
    <w:p w14:paraId="0C7B1CDB">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6A0EB06F">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09378FA">
      <w:pPr>
        <w:numPr>
          <w:ilvl w:val="2"/>
          <w:numId w:val="8"/>
        </w:numPr>
        <w:snapToGrid w:val="0"/>
        <w:spacing w:line="360" w:lineRule="auto"/>
        <w:rPr>
          <w:sz w:val="24"/>
        </w:rPr>
      </w:pPr>
      <w:r>
        <w:rPr>
          <w:sz w:val="24"/>
        </w:rPr>
        <w:t>投标有效期内投标人撤销投标文件的；</w:t>
      </w:r>
    </w:p>
    <w:p w14:paraId="4494E2D1">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1ECE3728">
      <w:pPr>
        <w:numPr>
          <w:ilvl w:val="0"/>
          <w:numId w:val="8"/>
        </w:numPr>
        <w:tabs>
          <w:tab w:val="left" w:pos="360"/>
        </w:tabs>
        <w:snapToGrid w:val="0"/>
        <w:spacing w:line="360" w:lineRule="auto"/>
        <w:ind w:left="357" w:hanging="357"/>
        <w:outlineLvl w:val="1"/>
        <w:rPr>
          <w:sz w:val="24"/>
        </w:rPr>
      </w:pPr>
      <w:bookmarkStart w:id="340" w:name="_Toc164351626"/>
      <w:bookmarkStart w:id="341" w:name="_Toc142311034"/>
      <w:bookmarkStart w:id="342" w:name="_Toc150480770"/>
      <w:bookmarkStart w:id="343" w:name="_Toc149720825"/>
      <w:bookmarkStart w:id="344" w:name="_Toc305158800"/>
      <w:bookmarkStart w:id="345" w:name="_Toc264969222"/>
      <w:bookmarkStart w:id="346" w:name="_Toc265228370"/>
      <w:bookmarkStart w:id="347" w:name="_Toc150774737"/>
      <w:bookmarkStart w:id="348" w:name="_Toc164608646"/>
      <w:bookmarkStart w:id="349" w:name="_Toc305158874"/>
      <w:bookmarkStart w:id="350" w:name="_Toc195842897"/>
      <w:bookmarkStart w:id="351" w:name="_Toc226309776"/>
      <w:bookmarkStart w:id="352" w:name="_Toc151193846"/>
      <w:bookmarkStart w:id="353" w:name="_Toc164229227"/>
      <w:bookmarkStart w:id="354" w:name="_Toc520356157"/>
      <w:bookmarkStart w:id="355" w:name="_Toc151193630"/>
      <w:bookmarkStart w:id="356" w:name="_Toc226337228"/>
      <w:bookmarkStart w:id="357" w:name="_Toc151193920"/>
      <w:bookmarkStart w:id="358" w:name="_Toc151190159"/>
      <w:bookmarkStart w:id="359" w:name="_Toc127151733"/>
      <w:bookmarkStart w:id="360" w:name="_Toc150509283"/>
      <w:bookmarkStart w:id="361" w:name="_Toc164608801"/>
      <w:bookmarkStart w:id="362" w:name="_Toc151193774"/>
      <w:bookmarkStart w:id="363" w:name="_Toc150774632"/>
      <w:bookmarkStart w:id="364" w:name="_Toc226965805"/>
      <w:bookmarkStart w:id="365" w:name="_Toc226965722"/>
      <w:bookmarkStart w:id="366" w:name="_Toc164229373"/>
      <w:bookmarkStart w:id="367" w:name="_Toc151193702"/>
      <w:bookmarkStart w:id="368" w:name="_Toc127151532"/>
      <w:bookmarkStart w:id="369" w:name="_Toc127161446"/>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6826BB17">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30E45F16">
      <w:pPr>
        <w:numPr>
          <w:ilvl w:val="0"/>
          <w:numId w:val="8"/>
        </w:numPr>
        <w:tabs>
          <w:tab w:val="left" w:pos="360"/>
        </w:tabs>
        <w:snapToGrid w:val="0"/>
        <w:spacing w:line="360" w:lineRule="auto"/>
        <w:ind w:left="357" w:hanging="357"/>
        <w:outlineLvl w:val="1"/>
        <w:rPr>
          <w:sz w:val="24"/>
        </w:rPr>
      </w:pPr>
      <w:bookmarkStart w:id="370" w:name="_Toc164608647"/>
      <w:bookmarkStart w:id="371" w:name="_Toc149720826"/>
      <w:bookmarkStart w:id="372" w:name="_Toc151190160"/>
      <w:bookmarkStart w:id="373" w:name="_Toc151193703"/>
      <w:bookmarkStart w:id="374" w:name="_Toc127151533"/>
      <w:bookmarkStart w:id="375" w:name="_Toc142311035"/>
      <w:bookmarkStart w:id="376" w:name="_Toc264969223"/>
      <w:bookmarkStart w:id="377" w:name="_Toc226965723"/>
      <w:bookmarkStart w:id="378" w:name="_Toc164608802"/>
      <w:bookmarkStart w:id="379" w:name="_Toc151193631"/>
      <w:bookmarkStart w:id="380" w:name="_Toc195842898"/>
      <w:bookmarkStart w:id="381" w:name="_Toc127151734"/>
      <w:bookmarkStart w:id="382" w:name="_Toc151193921"/>
      <w:bookmarkStart w:id="383" w:name="_Toc150480771"/>
      <w:bookmarkStart w:id="384" w:name="_Toc151193847"/>
      <w:bookmarkStart w:id="385" w:name="_Toc150774633"/>
      <w:bookmarkStart w:id="386" w:name="_Toc164351627"/>
      <w:bookmarkStart w:id="387" w:name="_Toc265228371"/>
      <w:bookmarkStart w:id="388" w:name="_Toc127161447"/>
      <w:bookmarkStart w:id="389" w:name="_Toc520356158"/>
      <w:bookmarkStart w:id="390" w:name="_Toc305158801"/>
      <w:bookmarkStart w:id="391" w:name="_Toc151193775"/>
      <w:bookmarkStart w:id="392" w:name="_Toc226337229"/>
      <w:bookmarkStart w:id="393" w:name="_Toc226965806"/>
      <w:bookmarkStart w:id="394" w:name="_Toc150509284"/>
      <w:bookmarkStart w:id="395" w:name="_Toc226309777"/>
      <w:bookmarkStart w:id="396" w:name="_Toc305158875"/>
      <w:bookmarkStart w:id="397" w:name="_Toc164229228"/>
      <w:bookmarkStart w:id="398" w:name="_Toc150774738"/>
      <w:bookmarkStart w:id="399" w:name="_Toc164229374"/>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4420A0E4">
      <w:pPr>
        <w:numPr>
          <w:ilvl w:val="1"/>
          <w:numId w:val="8"/>
        </w:numPr>
        <w:tabs>
          <w:tab w:val="left" w:pos="1080"/>
          <w:tab w:val="left" w:pos="2014"/>
        </w:tabs>
        <w:snapToGrid w:val="0"/>
        <w:spacing w:line="360" w:lineRule="auto"/>
        <w:ind w:left="1077" w:hanging="720"/>
        <w:rPr>
          <w:sz w:val="24"/>
        </w:rPr>
      </w:pPr>
      <w:bookmarkStart w:id="400" w:name="_Toc151193848"/>
      <w:bookmarkStart w:id="401" w:name="_Toc151193922"/>
      <w:bookmarkStart w:id="402" w:name="_Toc520356159"/>
      <w:bookmarkStart w:id="403" w:name="_Toc151193704"/>
      <w:bookmarkStart w:id="404" w:name="_Toc226965807"/>
      <w:bookmarkStart w:id="405" w:name="_Toc151193776"/>
      <w:bookmarkStart w:id="406" w:name="_Toc195842899"/>
      <w:bookmarkStart w:id="407" w:name="_Toc151193632"/>
      <w:bookmarkStart w:id="408" w:name="_Toc150774739"/>
      <w:bookmarkStart w:id="409" w:name="_Toc142311036"/>
      <w:bookmarkStart w:id="410" w:name="_Toc265228372"/>
      <w:bookmarkStart w:id="411" w:name="_Toc226337230"/>
      <w:bookmarkStart w:id="412" w:name="_Toc150509285"/>
      <w:bookmarkStart w:id="413" w:name="_Toc127151534"/>
      <w:bookmarkStart w:id="414" w:name="_Toc150774634"/>
      <w:bookmarkStart w:id="415" w:name="_Toc150480772"/>
      <w:bookmarkStart w:id="416" w:name="_Toc226309778"/>
      <w:bookmarkStart w:id="417" w:name="_Toc151190161"/>
      <w:bookmarkStart w:id="418" w:name="_Toc226965724"/>
      <w:bookmarkStart w:id="419" w:name="_Toc305158876"/>
      <w:bookmarkStart w:id="420" w:name="_Toc264969224"/>
      <w:bookmarkStart w:id="421" w:name="_Toc30515880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32C912C3">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66E184B3">
      <w:pPr>
        <w:tabs>
          <w:tab w:val="left" w:pos="900"/>
          <w:tab w:val="left" w:pos="1080"/>
        </w:tabs>
        <w:snapToGrid w:val="0"/>
        <w:spacing w:line="360" w:lineRule="auto"/>
        <w:ind w:left="357"/>
      </w:pPr>
    </w:p>
    <w:p w14:paraId="74ACBA44">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2172AA7B">
      <w:pPr>
        <w:numPr>
          <w:ilvl w:val="0"/>
          <w:numId w:val="8"/>
        </w:numPr>
        <w:tabs>
          <w:tab w:val="left" w:pos="360"/>
        </w:tabs>
        <w:snapToGrid w:val="0"/>
        <w:spacing w:line="360" w:lineRule="auto"/>
        <w:ind w:left="357" w:hanging="357"/>
        <w:outlineLvl w:val="1"/>
        <w:rPr>
          <w:sz w:val="24"/>
        </w:rPr>
      </w:pPr>
      <w:bookmarkStart w:id="422" w:name="_Toc127151736"/>
      <w:bookmarkStart w:id="423" w:name="_Toc520356160"/>
      <w:bookmarkStart w:id="424" w:name="_Toc226309779"/>
      <w:bookmarkStart w:id="425" w:name="_Toc164229376"/>
      <w:bookmarkStart w:id="426" w:name="_Toc195842900"/>
      <w:bookmarkStart w:id="427" w:name="_Toc151193849"/>
      <w:bookmarkStart w:id="428" w:name="_Toc226337231"/>
      <w:bookmarkStart w:id="429" w:name="_Toc305158803"/>
      <w:bookmarkStart w:id="430" w:name="_Toc127151535"/>
      <w:bookmarkStart w:id="431" w:name="_Toc150774740"/>
      <w:bookmarkStart w:id="432" w:name="_Toc265228373"/>
      <w:bookmarkStart w:id="433" w:name="_Toc150774635"/>
      <w:bookmarkStart w:id="434" w:name="_Toc264969225"/>
      <w:bookmarkStart w:id="435" w:name="_Toc150509286"/>
      <w:bookmarkStart w:id="436" w:name="_Toc151193777"/>
      <w:bookmarkStart w:id="437" w:name="_Toc164229230"/>
      <w:bookmarkStart w:id="438" w:name="_Toc164608804"/>
      <w:bookmarkStart w:id="439" w:name="_Toc151190162"/>
      <w:bookmarkStart w:id="440" w:name="_Toc150480773"/>
      <w:bookmarkStart w:id="441" w:name="_Toc151193633"/>
      <w:bookmarkStart w:id="442" w:name="_Toc226965808"/>
      <w:bookmarkStart w:id="443" w:name="_Toc151193923"/>
      <w:bookmarkStart w:id="444" w:name="_Toc142311037"/>
      <w:bookmarkStart w:id="445" w:name="_Toc149720828"/>
      <w:bookmarkStart w:id="446" w:name="_Toc164351629"/>
      <w:bookmarkStart w:id="447" w:name="_Toc226965725"/>
      <w:bookmarkStart w:id="448" w:name="_Toc127161449"/>
      <w:bookmarkStart w:id="449" w:name="_Toc305158877"/>
      <w:bookmarkStart w:id="450" w:name="_Toc164608649"/>
      <w:bookmarkStart w:id="451" w:name="_Toc151193705"/>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4702FA30">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5844E48B">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660091EB">
      <w:pPr>
        <w:numPr>
          <w:ilvl w:val="0"/>
          <w:numId w:val="8"/>
        </w:numPr>
        <w:tabs>
          <w:tab w:val="left" w:pos="360"/>
        </w:tabs>
        <w:snapToGrid w:val="0"/>
        <w:spacing w:line="360" w:lineRule="auto"/>
        <w:ind w:left="357" w:hanging="357"/>
        <w:outlineLvl w:val="1"/>
        <w:rPr>
          <w:sz w:val="24"/>
        </w:rPr>
      </w:pPr>
      <w:bookmarkStart w:id="452" w:name="_Toc226965726"/>
      <w:bookmarkStart w:id="453" w:name="_Toc164351630"/>
      <w:bookmarkStart w:id="454" w:name="_Toc127151536"/>
      <w:bookmarkStart w:id="455" w:name="_Toc226309780"/>
      <w:bookmarkStart w:id="456" w:name="_Toc265228374"/>
      <w:bookmarkStart w:id="457" w:name="_Toc305158878"/>
      <w:bookmarkStart w:id="458" w:name="_Toc195842901"/>
      <w:bookmarkStart w:id="459" w:name="_Toc520356161"/>
      <w:bookmarkStart w:id="460" w:name="_Toc151193634"/>
      <w:bookmarkStart w:id="461" w:name="_Toc151190163"/>
      <w:bookmarkStart w:id="462" w:name="_Toc164229377"/>
      <w:bookmarkStart w:id="463" w:name="_Toc127151737"/>
      <w:bookmarkStart w:id="464" w:name="_Toc264969226"/>
      <w:bookmarkStart w:id="465" w:name="_Toc151193850"/>
      <w:bookmarkStart w:id="466" w:name="_Toc149720829"/>
      <w:bookmarkStart w:id="467" w:name="_Toc151193778"/>
      <w:bookmarkStart w:id="468" w:name="_Toc151193706"/>
      <w:bookmarkStart w:id="469" w:name="_Toc150774636"/>
      <w:bookmarkStart w:id="470" w:name="_Toc226337232"/>
      <w:bookmarkStart w:id="471" w:name="_Toc226965809"/>
      <w:bookmarkStart w:id="472" w:name="_Toc127161450"/>
      <w:bookmarkStart w:id="473" w:name="_Toc150509287"/>
      <w:bookmarkStart w:id="474" w:name="_Toc150480774"/>
      <w:bookmarkStart w:id="475" w:name="_Toc164608805"/>
      <w:bookmarkStart w:id="476" w:name="_Toc305158804"/>
      <w:bookmarkStart w:id="477" w:name="_Toc164229231"/>
      <w:bookmarkStart w:id="478" w:name="_Toc151193924"/>
      <w:bookmarkStart w:id="479" w:name="_Toc150774741"/>
      <w:bookmarkStart w:id="480" w:name="_Toc142311038"/>
      <w:bookmarkStart w:id="481" w:name="_Toc164608650"/>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3EEAD404">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51D469A8">
      <w:pPr>
        <w:numPr>
          <w:ilvl w:val="0"/>
          <w:numId w:val="8"/>
        </w:numPr>
        <w:tabs>
          <w:tab w:val="left" w:pos="360"/>
        </w:tabs>
        <w:snapToGrid w:val="0"/>
        <w:spacing w:line="360" w:lineRule="auto"/>
        <w:ind w:left="357" w:hanging="357"/>
        <w:outlineLvl w:val="1"/>
        <w:rPr>
          <w:sz w:val="24"/>
        </w:rPr>
      </w:pPr>
      <w:bookmarkStart w:id="482" w:name="_Toc305158879"/>
      <w:bookmarkStart w:id="483" w:name="_Toc150774742"/>
      <w:bookmarkStart w:id="484" w:name="_Toc164608806"/>
      <w:bookmarkStart w:id="485" w:name="_Toc150480775"/>
      <w:bookmarkStart w:id="486" w:name="_Toc127151537"/>
      <w:bookmarkStart w:id="487" w:name="_Toc164351631"/>
      <w:bookmarkStart w:id="488" w:name="_Toc150509288"/>
      <w:bookmarkStart w:id="489" w:name="_Toc226309781"/>
      <w:bookmarkStart w:id="490" w:name="_Toc305158805"/>
      <w:bookmarkStart w:id="491" w:name="_Toc226965727"/>
      <w:bookmarkStart w:id="492" w:name="_Toc149720830"/>
      <w:bookmarkStart w:id="493" w:name="_Toc151193851"/>
      <w:bookmarkStart w:id="494" w:name="_Toc151193707"/>
      <w:bookmarkStart w:id="495" w:name="_Toc195842902"/>
      <w:bookmarkStart w:id="496" w:name="_Toc151193635"/>
      <w:bookmarkStart w:id="497" w:name="_Toc164229378"/>
      <w:bookmarkStart w:id="498" w:name="_Toc226965810"/>
      <w:bookmarkStart w:id="499" w:name="_Toc151193779"/>
      <w:bookmarkStart w:id="500" w:name="_Toc520356162"/>
      <w:bookmarkStart w:id="501" w:name="_Toc226337233"/>
      <w:bookmarkStart w:id="502" w:name="_Toc264969227"/>
      <w:bookmarkStart w:id="503" w:name="_Toc151190164"/>
      <w:bookmarkStart w:id="504" w:name="_Toc150774637"/>
      <w:bookmarkStart w:id="505" w:name="_Toc127151738"/>
      <w:bookmarkStart w:id="506" w:name="_Toc164608651"/>
      <w:bookmarkStart w:id="507" w:name="_Toc142311039"/>
      <w:bookmarkStart w:id="508" w:name="_Toc151193925"/>
      <w:bookmarkStart w:id="509" w:name="_Toc164229232"/>
      <w:bookmarkStart w:id="510" w:name="_Toc265228375"/>
      <w:bookmarkStart w:id="511" w:name="_Toc127161451"/>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5CE62174">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039E4DAA">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6B162329">
      <w:pPr>
        <w:spacing w:line="360" w:lineRule="auto"/>
        <w:rPr>
          <w:sz w:val="24"/>
        </w:rPr>
      </w:pPr>
    </w:p>
    <w:p w14:paraId="4B4FC2C5">
      <w:pPr>
        <w:pStyle w:val="3"/>
        <w:spacing w:before="0" w:line="360" w:lineRule="auto"/>
        <w:rPr>
          <w:rFonts w:ascii="Times New Roman" w:hAnsi="Times New Roman" w:eastAsia="宋体"/>
          <w:sz w:val="28"/>
        </w:rPr>
      </w:pPr>
      <w:bookmarkStart w:id="512" w:name="_Toc150509289"/>
      <w:bookmarkStart w:id="513" w:name="_Toc226337234"/>
      <w:bookmarkStart w:id="514" w:name="_Toc151193636"/>
      <w:bookmarkStart w:id="515" w:name="_Toc520356163"/>
      <w:bookmarkStart w:id="516" w:name="_Toc305158806"/>
      <w:bookmarkStart w:id="517" w:name="_Toc226965728"/>
      <w:bookmarkStart w:id="518" w:name="_Toc151193926"/>
      <w:bookmarkStart w:id="519" w:name="_Toc151193780"/>
      <w:bookmarkStart w:id="520" w:name="_Toc150480776"/>
      <w:bookmarkStart w:id="521" w:name="_Toc305158880"/>
      <w:bookmarkStart w:id="522" w:name="_Toc226965811"/>
      <w:bookmarkStart w:id="523" w:name="_Toc195842903"/>
      <w:bookmarkStart w:id="524" w:name="_Toc151190165"/>
      <w:bookmarkStart w:id="525" w:name="_Toc151193852"/>
      <w:bookmarkStart w:id="526" w:name="_Toc127151538"/>
      <w:bookmarkStart w:id="527" w:name="_Toc226309782"/>
      <w:bookmarkStart w:id="528" w:name="_Toc150774638"/>
      <w:bookmarkStart w:id="529" w:name="_Toc264969228"/>
      <w:bookmarkStart w:id="530" w:name="_Toc150774743"/>
      <w:bookmarkStart w:id="531" w:name="_Toc265228376"/>
      <w:bookmarkStart w:id="532" w:name="_Toc151193708"/>
      <w:bookmarkStart w:id="533" w:name="_Toc142311040"/>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4DEFE88A">
      <w:pPr>
        <w:numPr>
          <w:ilvl w:val="0"/>
          <w:numId w:val="8"/>
        </w:numPr>
        <w:tabs>
          <w:tab w:val="left" w:pos="360"/>
        </w:tabs>
        <w:snapToGrid w:val="0"/>
        <w:spacing w:line="360" w:lineRule="auto"/>
        <w:ind w:left="357" w:hanging="357"/>
        <w:outlineLvl w:val="1"/>
        <w:rPr>
          <w:sz w:val="24"/>
        </w:rPr>
      </w:pPr>
      <w:bookmarkStart w:id="534" w:name="_Toc226309783"/>
      <w:bookmarkStart w:id="535" w:name="_Toc151193927"/>
      <w:bookmarkStart w:id="536" w:name="_Toc127161453"/>
      <w:bookmarkStart w:id="537" w:name="_Toc149720832"/>
      <w:bookmarkStart w:id="538" w:name="_Toc150509290"/>
      <w:bookmarkStart w:id="539" w:name="_Toc150774639"/>
      <w:bookmarkStart w:id="540" w:name="_Toc151190166"/>
      <w:bookmarkStart w:id="541" w:name="_Toc305158881"/>
      <w:bookmarkStart w:id="542" w:name="_Toc164229234"/>
      <w:bookmarkStart w:id="543" w:name="_Toc150480777"/>
      <w:bookmarkStart w:id="544" w:name="_Toc127151539"/>
      <w:bookmarkStart w:id="545" w:name="_Toc264969229"/>
      <w:bookmarkStart w:id="546" w:name="_Toc265228377"/>
      <w:bookmarkStart w:id="547" w:name="_Toc151193709"/>
      <w:bookmarkStart w:id="548" w:name="_Toc142311041"/>
      <w:bookmarkStart w:id="549" w:name="_Toc226965729"/>
      <w:bookmarkStart w:id="550" w:name="_Toc151193637"/>
      <w:bookmarkStart w:id="551" w:name="_Toc164608808"/>
      <w:bookmarkStart w:id="552" w:name="_Toc226965812"/>
      <w:bookmarkStart w:id="553" w:name="_Toc520356164"/>
      <w:bookmarkStart w:id="554" w:name="_Toc226337235"/>
      <w:bookmarkStart w:id="555" w:name="_Toc195842904"/>
      <w:bookmarkStart w:id="556" w:name="_Toc151193781"/>
      <w:bookmarkStart w:id="557" w:name="_Toc305158807"/>
      <w:bookmarkStart w:id="558" w:name="_Toc164229380"/>
      <w:bookmarkStart w:id="559" w:name="_Toc150774744"/>
      <w:bookmarkStart w:id="560" w:name="_Toc164351633"/>
      <w:bookmarkStart w:id="561" w:name="_Toc164608653"/>
      <w:bookmarkStart w:id="562" w:name="_Toc127151740"/>
      <w:bookmarkStart w:id="563" w:name="_Toc151193853"/>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7B8E255">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5ACF9571">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68A50397">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1D879525">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5716562">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1A4B629B">
      <w:pPr>
        <w:numPr>
          <w:ilvl w:val="0"/>
          <w:numId w:val="8"/>
        </w:numPr>
        <w:tabs>
          <w:tab w:val="left" w:pos="360"/>
        </w:tabs>
        <w:snapToGrid w:val="0"/>
        <w:spacing w:line="360" w:lineRule="auto"/>
        <w:ind w:left="357" w:hanging="357"/>
        <w:outlineLvl w:val="1"/>
        <w:rPr>
          <w:sz w:val="24"/>
        </w:rPr>
      </w:pPr>
      <w:r>
        <w:rPr>
          <w:sz w:val="24"/>
        </w:rPr>
        <w:t>资格审查</w:t>
      </w:r>
    </w:p>
    <w:p w14:paraId="59128D7A">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5"/>
    <w:p w14:paraId="37CA71DD">
      <w:pPr>
        <w:numPr>
          <w:ilvl w:val="0"/>
          <w:numId w:val="8"/>
        </w:numPr>
        <w:tabs>
          <w:tab w:val="left" w:pos="360"/>
        </w:tabs>
        <w:snapToGrid w:val="0"/>
        <w:spacing w:line="360" w:lineRule="auto"/>
        <w:ind w:left="357" w:hanging="357"/>
        <w:outlineLvl w:val="1"/>
        <w:rPr>
          <w:sz w:val="24"/>
        </w:rPr>
      </w:pPr>
      <w:bookmarkStart w:id="567" w:name="_Toc164229235"/>
      <w:bookmarkStart w:id="568" w:name="_Toc142311042"/>
      <w:bookmarkStart w:id="569" w:name="_Toc151193638"/>
      <w:bookmarkStart w:id="570" w:name="_Toc127151540"/>
      <w:bookmarkStart w:id="571" w:name="_Toc151193782"/>
      <w:bookmarkStart w:id="572" w:name="_Toc226965813"/>
      <w:bookmarkStart w:id="573" w:name="_Toc150509291"/>
      <w:bookmarkStart w:id="574" w:name="_Toc164351634"/>
      <w:bookmarkStart w:id="575" w:name="_Toc150480778"/>
      <w:bookmarkStart w:id="576" w:name="_Toc127151741"/>
      <w:bookmarkStart w:id="577" w:name="_Toc195842905"/>
      <w:bookmarkStart w:id="578" w:name="_Toc226965730"/>
      <w:bookmarkStart w:id="579" w:name="_Toc127161454"/>
      <w:bookmarkStart w:id="580" w:name="_Toc164608654"/>
      <w:bookmarkStart w:id="581" w:name="_Toc265228378"/>
      <w:bookmarkStart w:id="582" w:name="_Toc305158808"/>
      <w:bookmarkStart w:id="583" w:name="_Toc150774745"/>
      <w:bookmarkStart w:id="584" w:name="_Toc151190167"/>
      <w:bookmarkStart w:id="585" w:name="_Toc226309784"/>
      <w:bookmarkStart w:id="586" w:name="_Toc151193710"/>
      <w:bookmarkStart w:id="587" w:name="_Toc151193928"/>
      <w:bookmarkStart w:id="588" w:name="_Toc164229381"/>
      <w:bookmarkStart w:id="589" w:name="_Toc226337236"/>
      <w:bookmarkStart w:id="590" w:name="_Toc264969230"/>
      <w:bookmarkStart w:id="591" w:name="_Toc149720833"/>
      <w:bookmarkStart w:id="592" w:name="_Toc151193854"/>
      <w:bookmarkStart w:id="593" w:name="_Toc150774640"/>
      <w:bookmarkStart w:id="594" w:name="_Toc164608809"/>
      <w:bookmarkStart w:id="595" w:name="_Toc305158882"/>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6C7EFE61">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5EF1B9EF">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7A76F8D6">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413522FA">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2E8BA6C4">
      <w:pPr>
        <w:tabs>
          <w:tab w:val="left" w:pos="360"/>
          <w:tab w:val="left" w:pos="1080"/>
        </w:tabs>
        <w:snapToGrid w:val="0"/>
        <w:spacing w:line="360" w:lineRule="auto"/>
        <w:ind w:left="1080"/>
        <w:rPr>
          <w:sz w:val="24"/>
        </w:rPr>
      </w:pPr>
    </w:p>
    <w:p w14:paraId="3E896DCB">
      <w:pPr>
        <w:pStyle w:val="3"/>
        <w:spacing w:before="0" w:line="360" w:lineRule="auto"/>
        <w:rPr>
          <w:rFonts w:ascii="Times New Roman" w:hAnsi="Times New Roman" w:eastAsia="宋体"/>
          <w:sz w:val="28"/>
        </w:rPr>
      </w:pPr>
      <w:bookmarkStart w:id="598" w:name="_Toc150774750"/>
      <w:bookmarkStart w:id="599" w:name="_Toc151193933"/>
      <w:bookmarkStart w:id="600" w:name="_Toc151190172"/>
      <w:bookmarkStart w:id="601" w:name="_Toc226309789"/>
      <w:bookmarkStart w:id="602" w:name="_Toc150509296"/>
      <w:bookmarkStart w:id="603" w:name="_Toc150774645"/>
      <w:bookmarkStart w:id="604" w:name="_Toc127151545"/>
      <w:bookmarkStart w:id="605" w:name="_Toc226337241"/>
      <w:bookmarkStart w:id="606" w:name="_Toc151193787"/>
      <w:bookmarkStart w:id="607" w:name="_Toc151193859"/>
      <w:bookmarkStart w:id="608" w:name="_Toc150480783"/>
      <w:bookmarkStart w:id="609" w:name="_Toc151193715"/>
      <w:bookmarkStart w:id="610" w:name="_Toc151193643"/>
      <w:bookmarkStart w:id="611" w:name="_Toc265228383"/>
      <w:bookmarkStart w:id="612" w:name="_Toc264969235"/>
      <w:bookmarkStart w:id="613" w:name="_Toc305158887"/>
      <w:bookmarkStart w:id="614" w:name="_Toc305158813"/>
      <w:bookmarkStart w:id="615" w:name="_Toc226965735"/>
      <w:bookmarkStart w:id="616" w:name="_Toc226965818"/>
      <w:bookmarkStart w:id="617" w:name="_Toc142311047"/>
      <w:bookmarkStart w:id="618" w:name="_Toc195842910"/>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265228385"/>
      <w:bookmarkStart w:id="620" w:name="_Toc149720840"/>
      <w:bookmarkStart w:id="621" w:name="_Toc195842912"/>
      <w:bookmarkStart w:id="622" w:name="_Toc151190174"/>
      <w:bookmarkStart w:id="623" w:name="_Toc142311049"/>
      <w:bookmarkStart w:id="624" w:name="_Toc226965737"/>
      <w:bookmarkStart w:id="625" w:name="_Toc150480785"/>
      <w:bookmarkStart w:id="626" w:name="_Toc226309791"/>
      <w:bookmarkStart w:id="627" w:name="_Toc127151748"/>
      <w:bookmarkStart w:id="628" w:name="_Toc150509298"/>
      <w:bookmarkStart w:id="629" w:name="_Toc151193789"/>
      <w:bookmarkStart w:id="630" w:name="_Toc164229388"/>
      <w:bookmarkStart w:id="631" w:name="_Toc226965820"/>
      <w:bookmarkStart w:id="632" w:name="_Toc264969237"/>
      <w:bookmarkStart w:id="633" w:name="_Toc164229242"/>
      <w:bookmarkStart w:id="634" w:name="_Toc151193861"/>
      <w:bookmarkStart w:id="635" w:name="_Toc151193935"/>
      <w:bookmarkStart w:id="636" w:name="_Toc150774752"/>
      <w:bookmarkStart w:id="637" w:name="_Toc305158815"/>
      <w:bookmarkStart w:id="638" w:name="_Toc305158889"/>
      <w:bookmarkStart w:id="639" w:name="_Toc150774647"/>
      <w:bookmarkStart w:id="640" w:name="_Toc164351641"/>
      <w:bookmarkStart w:id="641" w:name="_Toc151193717"/>
      <w:bookmarkStart w:id="642" w:name="_Toc127151547"/>
      <w:bookmarkStart w:id="643" w:name="_Toc164608816"/>
      <w:bookmarkStart w:id="644" w:name="_Toc127161461"/>
      <w:bookmarkStart w:id="645" w:name="_Toc164608661"/>
      <w:bookmarkStart w:id="646" w:name="_Toc151193645"/>
      <w:bookmarkStart w:id="647" w:name="_Toc226337243"/>
    </w:p>
    <w:p w14:paraId="3945CE40">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46064E5B">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7AF8E27B">
      <w:pPr>
        <w:numPr>
          <w:ilvl w:val="0"/>
          <w:numId w:val="8"/>
        </w:numPr>
        <w:tabs>
          <w:tab w:val="left" w:pos="360"/>
        </w:tabs>
        <w:snapToGrid w:val="0"/>
        <w:spacing w:line="360" w:lineRule="auto"/>
        <w:ind w:left="357" w:hanging="357"/>
        <w:outlineLvl w:val="1"/>
        <w:rPr>
          <w:sz w:val="24"/>
        </w:rPr>
      </w:pPr>
      <w:bookmarkStart w:id="648" w:name="_Toc305158817"/>
      <w:bookmarkStart w:id="649" w:name="_Toc305158891"/>
      <w:bookmarkStart w:id="650" w:name="_Toc226337245"/>
      <w:bookmarkStart w:id="651" w:name="_Toc127161463"/>
      <w:bookmarkStart w:id="652" w:name="_Toc164608663"/>
      <w:bookmarkStart w:id="653" w:name="_Toc264969239"/>
      <w:bookmarkStart w:id="654" w:name="_Toc164229390"/>
      <w:bookmarkStart w:id="655" w:name="_Toc151193791"/>
      <w:bookmarkStart w:id="656" w:name="_Toc127151750"/>
      <w:bookmarkStart w:id="657" w:name="_Toc150774649"/>
      <w:bookmarkStart w:id="658" w:name="_Toc164351643"/>
      <w:bookmarkStart w:id="659" w:name="_Toc127151549"/>
      <w:bookmarkStart w:id="660" w:name="_Toc151193863"/>
      <w:bookmarkStart w:id="661" w:name="_Toc164608818"/>
      <w:bookmarkStart w:id="662" w:name="_Toc226965739"/>
      <w:bookmarkStart w:id="663" w:name="_Toc226965822"/>
      <w:bookmarkStart w:id="664" w:name="_Toc149720842"/>
      <w:bookmarkStart w:id="665" w:name="_Toc164229244"/>
      <w:bookmarkStart w:id="666" w:name="_Toc151193937"/>
      <w:bookmarkStart w:id="667" w:name="_Toc226309793"/>
      <w:bookmarkStart w:id="668" w:name="_Toc195842914"/>
      <w:bookmarkStart w:id="669" w:name="_Toc150480787"/>
      <w:bookmarkStart w:id="670" w:name="_Toc150509300"/>
      <w:bookmarkStart w:id="671" w:name="_Toc142311051"/>
      <w:bookmarkStart w:id="672" w:name="_Toc151190176"/>
      <w:bookmarkStart w:id="673" w:name="_Toc150774754"/>
      <w:bookmarkStart w:id="674" w:name="_Toc265228387"/>
      <w:bookmarkStart w:id="675" w:name="_Toc151193719"/>
      <w:bookmarkStart w:id="676" w:name="_Toc151193647"/>
      <w:bookmarkStart w:id="677" w:name="_Toc520356176"/>
      <w:bookmarkStart w:id="678" w:name="_Ref467307090"/>
      <w:bookmarkStart w:id="679" w:name="_Ref467306425"/>
      <w:r>
        <w:rPr>
          <w:sz w:val="24"/>
        </w:rPr>
        <w:t>中标公告与中标通知书</w:t>
      </w:r>
      <w:bookmarkEnd w:id="648"/>
      <w:bookmarkEnd w:id="649"/>
    </w:p>
    <w:p w14:paraId="39157854">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07B5FADF">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6B65F402">
      <w:pPr>
        <w:numPr>
          <w:ilvl w:val="0"/>
          <w:numId w:val="8"/>
        </w:numPr>
        <w:tabs>
          <w:tab w:val="left" w:pos="360"/>
        </w:tabs>
        <w:snapToGrid w:val="0"/>
        <w:spacing w:line="360" w:lineRule="auto"/>
        <w:ind w:left="357" w:hanging="357"/>
        <w:outlineLvl w:val="1"/>
        <w:rPr>
          <w:sz w:val="24"/>
        </w:rPr>
      </w:pPr>
      <w:r>
        <w:rPr>
          <w:sz w:val="24"/>
        </w:rPr>
        <w:t>废标</w:t>
      </w:r>
    </w:p>
    <w:p w14:paraId="414ED701">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089B18F5">
      <w:pPr>
        <w:numPr>
          <w:ilvl w:val="2"/>
          <w:numId w:val="8"/>
        </w:numPr>
        <w:snapToGrid w:val="0"/>
        <w:spacing w:line="360" w:lineRule="auto"/>
        <w:rPr>
          <w:sz w:val="24"/>
        </w:rPr>
      </w:pPr>
      <w:r>
        <w:rPr>
          <w:sz w:val="24"/>
        </w:rPr>
        <w:t>符合专业条件的供应商或者对招标文件作实质响应的供应商不足三家的；</w:t>
      </w:r>
    </w:p>
    <w:p w14:paraId="41192F71">
      <w:pPr>
        <w:numPr>
          <w:ilvl w:val="2"/>
          <w:numId w:val="8"/>
        </w:numPr>
        <w:snapToGrid w:val="0"/>
        <w:spacing w:line="360" w:lineRule="auto"/>
        <w:rPr>
          <w:sz w:val="24"/>
        </w:rPr>
      </w:pPr>
      <w:r>
        <w:rPr>
          <w:sz w:val="24"/>
        </w:rPr>
        <w:t>出现影响采购公正的违法、违规行为的；</w:t>
      </w:r>
    </w:p>
    <w:p w14:paraId="7E3DE3FB">
      <w:pPr>
        <w:numPr>
          <w:ilvl w:val="2"/>
          <w:numId w:val="8"/>
        </w:numPr>
        <w:snapToGrid w:val="0"/>
        <w:spacing w:line="360" w:lineRule="auto"/>
        <w:rPr>
          <w:sz w:val="24"/>
        </w:rPr>
      </w:pPr>
      <w:r>
        <w:rPr>
          <w:sz w:val="24"/>
        </w:rPr>
        <w:t>投标人的报价均超过了采购预算，采购人不能支付的；</w:t>
      </w:r>
    </w:p>
    <w:p w14:paraId="275FFD89">
      <w:pPr>
        <w:numPr>
          <w:ilvl w:val="2"/>
          <w:numId w:val="8"/>
        </w:numPr>
        <w:snapToGrid w:val="0"/>
        <w:spacing w:line="360" w:lineRule="auto"/>
        <w:rPr>
          <w:sz w:val="24"/>
        </w:rPr>
      </w:pPr>
      <w:r>
        <w:rPr>
          <w:sz w:val="24"/>
        </w:rPr>
        <w:t>因重大变故，采购任务取消的。</w:t>
      </w:r>
    </w:p>
    <w:p w14:paraId="288E333C">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72503CB1">
      <w:pPr>
        <w:numPr>
          <w:ilvl w:val="0"/>
          <w:numId w:val="8"/>
        </w:numPr>
        <w:tabs>
          <w:tab w:val="left" w:pos="360"/>
        </w:tabs>
        <w:snapToGrid w:val="0"/>
        <w:spacing w:line="360" w:lineRule="auto"/>
        <w:ind w:left="357" w:hanging="357"/>
        <w:outlineLvl w:val="1"/>
        <w:rPr>
          <w:sz w:val="24"/>
        </w:rPr>
      </w:pPr>
      <w:bookmarkStart w:id="680" w:name="_Toc164351644"/>
      <w:bookmarkStart w:id="681" w:name="_Toc264969240"/>
      <w:bookmarkStart w:id="682" w:name="_Ref467307062"/>
      <w:bookmarkStart w:id="683" w:name="_Ref467307204"/>
      <w:bookmarkStart w:id="684" w:name="_Toc150774755"/>
      <w:bookmarkStart w:id="685" w:name="_Toc151193720"/>
      <w:bookmarkStart w:id="686" w:name="_Toc226965823"/>
      <w:bookmarkStart w:id="687" w:name="_Toc150774650"/>
      <w:bookmarkStart w:id="688" w:name="_Toc226309794"/>
      <w:bookmarkStart w:id="689" w:name="_Toc164608819"/>
      <w:bookmarkStart w:id="690" w:name="_Toc127161464"/>
      <w:bookmarkStart w:id="691" w:name="_Toc164229391"/>
      <w:bookmarkStart w:id="692" w:name="_Toc127151751"/>
      <w:bookmarkStart w:id="693" w:name="_Toc226965740"/>
      <w:bookmarkStart w:id="694" w:name="_Toc151193864"/>
      <w:bookmarkStart w:id="695" w:name="_Toc305158892"/>
      <w:bookmarkStart w:id="696" w:name="_Toc164608664"/>
      <w:bookmarkStart w:id="697" w:name="_Toc151193938"/>
      <w:bookmarkStart w:id="698" w:name="_Toc151193792"/>
      <w:bookmarkStart w:id="699" w:name="_Toc226337246"/>
      <w:bookmarkStart w:id="700" w:name="_Toc150509301"/>
      <w:bookmarkStart w:id="701" w:name="_Toc127151550"/>
      <w:bookmarkStart w:id="702" w:name="_Toc265228388"/>
      <w:bookmarkStart w:id="703" w:name="_Ref467306978"/>
      <w:bookmarkStart w:id="704" w:name="_Toc150480788"/>
      <w:bookmarkStart w:id="705" w:name="_Toc305158818"/>
      <w:bookmarkStart w:id="706" w:name="_Ref467306377"/>
      <w:bookmarkStart w:id="707" w:name="_Toc151193648"/>
      <w:bookmarkStart w:id="708" w:name="_Toc142311052"/>
      <w:bookmarkStart w:id="709" w:name="_Toc149720843"/>
      <w:bookmarkStart w:id="710" w:name="_Toc151190177"/>
      <w:bookmarkStart w:id="711" w:name="_Toc520356175"/>
      <w:bookmarkStart w:id="712" w:name="_Toc195842915"/>
      <w:bookmarkStart w:id="713" w:name="_Toc164229245"/>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0B353F7A">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14D0D176">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2A0060CE">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6B8E7681">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5365317E">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6C2887B6">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69EB4242">
      <w:pPr>
        <w:numPr>
          <w:ilvl w:val="0"/>
          <w:numId w:val="8"/>
        </w:numPr>
        <w:tabs>
          <w:tab w:val="left" w:pos="360"/>
        </w:tabs>
        <w:snapToGrid w:val="0"/>
        <w:spacing w:line="360" w:lineRule="auto"/>
        <w:ind w:left="357" w:hanging="357"/>
        <w:outlineLvl w:val="1"/>
        <w:rPr>
          <w:sz w:val="24"/>
        </w:rPr>
      </w:pPr>
      <w:r>
        <w:rPr>
          <w:sz w:val="24"/>
        </w:rPr>
        <w:t>询问与质疑</w:t>
      </w:r>
    </w:p>
    <w:p w14:paraId="0159C29C">
      <w:pPr>
        <w:numPr>
          <w:ilvl w:val="1"/>
          <w:numId w:val="8"/>
        </w:numPr>
        <w:tabs>
          <w:tab w:val="left" w:pos="1080"/>
          <w:tab w:val="left" w:pos="2014"/>
        </w:tabs>
        <w:snapToGrid w:val="0"/>
        <w:spacing w:line="360" w:lineRule="auto"/>
        <w:ind w:left="1077" w:hanging="720"/>
        <w:rPr>
          <w:sz w:val="24"/>
        </w:rPr>
      </w:pPr>
      <w:r>
        <w:rPr>
          <w:sz w:val="24"/>
        </w:rPr>
        <w:t>询问</w:t>
      </w:r>
    </w:p>
    <w:p w14:paraId="6B8B8BF9">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6385BD3A">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1CB9437F">
      <w:pPr>
        <w:numPr>
          <w:ilvl w:val="1"/>
          <w:numId w:val="8"/>
        </w:numPr>
        <w:tabs>
          <w:tab w:val="left" w:pos="1080"/>
          <w:tab w:val="left" w:pos="2014"/>
        </w:tabs>
        <w:snapToGrid w:val="0"/>
        <w:spacing w:line="360" w:lineRule="auto"/>
        <w:ind w:left="1077" w:hanging="720"/>
        <w:rPr>
          <w:sz w:val="24"/>
        </w:rPr>
      </w:pPr>
      <w:r>
        <w:rPr>
          <w:sz w:val="24"/>
        </w:rPr>
        <w:t>质疑</w:t>
      </w:r>
    </w:p>
    <w:p w14:paraId="0A5F286C">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F9E5D12">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9657153">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3B96BAC">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3B647C54">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19026A00">
      <w:pPr>
        <w:numPr>
          <w:ilvl w:val="0"/>
          <w:numId w:val="8"/>
        </w:numPr>
        <w:tabs>
          <w:tab w:val="left" w:pos="360"/>
        </w:tabs>
        <w:snapToGrid w:val="0"/>
        <w:spacing w:line="360" w:lineRule="auto"/>
        <w:ind w:left="357" w:hanging="357"/>
        <w:outlineLvl w:val="1"/>
        <w:rPr>
          <w:sz w:val="24"/>
        </w:rPr>
      </w:pPr>
      <w:r>
        <w:rPr>
          <w:sz w:val="24"/>
        </w:rPr>
        <w:t>代理费</w:t>
      </w:r>
    </w:p>
    <w:p w14:paraId="0CA9406B">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5419081C">
      <w:pPr>
        <w:tabs>
          <w:tab w:val="left" w:pos="360"/>
          <w:tab w:val="left" w:pos="1080"/>
        </w:tabs>
        <w:snapToGrid w:val="0"/>
        <w:spacing w:line="360" w:lineRule="auto"/>
        <w:ind w:left="360"/>
        <w:rPr>
          <w:sz w:val="24"/>
        </w:rPr>
      </w:pPr>
    </w:p>
    <w:p w14:paraId="5F58FFB3">
      <w:pPr>
        <w:spacing w:line="360" w:lineRule="auto"/>
        <w:jc w:val="center"/>
        <w:outlineLvl w:val="0"/>
        <w:rPr>
          <w:b/>
          <w:sz w:val="36"/>
          <w:szCs w:val="36"/>
        </w:rPr>
      </w:pPr>
      <w:bookmarkStart w:id="715" w:name="_Toc150774759"/>
      <w:bookmarkStart w:id="716" w:name="_Toc226337250"/>
      <w:bookmarkStart w:id="717" w:name="_Toc226965827"/>
      <w:bookmarkStart w:id="718" w:name="_Toc127151554"/>
      <w:bookmarkStart w:id="719" w:name="_Toc265228392"/>
      <w:bookmarkStart w:id="720" w:name="_Toc150480792"/>
      <w:bookmarkStart w:id="721" w:name="_Toc353825544"/>
      <w:bookmarkStart w:id="722" w:name="_Toc353873934"/>
      <w:bookmarkStart w:id="723" w:name="_Toc305158896"/>
      <w:bookmarkStart w:id="724" w:name="_Toc142311056"/>
      <w:bookmarkStart w:id="725" w:name="_Toc305158822"/>
      <w:bookmarkStart w:id="726" w:name="_Toc264969244"/>
      <w:bookmarkStart w:id="727" w:name="_Toc353873664"/>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74565495">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2EF7E12D">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7686375D">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1606D795">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1F893F14">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6F45B4D6">
      <w:pPr>
        <w:widowControl/>
        <w:jc w:val="left"/>
        <w:rPr>
          <w:sz w:val="24"/>
        </w:rPr>
      </w:pPr>
    </w:p>
    <w:p w14:paraId="60375606">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54435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45EC0DC1">
            <w:pPr>
              <w:tabs>
                <w:tab w:val="left" w:pos="1080"/>
              </w:tabs>
              <w:snapToGrid w:val="0"/>
              <w:jc w:val="center"/>
              <w:rPr>
                <w:b/>
                <w:sz w:val="24"/>
              </w:rPr>
            </w:pPr>
            <w:bookmarkStart w:id="732" w:name="_Hlt487972895"/>
            <w:bookmarkEnd w:id="732"/>
            <w:bookmarkStart w:id="733" w:name="_Hlk143693460"/>
            <w:r>
              <w:rPr>
                <w:b/>
                <w:sz w:val="24"/>
              </w:rPr>
              <w:t>序号</w:t>
            </w:r>
          </w:p>
        </w:tc>
        <w:tc>
          <w:tcPr>
            <w:tcW w:w="1067" w:type="pct"/>
            <w:vAlign w:val="center"/>
          </w:tcPr>
          <w:p w14:paraId="0BD87C55">
            <w:pPr>
              <w:tabs>
                <w:tab w:val="left" w:pos="1080"/>
              </w:tabs>
              <w:snapToGrid w:val="0"/>
              <w:jc w:val="center"/>
              <w:rPr>
                <w:b/>
                <w:sz w:val="24"/>
              </w:rPr>
            </w:pPr>
            <w:r>
              <w:rPr>
                <w:b/>
                <w:sz w:val="24"/>
              </w:rPr>
              <w:t>审查因素</w:t>
            </w:r>
          </w:p>
        </w:tc>
        <w:tc>
          <w:tcPr>
            <w:tcW w:w="2596" w:type="pct"/>
            <w:vAlign w:val="center"/>
          </w:tcPr>
          <w:p w14:paraId="0B268CD8">
            <w:pPr>
              <w:tabs>
                <w:tab w:val="left" w:pos="1080"/>
              </w:tabs>
              <w:snapToGrid w:val="0"/>
              <w:jc w:val="center"/>
              <w:rPr>
                <w:b/>
                <w:sz w:val="24"/>
              </w:rPr>
            </w:pPr>
            <w:r>
              <w:rPr>
                <w:b/>
                <w:sz w:val="24"/>
              </w:rPr>
              <w:t>审查内容</w:t>
            </w:r>
          </w:p>
        </w:tc>
        <w:tc>
          <w:tcPr>
            <w:tcW w:w="882" w:type="pct"/>
            <w:vAlign w:val="center"/>
          </w:tcPr>
          <w:p w14:paraId="60F5E447">
            <w:pPr>
              <w:tabs>
                <w:tab w:val="left" w:pos="1080"/>
              </w:tabs>
              <w:snapToGrid w:val="0"/>
              <w:jc w:val="center"/>
              <w:rPr>
                <w:b/>
                <w:sz w:val="24"/>
              </w:rPr>
            </w:pPr>
            <w:r>
              <w:rPr>
                <w:b/>
                <w:sz w:val="24"/>
              </w:rPr>
              <w:t>格式要求</w:t>
            </w:r>
          </w:p>
        </w:tc>
      </w:tr>
      <w:tr w14:paraId="66711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7AAADFD">
            <w:pPr>
              <w:tabs>
                <w:tab w:val="left" w:pos="1080"/>
              </w:tabs>
              <w:snapToGrid w:val="0"/>
              <w:jc w:val="center"/>
              <w:rPr>
                <w:sz w:val="24"/>
              </w:rPr>
            </w:pPr>
            <w:r>
              <w:rPr>
                <w:sz w:val="24"/>
              </w:rPr>
              <w:t>1</w:t>
            </w:r>
          </w:p>
        </w:tc>
        <w:tc>
          <w:tcPr>
            <w:tcW w:w="1067" w:type="pct"/>
            <w:vAlign w:val="center"/>
          </w:tcPr>
          <w:p w14:paraId="29E1872C">
            <w:pPr>
              <w:tabs>
                <w:tab w:val="left" w:pos="1080"/>
              </w:tabs>
              <w:snapToGrid w:val="0"/>
              <w:rPr>
                <w:sz w:val="24"/>
              </w:rPr>
            </w:pPr>
            <w:r>
              <w:rPr>
                <w:sz w:val="24"/>
              </w:rPr>
              <w:t>满足《中华人民共和国政府采购法》第二十二条规定</w:t>
            </w:r>
          </w:p>
        </w:tc>
        <w:tc>
          <w:tcPr>
            <w:tcW w:w="2596" w:type="pct"/>
            <w:vAlign w:val="center"/>
          </w:tcPr>
          <w:p w14:paraId="4C0B68AB">
            <w:pPr>
              <w:tabs>
                <w:tab w:val="left" w:pos="1080"/>
              </w:tabs>
              <w:snapToGrid w:val="0"/>
              <w:rPr>
                <w:sz w:val="24"/>
              </w:rPr>
            </w:pPr>
            <w:r>
              <w:rPr>
                <w:sz w:val="24"/>
              </w:rPr>
              <w:t>具体规定见第一章《投标邀请》</w:t>
            </w:r>
          </w:p>
        </w:tc>
        <w:tc>
          <w:tcPr>
            <w:tcW w:w="882" w:type="pct"/>
            <w:vAlign w:val="center"/>
          </w:tcPr>
          <w:p w14:paraId="6CBB3F1C">
            <w:pPr>
              <w:tabs>
                <w:tab w:val="left" w:pos="1080"/>
              </w:tabs>
              <w:snapToGrid w:val="0"/>
              <w:rPr>
                <w:sz w:val="24"/>
              </w:rPr>
            </w:pPr>
          </w:p>
        </w:tc>
      </w:tr>
      <w:tr w14:paraId="07124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AA43D2E">
            <w:pPr>
              <w:tabs>
                <w:tab w:val="left" w:pos="1080"/>
              </w:tabs>
              <w:snapToGrid w:val="0"/>
              <w:jc w:val="center"/>
              <w:rPr>
                <w:sz w:val="24"/>
              </w:rPr>
            </w:pPr>
            <w:r>
              <w:rPr>
                <w:sz w:val="24"/>
              </w:rPr>
              <w:t>1-1</w:t>
            </w:r>
          </w:p>
        </w:tc>
        <w:tc>
          <w:tcPr>
            <w:tcW w:w="1067" w:type="pct"/>
            <w:vAlign w:val="center"/>
          </w:tcPr>
          <w:p w14:paraId="29CBCDB4">
            <w:pPr>
              <w:tabs>
                <w:tab w:val="left" w:pos="1080"/>
              </w:tabs>
              <w:snapToGrid w:val="0"/>
              <w:rPr>
                <w:sz w:val="24"/>
              </w:rPr>
            </w:pPr>
            <w:r>
              <w:rPr>
                <w:sz w:val="24"/>
              </w:rPr>
              <w:t>营业执照等证明文件</w:t>
            </w:r>
          </w:p>
        </w:tc>
        <w:tc>
          <w:tcPr>
            <w:tcW w:w="2596" w:type="pct"/>
            <w:vAlign w:val="center"/>
          </w:tcPr>
          <w:p w14:paraId="0A9F2A84">
            <w:pPr>
              <w:tabs>
                <w:tab w:val="left" w:pos="1080"/>
              </w:tabs>
              <w:snapToGrid w:val="0"/>
              <w:rPr>
                <w:sz w:val="24"/>
              </w:rPr>
            </w:pPr>
            <w:r>
              <w:rPr>
                <w:sz w:val="24"/>
              </w:rPr>
              <w:t>投标人为企业（包括合伙企业）的，应提供有效的“营业执照”；</w:t>
            </w:r>
          </w:p>
          <w:p w14:paraId="172EBF4E">
            <w:pPr>
              <w:tabs>
                <w:tab w:val="left" w:pos="1080"/>
              </w:tabs>
              <w:snapToGrid w:val="0"/>
              <w:rPr>
                <w:sz w:val="24"/>
              </w:rPr>
            </w:pPr>
            <w:r>
              <w:rPr>
                <w:sz w:val="24"/>
              </w:rPr>
              <w:t>投标人为事业单位的，应提供有效的“事业单位法人证书”；</w:t>
            </w:r>
          </w:p>
          <w:p w14:paraId="776DD366">
            <w:pPr>
              <w:tabs>
                <w:tab w:val="left" w:pos="1080"/>
              </w:tabs>
              <w:snapToGrid w:val="0"/>
              <w:rPr>
                <w:sz w:val="24"/>
              </w:rPr>
            </w:pPr>
            <w:r>
              <w:rPr>
                <w:sz w:val="24"/>
              </w:rPr>
              <w:t>投标人是非企业机构的，应提供有效的“执业许可证”、“登记证书”等证明文件；</w:t>
            </w:r>
          </w:p>
          <w:p w14:paraId="4B53D582">
            <w:pPr>
              <w:tabs>
                <w:tab w:val="left" w:pos="1080"/>
              </w:tabs>
              <w:snapToGrid w:val="0"/>
              <w:rPr>
                <w:sz w:val="24"/>
              </w:rPr>
            </w:pPr>
            <w:r>
              <w:rPr>
                <w:sz w:val="24"/>
              </w:rPr>
              <w:t>投标人是个体工商户的，应提供有效的“个体工商户营业执照”；</w:t>
            </w:r>
          </w:p>
          <w:p w14:paraId="6A32B3F7">
            <w:pPr>
              <w:tabs>
                <w:tab w:val="left" w:pos="1080"/>
              </w:tabs>
              <w:snapToGrid w:val="0"/>
              <w:rPr>
                <w:sz w:val="24"/>
              </w:rPr>
            </w:pPr>
            <w:r>
              <w:rPr>
                <w:sz w:val="24"/>
              </w:rPr>
              <w:t>投标人是自然人的，应提供有效的自然人身份证明。</w:t>
            </w:r>
          </w:p>
          <w:p w14:paraId="362EFF78">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440B7848">
            <w:pPr>
              <w:tabs>
                <w:tab w:val="left" w:pos="1080"/>
              </w:tabs>
              <w:snapToGrid w:val="0"/>
              <w:rPr>
                <w:sz w:val="24"/>
              </w:rPr>
            </w:pPr>
            <w:r>
              <w:rPr>
                <w:sz w:val="24"/>
              </w:rPr>
              <w:t>提供证明文件的电子件或电子证照</w:t>
            </w:r>
          </w:p>
        </w:tc>
      </w:tr>
      <w:tr w14:paraId="324D7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4043B3E">
            <w:pPr>
              <w:tabs>
                <w:tab w:val="left" w:pos="1080"/>
              </w:tabs>
              <w:snapToGrid w:val="0"/>
              <w:jc w:val="center"/>
              <w:rPr>
                <w:sz w:val="24"/>
              </w:rPr>
            </w:pPr>
            <w:r>
              <w:rPr>
                <w:sz w:val="24"/>
              </w:rPr>
              <w:t>1-2</w:t>
            </w:r>
          </w:p>
        </w:tc>
        <w:tc>
          <w:tcPr>
            <w:tcW w:w="1067" w:type="pct"/>
            <w:vAlign w:val="center"/>
          </w:tcPr>
          <w:p w14:paraId="1161AD5E">
            <w:pPr>
              <w:tabs>
                <w:tab w:val="left" w:pos="1080"/>
              </w:tabs>
              <w:snapToGrid w:val="0"/>
              <w:rPr>
                <w:sz w:val="24"/>
              </w:rPr>
            </w:pPr>
            <w:r>
              <w:rPr>
                <w:sz w:val="24"/>
              </w:rPr>
              <w:t>投标人资格声明书</w:t>
            </w:r>
          </w:p>
        </w:tc>
        <w:tc>
          <w:tcPr>
            <w:tcW w:w="2596" w:type="pct"/>
            <w:vAlign w:val="center"/>
          </w:tcPr>
          <w:p w14:paraId="6B449B94">
            <w:pPr>
              <w:tabs>
                <w:tab w:val="left" w:pos="1080"/>
              </w:tabs>
              <w:snapToGrid w:val="0"/>
              <w:rPr>
                <w:sz w:val="24"/>
              </w:rPr>
            </w:pPr>
            <w:r>
              <w:rPr>
                <w:sz w:val="24"/>
              </w:rPr>
              <w:t>提供了符合招标文件要求的《投标人资格声明书》。</w:t>
            </w:r>
          </w:p>
        </w:tc>
        <w:tc>
          <w:tcPr>
            <w:tcW w:w="882" w:type="pct"/>
            <w:vAlign w:val="center"/>
          </w:tcPr>
          <w:p w14:paraId="421171F4">
            <w:pPr>
              <w:tabs>
                <w:tab w:val="left" w:pos="1080"/>
              </w:tabs>
              <w:snapToGrid w:val="0"/>
              <w:rPr>
                <w:sz w:val="24"/>
              </w:rPr>
            </w:pPr>
            <w:r>
              <w:rPr>
                <w:sz w:val="24"/>
              </w:rPr>
              <w:t>格式见《投标文件格式》</w:t>
            </w:r>
          </w:p>
        </w:tc>
      </w:tr>
      <w:tr w14:paraId="0C4D2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16BF5AA">
            <w:pPr>
              <w:tabs>
                <w:tab w:val="left" w:pos="1080"/>
              </w:tabs>
              <w:snapToGrid w:val="0"/>
              <w:jc w:val="center"/>
              <w:rPr>
                <w:sz w:val="24"/>
              </w:rPr>
            </w:pPr>
            <w:r>
              <w:rPr>
                <w:sz w:val="24"/>
              </w:rPr>
              <w:t>1-3</w:t>
            </w:r>
          </w:p>
        </w:tc>
        <w:tc>
          <w:tcPr>
            <w:tcW w:w="1067" w:type="pct"/>
            <w:vAlign w:val="center"/>
          </w:tcPr>
          <w:p w14:paraId="05BC5EA4">
            <w:pPr>
              <w:tabs>
                <w:tab w:val="left" w:pos="1080"/>
              </w:tabs>
              <w:snapToGrid w:val="0"/>
              <w:rPr>
                <w:sz w:val="24"/>
              </w:rPr>
            </w:pPr>
            <w:r>
              <w:rPr>
                <w:sz w:val="24"/>
              </w:rPr>
              <w:t>投标人信用记录</w:t>
            </w:r>
          </w:p>
        </w:tc>
        <w:tc>
          <w:tcPr>
            <w:tcW w:w="2596" w:type="pct"/>
            <w:vAlign w:val="center"/>
          </w:tcPr>
          <w:p w14:paraId="268771ED">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352A5B5A">
            <w:pPr>
              <w:tabs>
                <w:tab w:val="left" w:pos="900"/>
                <w:tab w:val="left" w:pos="1980"/>
              </w:tabs>
              <w:snapToGrid w:val="0"/>
              <w:rPr>
                <w:sz w:val="24"/>
              </w:rPr>
            </w:pPr>
            <w:r>
              <w:rPr>
                <w:sz w:val="24"/>
              </w:rPr>
              <w:t>截止时点：投标截止时间以后、资格审查阶段采购人或采购代理机构的实际查询时间；</w:t>
            </w:r>
          </w:p>
          <w:p w14:paraId="34FF65C3">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44EFAA0E">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395BA81D">
            <w:pPr>
              <w:tabs>
                <w:tab w:val="left" w:pos="1080"/>
              </w:tabs>
              <w:snapToGrid w:val="0"/>
              <w:rPr>
                <w:sz w:val="24"/>
              </w:rPr>
            </w:pPr>
            <w:r>
              <w:rPr>
                <w:sz w:val="24"/>
              </w:rPr>
              <w:t>无须投标人提供，由采购人或采购代理机构查询。</w:t>
            </w:r>
          </w:p>
        </w:tc>
      </w:tr>
      <w:tr w14:paraId="6D0CE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832D8A8">
            <w:pPr>
              <w:tabs>
                <w:tab w:val="left" w:pos="1080"/>
              </w:tabs>
              <w:snapToGrid w:val="0"/>
              <w:jc w:val="center"/>
              <w:rPr>
                <w:sz w:val="24"/>
              </w:rPr>
            </w:pPr>
            <w:r>
              <w:rPr>
                <w:sz w:val="24"/>
              </w:rPr>
              <w:t>1-4</w:t>
            </w:r>
          </w:p>
        </w:tc>
        <w:tc>
          <w:tcPr>
            <w:tcW w:w="1067" w:type="pct"/>
            <w:vAlign w:val="center"/>
          </w:tcPr>
          <w:p w14:paraId="21AE598F">
            <w:pPr>
              <w:tabs>
                <w:tab w:val="left" w:pos="1080"/>
              </w:tabs>
              <w:snapToGrid w:val="0"/>
              <w:rPr>
                <w:sz w:val="24"/>
              </w:rPr>
            </w:pPr>
            <w:r>
              <w:rPr>
                <w:sz w:val="24"/>
              </w:rPr>
              <w:t>法律、行政法规规定的其他条件</w:t>
            </w:r>
          </w:p>
        </w:tc>
        <w:tc>
          <w:tcPr>
            <w:tcW w:w="2596" w:type="pct"/>
            <w:vAlign w:val="center"/>
          </w:tcPr>
          <w:p w14:paraId="38AE8317">
            <w:pPr>
              <w:tabs>
                <w:tab w:val="left" w:pos="1080"/>
              </w:tabs>
              <w:snapToGrid w:val="0"/>
              <w:rPr>
                <w:sz w:val="24"/>
              </w:rPr>
            </w:pPr>
            <w:r>
              <w:rPr>
                <w:sz w:val="24"/>
              </w:rPr>
              <w:t>法律、行政法规规定的其他条件</w:t>
            </w:r>
          </w:p>
        </w:tc>
        <w:tc>
          <w:tcPr>
            <w:tcW w:w="882" w:type="pct"/>
            <w:vAlign w:val="center"/>
          </w:tcPr>
          <w:p w14:paraId="19E7CF6B">
            <w:pPr>
              <w:tabs>
                <w:tab w:val="left" w:pos="1080"/>
              </w:tabs>
              <w:snapToGrid w:val="0"/>
              <w:jc w:val="center"/>
              <w:rPr>
                <w:sz w:val="24"/>
              </w:rPr>
            </w:pPr>
            <w:r>
              <w:rPr>
                <w:sz w:val="24"/>
              </w:rPr>
              <w:t>/</w:t>
            </w:r>
          </w:p>
        </w:tc>
      </w:tr>
      <w:tr w14:paraId="12F0F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352A600">
            <w:pPr>
              <w:tabs>
                <w:tab w:val="left" w:pos="1080"/>
              </w:tabs>
              <w:snapToGrid w:val="0"/>
              <w:jc w:val="center"/>
              <w:rPr>
                <w:sz w:val="24"/>
              </w:rPr>
            </w:pPr>
            <w:r>
              <w:rPr>
                <w:sz w:val="24"/>
              </w:rPr>
              <w:t>2</w:t>
            </w:r>
          </w:p>
        </w:tc>
        <w:tc>
          <w:tcPr>
            <w:tcW w:w="1067" w:type="pct"/>
            <w:vAlign w:val="center"/>
          </w:tcPr>
          <w:p w14:paraId="34B7061F">
            <w:pPr>
              <w:tabs>
                <w:tab w:val="left" w:pos="1080"/>
              </w:tabs>
              <w:snapToGrid w:val="0"/>
              <w:rPr>
                <w:sz w:val="24"/>
              </w:rPr>
            </w:pPr>
            <w:r>
              <w:rPr>
                <w:sz w:val="24"/>
              </w:rPr>
              <w:t>落实政府采购政策需满足的资格要求</w:t>
            </w:r>
          </w:p>
        </w:tc>
        <w:tc>
          <w:tcPr>
            <w:tcW w:w="2596" w:type="pct"/>
            <w:vAlign w:val="center"/>
          </w:tcPr>
          <w:p w14:paraId="6C72AEF9">
            <w:pPr>
              <w:tabs>
                <w:tab w:val="left" w:pos="1080"/>
              </w:tabs>
              <w:snapToGrid w:val="0"/>
              <w:rPr>
                <w:sz w:val="24"/>
              </w:rPr>
            </w:pPr>
            <w:r>
              <w:rPr>
                <w:sz w:val="24"/>
              </w:rPr>
              <w:t>具体要求见第一章《投标邀请》</w:t>
            </w:r>
          </w:p>
        </w:tc>
        <w:tc>
          <w:tcPr>
            <w:tcW w:w="882" w:type="pct"/>
            <w:vAlign w:val="center"/>
          </w:tcPr>
          <w:p w14:paraId="06AF6CE3">
            <w:pPr>
              <w:tabs>
                <w:tab w:val="left" w:pos="1080"/>
              </w:tabs>
              <w:snapToGrid w:val="0"/>
              <w:rPr>
                <w:sz w:val="24"/>
              </w:rPr>
            </w:pPr>
          </w:p>
        </w:tc>
      </w:tr>
      <w:tr w14:paraId="76B1A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28BA20C">
            <w:pPr>
              <w:tabs>
                <w:tab w:val="left" w:pos="1080"/>
              </w:tabs>
              <w:snapToGrid w:val="0"/>
              <w:jc w:val="center"/>
              <w:rPr>
                <w:sz w:val="24"/>
              </w:rPr>
            </w:pPr>
            <w:r>
              <w:rPr>
                <w:sz w:val="24"/>
              </w:rPr>
              <w:t>2-1</w:t>
            </w:r>
          </w:p>
        </w:tc>
        <w:tc>
          <w:tcPr>
            <w:tcW w:w="1067" w:type="pct"/>
            <w:vAlign w:val="center"/>
          </w:tcPr>
          <w:p w14:paraId="01D4890B">
            <w:pPr>
              <w:tabs>
                <w:tab w:val="left" w:pos="1080"/>
              </w:tabs>
              <w:snapToGrid w:val="0"/>
              <w:rPr>
                <w:sz w:val="24"/>
              </w:rPr>
            </w:pPr>
            <w:r>
              <w:rPr>
                <w:sz w:val="24"/>
              </w:rPr>
              <w:t>中小企业政策证明文件</w:t>
            </w:r>
          </w:p>
        </w:tc>
        <w:tc>
          <w:tcPr>
            <w:tcW w:w="2596" w:type="pct"/>
            <w:vAlign w:val="center"/>
          </w:tcPr>
          <w:p w14:paraId="519A26F0">
            <w:pPr>
              <w:tabs>
                <w:tab w:val="left" w:pos="1080"/>
              </w:tabs>
              <w:snapToGrid w:val="0"/>
              <w:rPr>
                <w:sz w:val="24"/>
              </w:rPr>
            </w:pPr>
            <w:r>
              <w:rPr>
                <w:sz w:val="24"/>
              </w:rPr>
              <w:t>具体要求见第一章《投标邀请》</w:t>
            </w:r>
          </w:p>
        </w:tc>
        <w:tc>
          <w:tcPr>
            <w:tcW w:w="882" w:type="pct"/>
            <w:vAlign w:val="center"/>
          </w:tcPr>
          <w:p w14:paraId="21D4AB05">
            <w:pPr>
              <w:tabs>
                <w:tab w:val="left" w:pos="1080"/>
              </w:tabs>
              <w:snapToGrid w:val="0"/>
              <w:rPr>
                <w:sz w:val="24"/>
              </w:rPr>
            </w:pPr>
          </w:p>
        </w:tc>
      </w:tr>
      <w:tr w14:paraId="69821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7DB3B2D">
            <w:pPr>
              <w:tabs>
                <w:tab w:val="left" w:pos="1080"/>
              </w:tabs>
              <w:snapToGrid w:val="0"/>
              <w:jc w:val="center"/>
              <w:rPr>
                <w:sz w:val="24"/>
              </w:rPr>
            </w:pPr>
            <w:r>
              <w:rPr>
                <w:sz w:val="24"/>
              </w:rPr>
              <w:t>2-1-1</w:t>
            </w:r>
          </w:p>
        </w:tc>
        <w:tc>
          <w:tcPr>
            <w:tcW w:w="1067" w:type="pct"/>
            <w:vAlign w:val="center"/>
          </w:tcPr>
          <w:p w14:paraId="5079EB9D">
            <w:pPr>
              <w:tabs>
                <w:tab w:val="left" w:pos="1080"/>
              </w:tabs>
              <w:snapToGrid w:val="0"/>
              <w:rPr>
                <w:sz w:val="24"/>
              </w:rPr>
            </w:pPr>
            <w:r>
              <w:rPr>
                <w:sz w:val="24"/>
              </w:rPr>
              <w:t>中小企业证明文件</w:t>
            </w:r>
          </w:p>
        </w:tc>
        <w:tc>
          <w:tcPr>
            <w:tcW w:w="2596" w:type="pct"/>
            <w:vAlign w:val="center"/>
          </w:tcPr>
          <w:p w14:paraId="7050BDB3">
            <w:pPr>
              <w:tabs>
                <w:tab w:val="left" w:pos="1080"/>
              </w:tabs>
              <w:snapToGrid w:val="0"/>
              <w:rPr>
                <w:sz w:val="24"/>
              </w:rPr>
            </w:pPr>
            <w:r>
              <w:rPr>
                <w:sz w:val="24"/>
              </w:rPr>
              <w:t>当本项目（包）涉及预留份额专门面向中小企业采购，此时建议在《资格证明文件》中提供。</w:t>
            </w:r>
          </w:p>
          <w:p w14:paraId="648A69CC">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2D0994FF">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63A5C4F7">
            <w:pPr>
              <w:tabs>
                <w:tab w:val="left" w:pos="1080"/>
              </w:tabs>
              <w:snapToGrid w:val="0"/>
              <w:rPr>
                <w:sz w:val="24"/>
              </w:rPr>
            </w:pPr>
            <w:r>
              <w:rPr>
                <w:sz w:val="24"/>
              </w:rPr>
              <w:t>格式见《投标文件格式》</w:t>
            </w:r>
          </w:p>
        </w:tc>
      </w:tr>
      <w:tr w14:paraId="486F6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EFCD34C">
            <w:pPr>
              <w:tabs>
                <w:tab w:val="left" w:pos="1080"/>
              </w:tabs>
              <w:snapToGrid w:val="0"/>
              <w:jc w:val="center"/>
              <w:rPr>
                <w:sz w:val="24"/>
              </w:rPr>
            </w:pPr>
            <w:r>
              <w:rPr>
                <w:sz w:val="24"/>
              </w:rPr>
              <w:t>2-1-2</w:t>
            </w:r>
          </w:p>
        </w:tc>
        <w:tc>
          <w:tcPr>
            <w:tcW w:w="1067" w:type="pct"/>
            <w:vAlign w:val="center"/>
          </w:tcPr>
          <w:p w14:paraId="0442D804">
            <w:pPr>
              <w:tabs>
                <w:tab w:val="left" w:pos="1080"/>
              </w:tabs>
              <w:snapToGrid w:val="0"/>
              <w:rPr>
                <w:sz w:val="24"/>
              </w:rPr>
            </w:pPr>
            <w:r>
              <w:rPr>
                <w:sz w:val="24"/>
              </w:rPr>
              <w:t>拟分包情况说明及分包意向协议</w:t>
            </w:r>
          </w:p>
        </w:tc>
        <w:tc>
          <w:tcPr>
            <w:tcW w:w="2596" w:type="pct"/>
            <w:vAlign w:val="center"/>
          </w:tcPr>
          <w:p w14:paraId="1365B6EC">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40272851">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9428830">
            <w:pPr>
              <w:tabs>
                <w:tab w:val="left" w:pos="1080"/>
              </w:tabs>
              <w:snapToGrid w:val="0"/>
              <w:rPr>
                <w:sz w:val="24"/>
              </w:rPr>
            </w:pPr>
            <w:r>
              <w:rPr>
                <w:sz w:val="24"/>
              </w:rPr>
              <w:t>格式见《投标文件格式》</w:t>
            </w:r>
          </w:p>
        </w:tc>
      </w:tr>
      <w:tr w14:paraId="6A5FD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5E884FF">
            <w:pPr>
              <w:tabs>
                <w:tab w:val="left" w:pos="1080"/>
              </w:tabs>
              <w:snapToGrid w:val="0"/>
              <w:jc w:val="center"/>
              <w:rPr>
                <w:sz w:val="24"/>
              </w:rPr>
            </w:pPr>
            <w:r>
              <w:rPr>
                <w:sz w:val="24"/>
              </w:rPr>
              <w:t>2-2</w:t>
            </w:r>
          </w:p>
        </w:tc>
        <w:tc>
          <w:tcPr>
            <w:tcW w:w="1067" w:type="pct"/>
            <w:vAlign w:val="center"/>
          </w:tcPr>
          <w:p w14:paraId="74432DD5">
            <w:pPr>
              <w:tabs>
                <w:tab w:val="left" w:pos="1080"/>
              </w:tabs>
              <w:snapToGrid w:val="0"/>
              <w:rPr>
                <w:sz w:val="24"/>
              </w:rPr>
            </w:pPr>
            <w:r>
              <w:rPr>
                <w:sz w:val="24"/>
              </w:rPr>
              <w:t>其它落实政府采购政策的资格要求</w:t>
            </w:r>
          </w:p>
        </w:tc>
        <w:tc>
          <w:tcPr>
            <w:tcW w:w="2596" w:type="pct"/>
            <w:vAlign w:val="center"/>
          </w:tcPr>
          <w:p w14:paraId="504246AE">
            <w:pPr>
              <w:tabs>
                <w:tab w:val="left" w:pos="1080"/>
              </w:tabs>
              <w:snapToGrid w:val="0"/>
              <w:rPr>
                <w:sz w:val="24"/>
              </w:rPr>
            </w:pPr>
            <w:r>
              <w:rPr>
                <w:sz w:val="24"/>
              </w:rPr>
              <w:t>如有，见第一章《投标邀请》</w:t>
            </w:r>
          </w:p>
        </w:tc>
        <w:tc>
          <w:tcPr>
            <w:tcW w:w="882" w:type="pct"/>
            <w:vAlign w:val="center"/>
          </w:tcPr>
          <w:p w14:paraId="199E5642">
            <w:pPr>
              <w:tabs>
                <w:tab w:val="left" w:pos="1080"/>
              </w:tabs>
              <w:snapToGrid w:val="0"/>
              <w:rPr>
                <w:sz w:val="24"/>
              </w:rPr>
            </w:pPr>
            <w:r>
              <w:rPr>
                <w:sz w:val="24"/>
              </w:rPr>
              <w:t>提供证明文件的电子件或电子证照</w:t>
            </w:r>
          </w:p>
        </w:tc>
      </w:tr>
      <w:tr w14:paraId="3AD57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A7B2A13">
            <w:pPr>
              <w:tabs>
                <w:tab w:val="left" w:pos="1080"/>
              </w:tabs>
              <w:snapToGrid w:val="0"/>
              <w:jc w:val="center"/>
              <w:rPr>
                <w:sz w:val="24"/>
              </w:rPr>
            </w:pPr>
            <w:r>
              <w:rPr>
                <w:sz w:val="24"/>
              </w:rPr>
              <w:t>3</w:t>
            </w:r>
          </w:p>
        </w:tc>
        <w:tc>
          <w:tcPr>
            <w:tcW w:w="1067" w:type="pct"/>
            <w:vAlign w:val="center"/>
          </w:tcPr>
          <w:p w14:paraId="620A1DE0">
            <w:pPr>
              <w:tabs>
                <w:tab w:val="left" w:pos="1080"/>
              </w:tabs>
              <w:snapToGrid w:val="0"/>
              <w:rPr>
                <w:sz w:val="24"/>
              </w:rPr>
            </w:pPr>
            <w:r>
              <w:rPr>
                <w:sz w:val="24"/>
              </w:rPr>
              <w:t>本项目的特定资格要求</w:t>
            </w:r>
          </w:p>
        </w:tc>
        <w:tc>
          <w:tcPr>
            <w:tcW w:w="2596" w:type="pct"/>
            <w:vAlign w:val="center"/>
          </w:tcPr>
          <w:p w14:paraId="392907B2">
            <w:pPr>
              <w:tabs>
                <w:tab w:val="left" w:pos="1080"/>
              </w:tabs>
              <w:snapToGrid w:val="0"/>
              <w:rPr>
                <w:sz w:val="24"/>
              </w:rPr>
            </w:pPr>
            <w:r>
              <w:rPr>
                <w:sz w:val="24"/>
              </w:rPr>
              <w:t>如有，见第一章《投标邀请》</w:t>
            </w:r>
          </w:p>
        </w:tc>
        <w:tc>
          <w:tcPr>
            <w:tcW w:w="882" w:type="pct"/>
            <w:vAlign w:val="center"/>
          </w:tcPr>
          <w:p w14:paraId="76191206">
            <w:pPr>
              <w:tabs>
                <w:tab w:val="left" w:pos="1080"/>
              </w:tabs>
              <w:snapToGrid w:val="0"/>
              <w:rPr>
                <w:sz w:val="24"/>
              </w:rPr>
            </w:pPr>
          </w:p>
        </w:tc>
      </w:tr>
      <w:tr w14:paraId="511C9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99B6D78">
            <w:pPr>
              <w:tabs>
                <w:tab w:val="left" w:pos="1080"/>
              </w:tabs>
              <w:snapToGrid w:val="0"/>
              <w:jc w:val="center"/>
              <w:rPr>
                <w:sz w:val="24"/>
              </w:rPr>
            </w:pPr>
            <w:r>
              <w:rPr>
                <w:sz w:val="24"/>
              </w:rPr>
              <w:t>3-1</w:t>
            </w:r>
          </w:p>
        </w:tc>
        <w:tc>
          <w:tcPr>
            <w:tcW w:w="1067" w:type="pct"/>
            <w:vAlign w:val="center"/>
          </w:tcPr>
          <w:p w14:paraId="4AC36C69">
            <w:pPr>
              <w:tabs>
                <w:tab w:val="left" w:pos="1080"/>
              </w:tabs>
              <w:snapToGrid w:val="0"/>
              <w:rPr>
                <w:sz w:val="24"/>
              </w:rPr>
            </w:pPr>
            <w:r>
              <w:rPr>
                <w:sz w:val="24"/>
              </w:rPr>
              <w:t>本项目对于联合体的要求</w:t>
            </w:r>
          </w:p>
        </w:tc>
        <w:tc>
          <w:tcPr>
            <w:tcW w:w="2596" w:type="pct"/>
            <w:vAlign w:val="center"/>
          </w:tcPr>
          <w:p w14:paraId="4622CD7D">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03209FB">
            <w:pPr>
              <w:tabs>
                <w:tab w:val="left" w:pos="1080"/>
              </w:tabs>
              <w:snapToGrid w:val="0"/>
              <w:rPr>
                <w:sz w:val="24"/>
              </w:rPr>
            </w:pPr>
            <w:r>
              <w:rPr>
                <w:sz w:val="24"/>
              </w:rPr>
              <w:t>2、联合体各成员单位均须提供本表中序号1-1、1-2的证明文件。联合体各成员单位均应满足本表3-2项规定。</w:t>
            </w:r>
          </w:p>
          <w:p w14:paraId="5AB5A64B">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05B9695C">
            <w:pPr>
              <w:tabs>
                <w:tab w:val="left" w:pos="1080"/>
              </w:tabs>
              <w:snapToGrid w:val="0"/>
              <w:rPr>
                <w:sz w:val="24"/>
              </w:rPr>
            </w:pPr>
            <w:r>
              <w:rPr>
                <w:sz w:val="24"/>
              </w:rPr>
              <w:t>4、联合体中有同类资质的供应商按照联合体分工承担相同工作的，应当按照资质等级较低的供应商确定资质等级。</w:t>
            </w:r>
          </w:p>
          <w:p w14:paraId="350BA74B">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1B1DBCEB">
            <w:pPr>
              <w:tabs>
                <w:tab w:val="left" w:pos="1080"/>
              </w:tabs>
              <w:snapToGrid w:val="0"/>
              <w:rPr>
                <w:sz w:val="24"/>
              </w:rPr>
            </w:pPr>
            <w:r>
              <w:rPr>
                <w:sz w:val="24"/>
              </w:rPr>
              <w:t>6、若联合体中任一成员单位中途退出，则该联合体的</w:t>
            </w:r>
            <w:r>
              <w:rPr>
                <w:b/>
                <w:sz w:val="24"/>
              </w:rPr>
              <w:t>投标无效</w:t>
            </w:r>
            <w:r>
              <w:rPr>
                <w:sz w:val="24"/>
              </w:rPr>
              <w:t>。</w:t>
            </w:r>
          </w:p>
          <w:p w14:paraId="5EE54096">
            <w:pPr>
              <w:tabs>
                <w:tab w:val="left" w:pos="1080"/>
              </w:tabs>
              <w:snapToGrid w:val="0"/>
              <w:rPr>
                <w:sz w:val="24"/>
              </w:rPr>
            </w:pPr>
            <w:r>
              <w:rPr>
                <w:sz w:val="24"/>
              </w:rPr>
              <w:t>7、本项目不接受联合体投标时，投标人不得为联合体。</w:t>
            </w:r>
          </w:p>
        </w:tc>
        <w:tc>
          <w:tcPr>
            <w:tcW w:w="882" w:type="pct"/>
            <w:vAlign w:val="center"/>
          </w:tcPr>
          <w:p w14:paraId="1BEBA3B2">
            <w:pPr>
              <w:tabs>
                <w:tab w:val="left" w:pos="1080"/>
              </w:tabs>
              <w:snapToGrid w:val="0"/>
              <w:rPr>
                <w:sz w:val="24"/>
              </w:rPr>
            </w:pPr>
            <w:r>
              <w:rPr>
                <w:sz w:val="24"/>
              </w:rPr>
              <w:t>提供《联合协议》原件的电子件</w:t>
            </w:r>
          </w:p>
          <w:p w14:paraId="39F3980A">
            <w:pPr>
              <w:tabs>
                <w:tab w:val="left" w:pos="1080"/>
              </w:tabs>
              <w:snapToGrid w:val="0"/>
              <w:rPr>
                <w:sz w:val="24"/>
              </w:rPr>
            </w:pPr>
            <w:r>
              <w:rPr>
                <w:sz w:val="24"/>
              </w:rPr>
              <w:t>格式见《投标文件格式》</w:t>
            </w:r>
          </w:p>
        </w:tc>
      </w:tr>
      <w:tr w14:paraId="3A170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FD4C2D4">
            <w:pPr>
              <w:tabs>
                <w:tab w:val="left" w:pos="1080"/>
              </w:tabs>
              <w:snapToGrid w:val="0"/>
              <w:jc w:val="center"/>
              <w:rPr>
                <w:sz w:val="24"/>
              </w:rPr>
            </w:pPr>
            <w:r>
              <w:rPr>
                <w:sz w:val="24"/>
              </w:rPr>
              <w:t>3-2</w:t>
            </w:r>
          </w:p>
        </w:tc>
        <w:tc>
          <w:tcPr>
            <w:tcW w:w="1067" w:type="pct"/>
            <w:vAlign w:val="center"/>
          </w:tcPr>
          <w:p w14:paraId="304311BD">
            <w:pPr>
              <w:tabs>
                <w:tab w:val="left" w:pos="1080"/>
              </w:tabs>
              <w:snapToGrid w:val="0"/>
              <w:rPr>
                <w:sz w:val="24"/>
              </w:rPr>
            </w:pPr>
            <w:r>
              <w:rPr>
                <w:sz w:val="24"/>
              </w:rPr>
              <w:t>政府购买服务承接主体的要求</w:t>
            </w:r>
          </w:p>
        </w:tc>
        <w:tc>
          <w:tcPr>
            <w:tcW w:w="2596" w:type="pct"/>
            <w:vAlign w:val="center"/>
          </w:tcPr>
          <w:p w14:paraId="180C4785">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2A207436">
            <w:pPr>
              <w:tabs>
                <w:tab w:val="left" w:pos="1080"/>
              </w:tabs>
              <w:snapToGrid w:val="0"/>
              <w:jc w:val="center"/>
              <w:rPr>
                <w:sz w:val="24"/>
              </w:rPr>
            </w:pPr>
            <w:r>
              <w:rPr>
                <w:sz w:val="24"/>
              </w:rPr>
              <w:t>格式见《投标文件格式》</w:t>
            </w:r>
            <w:r>
              <w:rPr>
                <w:rFonts w:hint="eastAsia"/>
                <w:sz w:val="24"/>
              </w:rPr>
              <w:t>“1-2 投标人资格声明书”</w:t>
            </w:r>
          </w:p>
        </w:tc>
      </w:tr>
      <w:tr w14:paraId="1C487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214BCA70">
            <w:pPr>
              <w:tabs>
                <w:tab w:val="left" w:pos="1080"/>
              </w:tabs>
              <w:snapToGrid w:val="0"/>
              <w:jc w:val="center"/>
              <w:rPr>
                <w:sz w:val="24"/>
              </w:rPr>
            </w:pPr>
            <w:r>
              <w:rPr>
                <w:sz w:val="24"/>
              </w:rPr>
              <w:t>3-3</w:t>
            </w:r>
          </w:p>
        </w:tc>
        <w:tc>
          <w:tcPr>
            <w:tcW w:w="1067" w:type="pct"/>
            <w:vAlign w:val="center"/>
          </w:tcPr>
          <w:p w14:paraId="73A1F7A3">
            <w:pPr>
              <w:tabs>
                <w:tab w:val="left" w:pos="1080"/>
              </w:tabs>
              <w:snapToGrid w:val="0"/>
              <w:rPr>
                <w:sz w:val="24"/>
              </w:rPr>
            </w:pPr>
            <w:r>
              <w:rPr>
                <w:sz w:val="24"/>
              </w:rPr>
              <w:t>其他特定资格要求</w:t>
            </w:r>
          </w:p>
        </w:tc>
        <w:tc>
          <w:tcPr>
            <w:tcW w:w="2596" w:type="pct"/>
            <w:vAlign w:val="center"/>
          </w:tcPr>
          <w:p w14:paraId="27A616F6">
            <w:pPr>
              <w:tabs>
                <w:tab w:val="left" w:pos="1080"/>
              </w:tabs>
              <w:snapToGrid w:val="0"/>
              <w:rPr>
                <w:sz w:val="24"/>
              </w:rPr>
            </w:pPr>
            <w:r>
              <w:rPr>
                <w:color w:val="000000"/>
                <w:sz w:val="24"/>
              </w:rPr>
              <w:t>如有，见</w:t>
            </w:r>
            <w:r>
              <w:rPr>
                <w:sz w:val="24"/>
              </w:rPr>
              <w:t>第一章《投标邀请》</w:t>
            </w:r>
          </w:p>
          <w:p w14:paraId="29CBA0D4">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03E5A71B">
            <w:pPr>
              <w:tabs>
                <w:tab w:val="left" w:pos="1080"/>
              </w:tabs>
              <w:snapToGrid w:val="0"/>
              <w:rPr>
                <w:sz w:val="24"/>
              </w:rPr>
            </w:pPr>
            <w:r>
              <w:rPr>
                <w:sz w:val="24"/>
              </w:rPr>
              <w:t>提供证明文件的电子件或电子证照</w:t>
            </w:r>
          </w:p>
        </w:tc>
      </w:tr>
      <w:tr w14:paraId="7B69A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252F67C">
            <w:pPr>
              <w:tabs>
                <w:tab w:val="left" w:pos="1080"/>
              </w:tabs>
              <w:snapToGrid w:val="0"/>
              <w:jc w:val="center"/>
              <w:rPr>
                <w:sz w:val="24"/>
              </w:rPr>
            </w:pPr>
            <w:r>
              <w:rPr>
                <w:sz w:val="24"/>
              </w:rPr>
              <w:t>4</w:t>
            </w:r>
          </w:p>
        </w:tc>
        <w:tc>
          <w:tcPr>
            <w:tcW w:w="1067" w:type="pct"/>
            <w:vAlign w:val="center"/>
          </w:tcPr>
          <w:p w14:paraId="63C6BD99">
            <w:pPr>
              <w:tabs>
                <w:tab w:val="left" w:pos="1080"/>
              </w:tabs>
              <w:snapToGrid w:val="0"/>
              <w:rPr>
                <w:sz w:val="24"/>
              </w:rPr>
            </w:pPr>
            <w:r>
              <w:rPr>
                <w:sz w:val="24"/>
              </w:rPr>
              <w:t>投标保证金</w:t>
            </w:r>
          </w:p>
        </w:tc>
        <w:tc>
          <w:tcPr>
            <w:tcW w:w="2596" w:type="pct"/>
            <w:vAlign w:val="center"/>
          </w:tcPr>
          <w:p w14:paraId="5A648C85">
            <w:pPr>
              <w:tabs>
                <w:tab w:val="left" w:pos="1080"/>
              </w:tabs>
              <w:snapToGrid w:val="0"/>
              <w:rPr>
                <w:sz w:val="24"/>
              </w:rPr>
            </w:pPr>
            <w:r>
              <w:rPr>
                <w:color w:val="000000"/>
                <w:kern w:val="0"/>
                <w:sz w:val="24"/>
              </w:rPr>
              <w:t>按照招标文件的规定提交投标保证金。</w:t>
            </w:r>
          </w:p>
        </w:tc>
        <w:tc>
          <w:tcPr>
            <w:tcW w:w="882" w:type="pct"/>
            <w:vAlign w:val="center"/>
          </w:tcPr>
          <w:p w14:paraId="5E6FA068">
            <w:pPr>
              <w:tabs>
                <w:tab w:val="left" w:pos="1080"/>
              </w:tabs>
              <w:snapToGrid w:val="0"/>
              <w:rPr>
                <w:sz w:val="24"/>
              </w:rPr>
            </w:pPr>
          </w:p>
        </w:tc>
      </w:tr>
      <w:tr w14:paraId="42DEE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FC549C0">
            <w:pPr>
              <w:tabs>
                <w:tab w:val="left" w:pos="1080"/>
              </w:tabs>
              <w:snapToGrid w:val="0"/>
              <w:jc w:val="center"/>
              <w:rPr>
                <w:sz w:val="24"/>
              </w:rPr>
            </w:pPr>
            <w:r>
              <w:rPr>
                <w:sz w:val="24"/>
              </w:rPr>
              <w:t>5</w:t>
            </w:r>
          </w:p>
        </w:tc>
        <w:tc>
          <w:tcPr>
            <w:tcW w:w="1067" w:type="pct"/>
            <w:vAlign w:val="center"/>
          </w:tcPr>
          <w:p w14:paraId="6EAB0651">
            <w:pPr>
              <w:tabs>
                <w:tab w:val="left" w:pos="1080"/>
              </w:tabs>
              <w:snapToGrid w:val="0"/>
              <w:rPr>
                <w:sz w:val="24"/>
              </w:rPr>
            </w:pPr>
            <w:r>
              <w:rPr>
                <w:sz w:val="24"/>
              </w:rPr>
              <w:t>获取招标文件</w:t>
            </w:r>
          </w:p>
        </w:tc>
        <w:tc>
          <w:tcPr>
            <w:tcW w:w="2596" w:type="pct"/>
            <w:vAlign w:val="center"/>
          </w:tcPr>
          <w:p w14:paraId="321E3AC7">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4CC1A6C1">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3C271860">
            <w:pPr>
              <w:tabs>
                <w:tab w:val="left" w:pos="1080"/>
              </w:tabs>
              <w:snapToGrid w:val="0"/>
              <w:rPr>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7B84C2FF">
      <w:pPr>
        <w:widowControl/>
        <w:jc w:val="left"/>
        <w:rPr>
          <w:sz w:val="24"/>
        </w:rPr>
      </w:pPr>
      <w:bookmarkStart w:id="734" w:name="_Hlt522424701"/>
      <w:bookmarkEnd w:id="734"/>
      <w:bookmarkStart w:id="735" w:name="_Hlt487900425"/>
      <w:bookmarkEnd w:id="735"/>
      <w:bookmarkStart w:id="736" w:name="_Toc127151779"/>
      <w:bookmarkStart w:id="737" w:name="_Toc127161490"/>
      <w:bookmarkStart w:id="738" w:name="_Toc353873940"/>
      <w:bookmarkStart w:id="739" w:name="_Toc353825550"/>
      <w:bookmarkStart w:id="740" w:name="_Toc226965858"/>
      <w:r>
        <w:rPr>
          <w:sz w:val="24"/>
        </w:rPr>
        <w:br w:type="page"/>
      </w:r>
    </w:p>
    <w:p w14:paraId="2F39BB55">
      <w:pPr>
        <w:spacing w:line="360" w:lineRule="auto"/>
        <w:jc w:val="center"/>
        <w:outlineLvl w:val="0"/>
        <w:rPr>
          <w:b/>
          <w:sz w:val="36"/>
          <w:szCs w:val="36"/>
        </w:rPr>
      </w:pPr>
      <w:bookmarkStart w:id="741" w:name="_Toc99301423"/>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54D467BF">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739CE93E">
      <w:pPr>
        <w:numPr>
          <w:ilvl w:val="0"/>
          <w:numId w:val="12"/>
        </w:numPr>
        <w:tabs>
          <w:tab w:val="left" w:pos="360"/>
        </w:tabs>
        <w:snapToGrid w:val="0"/>
        <w:spacing w:line="360" w:lineRule="auto"/>
        <w:outlineLvl w:val="1"/>
        <w:rPr>
          <w:sz w:val="24"/>
        </w:rPr>
      </w:pPr>
      <w:bookmarkStart w:id="743" w:name="_Toc151190168"/>
      <w:bookmarkStart w:id="744" w:name="_Toc151193783"/>
      <w:bookmarkStart w:id="745" w:name="_Toc151193639"/>
      <w:bookmarkStart w:id="746" w:name="_Toc164351635"/>
      <w:bookmarkStart w:id="747" w:name="_Toc150480779"/>
      <w:bookmarkStart w:id="748" w:name="_Toc150509292"/>
      <w:bookmarkStart w:id="749" w:name="_Toc127161455"/>
      <w:bookmarkStart w:id="750" w:name="_Toc265228379"/>
      <w:bookmarkStart w:id="751" w:name="_Toc151193855"/>
      <w:bookmarkStart w:id="752" w:name="_Toc164608810"/>
      <w:bookmarkStart w:id="753" w:name="_Toc151193929"/>
      <w:bookmarkStart w:id="754" w:name="_Toc164608655"/>
      <w:bookmarkStart w:id="755" w:name="_Toc127151742"/>
      <w:bookmarkStart w:id="756" w:name="_Toc305158883"/>
      <w:bookmarkStart w:id="757" w:name="_Toc226309785"/>
      <w:bookmarkStart w:id="758" w:name="_Toc142311043"/>
      <w:bookmarkStart w:id="759" w:name="_Toc305158809"/>
      <w:bookmarkStart w:id="760" w:name="_Toc264969231"/>
      <w:bookmarkStart w:id="761" w:name="_Toc149720834"/>
      <w:bookmarkStart w:id="762" w:name="_Toc164229236"/>
      <w:bookmarkStart w:id="763" w:name="_Toc127151541"/>
      <w:bookmarkStart w:id="764" w:name="_Toc150774641"/>
      <w:bookmarkStart w:id="765" w:name="_Toc164229382"/>
      <w:bookmarkStart w:id="766" w:name="_Toc151193711"/>
      <w:bookmarkStart w:id="767" w:name="_Toc195842906"/>
      <w:bookmarkStart w:id="768" w:name="_Toc150774746"/>
      <w:bookmarkStart w:id="769" w:name="_Toc226337237"/>
      <w:bookmarkStart w:id="770" w:name="_Toc226965731"/>
      <w:bookmarkStart w:id="771" w:name="_Toc226965814"/>
      <w:bookmarkStart w:id="772" w:name="_Toc353873941"/>
      <w:bookmarkStart w:id="773" w:name="_Toc353825551"/>
      <w:bookmarkStart w:id="774" w:name="_Toc195842920"/>
      <w:bookmarkStart w:id="775" w:name="_Toc226337251"/>
      <w:bookmarkStart w:id="776" w:name="_Toc226965828"/>
      <w:bookmarkStart w:id="777" w:name="_Toc305158897"/>
      <w:bookmarkStart w:id="778" w:name="_Toc265228393"/>
      <w:bookmarkStart w:id="779" w:name="_Toc264969245"/>
      <w:bookmarkStart w:id="780" w:name="_Toc353825545"/>
      <w:bookmarkStart w:id="781" w:name="_Toc353873935"/>
      <w:bookmarkStart w:id="782" w:name="_Toc150480793"/>
      <w:bookmarkStart w:id="783" w:name="_Toc353873665"/>
      <w:bookmarkStart w:id="784" w:name="_Toc142311057"/>
      <w:bookmarkStart w:id="785" w:name="_Toc150774760"/>
      <w:bookmarkStart w:id="786" w:name="_Toc305158823"/>
      <w:bookmarkStart w:id="787" w:name="_Toc127151555"/>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65ACEE13">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3636472A">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5B54DE30">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14BD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61DCBFA9">
            <w:pPr>
              <w:widowControl/>
              <w:jc w:val="center"/>
              <w:rPr>
                <w:b/>
                <w:color w:val="000000"/>
                <w:kern w:val="0"/>
                <w:sz w:val="24"/>
              </w:rPr>
            </w:pPr>
            <w:r>
              <w:rPr>
                <w:b/>
                <w:color w:val="000000"/>
                <w:kern w:val="0"/>
                <w:sz w:val="24"/>
              </w:rPr>
              <w:t>序号</w:t>
            </w:r>
          </w:p>
        </w:tc>
        <w:tc>
          <w:tcPr>
            <w:tcW w:w="975" w:type="pct"/>
            <w:vAlign w:val="center"/>
          </w:tcPr>
          <w:p w14:paraId="6CB1A9A2">
            <w:pPr>
              <w:widowControl/>
              <w:jc w:val="center"/>
              <w:rPr>
                <w:b/>
                <w:color w:val="000000"/>
                <w:kern w:val="0"/>
                <w:sz w:val="24"/>
              </w:rPr>
            </w:pPr>
            <w:r>
              <w:rPr>
                <w:b/>
                <w:color w:val="000000"/>
                <w:kern w:val="0"/>
                <w:sz w:val="24"/>
              </w:rPr>
              <w:t>审查因素</w:t>
            </w:r>
          </w:p>
        </w:tc>
        <w:tc>
          <w:tcPr>
            <w:tcW w:w="3620" w:type="pct"/>
            <w:vAlign w:val="center"/>
          </w:tcPr>
          <w:p w14:paraId="76C593A0">
            <w:pPr>
              <w:widowControl/>
              <w:jc w:val="center"/>
              <w:rPr>
                <w:b/>
                <w:color w:val="000000"/>
                <w:kern w:val="0"/>
                <w:sz w:val="24"/>
              </w:rPr>
            </w:pPr>
            <w:r>
              <w:rPr>
                <w:b/>
                <w:color w:val="000000"/>
                <w:kern w:val="0"/>
                <w:sz w:val="24"/>
              </w:rPr>
              <w:t>审查内容</w:t>
            </w:r>
          </w:p>
        </w:tc>
      </w:tr>
      <w:tr w14:paraId="53EE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DD90175">
            <w:pPr>
              <w:widowControl/>
              <w:jc w:val="center"/>
              <w:rPr>
                <w:color w:val="000000"/>
                <w:kern w:val="0"/>
                <w:sz w:val="24"/>
              </w:rPr>
            </w:pPr>
            <w:r>
              <w:rPr>
                <w:color w:val="000000"/>
                <w:kern w:val="0"/>
                <w:sz w:val="24"/>
              </w:rPr>
              <w:t>1</w:t>
            </w:r>
          </w:p>
        </w:tc>
        <w:tc>
          <w:tcPr>
            <w:tcW w:w="975" w:type="pct"/>
            <w:vAlign w:val="center"/>
          </w:tcPr>
          <w:p w14:paraId="4919AF88">
            <w:pPr>
              <w:widowControl/>
              <w:jc w:val="left"/>
              <w:rPr>
                <w:color w:val="000000"/>
                <w:kern w:val="0"/>
                <w:sz w:val="24"/>
              </w:rPr>
            </w:pPr>
            <w:r>
              <w:rPr>
                <w:color w:val="000000"/>
                <w:kern w:val="0"/>
                <w:sz w:val="24"/>
              </w:rPr>
              <w:t>授权委托书</w:t>
            </w:r>
          </w:p>
        </w:tc>
        <w:tc>
          <w:tcPr>
            <w:tcW w:w="3620" w:type="pct"/>
            <w:vAlign w:val="center"/>
          </w:tcPr>
          <w:p w14:paraId="796FDFED">
            <w:pPr>
              <w:widowControl/>
              <w:jc w:val="left"/>
              <w:rPr>
                <w:color w:val="000000"/>
                <w:kern w:val="0"/>
                <w:sz w:val="24"/>
              </w:rPr>
            </w:pPr>
            <w:r>
              <w:rPr>
                <w:color w:val="000000"/>
                <w:kern w:val="0"/>
                <w:sz w:val="24"/>
              </w:rPr>
              <w:t>按招标文件要求提供授权委托书；</w:t>
            </w:r>
          </w:p>
        </w:tc>
      </w:tr>
      <w:tr w14:paraId="580A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ECC9DAE">
            <w:pPr>
              <w:widowControl/>
              <w:jc w:val="center"/>
              <w:rPr>
                <w:color w:val="000000"/>
                <w:kern w:val="0"/>
                <w:sz w:val="24"/>
              </w:rPr>
            </w:pPr>
            <w:r>
              <w:rPr>
                <w:color w:val="000000"/>
                <w:kern w:val="0"/>
                <w:sz w:val="24"/>
              </w:rPr>
              <w:t>2</w:t>
            </w:r>
          </w:p>
        </w:tc>
        <w:tc>
          <w:tcPr>
            <w:tcW w:w="975" w:type="pct"/>
            <w:vAlign w:val="center"/>
          </w:tcPr>
          <w:p w14:paraId="0ACA2A6E">
            <w:pPr>
              <w:widowControl/>
              <w:jc w:val="left"/>
              <w:rPr>
                <w:color w:val="000000"/>
                <w:kern w:val="0"/>
                <w:sz w:val="24"/>
              </w:rPr>
            </w:pPr>
            <w:r>
              <w:rPr>
                <w:color w:val="000000"/>
                <w:kern w:val="0"/>
                <w:sz w:val="24"/>
              </w:rPr>
              <w:t>投标完整性</w:t>
            </w:r>
          </w:p>
        </w:tc>
        <w:tc>
          <w:tcPr>
            <w:tcW w:w="3620" w:type="pct"/>
            <w:vAlign w:val="center"/>
          </w:tcPr>
          <w:p w14:paraId="08CA6826">
            <w:pPr>
              <w:widowControl/>
              <w:jc w:val="left"/>
              <w:rPr>
                <w:color w:val="000000"/>
                <w:kern w:val="0"/>
                <w:sz w:val="24"/>
              </w:rPr>
            </w:pPr>
            <w:r>
              <w:rPr>
                <w:sz w:val="24"/>
              </w:rPr>
              <w:t>未将一个采购包中的内容拆分投标；</w:t>
            </w:r>
          </w:p>
        </w:tc>
      </w:tr>
      <w:tr w14:paraId="24AC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AFC035F">
            <w:pPr>
              <w:widowControl/>
              <w:jc w:val="center"/>
              <w:rPr>
                <w:color w:val="000000"/>
                <w:kern w:val="0"/>
                <w:sz w:val="24"/>
              </w:rPr>
            </w:pPr>
            <w:r>
              <w:rPr>
                <w:color w:val="000000"/>
                <w:kern w:val="0"/>
                <w:sz w:val="24"/>
              </w:rPr>
              <w:t>3</w:t>
            </w:r>
          </w:p>
        </w:tc>
        <w:tc>
          <w:tcPr>
            <w:tcW w:w="975" w:type="pct"/>
            <w:vAlign w:val="center"/>
          </w:tcPr>
          <w:p w14:paraId="511A19A5">
            <w:pPr>
              <w:widowControl/>
              <w:jc w:val="left"/>
              <w:rPr>
                <w:color w:val="000000"/>
                <w:kern w:val="0"/>
                <w:sz w:val="24"/>
              </w:rPr>
            </w:pPr>
            <w:r>
              <w:rPr>
                <w:color w:val="000000"/>
                <w:kern w:val="0"/>
                <w:sz w:val="24"/>
              </w:rPr>
              <w:t>投标报价</w:t>
            </w:r>
          </w:p>
        </w:tc>
        <w:tc>
          <w:tcPr>
            <w:tcW w:w="3620" w:type="pct"/>
            <w:vAlign w:val="center"/>
          </w:tcPr>
          <w:p w14:paraId="7156A961">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3843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4E6092F">
            <w:pPr>
              <w:widowControl/>
              <w:jc w:val="center"/>
              <w:rPr>
                <w:color w:val="000000"/>
                <w:kern w:val="0"/>
                <w:sz w:val="24"/>
              </w:rPr>
            </w:pPr>
            <w:r>
              <w:rPr>
                <w:color w:val="000000"/>
                <w:kern w:val="0"/>
                <w:sz w:val="24"/>
              </w:rPr>
              <w:t>4</w:t>
            </w:r>
          </w:p>
        </w:tc>
        <w:tc>
          <w:tcPr>
            <w:tcW w:w="975" w:type="pct"/>
            <w:vAlign w:val="center"/>
          </w:tcPr>
          <w:p w14:paraId="57FB08DE">
            <w:pPr>
              <w:widowControl/>
              <w:jc w:val="left"/>
              <w:rPr>
                <w:color w:val="000000"/>
                <w:kern w:val="0"/>
                <w:sz w:val="24"/>
              </w:rPr>
            </w:pPr>
            <w:r>
              <w:rPr>
                <w:color w:val="000000"/>
                <w:kern w:val="0"/>
                <w:sz w:val="24"/>
              </w:rPr>
              <w:t>报价唯一性</w:t>
            </w:r>
          </w:p>
        </w:tc>
        <w:tc>
          <w:tcPr>
            <w:tcW w:w="3620" w:type="pct"/>
            <w:vAlign w:val="center"/>
          </w:tcPr>
          <w:p w14:paraId="549020B6">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0D3B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C3BB3C1">
            <w:pPr>
              <w:widowControl/>
              <w:jc w:val="center"/>
              <w:rPr>
                <w:color w:val="000000"/>
                <w:kern w:val="0"/>
                <w:sz w:val="24"/>
              </w:rPr>
            </w:pPr>
            <w:r>
              <w:rPr>
                <w:color w:val="000000"/>
                <w:kern w:val="0"/>
                <w:sz w:val="24"/>
              </w:rPr>
              <w:t>5</w:t>
            </w:r>
          </w:p>
        </w:tc>
        <w:tc>
          <w:tcPr>
            <w:tcW w:w="975" w:type="pct"/>
            <w:vAlign w:val="center"/>
          </w:tcPr>
          <w:p w14:paraId="396BAB03">
            <w:pPr>
              <w:widowControl/>
              <w:jc w:val="left"/>
              <w:rPr>
                <w:color w:val="000000"/>
                <w:kern w:val="0"/>
                <w:sz w:val="24"/>
              </w:rPr>
            </w:pPr>
            <w:r>
              <w:rPr>
                <w:color w:val="000000"/>
                <w:kern w:val="0"/>
                <w:sz w:val="24"/>
              </w:rPr>
              <w:t>投标有效期</w:t>
            </w:r>
          </w:p>
        </w:tc>
        <w:tc>
          <w:tcPr>
            <w:tcW w:w="3620" w:type="pct"/>
            <w:vAlign w:val="center"/>
          </w:tcPr>
          <w:p w14:paraId="728C58E5">
            <w:pPr>
              <w:widowControl/>
              <w:jc w:val="left"/>
              <w:rPr>
                <w:color w:val="000000"/>
                <w:kern w:val="0"/>
                <w:sz w:val="24"/>
              </w:rPr>
            </w:pPr>
            <w:r>
              <w:rPr>
                <w:color w:val="000000"/>
                <w:kern w:val="0"/>
                <w:sz w:val="24"/>
              </w:rPr>
              <w:t>投标文件中承诺的投标有效期满足招标文件中载明的投标有效期的；</w:t>
            </w:r>
          </w:p>
        </w:tc>
      </w:tr>
      <w:tr w14:paraId="7CEC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478F083">
            <w:pPr>
              <w:widowControl/>
              <w:jc w:val="center"/>
              <w:rPr>
                <w:color w:val="000000"/>
                <w:kern w:val="0"/>
                <w:sz w:val="24"/>
              </w:rPr>
            </w:pPr>
            <w:r>
              <w:rPr>
                <w:color w:val="000000"/>
                <w:kern w:val="0"/>
                <w:sz w:val="24"/>
              </w:rPr>
              <w:t>6</w:t>
            </w:r>
          </w:p>
        </w:tc>
        <w:tc>
          <w:tcPr>
            <w:tcW w:w="975" w:type="pct"/>
            <w:vAlign w:val="center"/>
          </w:tcPr>
          <w:p w14:paraId="1EAFB3C0">
            <w:pPr>
              <w:widowControl/>
              <w:jc w:val="left"/>
              <w:rPr>
                <w:color w:val="000000"/>
                <w:kern w:val="0"/>
                <w:sz w:val="24"/>
              </w:rPr>
            </w:pPr>
            <w:r>
              <w:rPr>
                <w:color w:val="000000"/>
                <w:kern w:val="0"/>
                <w:sz w:val="24"/>
              </w:rPr>
              <w:t>实质性格式</w:t>
            </w:r>
          </w:p>
        </w:tc>
        <w:tc>
          <w:tcPr>
            <w:tcW w:w="3620" w:type="pct"/>
            <w:vAlign w:val="center"/>
          </w:tcPr>
          <w:p w14:paraId="558F7E47">
            <w:pPr>
              <w:widowControl/>
              <w:jc w:val="left"/>
              <w:rPr>
                <w:color w:val="000000"/>
                <w:kern w:val="0"/>
                <w:sz w:val="24"/>
              </w:rPr>
            </w:pPr>
            <w:r>
              <w:rPr>
                <w:kern w:val="0"/>
                <w:sz w:val="24"/>
              </w:rPr>
              <w:t>标记为“实质性格式”的文件均按招标文件要求提供且签署、盖章的；</w:t>
            </w:r>
          </w:p>
        </w:tc>
      </w:tr>
      <w:tr w14:paraId="6AAF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F4A4B42">
            <w:pPr>
              <w:widowControl/>
              <w:jc w:val="center"/>
              <w:rPr>
                <w:color w:val="000000"/>
                <w:kern w:val="0"/>
                <w:sz w:val="24"/>
              </w:rPr>
            </w:pPr>
            <w:r>
              <w:rPr>
                <w:color w:val="000000"/>
                <w:kern w:val="0"/>
                <w:sz w:val="24"/>
              </w:rPr>
              <w:t>7</w:t>
            </w:r>
          </w:p>
        </w:tc>
        <w:tc>
          <w:tcPr>
            <w:tcW w:w="975" w:type="pct"/>
            <w:vAlign w:val="center"/>
          </w:tcPr>
          <w:p w14:paraId="3035E78A">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1F005454">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1815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8587A18">
            <w:pPr>
              <w:widowControl/>
              <w:jc w:val="center"/>
              <w:rPr>
                <w:color w:val="000000"/>
                <w:kern w:val="0"/>
                <w:sz w:val="24"/>
              </w:rPr>
            </w:pPr>
            <w:r>
              <w:rPr>
                <w:color w:val="000000"/>
                <w:kern w:val="0"/>
                <w:sz w:val="24"/>
              </w:rPr>
              <w:t>8</w:t>
            </w:r>
          </w:p>
        </w:tc>
        <w:tc>
          <w:tcPr>
            <w:tcW w:w="975" w:type="pct"/>
            <w:vAlign w:val="center"/>
          </w:tcPr>
          <w:p w14:paraId="7550DF87">
            <w:pPr>
              <w:widowControl/>
              <w:jc w:val="left"/>
              <w:rPr>
                <w:color w:val="000000"/>
                <w:kern w:val="0"/>
                <w:sz w:val="24"/>
              </w:rPr>
            </w:pPr>
            <w:r>
              <w:rPr>
                <w:sz w:val="24"/>
              </w:rPr>
              <w:t>拟分包情况说明（如有）</w:t>
            </w:r>
          </w:p>
        </w:tc>
        <w:tc>
          <w:tcPr>
            <w:tcW w:w="3620" w:type="pct"/>
            <w:vAlign w:val="center"/>
          </w:tcPr>
          <w:p w14:paraId="3A9C4524">
            <w:pPr>
              <w:widowControl/>
              <w:jc w:val="left"/>
              <w:rPr>
                <w:color w:val="000000"/>
                <w:kern w:val="0"/>
                <w:sz w:val="24"/>
              </w:rPr>
            </w:pPr>
            <w:r>
              <w:rPr>
                <w:sz w:val="24"/>
              </w:rPr>
              <w:t>如本项目（包）非因“落实政府采购政策”亦允许分包，且供应商拟进行分包时，必须提供；否则无须提供；</w:t>
            </w:r>
          </w:p>
        </w:tc>
      </w:tr>
      <w:tr w14:paraId="69B3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1C7DD28">
            <w:pPr>
              <w:widowControl/>
              <w:jc w:val="center"/>
              <w:rPr>
                <w:color w:val="000000"/>
                <w:kern w:val="0"/>
                <w:sz w:val="24"/>
              </w:rPr>
            </w:pPr>
            <w:r>
              <w:rPr>
                <w:color w:val="000000"/>
                <w:kern w:val="0"/>
                <w:sz w:val="24"/>
              </w:rPr>
              <w:t>9</w:t>
            </w:r>
          </w:p>
        </w:tc>
        <w:tc>
          <w:tcPr>
            <w:tcW w:w="975" w:type="pct"/>
            <w:vAlign w:val="center"/>
          </w:tcPr>
          <w:p w14:paraId="6B7BE760">
            <w:pPr>
              <w:widowControl/>
              <w:jc w:val="left"/>
              <w:rPr>
                <w:color w:val="000000"/>
                <w:kern w:val="0"/>
                <w:sz w:val="24"/>
              </w:rPr>
            </w:pPr>
            <w:r>
              <w:rPr>
                <w:color w:val="000000"/>
                <w:kern w:val="0"/>
                <w:sz w:val="24"/>
              </w:rPr>
              <w:t>分包其他要求（如有）</w:t>
            </w:r>
          </w:p>
        </w:tc>
        <w:tc>
          <w:tcPr>
            <w:tcW w:w="3620" w:type="pct"/>
            <w:vAlign w:val="center"/>
          </w:tcPr>
          <w:p w14:paraId="0B682F4A">
            <w:pPr>
              <w:widowControl/>
              <w:jc w:val="left"/>
              <w:rPr>
                <w:sz w:val="24"/>
              </w:rPr>
            </w:pPr>
            <w:r>
              <w:rPr>
                <w:sz w:val="24"/>
              </w:rPr>
              <w:t>分包履行的内容、金额或者比例未超出《投标人须知资料表》中的规定；</w:t>
            </w:r>
          </w:p>
          <w:p w14:paraId="36EAD32B">
            <w:pPr>
              <w:widowControl/>
              <w:jc w:val="left"/>
              <w:rPr>
                <w:color w:val="000000"/>
                <w:kern w:val="0"/>
                <w:sz w:val="24"/>
              </w:rPr>
            </w:pPr>
            <w:r>
              <w:rPr>
                <w:sz w:val="24"/>
              </w:rPr>
              <w:t>分包承担主体具备《投标人须知资料表》载明的资质条件且提供了资质证书电子件（如有）；</w:t>
            </w:r>
          </w:p>
        </w:tc>
      </w:tr>
      <w:tr w14:paraId="098E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7E504FB">
            <w:pPr>
              <w:widowControl/>
              <w:jc w:val="center"/>
              <w:rPr>
                <w:color w:val="000000"/>
                <w:kern w:val="0"/>
                <w:sz w:val="24"/>
              </w:rPr>
            </w:pPr>
            <w:r>
              <w:rPr>
                <w:color w:val="000000"/>
                <w:kern w:val="0"/>
                <w:sz w:val="24"/>
              </w:rPr>
              <w:t>10</w:t>
            </w:r>
          </w:p>
        </w:tc>
        <w:tc>
          <w:tcPr>
            <w:tcW w:w="975" w:type="pct"/>
            <w:vAlign w:val="center"/>
          </w:tcPr>
          <w:p w14:paraId="67FCD2D2">
            <w:pPr>
              <w:widowControl/>
              <w:jc w:val="left"/>
              <w:rPr>
                <w:color w:val="000000"/>
                <w:kern w:val="0"/>
                <w:sz w:val="24"/>
              </w:rPr>
            </w:pPr>
            <w:r>
              <w:rPr>
                <w:color w:val="000000"/>
                <w:kern w:val="0"/>
                <w:sz w:val="24"/>
              </w:rPr>
              <w:t>报价的修正（如有）</w:t>
            </w:r>
          </w:p>
        </w:tc>
        <w:tc>
          <w:tcPr>
            <w:tcW w:w="3620" w:type="pct"/>
            <w:vAlign w:val="center"/>
          </w:tcPr>
          <w:p w14:paraId="6930A09F">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326F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A635139">
            <w:pPr>
              <w:widowControl/>
              <w:jc w:val="center"/>
              <w:rPr>
                <w:color w:val="000000"/>
                <w:kern w:val="0"/>
                <w:sz w:val="24"/>
              </w:rPr>
            </w:pPr>
            <w:r>
              <w:rPr>
                <w:color w:val="000000"/>
                <w:kern w:val="0"/>
                <w:sz w:val="24"/>
              </w:rPr>
              <w:t>11</w:t>
            </w:r>
          </w:p>
        </w:tc>
        <w:tc>
          <w:tcPr>
            <w:tcW w:w="975" w:type="pct"/>
            <w:vAlign w:val="center"/>
          </w:tcPr>
          <w:p w14:paraId="5F2FDC69">
            <w:pPr>
              <w:widowControl/>
              <w:jc w:val="left"/>
              <w:rPr>
                <w:color w:val="000000"/>
                <w:kern w:val="0"/>
                <w:sz w:val="24"/>
              </w:rPr>
            </w:pPr>
            <w:r>
              <w:rPr>
                <w:color w:val="000000"/>
                <w:kern w:val="0"/>
                <w:sz w:val="24"/>
              </w:rPr>
              <w:t>进口产品</w:t>
            </w:r>
          </w:p>
          <w:p w14:paraId="4A2786C7">
            <w:pPr>
              <w:widowControl/>
              <w:jc w:val="left"/>
              <w:rPr>
                <w:color w:val="000000"/>
                <w:kern w:val="0"/>
                <w:sz w:val="24"/>
              </w:rPr>
            </w:pPr>
            <w:r>
              <w:rPr>
                <w:color w:val="000000"/>
                <w:kern w:val="0"/>
                <w:sz w:val="24"/>
              </w:rPr>
              <w:t>（如有）</w:t>
            </w:r>
          </w:p>
        </w:tc>
        <w:tc>
          <w:tcPr>
            <w:tcW w:w="3620" w:type="pct"/>
            <w:vAlign w:val="center"/>
          </w:tcPr>
          <w:p w14:paraId="696A69F1">
            <w:pPr>
              <w:widowControl/>
              <w:jc w:val="left"/>
              <w:rPr>
                <w:color w:val="000000"/>
                <w:kern w:val="0"/>
                <w:sz w:val="24"/>
              </w:rPr>
            </w:pPr>
            <w:r>
              <w:rPr>
                <w:sz w:val="24"/>
              </w:rPr>
              <w:t>招标文件不接受进口产品投标的内容时，投标人所投产品不含进口产品；</w:t>
            </w:r>
          </w:p>
        </w:tc>
      </w:tr>
      <w:tr w14:paraId="618B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C47B27F">
            <w:pPr>
              <w:widowControl/>
              <w:jc w:val="center"/>
              <w:rPr>
                <w:color w:val="000000"/>
                <w:kern w:val="0"/>
                <w:sz w:val="24"/>
              </w:rPr>
            </w:pPr>
            <w:r>
              <w:rPr>
                <w:color w:val="000000"/>
                <w:kern w:val="0"/>
                <w:sz w:val="24"/>
              </w:rPr>
              <w:t>12</w:t>
            </w:r>
          </w:p>
        </w:tc>
        <w:tc>
          <w:tcPr>
            <w:tcW w:w="975" w:type="pct"/>
            <w:vAlign w:val="center"/>
          </w:tcPr>
          <w:p w14:paraId="1597A90D">
            <w:pPr>
              <w:widowControl/>
              <w:jc w:val="left"/>
              <w:rPr>
                <w:color w:val="000000"/>
                <w:kern w:val="0"/>
                <w:sz w:val="24"/>
              </w:rPr>
            </w:pPr>
            <w:r>
              <w:rPr>
                <w:color w:val="000000"/>
                <w:kern w:val="0"/>
                <w:sz w:val="24"/>
              </w:rPr>
              <w:t>国家有关部门对投标人的投标产品有强制性规定或要求的</w:t>
            </w:r>
          </w:p>
        </w:tc>
        <w:tc>
          <w:tcPr>
            <w:tcW w:w="3620" w:type="pct"/>
            <w:vAlign w:val="center"/>
          </w:tcPr>
          <w:p w14:paraId="763D1563">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206A639D">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2C7C4033">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35B7A6EA">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4520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4AEF2E7">
            <w:pPr>
              <w:widowControl/>
              <w:jc w:val="center"/>
              <w:rPr>
                <w:color w:val="000000"/>
                <w:kern w:val="0"/>
                <w:sz w:val="24"/>
              </w:rPr>
            </w:pPr>
            <w:r>
              <w:rPr>
                <w:color w:val="000000"/>
                <w:kern w:val="0"/>
                <w:sz w:val="24"/>
              </w:rPr>
              <w:t>13</w:t>
            </w:r>
          </w:p>
        </w:tc>
        <w:tc>
          <w:tcPr>
            <w:tcW w:w="975" w:type="pct"/>
            <w:vAlign w:val="center"/>
          </w:tcPr>
          <w:p w14:paraId="36A953F9">
            <w:pPr>
              <w:widowControl/>
              <w:jc w:val="left"/>
              <w:rPr>
                <w:color w:val="000000"/>
                <w:kern w:val="0"/>
                <w:sz w:val="24"/>
              </w:rPr>
            </w:pPr>
            <w:r>
              <w:rPr>
                <w:color w:val="000000"/>
                <w:kern w:val="0"/>
                <w:sz w:val="24"/>
              </w:rPr>
              <w:t>公平竞争</w:t>
            </w:r>
          </w:p>
        </w:tc>
        <w:tc>
          <w:tcPr>
            <w:tcW w:w="3620" w:type="pct"/>
            <w:vAlign w:val="center"/>
          </w:tcPr>
          <w:p w14:paraId="190738F2">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CAB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7E80F15">
            <w:pPr>
              <w:widowControl/>
              <w:jc w:val="center"/>
              <w:rPr>
                <w:color w:val="000000"/>
                <w:kern w:val="0"/>
                <w:sz w:val="24"/>
              </w:rPr>
            </w:pPr>
            <w:r>
              <w:rPr>
                <w:color w:val="000000"/>
                <w:kern w:val="0"/>
                <w:sz w:val="24"/>
              </w:rPr>
              <w:t>14</w:t>
            </w:r>
          </w:p>
        </w:tc>
        <w:tc>
          <w:tcPr>
            <w:tcW w:w="975" w:type="pct"/>
            <w:vAlign w:val="center"/>
          </w:tcPr>
          <w:p w14:paraId="6C97602F">
            <w:pPr>
              <w:widowControl/>
              <w:jc w:val="left"/>
              <w:rPr>
                <w:color w:val="000000"/>
                <w:kern w:val="0"/>
                <w:sz w:val="24"/>
              </w:rPr>
            </w:pPr>
            <w:r>
              <w:rPr>
                <w:color w:val="000000"/>
                <w:kern w:val="0"/>
                <w:sz w:val="24"/>
              </w:rPr>
              <w:t>串通投标</w:t>
            </w:r>
          </w:p>
        </w:tc>
        <w:tc>
          <w:tcPr>
            <w:tcW w:w="3620" w:type="pct"/>
            <w:vAlign w:val="center"/>
          </w:tcPr>
          <w:p w14:paraId="0651D6D3">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971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AC18636">
            <w:pPr>
              <w:widowControl/>
              <w:jc w:val="center"/>
              <w:rPr>
                <w:color w:val="000000"/>
                <w:kern w:val="0"/>
                <w:sz w:val="24"/>
              </w:rPr>
            </w:pPr>
            <w:r>
              <w:rPr>
                <w:color w:val="000000"/>
                <w:kern w:val="0"/>
                <w:sz w:val="24"/>
              </w:rPr>
              <w:t>1</w:t>
            </w:r>
            <w:r>
              <w:rPr>
                <w:rFonts w:hint="eastAsia"/>
                <w:color w:val="000000"/>
                <w:kern w:val="0"/>
                <w:sz w:val="24"/>
              </w:rPr>
              <w:t>5</w:t>
            </w:r>
          </w:p>
        </w:tc>
        <w:tc>
          <w:tcPr>
            <w:tcW w:w="975" w:type="pct"/>
            <w:vAlign w:val="center"/>
          </w:tcPr>
          <w:p w14:paraId="0D46986B">
            <w:pPr>
              <w:widowControl/>
              <w:jc w:val="left"/>
              <w:rPr>
                <w:color w:val="000000"/>
                <w:kern w:val="0"/>
                <w:sz w:val="24"/>
              </w:rPr>
            </w:pPr>
            <w:r>
              <w:rPr>
                <w:color w:val="000000"/>
                <w:kern w:val="0"/>
                <w:sz w:val="24"/>
              </w:rPr>
              <w:t>附加条件</w:t>
            </w:r>
          </w:p>
        </w:tc>
        <w:tc>
          <w:tcPr>
            <w:tcW w:w="3620" w:type="pct"/>
            <w:vAlign w:val="center"/>
          </w:tcPr>
          <w:p w14:paraId="6851E955">
            <w:pPr>
              <w:widowControl/>
              <w:jc w:val="left"/>
              <w:rPr>
                <w:color w:val="000000"/>
                <w:kern w:val="0"/>
                <w:sz w:val="24"/>
              </w:rPr>
            </w:pPr>
            <w:r>
              <w:rPr>
                <w:color w:val="000000"/>
                <w:kern w:val="0"/>
                <w:sz w:val="24"/>
              </w:rPr>
              <w:t>投标文件未含有采购人不能接受的附加条件的；</w:t>
            </w:r>
          </w:p>
        </w:tc>
      </w:tr>
      <w:tr w14:paraId="3B74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88B4DD2">
            <w:pPr>
              <w:widowControl/>
              <w:jc w:val="center"/>
              <w:rPr>
                <w:color w:val="000000"/>
                <w:kern w:val="0"/>
                <w:sz w:val="24"/>
              </w:rPr>
            </w:pPr>
            <w:r>
              <w:rPr>
                <w:color w:val="000000"/>
                <w:kern w:val="0"/>
                <w:sz w:val="24"/>
              </w:rPr>
              <w:t>1</w:t>
            </w:r>
            <w:r>
              <w:rPr>
                <w:rFonts w:hint="eastAsia"/>
                <w:color w:val="000000"/>
                <w:kern w:val="0"/>
                <w:sz w:val="24"/>
              </w:rPr>
              <w:t>6</w:t>
            </w:r>
          </w:p>
        </w:tc>
        <w:tc>
          <w:tcPr>
            <w:tcW w:w="975" w:type="pct"/>
            <w:vAlign w:val="center"/>
          </w:tcPr>
          <w:p w14:paraId="13357B89">
            <w:pPr>
              <w:widowControl/>
              <w:jc w:val="left"/>
              <w:rPr>
                <w:color w:val="000000"/>
                <w:kern w:val="0"/>
                <w:sz w:val="24"/>
              </w:rPr>
            </w:pPr>
            <w:r>
              <w:rPr>
                <w:color w:val="000000"/>
                <w:kern w:val="0"/>
                <w:sz w:val="24"/>
              </w:rPr>
              <w:t>其他无效情形</w:t>
            </w:r>
          </w:p>
        </w:tc>
        <w:tc>
          <w:tcPr>
            <w:tcW w:w="3620" w:type="pct"/>
            <w:vAlign w:val="center"/>
          </w:tcPr>
          <w:p w14:paraId="05D0EF32">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22686C5C">
      <w:pPr>
        <w:numPr>
          <w:ilvl w:val="0"/>
          <w:numId w:val="13"/>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09DCB438">
      <w:pPr>
        <w:numPr>
          <w:ilvl w:val="0"/>
          <w:numId w:val="12"/>
        </w:numPr>
        <w:tabs>
          <w:tab w:val="left" w:pos="360"/>
        </w:tabs>
        <w:snapToGrid w:val="0"/>
        <w:spacing w:line="360" w:lineRule="auto"/>
        <w:outlineLvl w:val="1"/>
        <w:rPr>
          <w:sz w:val="24"/>
        </w:rPr>
      </w:pPr>
      <w:r>
        <w:rPr>
          <w:sz w:val="24"/>
        </w:rPr>
        <w:t>投标文件有关事项的澄清或者说明</w:t>
      </w:r>
    </w:p>
    <w:p w14:paraId="72FA6B7B">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0BFA5528">
      <w:pPr>
        <w:numPr>
          <w:ilvl w:val="1"/>
          <w:numId w:val="12"/>
        </w:numPr>
        <w:tabs>
          <w:tab w:val="left" w:pos="1080"/>
        </w:tabs>
        <w:snapToGrid w:val="0"/>
        <w:spacing w:line="360" w:lineRule="auto"/>
        <w:ind w:left="1077" w:hanging="720"/>
        <w:rPr>
          <w:sz w:val="24"/>
        </w:rPr>
      </w:pPr>
      <w:bookmarkStart w:id="790" w:name="_Hlk220085436"/>
      <w:r>
        <w:rPr>
          <w:rFonts w:hint="eastAsia"/>
          <w:sz w:val="24"/>
        </w:rPr>
        <w:t>异常低价处理</w:t>
      </w:r>
    </w:p>
    <w:p w14:paraId="1DA1A298">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5CE76A7F">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（1）投标（响应）报价低于全部通过符合性审查供应商投标（响应）报价平均值50%的，即投标（响应）报价&lt;全部通过符合性审查供应商投标（响应）报价平均值×50%；</w:t>
      </w:r>
    </w:p>
    <w:p w14:paraId="34ED7CB4">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（2）投标（响应）报价低于通过符合性审查的次低报价供应商投标（响应）报价50%的，即投标（响应）报价&lt;通过符合性审查的次低报价供应商投标（响应）报价×50%；</w:t>
      </w:r>
    </w:p>
    <w:p w14:paraId="15D5D4D1">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（3）投标（响应）报价低于采购项目最高限价45%的，即投标（响应）报价&lt;采购项目最高限价×45%；</w:t>
      </w:r>
      <w:r>
        <w:rPr>
          <w:color w:val="000000"/>
          <w:sz w:val="24"/>
        </w:rPr>
        <w:t>未设定最高限价的采购项目，以采购项目预算金额作为最高限价</w:t>
      </w:r>
      <w:r>
        <w:rPr>
          <w:rFonts w:hint="eastAsia"/>
          <w:color w:val="000000"/>
          <w:sz w:val="24"/>
        </w:rPr>
        <w:t>；</w:t>
      </w:r>
    </w:p>
    <w:p w14:paraId="47521E15">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3458E266">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50F22391">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744B5A93">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1" w:name="_Hlk190337965"/>
      <w:r>
        <w:rPr>
          <w:rFonts w:hint="eastAsia"/>
          <w:color w:val="000000"/>
          <w:sz w:val="24"/>
        </w:rPr>
        <w:t xml:space="preserve"> </w:t>
      </w:r>
      <w:r>
        <w:rPr>
          <w:rFonts w:hint="eastAsia"/>
          <w:sz w:val="24"/>
        </w:rPr>
        <w:t>上述投标（响应）报价指按照本章2.4修正后的报价</w:t>
      </w:r>
      <w:bookmarkEnd w:id="791"/>
      <w:r>
        <w:rPr>
          <w:rFonts w:hint="eastAsia"/>
          <w:sz w:val="24"/>
        </w:rPr>
        <w:t>。</w:t>
      </w:r>
    </w:p>
    <w:bookmarkEnd w:id="790"/>
    <w:p w14:paraId="09DE9EA2">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C786F9D">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735EADCD">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123E9486">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05D4A6AF">
      <w:pPr>
        <w:tabs>
          <w:tab w:val="left" w:pos="1080"/>
          <w:tab w:val="left" w:pos="1589"/>
          <w:tab w:val="left" w:pos="2035"/>
          <w:tab w:val="left" w:pos="2114"/>
        </w:tabs>
        <w:snapToGrid w:val="0"/>
        <w:spacing w:line="360" w:lineRule="auto"/>
        <w:ind w:left="2035"/>
        <w:rPr>
          <w:sz w:val="24"/>
        </w:rPr>
      </w:pPr>
      <w:r>
        <w:rPr>
          <w:rFonts w:eastAsiaTheme="minorEastAsia"/>
          <w:sz w:val="24"/>
        </w:rPr>
        <w:t>■</w:t>
      </w:r>
      <w:r>
        <w:rPr>
          <w:sz w:val="24"/>
        </w:rPr>
        <w:t>无，按下述2.4.2-2.4.7项规定修正。</w:t>
      </w:r>
    </w:p>
    <w:p w14:paraId="4A0B3E6C">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2C668D94">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75522028">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6AA8A3FA">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62A79AFD">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52F1CEB3">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1938D5C">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34A2BE37">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62681BDF">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rPr>
        <w:t>10</w:t>
      </w:r>
      <w:r>
        <w:rPr>
          <w:sz w:val="24"/>
        </w:rPr>
        <w:t>%的扣除，用扣除后的价格参加评审。</w:t>
      </w:r>
    </w:p>
    <w:p w14:paraId="4F021653">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rPr>
        <w:t>4</w:t>
      </w:r>
      <w:r>
        <w:rPr>
          <w:sz w:val="24"/>
        </w:rPr>
        <w:t>%的扣除，用扣除后的价格参加评审。</w:t>
      </w:r>
    </w:p>
    <w:p w14:paraId="1E1F3F9A">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2FD7BB6E">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23E458E">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29FEFCDA">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36370DBE">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7916F4A2">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00B3D70D">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0E4DCC4B">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59A3000F">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D46283C">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678273CA">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12A0FF1A">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45673F71">
      <w:pPr>
        <w:numPr>
          <w:ilvl w:val="1"/>
          <w:numId w:val="12"/>
        </w:numPr>
        <w:tabs>
          <w:tab w:val="left" w:pos="1080"/>
        </w:tabs>
        <w:snapToGrid w:val="0"/>
        <w:spacing w:line="360" w:lineRule="auto"/>
        <w:ind w:left="1077" w:hanging="720"/>
        <w:rPr>
          <w:sz w:val="24"/>
        </w:rPr>
      </w:pPr>
      <w:r>
        <w:rPr>
          <w:sz w:val="24"/>
        </w:rPr>
        <w:t>评标方法和评标标准</w:t>
      </w:r>
    </w:p>
    <w:p w14:paraId="24F9B854">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1B214609">
      <w:pPr>
        <w:tabs>
          <w:tab w:val="left" w:pos="900"/>
          <w:tab w:val="left" w:pos="1589"/>
          <w:tab w:val="left" w:pos="1701"/>
        </w:tabs>
        <w:snapToGrid w:val="0"/>
        <w:spacing w:line="360" w:lineRule="auto"/>
        <w:ind w:left="1985"/>
        <w:rPr>
          <w:sz w:val="24"/>
        </w:rPr>
      </w:pPr>
      <w:r>
        <w:rPr>
          <w:rFonts w:eastAsiaTheme="minorEastAsia"/>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68880BD">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1DBFB8B7">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5F1E0717">
      <w:pPr>
        <w:tabs>
          <w:tab w:val="left" w:pos="1080"/>
          <w:tab w:val="left" w:pos="1589"/>
          <w:tab w:val="left" w:pos="2035"/>
        </w:tabs>
        <w:snapToGrid w:val="0"/>
        <w:spacing w:line="360" w:lineRule="auto"/>
        <w:ind w:left="2035"/>
        <w:rPr>
          <w:sz w:val="24"/>
        </w:rPr>
      </w:pPr>
      <w:r>
        <w:rPr>
          <w:rFonts w:eastAsiaTheme="minorEastAsia"/>
          <w:sz w:val="24"/>
        </w:rPr>
        <w:t>■</w:t>
      </w:r>
      <w:r>
        <w:rPr>
          <w:sz w:val="24"/>
        </w:rPr>
        <w:t>随机抽取</w:t>
      </w:r>
    </w:p>
    <w:p w14:paraId="1E02E98E">
      <w:pPr>
        <w:tabs>
          <w:tab w:val="left" w:pos="1080"/>
          <w:tab w:val="left" w:pos="1589"/>
          <w:tab w:val="left" w:pos="2035"/>
        </w:tabs>
        <w:snapToGrid w:val="0"/>
        <w:spacing w:line="360" w:lineRule="auto"/>
        <w:ind w:left="2035"/>
        <w:rPr>
          <w:sz w:val="24"/>
          <w:u w:val="single"/>
        </w:rPr>
      </w:pPr>
      <w:r>
        <w:rPr>
          <w:sz w:val="24"/>
        </w:rPr>
        <w:t>□其他方式，具体要求：_____</w:t>
      </w:r>
    </w:p>
    <w:p w14:paraId="70C6AB26">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rPr>
        <w:t>详见评分标准</w:t>
      </w:r>
      <w:r>
        <w:rPr>
          <w:sz w:val="24"/>
        </w:rPr>
        <w:t>。</w:t>
      </w:r>
    </w:p>
    <w:p w14:paraId="10A0C459">
      <w:pPr>
        <w:numPr>
          <w:ilvl w:val="0"/>
          <w:numId w:val="12"/>
        </w:numPr>
        <w:tabs>
          <w:tab w:val="left" w:pos="360"/>
        </w:tabs>
        <w:snapToGrid w:val="0"/>
        <w:spacing w:line="360" w:lineRule="auto"/>
        <w:outlineLvl w:val="1"/>
        <w:rPr>
          <w:sz w:val="24"/>
        </w:rPr>
      </w:pPr>
      <w:r>
        <w:rPr>
          <w:sz w:val="24"/>
        </w:rPr>
        <w:t>确定</w:t>
      </w:r>
      <w:bookmarkStart w:id="792" w:name="_Toc520356170"/>
      <w:bookmarkStart w:id="793" w:name="_Toc142311048"/>
      <w:bookmarkStart w:id="794" w:name="_Toc151193788"/>
      <w:bookmarkStart w:id="795" w:name="_Toc226965819"/>
      <w:bookmarkStart w:id="796" w:name="_Toc226309790"/>
      <w:bookmarkStart w:id="797" w:name="_Toc150480784"/>
      <w:bookmarkStart w:id="798" w:name="_Toc164229241"/>
      <w:bookmarkStart w:id="799" w:name="_Toc149720839"/>
      <w:bookmarkStart w:id="800" w:name="_Toc151193644"/>
      <w:bookmarkStart w:id="801" w:name="_Toc305158814"/>
      <w:bookmarkStart w:id="802" w:name="_Toc265228384"/>
      <w:bookmarkStart w:id="803" w:name="_Toc264969236"/>
      <w:bookmarkStart w:id="804" w:name="_Toc127151546"/>
      <w:bookmarkStart w:id="805" w:name="_Toc150509297"/>
      <w:bookmarkStart w:id="806" w:name="_Toc151193860"/>
      <w:bookmarkStart w:id="807" w:name="_Toc226337242"/>
      <w:bookmarkStart w:id="808" w:name="_Toc127161460"/>
      <w:bookmarkStart w:id="809" w:name="_Toc127151747"/>
      <w:bookmarkStart w:id="810" w:name="_Toc151193716"/>
      <w:bookmarkStart w:id="811" w:name="_Toc164229387"/>
      <w:bookmarkStart w:id="812" w:name="_Toc164608660"/>
      <w:bookmarkStart w:id="813" w:name="_Toc164608815"/>
      <w:bookmarkStart w:id="814" w:name="_Ref467307010"/>
      <w:bookmarkStart w:id="815" w:name="_Toc151190173"/>
      <w:bookmarkStart w:id="816" w:name="_Toc150774751"/>
      <w:bookmarkStart w:id="817" w:name="_Toc305158888"/>
      <w:bookmarkStart w:id="818" w:name="_Toc164351640"/>
      <w:bookmarkStart w:id="819" w:name="_Toc195842911"/>
      <w:bookmarkStart w:id="820" w:name="_Toc226965736"/>
      <w:bookmarkStart w:id="821" w:name="_Toc150774646"/>
      <w:bookmarkStart w:id="822" w:name="_Toc151193934"/>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02994169">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C6EF9AA">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586CC227">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□其他方式，具体要求：_____</w:t>
      </w:r>
    </w:p>
    <w:p w14:paraId="5F614961">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248E7B4">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1EDB996">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07F57721">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rPr>
        <w:t>3</w:t>
      </w:r>
      <w:r>
        <w:rPr>
          <w:sz w:val="24"/>
        </w:rPr>
        <w:t>名中标候选人。</w:t>
      </w:r>
    </w:p>
    <w:p w14:paraId="6EE7D2F9">
      <w:pPr>
        <w:numPr>
          <w:ilvl w:val="0"/>
          <w:numId w:val="12"/>
        </w:numPr>
        <w:tabs>
          <w:tab w:val="left" w:pos="360"/>
        </w:tabs>
        <w:snapToGrid w:val="0"/>
        <w:spacing w:line="360" w:lineRule="auto"/>
        <w:outlineLvl w:val="1"/>
        <w:rPr>
          <w:sz w:val="24"/>
        </w:rPr>
      </w:pPr>
      <w:r>
        <w:rPr>
          <w:sz w:val="24"/>
        </w:rPr>
        <w:t>报告违法行为</w:t>
      </w:r>
    </w:p>
    <w:p w14:paraId="4E959E2E">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5CE23123">
      <w:pPr>
        <w:widowControl/>
        <w:jc w:val="left"/>
        <w:rPr>
          <w:b/>
          <w:sz w:val="24"/>
        </w:rPr>
      </w:pPr>
      <w:r>
        <w:rPr>
          <w:b/>
          <w:sz w:val="24"/>
        </w:rPr>
        <w:br w:type="page"/>
      </w:r>
    </w:p>
    <w:p w14:paraId="6C83F12A">
      <w:pPr>
        <w:tabs>
          <w:tab w:val="left" w:pos="360"/>
          <w:tab w:val="left" w:pos="900"/>
        </w:tabs>
        <w:snapToGrid w:val="0"/>
        <w:spacing w:line="360" w:lineRule="auto"/>
        <w:jc w:val="center"/>
        <w:outlineLvl w:val="1"/>
        <w:rPr>
          <w:b/>
        </w:rPr>
      </w:pPr>
      <w:r>
        <w:rPr>
          <w:b/>
          <w:sz w:val="24"/>
        </w:rPr>
        <w:t>二、评标标准</w:t>
      </w:r>
    </w:p>
    <w:p w14:paraId="1CC7D637">
      <w:pPr>
        <w:tabs>
          <w:tab w:val="left" w:pos="360"/>
          <w:tab w:val="left" w:pos="900"/>
          <w:tab w:val="left" w:pos="1080"/>
          <w:tab w:val="left" w:pos="2014"/>
        </w:tabs>
        <w:snapToGrid w:val="0"/>
        <w:spacing w:line="360" w:lineRule="auto"/>
        <w:outlineLvl w:val="2"/>
        <w:rPr>
          <w:sz w:val="24"/>
        </w:rPr>
      </w:pPr>
      <w:r>
        <w:rPr>
          <w:rFonts w:hint="eastAsia"/>
          <w:sz w:val="24"/>
        </w:rPr>
        <w:t>01-03包：</w:t>
      </w:r>
    </w:p>
    <w:tbl>
      <w:tblPr>
        <w:tblStyle w:val="42"/>
        <w:tblpPr w:leftFromText="180" w:rightFromText="180" w:vertAnchor="text" w:tblpXSpec="center" w:tblpY="1"/>
        <w:tblOverlap w:val="never"/>
        <w:tblW w:w="9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835"/>
        <w:gridCol w:w="6526"/>
        <w:gridCol w:w="706"/>
        <w:gridCol w:w="706"/>
      </w:tblGrid>
      <w:tr w14:paraId="347C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14" w:type="dxa"/>
            <w:vAlign w:val="center"/>
          </w:tcPr>
          <w:p w14:paraId="3971BC7F">
            <w:pPr>
              <w:snapToGrid w:val="0"/>
              <w:jc w:val="center"/>
              <w:rPr>
                <w:rFonts w:hint="eastAsia" w:ascii="宋体" w:hAnsi="宋体" w:cs="宋体"/>
                <w:bCs/>
                <w:kern w:val="0"/>
                <w:szCs w:val="21"/>
              </w:rPr>
            </w:pPr>
            <w:r>
              <w:rPr>
                <w:rFonts w:hint="eastAsia" w:ascii="宋体" w:hAnsi="宋体" w:cs="宋体"/>
                <w:bCs/>
                <w:kern w:val="0"/>
                <w:szCs w:val="21"/>
              </w:rPr>
              <w:t>评分项</w:t>
            </w:r>
          </w:p>
        </w:tc>
        <w:tc>
          <w:tcPr>
            <w:tcW w:w="835" w:type="dxa"/>
            <w:vAlign w:val="center"/>
          </w:tcPr>
          <w:p w14:paraId="5B5916AC">
            <w:pPr>
              <w:snapToGrid w:val="0"/>
              <w:jc w:val="center"/>
              <w:rPr>
                <w:rFonts w:hint="eastAsia" w:ascii="宋体" w:hAnsi="宋体" w:cs="宋体"/>
                <w:bCs/>
                <w:kern w:val="0"/>
                <w:szCs w:val="21"/>
              </w:rPr>
            </w:pPr>
            <w:r>
              <w:rPr>
                <w:rFonts w:hint="eastAsia" w:ascii="宋体" w:hAnsi="宋体" w:cs="宋体"/>
                <w:bCs/>
                <w:kern w:val="0"/>
                <w:szCs w:val="21"/>
              </w:rPr>
              <w:t>评分内容</w:t>
            </w:r>
          </w:p>
        </w:tc>
        <w:tc>
          <w:tcPr>
            <w:tcW w:w="6526" w:type="dxa"/>
            <w:vAlign w:val="center"/>
          </w:tcPr>
          <w:p w14:paraId="03C7A9B7">
            <w:pPr>
              <w:snapToGrid w:val="0"/>
              <w:jc w:val="center"/>
              <w:rPr>
                <w:rFonts w:hint="eastAsia" w:ascii="宋体" w:hAnsi="宋体" w:cs="宋体"/>
                <w:bCs/>
                <w:kern w:val="0"/>
                <w:szCs w:val="21"/>
              </w:rPr>
            </w:pPr>
            <w:r>
              <w:rPr>
                <w:rFonts w:hint="eastAsia" w:ascii="宋体" w:hAnsi="宋体" w:cs="宋体"/>
                <w:bCs/>
                <w:kern w:val="0"/>
                <w:szCs w:val="21"/>
              </w:rPr>
              <w:t>评审标准</w:t>
            </w:r>
          </w:p>
        </w:tc>
        <w:tc>
          <w:tcPr>
            <w:tcW w:w="706" w:type="dxa"/>
            <w:vAlign w:val="center"/>
          </w:tcPr>
          <w:p w14:paraId="1DC6942B">
            <w:pPr>
              <w:snapToGrid w:val="0"/>
              <w:jc w:val="center"/>
              <w:rPr>
                <w:rFonts w:hint="eastAsia" w:ascii="宋体" w:hAnsi="宋体" w:cs="宋体"/>
                <w:bCs/>
                <w:kern w:val="0"/>
                <w:szCs w:val="21"/>
              </w:rPr>
            </w:pPr>
            <w:r>
              <w:rPr>
                <w:rFonts w:hint="eastAsia" w:ascii="宋体" w:hAnsi="宋体" w:cs="宋体"/>
                <w:bCs/>
                <w:kern w:val="0"/>
                <w:szCs w:val="21"/>
              </w:rPr>
              <w:t>分值</w:t>
            </w:r>
          </w:p>
        </w:tc>
        <w:tc>
          <w:tcPr>
            <w:tcW w:w="706" w:type="dxa"/>
            <w:vAlign w:val="center"/>
          </w:tcPr>
          <w:p w14:paraId="662F026C">
            <w:pPr>
              <w:snapToGrid w:val="0"/>
              <w:jc w:val="center"/>
              <w:rPr>
                <w:rFonts w:hint="eastAsia" w:ascii="宋体" w:hAnsi="宋体" w:cs="宋体"/>
                <w:bCs/>
                <w:kern w:val="0"/>
                <w:szCs w:val="21"/>
              </w:rPr>
            </w:pPr>
            <w:r>
              <w:rPr>
                <w:rFonts w:hint="eastAsia" w:ascii="宋体" w:hAnsi="宋体" w:cs="宋体"/>
                <w:bCs/>
                <w:kern w:val="0"/>
                <w:szCs w:val="21"/>
              </w:rPr>
              <w:t>分属性</w:t>
            </w:r>
          </w:p>
        </w:tc>
      </w:tr>
      <w:tr w14:paraId="2D73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4" w:type="dxa"/>
            <w:vAlign w:val="center"/>
          </w:tcPr>
          <w:p w14:paraId="325FD58C">
            <w:pPr>
              <w:snapToGrid w:val="0"/>
              <w:jc w:val="center"/>
              <w:rPr>
                <w:rFonts w:hint="eastAsia" w:ascii="宋体" w:hAnsi="宋体" w:cs="宋体"/>
                <w:bCs/>
                <w:kern w:val="0"/>
                <w:szCs w:val="21"/>
              </w:rPr>
            </w:pPr>
            <w:r>
              <w:rPr>
                <w:rFonts w:hint="eastAsia" w:ascii="宋体" w:hAnsi="宋体" w:cs="宋体"/>
                <w:bCs/>
                <w:kern w:val="0"/>
                <w:szCs w:val="21"/>
              </w:rPr>
              <w:t>报价</w:t>
            </w:r>
          </w:p>
          <w:p w14:paraId="219035A0">
            <w:pPr>
              <w:snapToGrid w:val="0"/>
              <w:jc w:val="center"/>
              <w:rPr>
                <w:rFonts w:hint="eastAsia" w:ascii="宋体" w:hAnsi="宋体" w:cs="宋体"/>
                <w:bCs/>
                <w:kern w:val="0"/>
                <w:szCs w:val="21"/>
              </w:rPr>
            </w:pPr>
            <w:r>
              <w:rPr>
                <w:rFonts w:hint="eastAsia" w:ascii="宋体" w:hAnsi="宋体" w:cs="宋体"/>
                <w:bCs/>
                <w:kern w:val="0"/>
                <w:szCs w:val="21"/>
              </w:rPr>
              <w:t>部分(10分)</w:t>
            </w:r>
          </w:p>
        </w:tc>
        <w:tc>
          <w:tcPr>
            <w:tcW w:w="835" w:type="dxa"/>
            <w:vAlign w:val="center"/>
          </w:tcPr>
          <w:p w14:paraId="346605D4">
            <w:pPr>
              <w:snapToGrid w:val="0"/>
              <w:jc w:val="center"/>
              <w:rPr>
                <w:rFonts w:hint="eastAsia" w:ascii="宋体" w:hAnsi="宋体" w:cs="宋体"/>
                <w:bCs/>
                <w:kern w:val="0"/>
                <w:szCs w:val="21"/>
              </w:rPr>
            </w:pPr>
            <w:r>
              <w:rPr>
                <w:rFonts w:hint="eastAsia" w:ascii="宋体" w:hAnsi="宋体" w:cs="宋体"/>
                <w:bCs/>
                <w:kern w:val="0"/>
                <w:szCs w:val="21"/>
              </w:rPr>
              <w:t>价格得分</w:t>
            </w:r>
          </w:p>
        </w:tc>
        <w:tc>
          <w:tcPr>
            <w:tcW w:w="6526" w:type="dxa"/>
            <w:vAlign w:val="center"/>
          </w:tcPr>
          <w:p w14:paraId="48FA7387">
            <w:pPr>
              <w:widowControl/>
              <w:jc w:val="left"/>
              <w:rPr>
                <w:rFonts w:hint="eastAsia" w:ascii="宋体" w:hAnsi="宋体" w:cs="宋体"/>
                <w:szCs w:val="21"/>
              </w:rPr>
            </w:pPr>
            <w:r>
              <w:rPr>
                <w:rFonts w:hint="eastAsia" w:ascii="宋体" w:hAnsi="宋体" w:cs="宋体"/>
                <w:szCs w:val="21"/>
              </w:rPr>
              <w:t>符合招标文件要求且投标价格最低的投标报价为评标基准价，其价格为满分10分。</w:t>
            </w:r>
          </w:p>
          <w:p w14:paraId="4B2ECFE5">
            <w:pPr>
              <w:snapToGrid w:val="0"/>
              <w:jc w:val="left"/>
              <w:rPr>
                <w:rFonts w:hint="eastAsia" w:ascii="宋体" w:hAnsi="宋体" w:cs="宋体"/>
                <w:bCs/>
                <w:kern w:val="0"/>
                <w:szCs w:val="21"/>
              </w:rPr>
            </w:pPr>
            <w:r>
              <w:rPr>
                <w:rFonts w:hint="eastAsia" w:ascii="宋体" w:hAnsi="宋体" w:cs="宋体"/>
                <w:szCs w:val="21"/>
              </w:rPr>
              <w:t>其他投标人的投标报价得分=（评标基准价/投标报价）×10</w:t>
            </w:r>
          </w:p>
        </w:tc>
        <w:tc>
          <w:tcPr>
            <w:tcW w:w="706" w:type="dxa"/>
            <w:vAlign w:val="center"/>
          </w:tcPr>
          <w:p w14:paraId="5DEA5377">
            <w:pPr>
              <w:snapToGrid w:val="0"/>
              <w:jc w:val="center"/>
              <w:rPr>
                <w:rFonts w:hint="eastAsia" w:ascii="宋体" w:hAnsi="宋体" w:cs="宋体"/>
                <w:bCs/>
                <w:kern w:val="0"/>
                <w:szCs w:val="21"/>
              </w:rPr>
            </w:pPr>
            <w:r>
              <w:rPr>
                <w:rFonts w:hint="eastAsia" w:ascii="宋体" w:hAnsi="宋体" w:cs="宋体"/>
                <w:bCs/>
                <w:kern w:val="0"/>
                <w:szCs w:val="21"/>
              </w:rPr>
              <w:t>10</w:t>
            </w:r>
          </w:p>
        </w:tc>
        <w:tc>
          <w:tcPr>
            <w:tcW w:w="706" w:type="dxa"/>
            <w:vAlign w:val="center"/>
          </w:tcPr>
          <w:p w14:paraId="0190DCD1">
            <w:pPr>
              <w:snapToGrid w:val="0"/>
              <w:jc w:val="center"/>
              <w:rPr>
                <w:rFonts w:hint="eastAsia" w:ascii="宋体" w:hAnsi="宋体" w:cs="宋体"/>
                <w:bCs/>
                <w:kern w:val="0"/>
                <w:szCs w:val="21"/>
              </w:rPr>
            </w:pPr>
            <w:r>
              <w:rPr>
                <w:rFonts w:hint="eastAsia" w:ascii="宋体" w:hAnsi="宋体" w:cs="宋体"/>
                <w:bCs/>
                <w:kern w:val="0"/>
                <w:szCs w:val="21"/>
              </w:rPr>
              <w:t>客观</w:t>
            </w:r>
          </w:p>
        </w:tc>
      </w:tr>
      <w:tr w14:paraId="3331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14" w:type="dxa"/>
            <w:vMerge w:val="restart"/>
            <w:vAlign w:val="center"/>
          </w:tcPr>
          <w:p w14:paraId="54C7252B">
            <w:pPr>
              <w:snapToGrid w:val="0"/>
              <w:jc w:val="center"/>
              <w:rPr>
                <w:rFonts w:hint="eastAsia" w:ascii="宋体" w:hAnsi="宋体" w:cs="宋体"/>
                <w:bCs/>
                <w:kern w:val="0"/>
                <w:szCs w:val="21"/>
              </w:rPr>
            </w:pPr>
            <w:r>
              <w:rPr>
                <w:rFonts w:hint="eastAsia" w:ascii="宋体" w:hAnsi="宋体" w:cs="宋体"/>
                <w:bCs/>
                <w:kern w:val="0"/>
                <w:szCs w:val="21"/>
              </w:rPr>
              <w:t>商务部分（20分）</w:t>
            </w:r>
          </w:p>
        </w:tc>
        <w:tc>
          <w:tcPr>
            <w:tcW w:w="835" w:type="dxa"/>
            <w:tcBorders>
              <w:right w:val="single" w:color="auto" w:sz="4" w:space="0"/>
            </w:tcBorders>
            <w:vAlign w:val="center"/>
          </w:tcPr>
          <w:p w14:paraId="76E9B7B3">
            <w:pPr>
              <w:snapToGrid w:val="0"/>
              <w:jc w:val="center"/>
              <w:rPr>
                <w:rFonts w:hint="eastAsia" w:ascii="宋体" w:hAnsi="宋体" w:cs="宋体"/>
                <w:bCs/>
                <w:kern w:val="0"/>
                <w:szCs w:val="21"/>
              </w:rPr>
            </w:pPr>
            <w:r>
              <w:rPr>
                <w:rFonts w:hint="eastAsia" w:ascii="宋体" w:hAnsi="宋体" w:cs="宋体"/>
                <w:szCs w:val="21"/>
              </w:rPr>
              <w:t>近三年类似项目业绩</w:t>
            </w:r>
          </w:p>
        </w:tc>
        <w:tc>
          <w:tcPr>
            <w:tcW w:w="6526" w:type="dxa"/>
            <w:tcBorders>
              <w:top w:val="single" w:color="auto" w:sz="4" w:space="0"/>
              <w:left w:val="single" w:color="auto" w:sz="4" w:space="0"/>
              <w:right w:val="single" w:color="auto" w:sz="4" w:space="0"/>
            </w:tcBorders>
            <w:vAlign w:val="center"/>
          </w:tcPr>
          <w:p w14:paraId="7F3944B6">
            <w:pPr>
              <w:rPr>
                <w:rFonts w:hint="eastAsia" w:ascii="宋体" w:hAnsi="宋体" w:cs="宋体"/>
                <w:szCs w:val="21"/>
              </w:rPr>
            </w:pPr>
            <w:r>
              <w:rPr>
                <w:rFonts w:hint="eastAsia" w:ascii="宋体" w:hAnsi="宋体" w:cs="宋体"/>
                <w:szCs w:val="21"/>
              </w:rPr>
              <w:t>提供 2023年1月1日起至投标截止之日止（以合同签订日期为准）的类似业绩（运行维护项目），每提供一份合同得 2 分，最多得 12 分。评审依据为在投标文件中编制的合同首页、标的页、签字盖章页的扫描件，并加盖供应商公章。</w:t>
            </w:r>
          </w:p>
        </w:tc>
        <w:tc>
          <w:tcPr>
            <w:tcW w:w="706" w:type="dxa"/>
            <w:tcBorders>
              <w:top w:val="single" w:color="auto" w:sz="4" w:space="0"/>
              <w:left w:val="single" w:color="auto" w:sz="4" w:space="0"/>
              <w:right w:val="single" w:color="auto" w:sz="4" w:space="0"/>
            </w:tcBorders>
            <w:vAlign w:val="center"/>
          </w:tcPr>
          <w:p w14:paraId="530DEF87">
            <w:pPr>
              <w:snapToGrid w:val="0"/>
              <w:jc w:val="center"/>
              <w:rPr>
                <w:rFonts w:hint="eastAsia" w:ascii="宋体" w:hAnsi="宋体" w:cs="宋体"/>
                <w:bCs/>
                <w:kern w:val="0"/>
                <w:szCs w:val="21"/>
              </w:rPr>
            </w:pPr>
            <w:r>
              <w:rPr>
                <w:rFonts w:hint="eastAsia" w:ascii="宋体" w:hAnsi="宋体" w:cs="宋体"/>
                <w:bCs/>
                <w:kern w:val="0"/>
                <w:szCs w:val="21"/>
              </w:rPr>
              <w:t>12</w:t>
            </w:r>
          </w:p>
        </w:tc>
        <w:tc>
          <w:tcPr>
            <w:tcW w:w="706" w:type="dxa"/>
            <w:tcBorders>
              <w:top w:val="single" w:color="auto" w:sz="4" w:space="0"/>
              <w:left w:val="single" w:color="auto" w:sz="4" w:space="0"/>
              <w:right w:val="single" w:color="auto" w:sz="4" w:space="0"/>
            </w:tcBorders>
            <w:vAlign w:val="center"/>
          </w:tcPr>
          <w:p w14:paraId="58AB0028">
            <w:pPr>
              <w:snapToGrid w:val="0"/>
              <w:jc w:val="center"/>
              <w:rPr>
                <w:rFonts w:hint="eastAsia" w:ascii="宋体" w:hAnsi="宋体" w:cs="宋体"/>
                <w:bCs/>
                <w:kern w:val="0"/>
                <w:szCs w:val="21"/>
              </w:rPr>
            </w:pPr>
            <w:r>
              <w:rPr>
                <w:rFonts w:hint="eastAsia" w:ascii="宋体" w:hAnsi="宋体" w:cs="宋体"/>
                <w:bCs/>
                <w:kern w:val="0"/>
                <w:szCs w:val="21"/>
              </w:rPr>
              <w:t>客观</w:t>
            </w:r>
          </w:p>
        </w:tc>
      </w:tr>
      <w:tr w14:paraId="399E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14" w:type="dxa"/>
            <w:vMerge w:val="continue"/>
            <w:vAlign w:val="center"/>
          </w:tcPr>
          <w:p w14:paraId="1DF27BE5">
            <w:pPr>
              <w:snapToGrid w:val="0"/>
              <w:jc w:val="center"/>
              <w:rPr>
                <w:rFonts w:hint="eastAsia" w:ascii="宋体" w:hAnsi="宋体" w:cs="宋体"/>
                <w:bCs/>
                <w:kern w:val="0"/>
                <w:szCs w:val="21"/>
              </w:rPr>
            </w:pPr>
          </w:p>
        </w:tc>
        <w:tc>
          <w:tcPr>
            <w:tcW w:w="835" w:type="dxa"/>
            <w:tcBorders>
              <w:right w:val="single" w:color="auto" w:sz="4" w:space="0"/>
            </w:tcBorders>
            <w:vAlign w:val="center"/>
          </w:tcPr>
          <w:p w14:paraId="7A87D4B5">
            <w:pPr>
              <w:snapToGrid w:val="0"/>
              <w:jc w:val="center"/>
              <w:rPr>
                <w:rFonts w:hint="eastAsia" w:ascii="宋体" w:hAnsi="宋体" w:cs="宋体"/>
                <w:szCs w:val="21"/>
              </w:rPr>
            </w:pPr>
            <w:r>
              <w:rPr>
                <w:rFonts w:hint="eastAsia" w:ascii="宋体" w:hAnsi="宋体" w:cs="宋体"/>
                <w:szCs w:val="21"/>
              </w:rPr>
              <w:t>质量认证情况</w:t>
            </w:r>
          </w:p>
        </w:tc>
        <w:tc>
          <w:tcPr>
            <w:tcW w:w="6526" w:type="dxa"/>
            <w:tcBorders>
              <w:top w:val="single" w:color="auto" w:sz="4" w:space="0"/>
              <w:left w:val="single" w:color="auto" w:sz="4" w:space="0"/>
              <w:right w:val="single" w:color="auto" w:sz="4" w:space="0"/>
            </w:tcBorders>
            <w:vAlign w:val="center"/>
          </w:tcPr>
          <w:p w14:paraId="47F81FC3">
            <w:pPr>
              <w:rPr>
                <w:rFonts w:hint="eastAsia" w:ascii="宋体" w:hAnsi="宋体" w:cs="宋体"/>
                <w:bCs/>
                <w:szCs w:val="21"/>
              </w:rPr>
            </w:pPr>
            <w:r>
              <w:rPr>
                <w:rFonts w:hint="eastAsia" w:ascii="宋体" w:hAnsi="宋体" w:cs="宋体"/>
                <w:bCs/>
                <w:szCs w:val="21"/>
              </w:rPr>
              <w:t xml:space="preserve">具备有效的质量管理体系认证证书，得 3 分，不具有不得分。 </w:t>
            </w:r>
          </w:p>
          <w:p w14:paraId="14E746FF">
            <w:pPr>
              <w:rPr>
                <w:rFonts w:hint="eastAsia" w:ascii="宋体" w:hAnsi="宋体" w:cs="宋体"/>
                <w:bCs/>
                <w:szCs w:val="21"/>
              </w:rPr>
            </w:pPr>
            <w:r>
              <w:rPr>
                <w:rFonts w:hint="eastAsia" w:ascii="宋体" w:hAnsi="宋体" w:cs="宋体"/>
                <w:bCs/>
                <w:szCs w:val="21"/>
              </w:rPr>
              <w:t>（审核依据为投标文件中编制的证书扫描件加盖供应商公章，证书需要验证的，供应商需提供年检验证的证明并加盖供应商公章，否则不予认可）</w:t>
            </w:r>
          </w:p>
        </w:tc>
        <w:tc>
          <w:tcPr>
            <w:tcW w:w="706" w:type="dxa"/>
            <w:tcBorders>
              <w:top w:val="single" w:color="auto" w:sz="4" w:space="0"/>
              <w:left w:val="single" w:color="auto" w:sz="4" w:space="0"/>
              <w:right w:val="single" w:color="auto" w:sz="4" w:space="0"/>
            </w:tcBorders>
            <w:vAlign w:val="center"/>
          </w:tcPr>
          <w:p w14:paraId="079B5F3C">
            <w:pPr>
              <w:snapToGrid w:val="0"/>
              <w:jc w:val="center"/>
              <w:rPr>
                <w:rFonts w:hint="eastAsia" w:ascii="宋体" w:hAnsi="宋体" w:cs="宋体"/>
                <w:bCs/>
                <w:kern w:val="0"/>
                <w:szCs w:val="21"/>
              </w:rPr>
            </w:pPr>
            <w:r>
              <w:rPr>
                <w:rFonts w:hint="eastAsia" w:ascii="宋体" w:hAnsi="宋体" w:cs="宋体"/>
                <w:bCs/>
                <w:kern w:val="0"/>
                <w:szCs w:val="21"/>
              </w:rPr>
              <w:t>3</w:t>
            </w:r>
          </w:p>
        </w:tc>
        <w:tc>
          <w:tcPr>
            <w:tcW w:w="706" w:type="dxa"/>
            <w:tcBorders>
              <w:top w:val="single" w:color="auto" w:sz="4" w:space="0"/>
              <w:left w:val="single" w:color="auto" w:sz="4" w:space="0"/>
              <w:right w:val="single" w:color="auto" w:sz="4" w:space="0"/>
            </w:tcBorders>
            <w:vAlign w:val="center"/>
          </w:tcPr>
          <w:p w14:paraId="6EA135EB">
            <w:pPr>
              <w:snapToGrid w:val="0"/>
              <w:rPr>
                <w:rFonts w:hint="eastAsia" w:ascii="宋体" w:hAnsi="宋体" w:cs="宋体"/>
                <w:bCs/>
                <w:kern w:val="0"/>
                <w:szCs w:val="21"/>
              </w:rPr>
            </w:pPr>
            <w:r>
              <w:rPr>
                <w:rFonts w:hint="eastAsia" w:ascii="宋体" w:hAnsi="宋体" w:cs="宋体"/>
                <w:bCs/>
                <w:kern w:val="0"/>
                <w:szCs w:val="21"/>
              </w:rPr>
              <w:t>客观</w:t>
            </w:r>
          </w:p>
        </w:tc>
      </w:tr>
      <w:tr w14:paraId="0CF9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14" w:type="dxa"/>
            <w:vMerge w:val="continue"/>
            <w:tcBorders>
              <w:bottom w:val="single" w:color="auto" w:sz="4" w:space="0"/>
            </w:tcBorders>
            <w:vAlign w:val="center"/>
          </w:tcPr>
          <w:p w14:paraId="0E455F6F">
            <w:pPr>
              <w:snapToGrid w:val="0"/>
              <w:jc w:val="center"/>
              <w:rPr>
                <w:rFonts w:hint="eastAsia" w:ascii="宋体" w:hAnsi="宋体" w:cs="宋体"/>
                <w:bCs/>
                <w:kern w:val="0"/>
                <w:szCs w:val="21"/>
              </w:rPr>
            </w:pPr>
          </w:p>
        </w:tc>
        <w:tc>
          <w:tcPr>
            <w:tcW w:w="835" w:type="dxa"/>
            <w:tcBorders>
              <w:bottom w:val="single" w:color="auto" w:sz="4" w:space="0"/>
              <w:right w:val="single" w:color="auto" w:sz="4" w:space="0"/>
            </w:tcBorders>
            <w:vAlign w:val="center"/>
          </w:tcPr>
          <w:p w14:paraId="166AD56E">
            <w:pPr>
              <w:snapToGrid w:val="0"/>
              <w:jc w:val="center"/>
              <w:rPr>
                <w:rFonts w:hint="eastAsia" w:ascii="宋体" w:hAnsi="宋体" w:cs="宋体"/>
                <w:szCs w:val="21"/>
              </w:rPr>
            </w:pPr>
            <w:r>
              <w:rPr>
                <w:rFonts w:hint="eastAsia" w:ascii="宋体" w:hAnsi="宋体" w:cs="宋体"/>
                <w:szCs w:val="21"/>
              </w:rPr>
              <w:t>项目服务承诺</w:t>
            </w:r>
          </w:p>
        </w:tc>
        <w:tc>
          <w:tcPr>
            <w:tcW w:w="6526" w:type="dxa"/>
            <w:tcBorders>
              <w:top w:val="single" w:color="auto" w:sz="4" w:space="0"/>
              <w:left w:val="single" w:color="auto" w:sz="4" w:space="0"/>
              <w:bottom w:val="single" w:color="auto" w:sz="4" w:space="0"/>
              <w:right w:val="single" w:color="auto" w:sz="4" w:space="0"/>
            </w:tcBorders>
            <w:vAlign w:val="center"/>
          </w:tcPr>
          <w:p w14:paraId="1B8AA7F7">
            <w:pPr>
              <w:rPr>
                <w:rFonts w:hint="eastAsia" w:ascii="宋体" w:hAnsi="宋体" w:cs="宋体"/>
                <w:bCs/>
                <w:szCs w:val="21"/>
              </w:rPr>
            </w:pPr>
            <w:r>
              <w:rPr>
                <w:rFonts w:hint="eastAsia" w:ascii="宋体" w:hAnsi="宋体" w:cs="宋体"/>
                <w:bCs/>
                <w:szCs w:val="21"/>
              </w:rPr>
              <w:t>供应商根据本采购包的技术要求提供服务承诺书，</w:t>
            </w:r>
          </w:p>
          <w:p w14:paraId="315A81C1">
            <w:pPr>
              <w:rPr>
                <w:rFonts w:hint="eastAsia" w:ascii="宋体" w:hAnsi="宋体" w:cs="宋体"/>
                <w:bCs/>
                <w:szCs w:val="21"/>
              </w:rPr>
            </w:pPr>
            <w:r>
              <w:rPr>
                <w:rFonts w:hint="eastAsia" w:ascii="宋体" w:hAnsi="宋体" w:cs="宋体"/>
                <w:bCs/>
                <w:szCs w:val="21"/>
              </w:rPr>
              <w:t xml:space="preserve">服务承诺书完整、可行，得5 分； </w:t>
            </w:r>
          </w:p>
          <w:p w14:paraId="7830867A">
            <w:pPr>
              <w:rPr>
                <w:rFonts w:hint="eastAsia" w:ascii="宋体" w:hAnsi="宋体" w:cs="宋体"/>
                <w:bCs/>
                <w:szCs w:val="21"/>
              </w:rPr>
            </w:pPr>
            <w:r>
              <w:rPr>
                <w:rFonts w:hint="eastAsia" w:ascii="宋体" w:hAnsi="宋体" w:cs="宋体"/>
                <w:bCs/>
                <w:szCs w:val="21"/>
              </w:rPr>
              <w:t xml:space="preserve">服务承诺比较完整，但有缺漏、较为可行性，得 3 分； </w:t>
            </w:r>
          </w:p>
          <w:p w14:paraId="78A3ED74">
            <w:pPr>
              <w:rPr>
                <w:rFonts w:hint="eastAsia" w:ascii="宋体" w:hAnsi="宋体" w:cs="宋体"/>
                <w:bCs/>
                <w:szCs w:val="21"/>
              </w:rPr>
            </w:pPr>
            <w:r>
              <w:rPr>
                <w:rFonts w:hint="eastAsia" w:ascii="宋体" w:hAnsi="宋体" w:cs="宋体"/>
                <w:bCs/>
                <w:szCs w:val="21"/>
              </w:rPr>
              <w:t>服务承诺不完整、可行性较弱，得1分；</w:t>
            </w:r>
          </w:p>
          <w:p w14:paraId="43D97426">
            <w:pPr>
              <w:rPr>
                <w:rFonts w:hint="eastAsia" w:ascii="宋体" w:hAnsi="宋体" w:cs="宋体"/>
                <w:bCs/>
                <w:szCs w:val="21"/>
              </w:rPr>
            </w:pPr>
            <w:r>
              <w:rPr>
                <w:rFonts w:hint="eastAsia" w:ascii="宋体" w:hAnsi="宋体" w:cs="宋体"/>
                <w:szCs w:val="21"/>
              </w:rPr>
              <w:t>本项无明确应答</w:t>
            </w:r>
            <w:r>
              <w:rPr>
                <w:rFonts w:hint="eastAsia" w:ascii="宋体" w:hAnsi="宋体" w:cs="宋体"/>
                <w:bCs/>
                <w:szCs w:val="21"/>
              </w:rPr>
              <w:t xml:space="preserve">，得0分。 </w:t>
            </w:r>
          </w:p>
        </w:tc>
        <w:tc>
          <w:tcPr>
            <w:tcW w:w="706" w:type="dxa"/>
            <w:tcBorders>
              <w:top w:val="single" w:color="auto" w:sz="4" w:space="0"/>
              <w:left w:val="single" w:color="auto" w:sz="4" w:space="0"/>
              <w:right w:val="single" w:color="auto" w:sz="4" w:space="0"/>
            </w:tcBorders>
            <w:vAlign w:val="center"/>
          </w:tcPr>
          <w:p w14:paraId="0849BD22">
            <w:pPr>
              <w:snapToGrid w:val="0"/>
              <w:jc w:val="center"/>
              <w:rPr>
                <w:rFonts w:hint="eastAsia" w:ascii="宋体" w:hAnsi="宋体" w:cs="宋体"/>
                <w:bCs/>
                <w:kern w:val="0"/>
                <w:szCs w:val="21"/>
              </w:rPr>
            </w:pPr>
            <w:r>
              <w:rPr>
                <w:rFonts w:hint="eastAsia" w:ascii="宋体" w:hAnsi="宋体" w:cs="宋体"/>
                <w:bCs/>
                <w:kern w:val="0"/>
                <w:szCs w:val="21"/>
              </w:rPr>
              <w:t>5</w:t>
            </w:r>
          </w:p>
        </w:tc>
        <w:tc>
          <w:tcPr>
            <w:tcW w:w="706" w:type="dxa"/>
            <w:tcBorders>
              <w:top w:val="single" w:color="auto" w:sz="4" w:space="0"/>
              <w:left w:val="single" w:color="auto" w:sz="4" w:space="0"/>
              <w:right w:val="single" w:color="auto" w:sz="4" w:space="0"/>
            </w:tcBorders>
            <w:vAlign w:val="center"/>
          </w:tcPr>
          <w:p w14:paraId="0FE98756">
            <w:pPr>
              <w:snapToGrid w:val="0"/>
              <w:jc w:val="center"/>
              <w:rPr>
                <w:rFonts w:hint="eastAsia" w:ascii="宋体" w:hAnsi="宋体" w:cs="宋体"/>
                <w:bCs/>
                <w:kern w:val="0"/>
                <w:szCs w:val="21"/>
              </w:rPr>
            </w:pPr>
            <w:r>
              <w:rPr>
                <w:rFonts w:hint="eastAsia" w:ascii="宋体" w:hAnsi="宋体" w:cs="宋体"/>
                <w:bCs/>
                <w:kern w:val="0"/>
                <w:szCs w:val="21"/>
              </w:rPr>
              <w:t>主观</w:t>
            </w:r>
          </w:p>
        </w:tc>
      </w:tr>
      <w:tr w14:paraId="4BEF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914" w:type="dxa"/>
            <w:vMerge w:val="restart"/>
            <w:tcBorders>
              <w:top w:val="single" w:color="auto" w:sz="4" w:space="0"/>
              <w:left w:val="single" w:color="auto" w:sz="4" w:space="0"/>
              <w:right w:val="single" w:color="auto" w:sz="4" w:space="0"/>
            </w:tcBorders>
            <w:vAlign w:val="center"/>
          </w:tcPr>
          <w:p w14:paraId="637DF652">
            <w:pPr>
              <w:snapToGrid w:val="0"/>
              <w:jc w:val="center"/>
              <w:rPr>
                <w:rFonts w:hint="eastAsia" w:ascii="宋体" w:hAnsi="宋体" w:cs="宋体"/>
                <w:bCs/>
                <w:kern w:val="0"/>
                <w:szCs w:val="21"/>
              </w:rPr>
            </w:pPr>
            <w:r>
              <w:rPr>
                <w:rFonts w:hint="eastAsia" w:ascii="宋体" w:hAnsi="宋体" w:cs="宋体"/>
                <w:bCs/>
                <w:kern w:val="0"/>
                <w:szCs w:val="21"/>
              </w:rPr>
              <w:t>技术部分（69分）</w:t>
            </w:r>
          </w:p>
        </w:tc>
        <w:tc>
          <w:tcPr>
            <w:tcW w:w="835" w:type="dxa"/>
            <w:tcBorders>
              <w:top w:val="single" w:color="auto" w:sz="4" w:space="0"/>
              <w:left w:val="single" w:color="auto" w:sz="4" w:space="0"/>
              <w:bottom w:val="single" w:color="auto" w:sz="4" w:space="0"/>
              <w:right w:val="single" w:color="auto" w:sz="4" w:space="0"/>
            </w:tcBorders>
            <w:vAlign w:val="center"/>
          </w:tcPr>
          <w:p w14:paraId="725F85D2">
            <w:pPr>
              <w:snapToGrid w:val="0"/>
              <w:jc w:val="center"/>
              <w:rPr>
                <w:rFonts w:hint="eastAsia" w:ascii="宋体" w:hAnsi="宋体" w:cs="宋体"/>
                <w:bCs/>
                <w:kern w:val="0"/>
                <w:szCs w:val="21"/>
              </w:rPr>
            </w:pPr>
            <w:r>
              <w:rPr>
                <w:rFonts w:hint="eastAsia" w:ascii="宋体" w:hAnsi="宋体" w:cs="宋体"/>
                <w:bCs/>
                <w:kern w:val="0"/>
                <w:szCs w:val="21"/>
              </w:rPr>
              <w:t>工作方案</w:t>
            </w:r>
          </w:p>
        </w:tc>
        <w:tc>
          <w:tcPr>
            <w:tcW w:w="6526" w:type="dxa"/>
            <w:tcBorders>
              <w:top w:val="single" w:color="auto" w:sz="4" w:space="0"/>
              <w:left w:val="single" w:color="auto" w:sz="4" w:space="0"/>
              <w:bottom w:val="single" w:color="auto" w:sz="4" w:space="0"/>
              <w:right w:val="single" w:color="auto" w:sz="4" w:space="0"/>
            </w:tcBorders>
            <w:vAlign w:val="center"/>
          </w:tcPr>
          <w:p w14:paraId="559DC7EB">
            <w:pPr>
              <w:adjustRightInd w:val="0"/>
              <w:snapToGrid w:val="0"/>
              <w:rPr>
                <w:rFonts w:hint="eastAsia" w:ascii="宋体" w:hAnsi="宋体" w:cs="宋体"/>
                <w:szCs w:val="21"/>
              </w:rPr>
            </w:pPr>
            <w:r>
              <w:rPr>
                <w:rFonts w:hint="eastAsia" w:ascii="宋体" w:hAnsi="宋体" w:cs="宋体"/>
                <w:szCs w:val="21"/>
              </w:rPr>
              <w:t xml:space="preserve">供应商的整体工作方案科学、合理，针对性强；维护计划全面、有条理，主题明确，旧件的整理和交付方案考虑周全，对重难点有完善的解决方案，得 20分； </w:t>
            </w:r>
          </w:p>
          <w:p w14:paraId="210B5B50">
            <w:pPr>
              <w:adjustRightInd w:val="0"/>
              <w:snapToGrid w:val="0"/>
              <w:rPr>
                <w:rFonts w:hint="eastAsia" w:ascii="宋体" w:hAnsi="宋体" w:cs="宋体"/>
                <w:szCs w:val="21"/>
              </w:rPr>
            </w:pPr>
            <w:r>
              <w:rPr>
                <w:rFonts w:hint="eastAsia" w:ascii="宋体" w:hAnsi="宋体" w:cs="宋体"/>
                <w:szCs w:val="21"/>
              </w:rPr>
              <w:t xml:space="preserve">供应商的整体方案比较合理，具有一定的科学性，维护计划方案有欠缺，能做到旧件的整理及交付，对项目重难点分析、解决方案稍有欠缺，得 15分； </w:t>
            </w:r>
          </w:p>
          <w:p w14:paraId="4BBAD6D7">
            <w:pPr>
              <w:adjustRightInd w:val="0"/>
              <w:snapToGrid w:val="0"/>
              <w:rPr>
                <w:rFonts w:hint="eastAsia" w:ascii="宋体" w:hAnsi="宋体" w:cs="宋体"/>
                <w:szCs w:val="21"/>
              </w:rPr>
            </w:pPr>
            <w:r>
              <w:rPr>
                <w:rFonts w:hint="eastAsia" w:ascii="宋体" w:hAnsi="宋体" w:cs="宋体"/>
                <w:szCs w:val="21"/>
              </w:rPr>
              <w:t xml:space="preserve">供应商的整体方案基本可行，维护计划针对性不强，基本没有对项目重难点的解决方案，得 10 分； </w:t>
            </w:r>
          </w:p>
          <w:p w14:paraId="59D0DA95">
            <w:pPr>
              <w:adjustRightInd w:val="0"/>
              <w:snapToGrid w:val="0"/>
              <w:rPr>
                <w:rFonts w:hint="eastAsia" w:ascii="宋体" w:hAnsi="宋体" w:cs="宋体"/>
                <w:szCs w:val="21"/>
              </w:rPr>
            </w:pPr>
            <w:r>
              <w:rPr>
                <w:rFonts w:hint="eastAsia" w:ascii="宋体" w:hAnsi="宋体" w:cs="宋体"/>
                <w:szCs w:val="21"/>
              </w:rPr>
              <w:t xml:space="preserve">供应商的整体方案较差，不合理，无针对性，得 5 分； </w:t>
            </w:r>
          </w:p>
          <w:p w14:paraId="3C5E7639">
            <w:pPr>
              <w:adjustRightInd w:val="0"/>
              <w:snapToGrid w:val="0"/>
              <w:rPr>
                <w:rFonts w:hint="eastAsia" w:ascii="宋体" w:hAnsi="宋体" w:cs="宋体"/>
                <w:szCs w:val="21"/>
              </w:rPr>
            </w:pPr>
            <w:r>
              <w:rPr>
                <w:rFonts w:hint="eastAsia" w:ascii="宋体" w:hAnsi="宋体" w:cs="宋体"/>
                <w:szCs w:val="21"/>
              </w:rPr>
              <w:t>本项无明确应答得0分。</w:t>
            </w:r>
          </w:p>
        </w:tc>
        <w:tc>
          <w:tcPr>
            <w:tcW w:w="706" w:type="dxa"/>
            <w:tcBorders>
              <w:top w:val="single" w:color="auto" w:sz="4" w:space="0"/>
              <w:left w:val="single" w:color="auto" w:sz="4" w:space="0"/>
              <w:right w:val="single" w:color="auto" w:sz="4" w:space="0"/>
            </w:tcBorders>
            <w:vAlign w:val="center"/>
          </w:tcPr>
          <w:p w14:paraId="0EEA385C">
            <w:pPr>
              <w:snapToGrid w:val="0"/>
              <w:jc w:val="center"/>
              <w:rPr>
                <w:rFonts w:hint="eastAsia" w:ascii="宋体" w:hAnsi="宋体" w:cs="宋体"/>
                <w:bCs/>
                <w:kern w:val="0"/>
                <w:szCs w:val="21"/>
              </w:rPr>
            </w:pPr>
            <w:r>
              <w:rPr>
                <w:rFonts w:hint="eastAsia" w:ascii="宋体" w:hAnsi="宋体" w:cs="宋体"/>
                <w:bCs/>
                <w:kern w:val="0"/>
                <w:szCs w:val="21"/>
              </w:rPr>
              <w:t>20</w:t>
            </w:r>
          </w:p>
        </w:tc>
        <w:tc>
          <w:tcPr>
            <w:tcW w:w="706" w:type="dxa"/>
            <w:tcBorders>
              <w:top w:val="single" w:color="auto" w:sz="4" w:space="0"/>
              <w:left w:val="single" w:color="auto" w:sz="4" w:space="0"/>
              <w:right w:val="single" w:color="auto" w:sz="4" w:space="0"/>
            </w:tcBorders>
            <w:vAlign w:val="center"/>
          </w:tcPr>
          <w:p w14:paraId="4A80D81F">
            <w:pPr>
              <w:snapToGrid w:val="0"/>
              <w:jc w:val="center"/>
              <w:rPr>
                <w:rFonts w:hint="eastAsia" w:ascii="宋体" w:hAnsi="宋体" w:cs="宋体"/>
                <w:bCs/>
                <w:kern w:val="0"/>
                <w:szCs w:val="21"/>
              </w:rPr>
            </w:pPr>
            <w:r>
              <w:rPr>
                <w:rFonts w:hint="eastAsia" w:ascii="宋体" w:hAnsi="宋体" w:cs="宋体"/>
                <w:bCs/>
                <w:kern w:val="0"/>
                <w:szCs w:val="21"/>
              </w:rPr>
              <w:t>主观</w:t>
            </w:r>
          </w:p>
        </w:tc>
      </w:tr>
      <w:tr w14:paraId="1DC0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14" w:type="dxa"/>
            <w:vMerge w:val="continue"/>
            <w:tcBorders>
              <w:left w:val="single" w:color="auto" w:sz="4" w:space="0"/>
              <w:right w:val="single" w:color="auto" w:sz="4" w:space="0"/>
            </w:tcBorders>
            <w:vAlign w:val="center"/>
          </w:tcPr>
          <w:p w14:paraId="4D974CC2">
            <w:pPr>
              <w:snapToGrid w:val="0"/>
              <w:jc w:val="center"/>
              <w:rPr>
                <w:rFonts w:hint="eastAsia" w:ascii="宋体" w:hAnsi="宋体" w:cs="宋体"/>
                <w:bCs/>
                <w:kern w:val="0"/>
                <w:szCs w:val="21"/>
              </w:rPr>
            </w:pPr>
          </w:p>
        </w:tc>
        <w:tc>
          <w:tcPr>
            <w:tcW w:w="835" w:type="dxa"/>
            <w:tcBorders>
              <w:top w:val="single" w:color="auto" w:sz="4" w:space="0"/>
              <w:left w:val="single" w:color="auto" w:sz="4" w:space="0"/>
              <w:bottom w:val="single" w:color="auto" w:sz="4" w:space="0"/>
              <w:right w:val="single" w:color="auto" w:sz="4" w:space="0"/>
            </w:tcBorders>
            <w:vAlign w:val="center"/>
          </w:tcPr>
          <w:p w14:paraId="40688CD0">
            <w:pPr>
              <w:snapToGrid w:val="0"/>
              <w:jc w:val="center"/>
              <w:rPr>
                <w:rFonts w:hint="eastAsia" w:ascii="宋体" w:hAnsi="宋体" w:cs="宋体"/>
                <w:bCs/>
                <w:kern w:val="0"/>
                <w:szCs w:val="21"/>
              </w:rPr>
            </w:pPr>
            <w:r>
              <w:rPr>
                <w:rFonts w:hint="eastAsia" w:ascii="宋体" w:hAnsi="宋体" w:cs="宋体"/>
                <w:bCs/>
                <w:kern w:val="0"/>
                <w:szCs w:val="21"/>
              </w:rPr>
              <w:t>质量保证措施</w:t>
            </w:r>
          </w:p>
        </w:tc>
        <w:tc>
          <w:tcPr>
            <w:tcW w:w="6526" w:type="dxa"/>
            <w:tcBorders>
              <w:top w:val="single" w:color="auto" w:sz="4" w:space="0"/>
              <w:left w:val="single" w:color="auto" w:sz="4" w:space="0"/>
              <w:bottom w:val="single" w:color="auto" w:sz="4" w:space="0"/>
              <w:right w:val="single" w:color="auto" w:sz="4" w:space="0"/>
            </w:tcBorders>
            <w:vAlign w:val="center"/>
          </w:tcPr>
          <w:p w14:paraId="05EED558">
            <w:pPr>
              <w:adjustRightInd w:val="0"/>
              <w:snapToGrid w:val="0"/>
              <w:rPr>
                <w:rFonts w:hint="eastAsia" w:ascii="宋体" w:hAnsi="宋体" w:cs="宋体"/>
                <w:szCs w:val="21"/>
              </w:rPr>
            </w:pPr>
            <w:r>
              <w:rPr>
                <w:rFonts w:hint="eastAsia" w:ascii="宋体" w:hAnsi="宋体" w:cs="宋体"/>
                <w:szCs w:val="21"/>
              </w:rPr>
              <w:t xml:space="preserve">质量保证措施完整，措施得当，有针对性，得 12 分； </w:t>
            </w:r>
          </w:p>
          <w:p w14:paraId="367B32EA">
            <w:pPr>
              <w:adjustRightInd w:val="0"/>
              <w:snapToGrid w:val="0"/>
              <w:rPr>
                <w:rFonts w:hint="eastAsia" w:ascii="宋体" w:hAnsi="宋体" w:cs="宋体"/>
                <w:szCs w:val="21"/>
              </w:rPr>
            </w:pPr>
            <w:r>
              <w:rPr>
                <w:rFonts w:hint="eastAsia" w:ascii="宋体" w:hAnsi="宋体" w:cs="宋体"/>
                <w:szCs w:val="21"/>
              </w:rPr>
              <w:t xml:space="preserve">质量保证措施基本完整，措施基本可行，但有欠缺，得 8 分； </w:t>
            </w:r>
          </w:p>
          <w:p w14:paraId="2F5CF959">
            <w:pPr>
              <w:adjustRightInd w:val="0"/>
              <w:snapToGrid w:val="0"/>
              <w:rPr>
                <w:rFonts w:hint="eastAsia" w:ascii="宋体" w:hAnsi="宋体" w:cs="宋体"/>
                <w:szCs w:val="21"/>
              </w:rPr>
            </w:pPr>
            <w:r>
              <w:rPr>
                <w:rFonts w:hint="eastAsia" w:ascii="宋体" w:hAnsi="宋体" w:cs="宋体"/>
                <w:szCs w:val="21"/>
              </w:rPr>
              <w:t>质量保证措施不完整，措施不符合项目需求，得 4 分；</w:t>
            </w:r>
          </w:p>
          <w:p w14:paraId="1CD6A9F8">
            <w:pPr>
              <w:adjustRightInd w:val="0"/>
              <w:snapToGrid w:val="0"/>
              <w:rPr>
                <w:rFonts w:hint="eastAsia" w:ascii="宋体" w:hAnsi="宋体" w:cs="宋体"/>
                <w:szCs w:val="21"/>
              </w:rPr>
            </w:pPr>
            <w:r>
              <w:rPr>
                <w:rFonts w:hint="eastAsia" w:ascii="宋体" w:hAnsi="宋体" w:cs="宋体"/>
                <w:szCs w:val="21"/>
              </w:rPr>
              <w:t>本项无明确应答</w:t>
            </w:r>
            <w:r>
              <w:rPr>
                <w:rFonts w:hint="eastAsia" w:ascii="宋体" w:hAnsi="宋体" w:cs="宋体"/>
                <w:bCs/>
                <w:szCs w:val="21"/>
              </w:rPr>
              <w:t>，得0分。</w:t>
            </w:r>
          </w:p>
        </w:tc>
        <w:tc>
          <w:tcPr>
            <w:tcW w:w="706" w:type="dxa"/>
            <w:tcBorders>
              <w:top w:val="single" w:color="auto" w:sz="4" w:space="0"/>
              <w:left w:val="single" w:color="auto" w:sz="4" w:space="0"/>
              <w:right w:val="single" w:color="auto" w:sz="4" w:space="0"/>
            </w:tcBorders>
            <w:vAlign w:val="center"/>
          </w:tcPr>
          <w:p w14:paraId="72435260">
            <w:pPr>
              <w:adjustRightInd w:val="0"/>
              <w:snapToGrid w:val="0"/>
              <w:jc w:val="center"/>
              <w:rPr>
                <w:rFonts w:hint="eastAsia" w:ascii="宋体" w:hAnsi="宋体" w:cs="宋体"/>
                <w:bCs/>
                <w:kern w:val="0"/>
                <w:szCs w:val="21"/>
              </w:rPr>
            </w:pPr>
            <w:r>
              <w:rPr>
                <w:rFonts w:hint="eastAsia" w:ascii="宋体" w:hAnsi="宋体" w:cs="宋体"/>
                <w:szCs w:val="21"/>
              </w:rPr>
              <w:t>12</w:t>
            </w:r>
          </w:p>
        </w:tc>
        <w:tc>
          <w:tcPr>
            <w:tcW w:w="706" w:type="dxa"/>
            <w:tcBorders>
              <w:top w:val="single" w:color="auto" w:sz="4" w:space="0"/>
              <w:left w:val="single" w:color="auto" w:sz="4" w:space="0"/>
              <w:right w:val="single" w:color="auto" w:sz="4" w:space="0"/>
            </w:tcBorders>
            <w:vAlign w:val="center"/>
          </w:tcPr>
          <w:p w14:paraId="1BBC316D">
            <w:pPr>
              <w:adjustRightInd w:val="0"/>
              <w:snapToGrid w:val="0"/>
              <w:jc w:val="center"/>
              <w:rPr>
                <w:rFonts w:hint="eastAsia" w:ascii="宋体" w:hAnsi="宋体" w:cs="宋体"/>
                <w:szCs w:val="21"/>
              </w:rPr>
            </w:pPr>
            <w:r>
              <w:rPr>
                <w:rFonts w:hint="eastAsia" w:ascii="宋体" w:hAnsi="宋体" w:cs="宋体"/>
                <w:szCs w:val="21"/>
              </w:rPr>
              <w:t>主观</w:t>
            </w:r>
          </w:p>
        </w:tc>
      </w:tr>
      <w:tr w14:paraId="70FF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4" w:type="dxa"/>
            <w:vMerge w:val="continue"/>
            <w:tcBorders>
              <w:left w:val="single" w:color="auto" w:sz="4" w:space="0"/>
              <w:right w:val="single" w:color="auto" w:sz="4" w:space="0"/>
            </w:tcBorders>
            <w:vAlign w:val="center"/>
          </w:tcPr>
          <w:p w14:paraId="0BBE931C">
            <w:pPr>
              <w:snapToGrid w:val="0"/>
              <w:jc w:val="center"/>
              <w:rPr>
                <w:rFonts w:hint="eastAsia" w:ascii="宋体" w:hAnsi="宋体" w:cs="宋体"/>
                <w:bCs/>
                <w:kern w:val="0"/>
                <w:szCs w:val="21"/>
              </w:rPr>
            </w:pPr>
          </w:p>
        </w:tc>
        <w:tc>
          <w:tcPr>
            <w:tcW w:w="835" w:type="dxa"/>
            <w:tcBorders>
              <w:top w:val="single" w:color="auto" w:sz="4" w:space="0"/>
              <w:left w:val="single" w:color="auto" w:sz="4" w:space="0"/>
              <w:bottom w:val="single" w:color="auto" w:sz="4" w:space="0"/>
              <w:right w:val="single" w:color="auto" w:sz="4" w:space="0"/>
            </w:tcBorders>
            <w:vAlign w:val="center"/>
          </w:tcPr>
          <w:p w14:paraId="291E52A5">
            <w:pPr>
              <w:snapToGrid w:val="0"/>
              <w:jc w:val="center"/>
              <w:rPr>
                <w:rFonts w:hint="eastAsia" w:ascii="宋体" w:hAnsi="宋体" w:cs="宋体"/>
                <w:szCs w:val="21"/>
              </w:rPr>
            </w:pPr>
            <w:r>
              <w:rPr>
                <w:rFonts w:hint="eastAsia" w:ascii="宋体" w:hAnsi="宋体" w:cs="宋体"/>
                <w:szCs w:val="21"/>
              </w:rPr>
              <w:t>安全保证措施</w:t>
            </w:r>
          </w:p>
        </w:tc>
        <w:tc>
          <w:tcPr>
            <w:tcW w:w="6526" w:type="dxa"/>
            <w:tcBorders>
              <w:top w:val="single" w:color="auto" w:sz="4" w:space="0"/>
              <w:left w:val="single" w:color="auto" w:sz="4" w:space="0"/>
              <w:bottom w:val="single" w:color="auto" w:sz="4" w:space="0"/>
              <w:right w:val="single" w:color="auto" w:sz="4" w:space="0"/>
            </w:tcBorders>
            <w:vAlign w:val="center"/>
          </w:tcPr>
          <w:p w14:paraId="0B5543A2">
            <w:pPr>
              <w:autoSpaceDE w:val="0"/>
              <w:autoSpaceDN w:val="0"/>
              <w:adjustRightInd w:val="0"/>
              <w:jc w:val="left"/>
              <w:rPr>
                <w:rFonts w:hint="eastAsia" w:ascii="宋体" w:hAnsi="宋体" w:cs="宋体"/>
                <w:szCs w:val="21"/>
              </w:rPr>
            </w:pPr>
            <w:r>
              <w:rPr>
                <w:rFonts w:hint="eastAsia" w:ascii="宋体" w:hAnsi="宋体" w:cs="宋体"/>
                <w:szCs w:val="21"/>
              </w:rPr>
              <w:t xml:space="preserve">安全保证措施有力，制度健全，有针对性，得 12 分； </w:t>
            </w:r>
          </w:p>
          <w:p w14:paraId="61106076">
            <w:pPr>
              <w:autoSpaceDE w:val="0"/>
              <w:autoSpaceDN w:val="0"/>
              <w:adjustRightInd w:val="0"/>
              <w:jc w:val="left"/>
              <w:rPr>
                <w:rFonts w:hint="eastAsia" w:ascii="宋体" w:hAnsi="宋体" w:cs="宋体"/>
                <w:szCs w:val="21"/>
              </w:rPr>
            </w:pPr>
            <w:r>
              <w:rPr>
                <w:rFonts w:hint="eastAsia" w:ascii="宋体" w:hAnsi="宋体" w:cs="宋体"/>
                <w:szCs w:val="21"/>
              </w:rPr>
              <w:t xml:space="preserve">安全保证措施基本可行、制度较完整，但有欠缺，得 8 分； </w:t>
            </w:r>
          </w:p>
          <w:p w14:paraId="4C517B10">
            <w:pPr>
              <w:autoSpaceDE w:val="0"/>
              <w:autoSpaceDN w:val="0"/>
              <w:adjustRightInd w:val="0"/>
              <w:jc w:val="left"/>
              <w:rPr>
                <w:rFonts w:hint="eastAsia" w:ascii="宋体" w:hAnsi="宋体" w:cs="宋体"/>
                <w:szCs w:val="21"/>
              </w:rPr>
            </w:pPr>
            <w:r>
              <w:rPr>
                <w:rFonts w:hint="eastAsia" w:ascii="宋体" w:hAnsi="宋体" w:cs="宋体"/>
                <w:szCs w:val="21"/>
              </w:rPr>
              <w:t>安全保证措施及制度混乱，得 4 分；</w:t>
            </w:r>
          </w:p>
          <w:p w14:paraId="6CEAF9BD">
            <w:pPr>
              <w:autoSpaceDE w:val="0"/>
              <w:autoSpaceDN w:val="0"/>
              <w:adjustRightInd w:val="0"/>
              <w:jc w:val="left"/>
              <w:rPr>
                <w:rFonts w:hint="eastAsia" w:ascii="宋体" w:hAnsi="宋体" w:cs="宋体"/>
                <w:szCs w:val="21"/>
              </w:rPr>
            </w:pPr>
            <w:r>
              <w:rPr>
                <w:rFonts w:hint="eastAsia" w:ascii="宋体" w:hAnsi="宋体" w:cs="宋体"/>
                <w:szCs w:val="21"/>
              </w:rPr>
              <w:t>本项无明确应答</w:t>
            </w:r>
            <w:r>
              <w:rPr>
                <w:rFonts w:hint="eastAsia" w:ascii="宋体" w:hAnsi="宋体" w:cs="宋体"/>
                <w:bCs/>
                <w:szCs w:val="21"/>
              </w:rPr>
              <w:t>，得0分。</w:t>
            </w:r>
          </w:p>
        </w:tc>
        <w:tc>
          <w:tcPr>
            <w:tcW w:w="706" w:type="dxa"/>
            <w:tcBorders>
              <w:top w:val="single" w:color="auto" w:sz="4" w:space="0"/>
              <w:left w:val="single" w:color="auto" w:sz="4" w:space="0"/>
              <w:right w:val="single" w:color="auto" w:sz="4" w:space="0"/>
            </w:tcBorders>
            <w:vAlign w:val="center"/>
          </w:tcPr>
          <w:p w14:paraId="0D7BBB34">
            <w:pPr>
              <w:adjustRightInd w:val="0"/>
              <w:snapToGrid w:val="0"/>
              <w:jc w:val="center"/>
              <w:rPr>
                <w:rFonts w:hint="eastAsia" w:ascii="宋体" w:hAnsi="宋体" w:cs="宋体"/>
                <w:szCs w:val="21"/>
              </w:rPr>
            </w:pPr>
            <w:r>
              <w:rPr>
                <w:rFonts w:hint="eastAsia" w:ascii="宋体" w:hAnsi="宋体" w:cs="宋体"/>
                <w:szCs w:val="21"/>
              </w:rPr>
              <w:t>12</w:t>
            </w:r>
          </w:p>
        </w:tc>
        <w:tc>
          <w:tcPr>
            <w:tcW w:w="706" w:type="dxa"/>
            <w:tcBorders>
              <w:top w:val="single" w:color="auto" w:sz="4" w:space="0"/>
              <w:left w:val="single" w:color="auto" w:sz="4" w:space="0"/>
              <w:right w:val="single" w:color="auto" w:sz="4" w:space="0"/>
            </w:tcBorders>
            <w:vAlign w:val="center"/>
          </w:tcPr>
          <w:p w14:paraId="5EC970F6">
            <w:pPr>
              <w:adjustRightInd w:val="0"/>
              <w:snapToGrid w:val="0"/>
              <w:jc w:val="center"/>
              <w:rPr>
                <w:rFonts w:hint="eastAsia" w:ascii="宋体" w:hAnsi="宋体" w:cs="宋体"/>
                <w:szCs w:val="21"/>
              </w:rPr>
            </w:pPr>
            <w:r>
              <w:rPr>
                <w:rFonts w:hint="eastAsia" w:ascii="宋体" w:hAnsi="宋体" w:cs="宋体"/>
                <w:szCs w:val="21"/>
              </w:rPr>
              <w:t>主观</w:t>
            </w:r>
          </w:p>
        </w:tc>
      </w:tr>
      <w:tr w14:paraId="3D32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14" w:type="dxa"/>
            <w:vMerge w:val="continue"/>
            <w:tcBorders>
              <w:left w:val="single" w:color="auto" w:sz="4" w:space="0"/>
              <w:right w:val="single" w:color="auto" w:sz="4" w:space="0"/>
            </w:tcBorders>
            <w:vAlign w:val="center"/>
          </w:tcPr>
          <w:p w14:paraId="140FAC6F">
            <w:pPr>
              <w:snapToGrid w:val="0"/>
              <w:jc w:val="center"/>
              <w:rPr>
                <w:rFonts w:hint="eastAsia" w:ascii="宋体" w:hAnsi="宋体" w:cs="宋体"/>
                <w:bCs/>
                <w:kern w:val="0"/>
                <w:szCs w:val="21"/>
              </w:rPr>
            </w:pPr>
          </w:p>
        </w:tc>
        <w:tc>
          <w:tcPr>
            <w:tcW w:w="835" w:type="dxa"/>
            <w:tcBorders>
              <w:top w:val="single" w:color="auto" w:sz="4" w:space="0"/>
              <w:left w:val="single" w:color="auto" w:sz="4" w:space="0"/>
              <w:bottom w:val="single" w:color="auto" w:sz="4" w:space="0"/>
              <w:right w:val="single" w:color="auto" w:sz="4" w:space="0"/>
            </w:tcBorders>
            <w:vAlign w:val="center"/>
          </w:tcPr>
          <w:p w14:paraId="3856D83F">
            <w:pPr>
              <w:snapToGrid w:val="0"/>
              <w:jc w:val="center"/>
              <w:rPr>
                <w:rFonts w:hint="eastAsia" w:ascii="宋体" w:hAnsi="宋体" w:cs="宋体"/>
                <w:szCs w:val="21"/>
              </w:rPr>
            </w:pPr>
            <w:r>
              <w:rPr>
                <w:rFonts w:hint="eastAsia" w:ascii="宋体" w:hAnsi="宋体" w:cs="宋体"/>
                <w:szCs w:val="21"/>
              </w:rPr>
              <w:t>进度保证措施</w:t>
            </w:r>
          </w:p>
        </w:tc>
        <w:tc>
          <w:tcPr>
            <w:tcW w:w="6526" w:type="dxa"/>
            <w:tcBorders>
              <w:top w:val="single" w:color="auto" w:sz="4" w:space="0"/>
              <w:left w:val="single" w:color="auto" w:sz="4" w:space="0"/>
              <w:bottom w:val="single" w:color="auto" w:sz="4" w:space="0"/>
              <w:right w:val="single" w:color="auto" w:sz="4" w:space="0"/>
            </w:tcBorders>
            <w:vAlign w:val="center"/>
          </w:tcPr>
          <w:p w14:paraId="76B2AC05">
            <w:pPr>
              <w:autoSpaceDE w:val="0"/>
              <w:autoSpaceDN w:val="0"/>
              <w:adjustRightInd w:val="0"/>
              <w:jc w:val="left"/>
              <w:rPr>
                <w:rFonts w:hint="eastAsia" w:ascii="宋体" w:hAnsi="宋体" w:cs="宋体"/>
                <w:szCs w:val="21"/>
              </w:rPr>
            </w:pPr>
            <w:r>
              <w:rPr>
                <w:rFonts w:hint="eastAsia" w:ascii="宋体" w:hAnsi="宋体" w:cs="宋体"/>
                <w:szCs w:val="21"/>
              </w:rPr>
              <w:t xml:space="preserve">三阶段工作的进度安排合理、措施有力，有图表形式表现明确，得 10 分； </w:t>
            </w:r>
          </w:p>
          <w:p w14:paraId="3F7E326E">
            <w:pPr>
              <w:autoSpaceDE w:val="0"/>
              <w:autoSpaceDN w:val="0"/>
              <w:adjustRightInd w:val="0"/>
              <w:jc w:val="left"/>
              <w:rPr>
                <w:rFonts w:hint="eastAsia" w:ascii="宋体" w:hAnsi="宋体" w:cs="宋体"/>
                <w:szCs w:val="21"/>
              </w:rPr>
            </w:pPr>
            <w:r>
              <w:rPr>
                <w:rFonts w:hint="eastAsia" w:ascii="宋体" w:hAnsi="宋体" w:cs="宋体"/>
                <w:szCs w:val="21"/>
              </w:rPr>
              <w:t xml:space="preserve">三阶段工作的进度安排基本合理、措施基本可行，但有欠缺，得 5分； </w:t>
            </w:r>
          </w:p>
          <w:p w14:paraId="67616E1D">
            <w:pPr>
              <w:autoSpaceDE w:val="0"/>
              <w:autoSpaceDN w:val="0"/>
              <w:adjustRightInd w:val="0"/>
              <w:jc w:val="left"/>
              <w:rPr>
                <w:rFonts w:hint="eastAsia" w:ascii="宋体" w:hAnsi="宋体" w:cs="宋体"/>
                <w:szCs w:val="21"/>
              </w:rPr>
            </w:pPr>
            <w:r>
              <w:rPr>
                <w:rFonts w:hint="eastAsia" w:ascii="宋体" w:hAnsi="宋体" w:cs="宋体"/>
                <w:szCs w:val="21"/>
              </w:rPr>
              <w:t>三阶段工作的进度安排不合理，无相关措施，得 3 分；</w:t>
            </w:r>
          </w:p>
          <w:p w14:paraId="1FCA4BAB">
            <w:pPr>
              <w:autoSpaceDE w:val="0"/>
              <w:autoSpaceDN w:val="0"/>
              <w:adjustRightInd w:val="0"/>
              <w:jc w:val="left"/>
              <w:rPr>
                <w:rFonts w:hint="eastAsia" w:ascii="宋体" w:hAnsi="宋体" w:cs="宋体"/>
                <w:szCs w:val="21"/>
              </w:rPr>
            </w:pPr>
            <w:r>
              <w:rPr>
                <w:rFonts w:hint="eastAsia" w:ascii="宋体" w:hAnsi="宋体" w:cs="宋体"/>
                <w:szCs w:val="21"/>
              </w:rPr>
              <w:t>本项无明确应答</w:t>
            </w:r>
            <w:r>
              <w:rPr>
                <w:rFonts w:hint="eastAsia" w:ascii="宋体" w:hAnsi="宋体" w:cs="宋体"/>
                <w:bCs/>
                <w:szCs w:val="21"/>
              </w:rPr>
              <w:t>，得0分。</w:t>
            </w:r>
          </w:p>
        </w:tc>
        <w:tc>
          <w:tcPr>
            <w:tcW w:w="706" w:type="dxa"/>
            <w:tcBorders>
              <w:top w:val="single" w:color="auto" w:sz="4" w:space="0"/>
              <w:left w:val="single" w:color="auto" w:sz="4" w:space="0"/>
              <w:right w:val="single" w:color="auto" w:sz="4" w:space="0"/>
            </w:tcBorders>
            <w:vAlign w:val="center"/>
          </w:tcPr>
          <w:p w14:paraId="2EC59FA3">
            <w:pPr>
              <w:adjustRightInd w:val="0"/>
              <w:snapToGrid w:val="0"/>
              <w:jc w:val="center"/>
              <w:rPr>
                <w:rFonts w:hint="eastAsia" w:ascii="宋体" w:hAnsi="宋体" w:cs="宋体"/>
                <w:szCs w:val="21"/>
              </w:rPr>
            </w:pPr>
            <w:r>
              <w:rPr>
                <w:rFonts w:hint="eastAsia" w:ascii="宋体" w:hAnsi="宋体" w:cs="宋体"/>
                <w:szCs w:val="21"/>
              </w:rPr>
              <w:t>10</w:t>
            </w:r>
          </w:p>
        </w:tc>
        <w:tc>
          <w:tcPr>
            <w:tcW w:w="706" w:type="dxa"/>
            <w:tcBorders>
              <w:top w:val="single" w:color="auto" w:sz="4" w:space="0"/>
              <w:left w:val="single" w:color="auto" w:sz="4" w:space="0"/>
              <w:right w:val="single" w:color="auto" w:sz="4" w:space="0"/>
            </w:tcBorders>
            <w:vAlign w:val="center"/>
          </w:tcPr>
          <w:p w14:paraId="6E89F2C0">
            <w:pPr>
              <w:adjustRightInd w:val="0"/>
              <w:snapToGrid w:val="0"/>
              <w:jc w:val="center"/>
              <w:rPr>
                <w:rFonts w:hint="eastAsia" w:ascii="宋体" w:hAnsi="宋体" w:cs="宋体"/>
                <w:szCs w:val="21"/>
              </w:rPr>
            </w:pPr>
            <w:r>
              <w:rPr>
                <w:rFonts w:hint="eastAsia" w:ascii="宋体" w:hAnsi="宋体" w:cs="宋体"/>
                <w:szCs w:val="21"/>
              </w:rPr>
              <w:t>主观</w:t>
            </w:r>
          </w:p>
        </w:tc>
      </w:tr>
      <w:tr w14:paraId="6410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914" w:type="dxa"/>
            <w:vMerge w:val="continue"/>
            <w:tcBorders>
              <w:left w:val="single" w:color="auto" w:sz="4" w:space="0"/>
              <w:right w:val="single" w:color="auto" w:sz="4" w:space="0"/>
            </w:tcBorders>
            <w:vAlign w:val="center"/>
          </w:tcPr>
          <w:p w14:paraId="588A23F2">
            <w:pPr>
              <w:snapToGrid w:val="0"/>
              <w:jc w:val="center"/>
              <w:rPr>
                <w:rFonts w:hint="eastAsia" w:ascii="宋体" w:hAnsi="宋体" w:cs="宋体"/>
                <w:bCs/>
                <w:kern w:val="0"/>
                <w:szCs w:val="21"/>
              </w:rPr>
            </w:pPr>
          </w:p>
        </w:tc>
        <w:tc>
          <w:tcPr>
            <w:tcW w:w="835" w:type="dxa"/>
            <w:tcBorders>
              <w:right w:val="single" w:color="auto" w:sz="4" w:space="0"/>
            </w:tcBorders>
            <w:vAlign w:val="center"/>
          </w:tcPr>
          <w:p w14:paraId="4691CEAF">
            <w:pPr>
              <w:snapToGrid w:val="0"/>
              <w:jc w:val="center"/>
              <w:rPr>
                <w:rFonts w:hint="eastAsia" w:ascii="宋体" w:hAnsi="宋体" w:cs="宋体"/>
                <w:szCs w:val="21"/>
              </w:rPr>
            </w:pPr>
            <w:r>
              <w:rPr>
                <w:rFonts w:hint="eastAsia" w:ascii="宋体" w:hAnsi="宋体" w:cs="宋体"/>
                <w:szCs w:val="21"/>
              </w:rPr>
              <w:t>履行合同的必</w:t>
            </w:r>
          </w:p>
          <w:p w14:paraId="62B2EC42">
            <w:pPr>
              <w:snapToGrid w:val="0"/>
              <w:jc w:val="center"/>
              <w:rPr>
                <w:rFonts w:hint="eastAsia" w:ascii="宋体" w:hAnsi="宋体" w:cs="宋体"/>
                <w:szCs w:val="21"/>
              </w:rPr>
            </w:pPr>
            <w:r>
              <w:rPr>
                <w:rFonts w:hint="eastAsia" w:ascii="宋体" w:hAnsi="宋体" w:cs="宋体"/>
                <w:szCs w:val="21"/>
              </w:rPr>
              <w:t>备设备设施</w:t>
            </w:r>
          </w:p>
        </w:tc>
        <w:tc>
          <w:tcPr>
            <w:tcW w:w="6526" w:type="dxa"/>
            <w:tcBorders>
              <w:left w:val="single" w:color="auto" w:sz="4" w:space="0"/>
              <w:right w:val="single" w:color="auto" w:sz="4" w:space="0"/>
            </w:tcBorders>
            <w:vAlign w:val="center"/>
          </w:tcPr>
          <w:p w14:paraId="051E9445">
            <w:pPr>
              <w:autoSpaceDE w:val="0"/>
              <w:autoSpaceDN w:val="0"/>
              <w:adjustRightInd w:val="0"/>
              <w:jc w:val="left"/>
              <w:rPr>
                <w:rFonts w:hint="eastAsia" w:ascii="宋体" w:hAnsi="宋体" w:cs="宋体"/>
                <w:szCs w:val="21"/>
              </w:rPr>
            </w:pPr>
            <w:r>
              <w:rPr>
                <w:rFonts w:hint="eastAsia" w:ascii="宋体" w:hAnsi="宋体" w:cs="宋体"/>
                <w:szCs w:val="21"/>
              </w:rPr>
              <w:t xml:space="preserve">维护、维修所用设备性能优良，种类齐全，型号先进，数量充沛完全满足维护、维修要求，有备品，得 5 分； </w:t>
            </w:r>
          </w:p>
          <w:p w14:paraId="012ACAF3">
            <w:pPr>
              <w:autoSpaceDE w:val="0"/>
              <w:autoSpaceDN w:val="0"/>
              <w:adjustRightInd w:val="0"/>
              <w:jc w:val="left"/>
              <w:rPr>
                <w:rFonts w:hint="eastAsia" w:ascii="宋体" w:hAnsi="宋体" w:cs="宋体"/>
                <w:szCs w:val="21"/>
              </w:rPr>
            </w:pPr>
            <w:r>
              <w:rPr>
                <w:rFonts w:hint="eastAsia" w:ascii="宋体" w:hAnsi="宋体" w:cs="宋体"/>
                <w:szCs w:val="21"/>
              </w:rPr>
              <w:t xml:space="preserve">设备设施及性能良好，种类比较齐全，数量基本满足维护、维修要求，得 3 分； </w:t>
            </w:r>
          </w:p>
          <w:p w14:paraId="61B88260">
            <w:pPr>
              <w:autoSpaceDE w:val="0"/>
              <w:autoSpaceDN w:val="0"/>
              <w:adjustRightInd w:val="0"/>
              <w:jc w:val="left"/>
              <w:rPr>
                <w:rFonts w:hint="eastAsia" w:ascii="宋体" w:hAnsi="宋体" w:cs="宋体"/>
                <w:szCs w:val="21"/>
              </w:rPr>
            </w:pPr>
            <w:r>
              <w:rPr>
                <w:rFonts w:hint="eastAsia" w:ascii="宋体" w:hAnsi="宋体" w:cs="宋体"/>
                <w:szCs w:val="21"/>
              </w:rPr>
              <w:t>设备设施性能水平一般，老旧设备，数量有限，得 1 分；</w:t>
            </w:r>
          </w:p>
          <w:p w14:paraId="7E6E7C42">
            <w:pPr>
              <w:autoSpaceDE w:val="0"/>
              <w:autoSpaceDN w:val="0"/>
              <w:adjustRightInd w:val="0"/>
              <w:jc w:val="left"/>
              <w:rPr>
                <w:rFonts w:hint="eastAsia" w:ascii="宋体" w:hAnsi="宋体" w:cs="宋体"/>
                <w:szCs w:val="21"/>
              </w:rPr>
            </w:pPr>
            <w:r>
              <w:rPr>
                <w:rFonts w:hint="eastAsia" w:ascii="宋体" w:hAnsi="宋体" w:cs="宋体"/>
                <w:szCs w:val="21"/>
              </w:rPr>
              <w:t>本项无明确应答</w:t>
            </w:r>
            <w:r>
              <w:rPr>
                <w:rFonts w:hint="eastAsia" w:ascii="宋体" w:hAnsi="宋体" w:cs="宋体"/>
                <w:bCs/>
                <w:szCs w:val="21"/>
              </w:rPr>
              <w:t>，得0分。</w:t>
            </w:r>
          </w:p>
        </w:tc>
        <w:tc>
          <w:tcPr>
            <w:tcW w:w="706" w:type="dxa"/>
            <w:tcBorders>
              <w:top w:val="single" w:color="auto" w:sz="4" w:space="0"/>
              <w:left w:val="single" w:color="auto" w:sz="4" w:space="0"/>
              <w:bottom w:val="single" w:color="auto" w:sz="4" w:space="0"/>
              <w:right w:val="single" w:color="auto" w:sz="4" w:space="0"/>
            </w:tcBorders>
            <w:vAlign w:val="center"/>
          </w:tcPr>
          <w:p w14:paraId="6FA1DE0B">
            <w:pPr>
              <w:adjustRightInd w:val="0"/>
              <w:snapToGrid w:val="0"/>
              <w:jc w:val="center"/>
              <w:rPr>
                <w:rFonts w:hint="eastAsia" w:ascii="宋体" w:hAnsi="宋体" w:cs="宋体"/>
                <w:szCs w:val="21"/>
              </w:rPr>
            </w:pPr>
            <w:r>
              <w:rPr>
                <w:rFonts w:hint="eastAsia" w:ascii="宋体" w:hAnsi="宋体" w:cs="宋体"/>
                <w:szCs w:val="21"/>
              </w:rPr>
              <w:t>5</w:t>
            </w:r>
          </w:p>
        </w:tc>
        <w:tc>
          <w:tcPr>
            <w:tcW w:w="706" w:type="dxa"/>
            <w:tcBorders>
              <w:top w:val="single" w:color="auto" w:sz="4" w:space="0"/>
              <w:left w:val="single" w:color="auto" w:sz="4" w:space="0"/>
              <w:bottom w:val="single" w:color="auto" w:sz="4" w:space="0"/>
              <w:right w:val="single" w:color="auto" w:sz="4" w:space="0"/>
            </w:tcBorders>
            <w:vAlign w:val="center"/>
          </w:tcPr>
          <w:p w14:paraId="2FD045C2">
            <w:pPr>
              <w:adjustRightInd w:val="0"/>
              <w:snapToGrid w:val="0"/>
              <w:jc w:val="center"/>
              <w:rPr>
                <w:rFonts w:hint="eastAsia" w:ascii="宋体" w:hAnsi="宋体" w:cs="宋体"/>
                <w:szCs w:val="21"/>
              </w:rPr>
            </w:pPr>
            <w:r>
              <w:rPr>
                <w:rFonts w:hint="eastAsia" w:ascii="宋体" w:hAnsi="宋体" w:cs="宋体"/>
                <w:szCs w:val="21"/>
              </w:rPr>
              <w:t>主观</w:t>
            </w:r>
          </w:p>
        </w:tc>
      </w:tr>
      <w:tr w14:paraId="66C4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914" w:type="dxa"/>
            <w:tcBorders>
              <w:left w:val="single" w:color="auto" w:sz="4" w:space="0"/>
              <w:right w:val="single" w:color="auto" w:sz="4" w:space="0"/>
            </w:tcBorders>
            <w:vAlign w:val="center"/>
          </w:tcPr>
          <w:p w14:paraId="760A5530">
            <w:pPr>
              <w:snapToGrid w:val="0"/>
              <w:jc w:val="center"/>
              <w:rPr>
                <w:rFonts w:hint="eastAsia" w:ascii="宋体" w:hAnsi="宋体" w:cs="宋体"/>
                <w:bCs/>
                <w:kern w:val="0"/>
                <w:szCs w:val="21"/>
              </w:rPr>
            </w:pPr>
          </w:p>
        </w:tc>
        <w:tc>
          <w:tcPr>
            <w:tcW w:w="835" w:type="dxa"/>
            <w:tcBorders>
              <w:right w:val="single" w:color="auto" w:sz="4" w:space="0"/>
            </w:tcBorders>
            <w:vAlign w:val="center"/>
          </w:tcPr>
          <w:p w14:paraId="0573090E">
            <w:pPr>
              <w:snapToGrid w:val="0"/>
              <w:jc w:val="center"/>
              <w:rPr>
                <w:rFonts w:hint="eastAsia" w:ascii="宋体" w:hAnsi="宋体" w:cs="宋体"/>
                <w:szCs w:val="21"/>
              </w:rPr>
            </w:pPr>
            <w:r>
              <w:rPr>
                <w:rFonts w:hint="eastAsia" w:ascii="宋体" w:hAnsi="宋体" w:cs="宋体"/>
                <w:szCs w:val="21"/>
              </w:rPr>
              <w:t>人员配备</w:t>
            </w:r>
          </w:p>
        </w:tc>
        <w:tc>
          <w:tcPr>
            <w:tcW w:w="6526" w:type="dxa"/>
            <w:tcBorders>
              <w:left w:val="single" w:color="auto" w:sz="4" w:space="0"/>
              <w:right w:val="single" w:color="auto" w:sz="4" w:space="0"/>
            </w:tcBorders>
            <w:vAlign w:val="center"/>
          </w:tcPr>
          <w:p w14:paraId="292EFFE1">
            <w:pPr>
              <w:autoSpaceDE w:val="0"/>
              <w:autoSpaceDN w:val="0"/>
              <w:adjustRightInd w:val="0"/>
              <w:jc w:val="left"/>
              <w:rPr>
                <w:rFonts w:hint="eastAsia" w:ascii="宋体" w:hAnsi="宋体" w:cs="宋体"/>
                <w:szCs w:val="21"/>
              </w:rPr>
            </w:pPr>
            <w:r>
              <w:rPr>
                <w:rFonts w:hint="eastAsia" w:ascii="宋体" w:hAnsi="宋体" w:cs="宋体"/>
                <w:szCs w:val="21"/>
              </w:rPr>
              <w:t xml:space="preserve">项目拟派人员不低于 15 人(含)，所有人员均熟练掌握系统运行原理，人员专业技术水平高、经验丰富。人员岗位分配合理，职责明晰，得 10分； </w:t>
            </w:r>
          </w:p>
          <w:p w14:paraId="0B1B3182">
            <w:pPr>
              <w:autoSpaceDE w:val="0"/>
              <w:autoSpaceDN w:val="0"/>
              <w:adjustRightInd w:val="0"/>
              <w:jc w:val="left"/>
              <w:rPr>
                <w:rFonts w:hint="eastAsia" w:ascii="宋体" w:hAnsi="宋体" w:cs="宋体"/>
                <w:szCs w:val="21"/>
              </w:rPr>
            </w:pPr>
            <w:r>
              <w:rPr>
                <w:rFonts w:hint="eastAsia" w:ascii="宋体" w:hAnsi="宋体" w:cs="宋体"/>
                <w:szCs w:val="21"/>
              </w:rPr>
              <w:t xml:space="preserve">项目拟派人员不低于 10 人(含)，大部分人员基本掌握系统运行原理，人员实力一般，经验欠缺。人员岗位分配合理，职责基本明确得 6 分； </w:t>
            </w:r>
          </w:p>
          <w:p w14:paraId="2D4708BE">
            <w:pPr>
              <w:autoSpaceDE w:val="0"/>
              <w:autoSpaceDN w:val="0"/>
              <w:adjustRightInd w:val="0"/>
              <w:jc w:val="left"/>
              <w:rPr>
                <w:rFonts w:hint="eastAsia" w:ascii="宋体" w:hAnsi="宋体" w:cs="宋体"/>
                <w:szCs w:val="21"/>
              </w:rPr>
            </w:pPr>
            <w:r>
              <w:rPr>
                <w:rFonts w:hint="eastAsia" w:ascii="宋体" w:hAnsi="宋体" w:cs="宋体"/>
                <w:szCs w:val="21"/>
              </w:rPr>
              <w:t xml:space="preserve">项目拟派人员人数低于 5（含）人，或分配不合理，专业水平欠缺，得 3 分； </w:t>
            </w:r>
          </w:p>
          <w:p w14:paraId="19272390">
            <w:pPr>
              <w:autoSpaceDE w:val="0"/>
              <w:autoSpaceDN w:val="0"/>
              <w:adjustRightInd w:val="0"/>
              <w:jc w:val="left"/>
              <w:rPr>
                <w:rFonts w:hint="eastAsia" w:ascii="宋体" w:hAnsi="宋体" w:cs="宋体"/>
                <w:szCs w:val="21"/>
              </w:rPr>
            </w:pPr>
            <w:r>
              <w:rPr>
                <w:rFonts w:hint="eastAsia" w:ascii="宋体" w:hAnsi="宋体" w:cs="宋体"/>
                <w:szCs w:val="21"/>
              </w:rPr>
              <w:t xml:space="preserve">本项无明确应答，或未按本项审核依据编制应答资料的，得 0 分。 </w:t>
            </w:r>
          </w:p>
          <w:p w14:paraId="0D8C0A2E">
            <w:pPr>
              <w:autoSpaceDE w:val="0"/>
              <w:autoSpaceDN w:val="0"/>
              <w:adjustRightInd w:val="0"/>
              <w:jc w:val="left"/>
              <w:rPr>
                <w:rFonts w:hint="eastAsia" w:ascii="宋体" w:hAnsi="宋体" w:cs="宋体"/>
                <w:szCs w:val="21"/>
              </w:rPr>
            </w:pPr>
            <w:r>
              <w:rPr>
                <w:rFonts w:hint="eastAsia" w:ascii="宋体" w:hAnsi="宋体" w:cs="宋体"/>
                <w:szCs w:val="21"/>
              </w:rPr>
              <w:t>（审核依据为投标文件中编制的拟派团队人员列表、人员岗位分工及人员证书或技术水平证明扫描件以及人员专业履历，须加盖供应商公章）</w:t>
            </w:r>
          </w:p>
        </w:tc>
        <w:tc>
          <w:tcPr>
            <w:tcW w:w="706" w:type="dxa"/>
            <w:tcBorders>
              <w:top w:val="single" w:color="auto" w:sz="4" w:space="0"/>
              <w:left w:val="single" w:color="auto" w:sz="4" w:space="0"/>
              <w:bottom w:val="single" w:color="auto" w:sz="4" w:space="0"/>
              <w:right w:val="single" w:color="auto" w:sz="4" w:space="0"/>
            </w:tcBorders>
            <w:vAlign w:val="center"/>
          </w:tcPr>
          <w:p w14:paraId="506F4965">
            <w:pPr>
              <w:adjustRightInd w:val="0"/>
              <w:snapToGrid w:val="0"/>
              <w:jc w:val="center"/>
              <w:rPr>
                <w:rFonts w:hint="eastAsia" w:ascii="宋体" w:hAnsi="宋体" w:cs="宋体"/>
                <w:szCs w:val="21"/>
              </w:rPr>
            </w:pPr>
            <w:r>
              <w:rPr>
                <w:rFonts w:hint="eastAsia" w:ascii="宋体" w:hAnsi="宋体" w:cs="宋体"/>
                <w:szCs w:val="21"/>
              </w:rPr>
              <w:t>10</w:t>
            </w:r>
          </w:p>
        </w:tc>
        <w:tc>
          <w:tcPr>
            <w:tcW w:w="706" w:type="dxa"/>
            <w:tcBorders>
              <w:top w:val="single" w:color="auto" w:sz="4" w:space="0"/>
              <w:left w:val="single" w:color="auto" w:sz="4" w:space="0"/>
              <w:bottom w:val="single" w:color="auto" w:sz="4" w:space="0"/>
              <w:right w:val="single" w:color="auto" w:sz="4" w:space="0"/>
            </w:tcBorders>
            <w:vAlign w:val="center"/>
          </w:tcPr>
          <w:p w14:paraId="585F9ADB">
            <w:pPr>
              <w:adjustRightInd w:val="0"/>
              <w:snapToGrid w:val="0"/>
              <w:jc w:val="center"/>
              <w:rPr>
                <w:rFonts w:hint="eastAsia" w:ascii="宋体" w:hAnsi="宋体" w:cs="宋体"/>
                <w:szCs w:val="21"/>
              </w:rPr>
            </w:pPr>
            <w:r>
              <w:rPr>
                <w:rFonts w:hint="eastAsia" w:ascii="宋体" w:hAnsi="宋体" w:cs="宋体"/>
                <w:szCs w:val="21"/>
              </w:rPr>
              <w:t>主观</w:t>
            </w:r>
          </w:p>
        </w:tc>
      </w:tr>
      <w:tr w14:paraId="4258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914" w:type="dxa"/>
            <w:vMerge w:val="restart"/>
            <w:tcBorders>
              <w:left w:val="single" w:color="auto" w:sz="4" w:space="0"/>
              <w:right w:val="single" w:color="auto" w:sz="4" w:space="0"/>
            </w:tcBorders>
            <w:vAlign w:val="center"/>
          </w:tcPr>
          <w:p w14:paraId="20E277B4">
            <w:pPr>
              <w:snapToGrid w:val="0"/>
              <w:jc w:val="center"/>
              <w:rPr>
                <w:rFonts w:hint="eastAsia" w:ascii="宋体" w:hAnsi="宋体" w:cs="宋体"/>
                <w:bCs/>
                <w:kern w:val="0"/>
                <w:szCs w:val="21"/>
              </w:rPr>
            </w:pPr>
            <w:r>
              <w:rPr>
                <w:rFonts w:hint="eastAsia" w:ascii="宋体" w:hAnsi="宋体" w:cs="宋体"/>
                <w:bCs/>
                <w:kern w:val="0"/>
                <w:szCs w:val="21"/>
              </w:rPr>
              <w:t>政府优先采购</w:t>
            </w:r>
          </w:p>
          <w:p w14:paraId="2B16E7CB">
            <w:pPr>
              <w:snapToGrid w:val="0"/>
              <w:jc w:val="center"/>
              <w:rPr>
                <w:rFonts w:hint="eastAsia" w:ascii="宋体" w:hAnsi="宋体" w:cs="宋体"/>
                <w:bCs/>
                <w:kern w:val="0"/>
                <w:szCs w:val="21"/>
              </w:rPr>
            </w:pPr>
            <w:r>
              <w:rPr>
                <w:rFonts w:hint="eastAsia" w:ascii="宋体" w:hAnsi="宋体" w:cs="宋体"/>
                <w:bCs/>
                <w:kern w:val="0"/>
                <w:szCs w:val="21"/>
              </w:rPr>
              <w:t>政策得分（1分）</w:t>
            </w:r>
          </w:p>
        </w:tc>
        <w:tc>
          <w:tcPr>
            <w:tcW w:w="835" w:type="dxa"/>
            <w:tcBorders>
              <w:right w:val="single" w:color="auto" w:sz="4" w:space="0"/>
            </w:tcBorders>
            <w:vAlign w:val="center"/>
          </w:tcPr>
          <w:p w14:paraId="28C72174">
            <w:pPr>
              <w:snapToGrid w:val="0"/>
              <w:jc w:val="center"/>
              <w:rPr>
                <w:rFonts w:hint="eastAsia" w:ascii="宋体" w:hAnsi="宋体" w:cs="宋体"/>
                <w:szCs w:val="21"/>
              </w:rPr>
            </w:pPr>
            <w:r>
              <w:rPr>
                <w:rFonts w:hint="eastAsia" w:ascii="宋体" w:hAnsi="宋体" w:cs="宋体"/>
                <w:szCs w:val="21"/>
              </w:rPr>
              <w:t>节能产品 （0.5 分）</w:t>
            </w:r>
          </w:p>
        </w:tc>
        <w:tc>
          <w:tcPr>
            <w:tcW w:w="6526" w:type="dxa"/>
            <w:tcBorders>
              <w:left w:val="single" w:color="auto" w:sz="4" w:space="0"/>
              <w:right w:val="single" w:color="auto" w:sz="4" w:space="0"/>
            </w:tcBorders>
            <w:vAlign w:val="center"/>
          </w:tcPr>
          <w:p w14:paraId="7A5B1649">
            <w:pPr>
              <w:autoSpaceDE w:val="0"/>
              <w:autoSpaceDN w:val="0"/>
              <w:adjustRightInd w:val="0"/>
              <w:jc w:val="left"/>
              <w:rPr>
                <w:rFonts w:hint="eastAsia" w:ascii="宋体" w:hAnsi="宋体" w:cs="宋体"/>
                <w:szCs w:val="21"/>
              </w:rPr>
            </w:pPr>
            <w:r>
              <w:rPr>
                <w:rFonts w:hint="eastAsia" w:ascii="宋体" w:hAnsi="宋体" w:cs="宋体"/>
                <w:szCs w:val="21"/>
              </w:rPr>
              <w:t>供应商所投货物属于《节能产品政府采购品目清单》内，且非政府强制采购产品（即未以“★”标注的），并在响应文件中提供合格证明材料，则本项得 0.5 分，否则得 0 分。</w:t>
            </w:r>
          </w:p>
        </w:tc>
        <w:tc>
          <w:tcPr>
            <w:tcW w:w="706" w:type="dxa"/>
            <w:vMerge w:val="restart"/>
            <w:tcBorders>
              <w:top w:val="single" w:color="auto" w:sz="4" w:space="0"/>
              <w:left w:val="single" w:color="auto" w:sz="4" w:space="0"/>
              <w:right w:val="single" w:color="auto" w:sz="4" w:space="0"/>
            </w:tcBorders>
            <w:vAlign w:val="center"/>
          </w:tcPr>
          <w:p w14:paraId="1372E2BD">
            <w:pPr>
              <w:adjustRightInd w:val="0"/>
              <w:snapToGrid w:val="0"/>
              <w:jc w:val="center"/>
              <w:rPr>
                <w:rFonts w:hint="eastAsia" w:ascii="宋体" w:hAnsi="宋体" w:cs="宋体"/>
                <w:szCs w:val="21"/>
              </w:rPr>
            </w:pPr>
            <w:r>
              <w:rPr>
                <w:rFonts w:hint="eastAsia" w:ascii="宋体" w:hAnsi="宋体" w:cs="宋体"/>
                <w:szCs w:val="21"/>
              </w:rPr>
              <w:t>1</w:t>
            </w:r>
          </w:p>
        </w:tc>
        <w:tc>
          <w:tcPr>
            <w:tcW w:w="706" w:type="dxa"/>
            <w:tcBorders>
              <w:top w:val="single" w:color="auto" w:sz="4" w:space="0"/>
              <w:left w:val="single" w:color="auto" w:sz="4" w:space="0"/>
              <w:right w:val="single" w:color="auto" w:sz="4" w:space="0"/>
            </w:tcBorders>
            <w:vAlign w:val="center"/>
          </w:tcPr>
          <w:p w14:paraId="397115A6">
            <w:pPr>
              <w:adjustRightInd w:val="0"/>
              <w:snapToGrid w:val="0"/>
              <w:jc w:val="center"/>
              <w:rPr>
                <w:rFonts w:hint="eastAsia" w:ascii="宋体" w:hAnsi="宋体" w:cs="宋体"/>
                <w:szCs w:val="21"/>
              </w:rPr>
            </w:pPr>
            <w:r>
              <w:rPr>
                <w:rFonts w:hint="eastAsia" w:ascii="宋体" w:hAnsi="宋体" w:cs="宋体"/>
                <w:szCs w:val="21"/>
              </w:rPr>
              <w:t>客观</w:t>
            </w:r>
          </w:p>
        </w:tc>
      </w:tr>
      <w:tr w14:paraId="1910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14" w:type="dxa"/>
            <w:vMerge w:val="continue"/>
            <w:tcBorders>
              <w:left w:val="single" w:color="auto" w:sz="4" w:space="0"/>
              <w:right w:val="single" w:color="auto" w:sz="4" w:space="0"/>
            </w:tcBorders>
            <w:vAlign w:val="center"/>
          </w:tcPr>
          <w:p w14:paraId="4EFBB6A9">
            <w:pPr>
              <w:snapToGrid w:val="0"/>
              <w:jc w:val="center"/>
              <w:rPr>
                <w:rFonts w:hint="eastAsia" w:ascii="宋体" w:hAnsi="宋体" w:cs="宋体"/>
                <w:bCs/>
                <w:kern w:val="0"/>
                <w:szCs w:val="21"/>
              </w:rPr>
            </w:pPr>
          </w:p>
        </w:tc>
        <w:tc>
          <w:tcPr>
            <w:tcW w:w="835" w:type="dxa"/>
            <w:tcBorders>
              <w:right w:val="single" w:color="auto" w:sz="4" w:space="0"/>
            </w:tcBorders>
            <w:vAlign w:val="center"/>
          </w:tcPr>
          <w:p w14:paraId="299B57E6">
            <w:pPr>
              <w:snapToGrid w:val="0"/>
              <w:jc w:val="center"/>
              <w:rPr>
                <w:rFonts w:hint="eastAsia" w:ascii="宋体" w:hAnsi="宋体" w:cs="宋体"/>
                <w:szCs w:val="21"/>
              </w:rPr>
            </w:pPr>
            <w:r>
              <w:rPr>
                <w:rFonts w:hint="eastAsia" w:ascii="宋体" w:hAnsi="宋体" w:cs="宋体"/>
                <w:szCs w:val="21"/>
              </w:rPr>
              <w:t>环保产品（0.5 分）</w:t>
            </w:r>
          </w:p>
        </w:tc>
        <w:tc>
          <w:tcPr>
            <w:tcW w:w="6526" w:type="dxa"/>
            <w:tcBorders>
              <w:left w:val="single" w:color="auto" w:sz="4" w:space="0"/>
              <w:right w:val="single" w:color="auto" w:sz="4" w:space="0"/>
            </w:tcBorders>
            <w:vAlign w:val="center"/>
          </w:tcPr>
          <w:p w14:paraId="4787D89D">
            <w:pPr>
              <w:autoSpaceDE w:val="0"/>
              <w:autoSpaceDN w:val="0"/>
              <w:adjustRightInd w:val="0"/>
              <w:jc w:val="left"/>
              <w:rPr>
                <w:rFonts w:hint="eastAsia" w:ascii="宋体" w:hAnsi="宋体" w:cs="宋体"/>
                <w:szCs w:val="21"/>
              </w:rPr>
            </w:pPr>
            <w:r>
              <w:rPr>
                <w:rFonts w:hint="eastAsia" w:ascii="宋体" w:hAnsi="宋体" w:cs="宋体"/>
                <w:szCs w:val="21"/>
              </w:rPr>
              <w:t>供应商所投的货物属于《环境标志产品政府采购品目清单》内，并在响应文件中提供合格证明材料，则本项得 0.5 分，否则得 0 分。</w:t>
            </w:r>
          </w:p>
        </w:tc>
        <w:tc>
          <w:tcPr>
            <w:tcW w:w="706" w:type="dxa"/>
            <w:vMerge w:val="continue"/>
            <w:tcBorders>
              <w:left w:val="single" w:color="auto" w:sz="4" w:space="0"/>
              <w:right w:val="single" w:color="auto" w:sz="4" w:space="0"/>
            </w:tcBorders>
            <w:vAlign w:val="center"/>
          </w:tcPr>
          <w:p w14:paraId="418DD281">
            <w:pPr>
              <w:adjustRightInd w:val="0"/>
              <w:snapToGrid w:val="0"/>
              <w:jc w:val="center"/>
              <w:rPr>
                <w:rFonts w:hint="eastAsia" w:ascii="宋体" w:hAnsi="宋体" w:cs="宋体"/>
                <w:szCs w:val="21"/>
              </w:rPr>
            </w:pPr>
          </w:p>
        </w:tc>
        <w:tc>
          <w:tcPr>
            <w:tcW w:w="706" w:type="dxa"/>
            <w:tcBorders>
              <w:left w:val="single" w:color="auto" w:sz="4" w:space="0"/>
              <w:right w:val="single" w:color="auto" w:sz="4" w:space="0"/>
            </w:tcBorders>
            <w:vAlign w:val="center"/>
          </w:tcPr>
          <w:p w14:paraId="78D18609">
            <w:pPr>
              <w:adjustRightInd w:val="0"/>
              <w:snapToGrid w:val="0"/>
              <w:jc w:val="center"/>
              <w:rPr>
                <w:rFonts w:hint="eastAsia" w:ascii="宋体" w:hAnsi="宋体" w:cs="宋体"/>
                <w:szCs w:val="21"/>
              </w:rPr>
            </w:pPr>
            <w:r>
              <w:rPr>
                <w:rFonts w:hint="eastAsia" w:ascii="宋体" w:hAnsi="宋体" w:cs="宋体"/>
                <w:szCs w:val="21"/>
              </w:rPr>
              <w:t>客观</w:t>
            </w:r>
          </w:p>
        </w:tc>
      </w:tr>
      <w:tr w14:paraId="773E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914" w:type="dxa"/>
            <w:vMerge w:val="continue"/>
            <w:tcBorders>
              <w:left w:val="single" w:color="auto" w:sz="4" w:space="0"/>
              <w:right w:val="single" w:color="auto" w:sz="4" w:space="0"/>
            </w:tcBorders>
            <w:vAlign w:val="center"/>
          </w:tcPr>
          <w:p w14:paraId="17AAD6BE">
            <w:pPr>
              <w:snapToGrid w:val="0"/>
              <w:jc w:val="center"/>
              <w:rPr>
                <w:rFonts w:hint="eastAsia" w:ascii="宋体" w:hAnsi="宋体" w:cs="宋体"/>
                <w:bCs/>
                <w:kern w:val="0"/>
                <w:szCs w:val="21"/>
              </w:rPr>
            </w:pPr>
          </w:p>
        </w:tc>
        <w:tc>
          <w:tcPr>
            <w:tcW w:w="8773" w:type="dxa"/>
            <w:gridSpan w:val="4"/>
            <w:tcBorders>
              <w:right w:val="single" w:color="auto" w:sz="4" w:space="0"/>
            </w:tcBorders>
            <w:vAlign w:val="center"/>
          </w:tcPr>
          <w:p w14:paraId="0FFCFB36">
            <w:pPr>
              <w:adjustRightInd w:val="0"/>
              <w:snapToGrid w:val="0"/>
              <w:jc w:val="center"/>
              <w:rPr>
                <w:rFonts w:hint="eastAsia" w:ascii="宋体" w:hAnsi="宋体" w:cs="宋体"/>
                <w:szCs w:val="21"/>
              </w:rPr>
            </w:pPr>
            <w:r>
              <w:rPr>
                <w:rFonts w:hint="eastAsia" w:ascii="宋体" w:hAnsi="宋体" w:cs="宋体"/>
                <w:szCs w:val="21"/>
              </w:rPr>
              <w:t xml:space="preserve">注：合格证明材料是指加盖供应商单位公章的，《市场监管总局关于发布参与实施政府采购节能产品、环境标志产品认证机构名录的通知》中指定的认证机构的认证证明（有效期内）的扫描件。 </w:t>
            </w:r>
          </w:p>
        </w:tc>
      </w:tr>
    </w:tbl>
    <w:p w14:paraId="515F08F7">
      <w:pPr>
        <w:spacing w:line="360" w:lineRule="auto"/>
        <w:jc w:val="center"/>
        <w:outlineLvl w:val="0"/>
        <w:rPr>
          <w:b/>
          <w:sz w:val="36"/>
          <w:szCs w:val="36"/>
        </w:rPr>
        <w:sectPr>
          <w:pgSz w:w="11907" w:h="16840"/>
          <w:pgMar w:top="1418" w:right="1134" w:bottom="1418" w:left="1701" w:header="851" w:footer="851" w:gutter="0"/>
          <w:cols w:space="720" w:num="1"/>
          <w:docGrid w:linePitch="462" w:charSpace="0"/>
        </w:sectPr>
      </w:pPr>
    </w:p>
    <w:p w14:paraId="644BAD51">
      <w:pPr>
        <w:spacing w:line="360" w:lineRule="auto"/>
        <w:jc w:val="left"/>
        <w:outlineLvl w:val="2"/>
        <w:rPr>
          <w:b/>
          <w:sz w:val="36"/>
          <w:szCs w:val="36"/>
        </w:rPr>
      </w:pPr>
      <w:r>
        <w:rPr>
          <w:rFonts w:hint="eastAsia"/>
          <w:sz w:val="24"/>
        </w:rPr>
        <w:t>04包：</w:t>
      </w:r>
    </w:p>
    <w:tbl>
      <w:tblPr>
        <w:tblStyle w:val="42"/>
        <w:tblW w:w="98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0"/>
        <w:gridCol w:w="900"/>
        <w:gridCol w:w="833"/>
        <w:gridCol w:w="6300"/>
        <w:gridCol w:w="678"/>
        <w:gridCol w:w="678"/>
      </w:tblGrid>
      <w:tr w14:paraId="57CFF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460" w:type="dxa"/>
            <w:vAlign w:val="center"/>
          </w:tcPr>
          <w:p w14:paraId="4644DC7C">
            <w:pPr>
              <w:autoSpaceDE w:val="0"/>
              <w:autoSpaceDN w:val="0"/>
              <w:jc w:val="center"/>
              <w:rPr>
                <w:rFonts w:hint="eastAsia" w:ascii="宋体" w:hAnsi="宋体"/>
                <w:b/>
                <w:kern w:val="0"/>
                <w:szCs w:val="21"/>
                <w:lang w:eastAsia="en-US"/>
              </w:rPr>
            </w:pPr>
            <w:r>
              <w:rPr>
                <w:rFonts w:hint="eastAsia" w:ascii="宋体" w:hAnsi="宋体"/>
                <w:b/>
                <w:kern w:val="0"/>
                <w:szCs w:val="21"/>
                <w:lang w:eastAsia="en-US"/>
              </w:rPr>
              <w:t>序号</w:t>
            </w:r>
          </w:p>
        </w:tc>
        <w:tc>
          <w:tcPr>
            <w:tcW w:w="1733" w:type="dxa"/>
            <w:gridSpan w:val="2"/>
            <w:vAlign w:val="center"/>
          </w:tcPr>
          <w:p w14:paraId="5ACB55A4">
            <w:pPr>
              <w:autoSpaceDE w:val="0"/>
              <w:autoSpaceDN w:val="0"/>
              <w:jc w:val="center"/>
              <w:rPr>
                <w:rFonts w:hint="eastAsia" w:ascii="宋体" w:hAnsi="宋体"/>
                <w:b/>
                <w:kern w:val="0"/>
                <w:szCs w:val="21"/>
                <w:lang w:eastAsia="en-US"/>
              </w:rPr>
            </w:pPr>
            <w:r>
              <w:rPr>
                <w:rFonts w:hint="eastAsia" w:ascii="宋体" w:hAnsi="宋体"/>
                <w:b/>
                <w:kern w:val="0"/>
                <w:szCs w:val="21"/>
                <w:lang w:eastAsia="en-US"/>
              </w:rPr>
              <w:t>评审因素</w:t>
            </w:r>
          </w:p>
        </w:tc>
        <w:tc>
          <w:tcPr>
            <w:tcW w:w="6300" w:type="dxa"/>
            <w:vAlign w:val="center"/>
          </w:tcPr>
          <w:p w14:paraId="45A15131">
            <w:pPr>
              <w:autoSpaceDE w:val="0"/>
              <w:autoSpaceDN w:val="0"/>
              <w:jc w:val="center"/>
              <w:rPr>
                <w:rFonts w:hint="eastAsia" w:ascii="宋体" w:hAnsi="宋体"/>
                <w:b/>
                <w:kern w:val="0"/>
                <w:szCs w:val="21"/>
                <w:lang w:eastAsia="en-US"/>
              </w:rPr>
            </w:pPr>
            <w:r>
              <w:rPr>
                <w:rFonts w:hint="eastAsia" w:ascii="宋体" w:hAnsi="宋体"/>
                <w:b/>
                <w:kern w:val="0"/>
                <w:szCs w:val="21"/>
                <w:lang w:eastAsia="en-US"/>
              </w:rPr>
              <w:t>评审标准及分值</w:t>
            </w:r>
          </w:p>
        </w:tc>
        <w:tc>
          <w:tcPr>
            <w:tcW w:w="678" w:type="dxa"/>
            <w:vAlign w:val="center"/>
          </w:tcPr>
          <w:p w14:paraId="58B48BC2">
            <w:pPr>
              <w:autoSpaceDE w:val="0"/>
              <w:autoSpaceDN w:val="0"/>
              <w:jc w:val="center"/>
              <w:rPr>
                <w:rFonts w:hint="eastAsia" w:ascii="宋体" w:hAnsi="宋体"/>
                <w:b/>
                <w:kern w:val="0"/>
                <w:szCs w:val="21"/>
                <w:lang w:eastAsia="en-US"/>
              </w:rPr>
            </w:pPr>
            <w:r>
              <w:rPr>
                <w:rFonts w:hint="eastAsia" w:ascii="宋体" w:hAnsi="宋体"/>
                <w:b/>
                <w:kern w:val="0"/>
                <w:szCs w:val="21"/>
                <w:lang w:eastAsia="en-US"/>
              </w:rPr>
              <w:t>分值</w:t>
            </w:r>
          </w:p>
        </w:tc>
        <w:tc>
          <w:tcPr>
            <w:tcW w:w="678" w:type="dxa"/>
            <w:vAlign w:val="center"/>
          </w:tcPr>
          <w:p w14:paraId="21626BD8">
            <w:pPr>
              <w:autoSpaceDE w:val="0"/>
              <w:autoSpaceDN w:val="0"/>
              <w:jc w:val="center"/>
              <w:rPr>
                <w:rFonts w:hint="eastAsia" w:ascii="宋体" w:hAnsi="宋体"/>
                <w:b/>
                <w:kern w:val="0"/>
                <w:szCs w:val="21"/>
              </w:rPr>
            </w:pPr>
            <w:r>
              <w:rPr>
                <w:rFonts w:hint="eastAsia" w:ascii="宋体" w:hAnsi="宋体"/>
                <w:b/>
                <w:kern w:val="0"/>
                <w:szCs w:val="21"/>
              </w:rPr>
              <w:t>分属性</w:t>
            </w:r>
          </w:p>
        </w:tc>
      </w:tr>
      <w:tr w14:paraId="402FE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vMerge w:val="restart"/>
            <w:tcBorders>
              <w:top w:val="single" w:color="auto" w:sz="4" w:space="0"/>
            </w:tcBorders>
            <w:vAlign w:val="center"/>
          </w:tcPr>
          <w:p w14:paraId="5FB181B4">
            <w:pPr>
              <w:autoSpaceDE w:val="0"/>
              <w:autoSpaceDN w:val="0"/>
              <w:jc w:val="center"/>
              <w:rPr>
                <w:rFonts w:hint="eastAsia" w:ascii="宋体" w:hAnsi="宋体"/>
                <w:kern w:val="0"/>
                <w:szCs w:val="21"/>
              </w:rPr>
            </w:pPr>
            <w:r>
              <w:rPr>
                <w:rFonts w:hint="eastAsia" w:ascii="宋体" w:hAnsi="宋体"/>
                <w:kern w:val="0"/>
                <w:szCs w:val="21"/>
              </w:rPr>
              <w:t>1</w:t>
            </w:r>
          </w:p>
        </w:tc>
        <w:tc>
          <w:tcPr>
            <w:tcW w:w="900" w:type="dxa"/>
            <w:vMerge w:val="restart"/>
            <w:tcBorders>
              <w:top w:val="single" w:color="auto" w:sz="4" w:space="0"/>
            </w:tcBorders>
            <w:vAlign w:val="center"/>
          </w:tcPr>
          <w:p w14:paraId="37C9CD9A">
            <w:pPr>
              <w:autoSpaceDE w:val="0"/>
              <w:autoSpaceDN w:val="0"/>
              <w:jc w:val="center"/>
              <w:rPr>
                <w:rFonts w:hint="eastAsia" w:ascii="宋体" w:hAnsi="宋体"/>
                <w:kern w:val="0"/>
                <w:szCs w:val="21"/>
                <w:lang w:eastAsia="en-US"/>
              </w:rPr>
            </w:pPr>
            <w:r>
              <w:rPr>
                <w:rFonts w:hint="eastAsia" w:ascii="宋体" w:hAnsi="宋体"/>
                <w:kern w:val="0"/>
                <w:szCs w:val="21"/>
                <w:lang w:eastAsia="en-US"/>
              </w:rPr>
              <w:t>商务部分（</w:t>
            </w:r>
            <w:r>
              <w:rPr>
                <w:rFonts w:hint="eastAsia" w:ascii="宋体" w:hAnsi="宋体"/>
                <w:kern w:val="0"/>
                <w:szCs w:val="21"/>
              </w:rPr>
              <w:t>18</w:t>
            </w:r>
            <w:r>
              <w:rPr>
                <w:rFonts w:hint="eastAsia" w:ascii="宋体" w:hAnsi="宋体"/>
                <w:kern w:val="0"/>
                <w:szCs w:val="21"/>
                <w:lang w:eastAsia="en-US"/>
              </w:rPr>
              <w:t>分）</w:t>
            </w:r>
          </w:p>
        </w:tc>
        <w:tc>
          <w:tcPr>
            <w:tcW w:w="833" w:type="dxa"/>
            <w:vMerge w:val="restart"/>
            <w:tcBorders>
              <w:top w:val="single" w:color="auto" w:sz="4" w:space="0"/>
            </w:tcBorders>
            <w:vAlign w:val="center"/>
          </w:tcPr>
          <w:p w14:paraId="53E16669">
            <w:pPr>
              <w:autoSpaceDE w:val="0"/>
              <w:autoSpaceDN w:val="0"/>
              <w:jc w:val="center"/>
              <w:rPr>
                <w:rFonts w:hint="eastAsia" w:ascii="宋体" w:hAnsi="宋体"/>
                <w:kern w:val="0"/>
                <w:szCs w:val="21"/>
                <w:lang w:eastAsia="en-US"/>
              </w:rPr>
            </w:pPr>
            <w:r>
              <w:rPr>
                <w:rFonts w:hint="eastAsia" w:ascii="宋体" w:hAnsi="宋体"/>
                <w:kern w:val="0"/>
                <w:szCs w:val="21"/>
                <w:lang w:eastAsia="en-US"/>
              </w:rPr>
              <w:t>相关证书</w:t>
            </w:r>
          </w:p>
        </w:tc>
        <w:tc>
          <w:tcPr>
            <w:tcW w:w="6300" w:type="dxa"/>
            <w:vAlign w:val="center"/>
          </w:tcPr>
          <w:p w14:paraId="09229F57">
            <w:pPr>
              <w:autoSpaceDE w:val="0"/>
              <w:autoSpaceDN w:val="0"/>
              <w:jc w:val="left"/>
              <w:rPr>
                <w:rFonts w:hint="eastAsia" w:ascii="宋体" w:hAnsi="宋体"/>
                <w:kern w:val="0"/>
                <w:szCs w:val="21"/>
              </w:rPr>
            </w:pPr>
            <w:r>
              <w:rPr>
                <w:rFonts w:hint="eastAsia" w:ascii="宋体" w:hAnsi="宋体"/>
                <w:kern w:val="0"/>
                <w:szCs w:val="21"/>
              </w:rPr>
              <w:t>具有有效的信息安全管理体系认证ISO27001证书，得 4 分，否则得0分。（审核依据为投标文件中编制的证书扫描件加盖供应商公章，证书需要验证的，供应商需提供年检验证的证明并加盖供应商公章，否则不予认可）</w:t>
            </w:r>
          </w:p>
        </w:tc>
        <w:tc>
          <w:tcPr>
            <w:tcW w:w="678" w:type="dxa"/>
            <w:vAlign w:val="center"/>
          </w:tcPr>
          <w:p w14:paraId="1047943D">
            <w:pPr>
              <w:autoSpaceDE w:val="0"/>
              <w:autoSpaceDN w:val="0"/>
              <w:jc w:val="center"/>
              <w:rPr>
                <w:rFonts w:hint="eastAsia" w:ascii="宋体" w:hAnsi="宋体"/>
                <w:kern w:val="0"/>
                <w:szCs w:val="21"/>
              </w:rPr>
            </w:pPr>
            <w:r>
              <w:rPr>
                <w:rFonts w:hint="eastAsia" w:ascii="宋体" w:hAnsi="宋体"/>
                <w:kern w:val="0"/>
                <w:szCs w:val="21"/>
              </w:rPr>
              <w:t>4</w:t>
            </w:r>
          </w:p>
        </w:tc>
        <w:tc>
          <w:tcPr>
            <w:tcW w:w="678" w:type="dxa"/>
            <w:vAlign w:val="center"/>
          </w:tcPr>
          <w:p w14:paraId="250EB484">
            <w:pPr>
              <w:autoSpaceDE w:val="0"/>
              <w:autoSpaceDN w:val="0"/>
              <w:jc w:val="center"/>
              <w:rPr>
                <w:rFonts w:hint="eastAsia" w:ascii="宋体" w:hAnsi="宋体"/>
                <w:kern w:val="0"/>
                <w:szCs w:val="21"/>
              </w:rPr>
            </w:pPr>
            <w:r>
              <w:rPr>
                <w:rFonts w:hint="eastAsia" w:ascii="宋体" w:hAnsi="宋体"/>
                <w:kern w:val="0"/>
                <w:szCs w:val="21"/>
              </w:rPr>
              <w:t>客观</w:t>
            </w:r>
          </w:p>
        </w:tc>
      </w:tr>
      <w:tr w14:paraId="00B41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vMerge w:val="continue"/>
            <w:vAlign w:val="center"/>
          </w:tcPr>
          <w:p w14:paraId="08226A8F">
            <w:pPr>
              <w:autoSpaceDE w:val="0"/>
              <w:autoSpaceDN w:val="0"/>
              <w:jc w:val="center"/>
              <w:rPr>
                <w:rFonts w:hint="eastAsia" w:ascii="宋体" w:hAnsi="宋体"/>
                <w:kern w:val="0"/>
                <w:szCs w:val="21"/>
                <w:lang w:eastAsia="en-US"/>
              </w:rPr>
            </w:pPr>
          </w:p>
        </w:tc>
        <w:tc>
          <w:tcPr>
            <w:tcW w:w="900" w:type="dxa"/>
            <w:vMerge w:val="continue"/>
            <w:vAlign w:val="center"/>
          </w:tcPr>
          <w:p w14:paraId="2B5EA11B">
            <w:pPr>
              <w:autoSpaceDE w:val="0"/>
              <w:autoSpaceDN w:val="0"/>
              <w:jc w:val="center"/>
              <w:rPr>
                <w:rFonts w:hint="eastAsia" w:ascii="宋体" w:hAnsi="宋体"/>
                <w:kern w:val="0"/>
                <w:szCs w:val="21"/>
                <w:lang w:eastAsia="en-US"/>
              </w:rPr>
            </w:pPr>
          </w:p>
        </w:tc>
        <w:tc>
          <w:tcPr>
            <w:tcW w:w="833" w:type="dxa"/>
            <w:vMerge w:val="continue"/>
            <w:tcBorders>
              <w:top w:val="nil"/>
            </w:tcBorders>
            <w:vAlign w:val="center"/>
          </w:tcPr>
          <w:p w14:paraId="68574247">
            <w:pPr>
              <w:autoSpaceDE w:val="0"/>
              <w:autoSpaceDN w:val="0"/>
              <w:jc w:val="center"/>
              <w:rPr>
                <w:rFonts w:hint="eastAsia" w:ascii="宋体" w:hAnsi="宋体"/>
                <w:kern w:val="0"/>
                <w:szCs w:val="21"/>
                <w:lang w:eastAsia="en-US"/>
              </w:rPr>
            </w:pPr>
          </w:p>
        </w:tc>
        <w:tc>
          <w:tcPr>
            <w:tcW w:w="6300" w:type="dxa"/>
            <w:vAlign w:val="center"/>
          </w:tcPr>
          <w:p w14:paraId="769683D8">
            <w:pPr>
              <w:autoSpaceDE w:val="0"/>
              <w:autoSpaceDN w:val="0"/>
              <w:jc w:val="left"/>
              <w:rPr>
                <w:rFonts w:hint="eastAsia" w:ascii="宋体" w:hAnsi="宋体"/>
                <w:kern w:val="0"/>
                <w:szCs w:val="21"/>
              </w:rPr>
            </w:pPr>
            <w:r>
              <w:rPr>
                <w:rFonts w:hint="eastAsia" w:ascii="宋体" w:hAnsi="宋体"/>
                <w:kern w:val="0"/>
                <w:szCs w:val="21"/>
              </w:rPr>
              <w:t>具有有效的信息技术服务管理体系认证</w:t>
            </w:r>
            <w:bookmarkStart w:id="823" w:name="OLE_LINK1"/>
            <w:r>
              <w:rPr>
                <w:rFonts w:hint="eastAsia" w:ascii="宋体" w:hAnsi="宋体"/>
                <w:kern w:val="0"/>
                <w:szCs w:val="21"/>
              </w:rPr>
              <w:t>ISO20000</w:t>
            </w:r>
            <w:bookmarkEnd w:id="823"/>
            <w:r>
              <w:rPr>
                <w:rFonts w:hint="eastAsia" w:ascii="宋体" w:hAnsi="宋体"/>
                <w:kern w:val="0"/>
                <w:szCs w:val="21"/>
              </w:rPr>
              <w:t>证书，得 2 分，否则得 0分。</w:t>
            </w:r>
            <w:r>
              <w:rPr>
                <w:rFonts w:hint="eastAsia" w:ascii="宋体" w:hAnsi="宋体" w:cs="宋体"/>
                <w:bCs/>
                <w:szCs w:val="21"/>
              </w:rPr>
              <w:t>（审核依据为投标文件中编制的证书扫描件加盖供应商公章，证书需要验证的，供应商需提供年检验证的证明并加盖供应商公章，否则不予认可）</w:t>
            </w:r>
          </w:p>
        </w:tc>
        <w:tc>
          <w:tcPr>
            <w:tcW w:w="678" w:type="dxa"/>
            <w:vAlign w:val="center"/>
          </w:tcPr>
          <w:p w14:paraId="074CDE72">
            <w:pPr>
              <w:autoSpaceDE w:val="0"/>
              <w:autoSpaceDN w:val="0"/>
              <w:jc w:val="center"/>
              <w:rPr>
                <w:rFonts w:hint="eastAsia" w:ascii="宋体" w:hAnsi="宋体"/>
                <w:kern w:val="0"/>
                <w:szCs w:val="21"/>
              </w:rPr>
            </w:pPr>
            <w:r>
              <w:rPr>
                <w:rFonts w:hint="eastAsia" w:ascii="宋体" w:hAnsi="宋体"/>
                <w:kern w:val="0"/>
                <w:szCs w:val="21"/>
              </w:rPr>
              <w:t>2</w:t>
            </w:r>
          </w:p>
        </w:tc>
        <w:tc>
          <w:tcPr>
            <w:tcW w:w="678" w:type="dxa"/>
            <w:vAlign w:val="center"/>
          </w:tcPr>
          <w:p w14:paraId="2AFE8153">
            <w:pPr>
              <w:autoSpaceDE w:val="0"/>
              <w:autoSpaceDN w:val="0"/>
              <w:jc w:val="center"/>
              <w:rPr>
                <w:rFonts w:hint="eastAsia" w:ascii="宋体" w:hAnsi="宋体"/>
                <w:kern w:val="0"/>
                <w:szCs w:val="21"/>
              </w:rPr>
            </w:pPr>
            <w:r>
              <w:rPr>
                <w:rFonts w:hint="eastAsia" w:ascii="宋体" w:hAnsi="宋体"/>
                <w:kern w:val="0"/>
                <w:szCs w:val="21"/>
              </w:rPr>
              <w:t>客观</w:t>
            </w:r>
          </w:p>
        </w:tc>
      </w:tr>
      <w:tr w14:paraId="319A4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vMerge w:val="continue"/>
            <w:vAlign w:val="center"/>
          </w:tcPr>
          <w:p w14:paraId="173DB2FF">
            <w:pPr>
              <w:autoSpaceDE w:val="0"/>
              <w:autoSpaceDN w:val="0"/>
              <w:jc w:val="center"/>
              <w:rPr>
                <w:rFonts w:hint="eastAsia" w:ascii="宋体" w:hAnsi="宋体"/>
                <w:kern w:val="0"/>
                <w:szCs w:val="21"/>
                <w:lang w:eastAsia="en-US"/>
              </w:rPr>
            </w:pPr>
          </w:p>
        </w:tc>
        <w:tc>
          <w:tcPr>
            <w:tcW w:w="900" w:type="dxa"/>
            <w:vMerge w:val="continue"/>
            <w:vAlign w:val="center"/>
          </w:tcPr>
          <w:p w14:paraId="350897F0">
            <w:pPr>
              <w:autoSpaceDE w:val="0"/>
              <w:autoSpaceDN w:val="0"/>
              <w:jc w:val="center"/>
              <w:rPr>
                <w:rFonts w:hint="eastAsia" w:ascii="宋体" w:hAnsi="宋体"/>
                <w:kern w:val="0"/>
                <w:szCs w:val="21"/>
                <w:lang w:eastAsia="en-US"/>
              </w:rPr>
            </w:pPr>
          </w:p>
        </w:tc>
        <w:tc>
          <w:tcPr>
            <w:tcW w:w="833" w:type="dxa"/>
            <w:vMerge w:val="continue"/>
            <w:tcBorders>
              <w:top w:val="nil"/>
              <w:bottom w:val="single" w:color="auto" w:sz="4" w:space="0"/>
            </w:tcBorders>
            <w:vAlign w:val="center"/>
          </w:tcPr>
          <w:p w14:paraId="25B9931D">
            <w:pPr>
              <w:autoSpaceDE w:val="0"/>
              <w:autoSpaceDN w:val="0"/>
              <w:jc w:val="center"/>
              <w:rPr>
                <w:rFonts w:hint="eastAsia" w:ascii="宋体" w:hAnsi="宋体"/>
                <w:kern w:val="0"/>
                <w:szCs w:val="21"/>
                <w:lang w:eastAsia="en-US"/>
              </w:rPr>
            </w:pPr>
          </w:p>
        </w:tc>
        <w:tc>
          <w:tcPr>
            <w:tcW w:w="6300" w:type="dxa"/>
            <w:vAlign w:val="center"/>
          </w:tcPr>
          <w:p w14:paraId="5B4D9537">
            <w:pPr>
              <w:autoSpaceDE w:val="0"/>
              <w:autoSpaceDN w:val="0"/>
              <w:jc w:val="left"/>
              <w:rPr>
                <w:rFonts w:hint="eastAsia" w:ascii="宋体" w:hAnsi="宋体"/>
                <w:kern w:val="0"/>
                <w:szCs w:val="21"/>
              </w:rPr>
            </w:pPr>
            <w:r>
              <w:rPr>
                <w:rFonts w:hint="eastAsia" w:ascii="宋体" w:hAnsi="宋体"/>
                <w:kern w:val="0"/>
                <w:szCs w:val="21"/>
              </w:rPr>
              <w:t>具有有效的质量管理体系认证 ISO9001 证书，得 2 分，否则得 0分。</w:t>
            </w:r>
            <w:r>
              <w:rPr>
                <w:rFonts w:hint="eastAsia" w:ascii="宋体" w:hAnsi="宋体" w:cs="宋体"/>
                <w:bCs/>
                <w:szCs w:val="21"/>
              </w:rPr>
              <w:t>（审核依据为投标文件中编制的证书扫描件加盖供应商公章，证书需要验证的，供应商需提供年检验证的证明并加盖供应商公章，否则不予认可）</w:t>
            </w:r>
          </w:p>
        </w:tc>
        <w:tc>
          <w:tcPr>
            <w:tcW w:w="678" w:type="dxa"/>
            <w:vAlign w:val="center"/>
          </w:tcPr>
          <w:p w14:paraId="4A6240B9">
            <w:pPr>
              <w:autoSpaceDE w:val="0"/>
              <w:autoSpaceDN w:val="0"/>
              <w:jc w:val="center"/>
              <w:rPr>
                <w:rFonts w:hint="eastAsia" w:ascii="宋体" w:hAnsi="宋体"/>
                <w:kern w:val="0"/>
                <w:szCs w:val="21"/>
                <w:lang w:eastAsia="en-US"/>
              </w:rPr>
            </w:pPr>
            <w:r>
              <w:rPr>
                <w:rFonts w:ascii="宋体" w:hAnsi="宋体"/>
                <w:kern w:val="0"/>
                <w:szCs w:val="21"/>
                <w:lang w:eastAsia="en-US"/>
              </w:rPr>
              <w:t>2</w:t>
            </w:r>
          </w:p>
        </w:tc>
        <w:tc>
          <w:tcPr>
            <w:tcW w:w="678" w:type="dxa"/>
            <w:vAlign w:val="center"/>
          </w:tcPr>
          <w:p w14:paraId="3659E45B">
            <w:pPr>
              <w:autoSpaceDE w:val="0"/>
              <w:autoSpaceDN w:val="0"/>
              <w:jc w:val="center"/>
              <w:rPr>
                <w:rFonts w:hint="eastAsia" w:ascii="宋体" w:hAnsi="宋体"/>
                <w:kern w:val="0"/>
                <w:szCs w:val="21"/>
                <w:lang w:eastAsia="en-US"/>
              </w:rPr>
            </w:pPr>
            <w:r>
              <w:rPr>
                <w:rFonts w:hint="eastAsia" w:ascii="宋体" w:hAnsi="宋体"/>
                <w:kern w:val="0"/>
                <w:szCs w:val="21"/>
              </w:rPr>
              <w:t>客观</w:t>
            </w:r>
          </w:p>
        </w:tc>
      </w:tr>
      <w:tr w14:paraId="6F230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vMerge w:val="continue"/>
            <w:vAlign w:val="center"/>
          </w:tcPr>
          <w:p w14:paraId="06A8AA0B">
            <w:pPr>
              <w:autoSpaceDE w:val="0"/>
              <w:autoSpaceDN w:val="0"/>
              <w:jc w:val="center"/>
              <w:rPr>
                <w:rFonts w:hint="eastAsia" w:ascii="宋体" w:hAnsi="宋体"/>
                <w:kern w:val="0"/>
                <w:szCs w:val="21"/>
                <w:lang w:eastAsia="en-US"/>
              </w:rPr>
            </w:pPr>
          </w:p>
        </w:tc>
        <w:tc>
          <w:tcPr>
            <w:tcW w:w="900" w:type="dxa"/>
            <w:vMerge w:val="continue"/>
            <w:vAlign w:val="center"/>
          </w:tcPr>
          <w:p w14:paraId="0F9019AD">
            <w:pPr>
              <w:autoSpaceDE w:val="0"/>
              <w:autoSpaceDN w:val="0"/>
              <w:jc w:val="center"/>
              <w:rPr>
                <w:rFonts w:hint="eastAsia" w:ascii="宋体" w:hAnsi="宋体"/>
                <w:kern w:val="0"/>
                <w:szCs w:val="21"/>
                <w:lang w:eastAsia="en-US"/>
              </w:rPr>
            </w:pPr>
          </w:p>
        </w:tc>
        <w:tc>
          <w:tcPr>
            <w:tcW w:w="833" w:type="dxa"/>
            <w:tcBorders>
              <w:top w:val="single" w:color="auto" w:sz="4" w:space="0"/>
            </w:tcBorders>
            <w:vAlign w:val="center"/>
          </w:tcPr>
          <w:p w14:paraId="2635C5BC">
            <w:pPr>
              <w:autoSpaceDE w:val="0"/>
              <w:autoSpaceDN w:val="0"/>
              <w:jc w:val="center"/>
              <w:rPr>
                <w:rFonts w:hint="eastAsia" w:ascii="宋体" w:hAnsi="宋体"/>
                <w:kern w:val="0"/>
                <w:szCs w:val="21"/>
                <w:lang w:eastAsia="en-US"/>
              </w:rPr>
            </w:pPr>
            <w:r>
              <w:rPr>
                <w:rFonts w:hint="eastAsia" w:ascii="宋体" w:hAnsi="宋体"/>
                <w:kern w:val="0"/>
                <w:szCs w:val="21"/>
                <w:lang w:eastAsia="en-US"/>
              </w:rPr>
              <w:t>类似项目业绩</w:t>
            </w:r>
          </w:p>
        </w:tc>
        <w:tc>
          <w:tcPr>
            <w:tcW w:w="6300" w:type="dxa"/>
            <w:vAlign w:val="center"/>
          </w:tcPr>
          <w:p w14:paraId="77EF8680">
            <w:pPr>
              <w:autoSpaceDE w:val="0"/>
              <w:autoSpaceDN w:val="0"/>
              <w:jc w:val="left"/>
              <w:rPr>
                <w:rFonts w:hint="eastAsia" w:ascii="宋体" w:hAnsi="宋体"/>
                <w:kern w:val="0"/>
                <w:szCs w:val="21"/>
              </w:rPr>
            </w:pPr>
            <w:r>
              <w:rPr>
                <w:rFonts w:hint="eastAsia" w:ascii="宋体" w:hAnsi="宋体"/>
                <w:kern w:val="0"/>
                <w:szCs w:val="21"/>
              </w:rPr>
              <w:t>提供 202</w:t>
            </w:r>
            <w:r>
              <w:rPr>
                <w:rFonts w:ascii="宋体" w:hAnsi="宋体"/>
                <w:kern w:val="0"/>
                <w:szCs w:val="21"/>
              </w:rPr>
              <w:t>2</w:t>
            </w:r>
            <w:r>
              <w:rPr>
                <w:rFonts w:hint="eastAsia" w:ascii="宋体" w:hAnsi="宋体"/>
                <w:kern w:val="0"/>
                <w:szCs w:val="21"/>
              </w:rPr>
              <w:t>年1月1日起至</w:t>
            </w:r>
            <w:r>
              <w:rPr>
                <w:rFonts w:hint="eastAsia" w:ascii="宋体" w:hAnsi="宋体" w:cs="宋体"/>
                <w:szCs w:val="21"/>
              </w:rPr>
              <w:t>投标截止之日止（以合同签订日期为准）</w:t>
            </w:r>
            <w:r>
              <w:rPr>
                <w:rFonts w:hint="eastAsia" w:ascii="宋体" w:hAnsi="宋体"/>
                <w:kern w:val="0"/>
                <w:szCs w:val="21"/>
              </w:rPr>
              <w:t>，运维服务类项目合同业绩，每提供一个业绩得 2 分，最高得 10 分，没有不得分。</w:t>
            </w:r>
          </w:p>
          <w:p w14:paraId="3B07C819">
            <w:pPr>
              <w:autoSpaceDE w:val="0"/>
              <w:autoSpaceDN w:val="0"/>
              <w:jc w:val="left"/>
              <w:rPr>
                <w:rFonts w:hint="eastAsia" w:ascii="宋体" w:hAnsi="宋体"/>
                <w:kern w:val="0"/>
                <w:szCs w:val="21"/>
              </w:rPr>
            </w:pPr>
            <w:r>
              <w:rPr>
                <w:rFonts w:hint="eastAsia" w:ascii="宋体" w:hAnsi="宋体"/>
                <w:kern w:val="0"/>
                <w:szCs w:val="21"/>
              </w:rPr>
              <w:t>注：投标人须提供合同扫描件作为有效业绩证明（必须包括合同首页、关键内容页、双方签单页）。</w:t>
            </w:r>
          </w:p>
        </w:tc>
        <w:tc>
          <w:tcPr>
            <w:tcW w:w="678" w:type="dxa"/>
            <w:vAlign w:val="center"/>
          </w:tcPr>
          <w:p w14:paraId="34943AA1">
            <w:pPr>
              <w:autoSpaceDE w:val="0"/>
              <w:autoSpaceDN w:val="0"/>
              <w:jc w:val="center"/>
              <w:rPr>
                <w:rFonts w:hint="eastAsia" w:ascii="宋体" w:hAnsi="宋体"/>
                <w:kern w:val="0"/>
                <w:szCs w:val="21"/>
                <w:lang w:eastAsia="en-US"/>
              </w:rPr>
            </w:pPr>
            <w:r>
              <w:rPr>
                <w:rFonts w:hint="eastAsia" w:ascii="宋体" w:hAnsi="宋体"/>
                <w:kern w:val="0"/>
                <w:szCs w:val="21"/>
                <w:lang w:eastAsia="en-US"/>
              </w:rPr>
              <w:t>10</w:t>
            </w:r>
          </w:p>
        </w:tc>
        <w:tc>
          <w:tcPr>
            <w:tcW w:w="678" w:type="dxa"/>
            <w:vAlign w:val="center"/>
          </w:tcPr>
          <w:p w14:paraId="3599FA45">
            <w:pPr>
              <w:autoSpaceDE w:val="0"/>
              <w:autoSpaceDN w:val="0"/>
              <w:jc w:val="center"/>
              <w:rPr>
                <w:rFonts w:hint="eastAsia" w:ascii="宋体" w:hAnsi="宋体"/>
                <w:kern w:val="0"/>
                <w:szCs w:val="21"/>
                <w:lang w:eastAsia="en-US"/>
              </w:rPr>
            </w:pPr>
            <w:r>
              <w:rPr>
                <w:rFonts w:hint="eastAsia" w:ascii="宋体" w:hAnsi="宋体"/>
                <w:kern w:val="0"/>
                <w:szCs w:val="21"/>
              </w:rPr>
              <w:t>客观</w:t>
            </w:r>
          </w:p>
        </w:tc>
      </w:tr>
      <w:tr w14:paraId="1B145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vMerge w:val="restart"/>
            <w:vAlign w:val="center"/>
          </w:tcPr>
          <w:p w14:paraId="2D448F2E">
            <w:pPr>
              <w:autoSpaceDE w:val="0"/>
              <w:autoSpaceDN w:val="0"/>
              <w:jc w:val="center"/>
              <w:rPr>
                <w:rFonts w:hint="eastAsia" w:ascii="宋体" w:hAnsi="宋体"/>
                <w:kern w:val="0"/>
                <w:szCs w:val="21"/>
                <w:lang w:eastAsia="en-US"/>
              </w:rPr>
            </w:pPr>
            <w:r>
              <w:rPr>
                <w:rFonts w:hint="eastAsia" w:ascii="宋体" w:hAnsi="宋体"/>
                <w:kern w:val="0"/>
                <w:szCs w:val="21"/>
                <w:lang w:eastAsia="en-US"/>
              </w:rPr>
              <w:t>2</w:t>
            </w:r>
          </w:p>
        </w:tc>
        <w:tc>
          <w:tcPr>
            <w:tcW w:w="900" w:type="dxa"/>
            <w:vMerge w:val="restart"/>
            <w:vAlign w:val="center"/>
          </w:tcPr>
          <w:p w14:paraId="3A359860">
            <w:pPr>
              <w:autoSpaceDE w:val="0"/>
              <w:autoSpaceDN w:val="0"/>
              <w:jc w:val="center"/>
              <w:rPr>
                <w:rFonts w:hint="eastAsia" w:ascii="宋体" w:hAnsi="宋体"/>
                <w:kern w:val="0"/>
                <w:szCs w:val="21"/>
              </w:rPr>
            </w:pPr>
            <w:r>
              <w:rPr>
                <w:rFonts w:hint="eastAsia" w:ascii="宋体" w:hAnsi="宋体"/>
                <w:kern w:val="0"/>
                <w:szCs w:val="21"/>
              </w:rPr>
              <w:t>技术部分（62分）</w:t>
            </w:r>
          </w:p>
        </w:tc>
        <w:tc>
          <w:tcPr>
            <w:tcW w:w="833" w:type="dxa"/>
            <w:vMerge w:val="restart"/>
            <w:vAlign w:val="center"/>
          </w:tcPr>
          <w:p w14:paraId="35236B59">
            <w:pPr>
              <w:autoSpaceDE w:val="0"/>
              <w:autoSpaceDN w:val="0"/>
              <w:jc w:val="center"/>
              <w:rPr>
                <w:rFonts w:hint="eastAsia" w:ascii="宋体" w:hAnsi="宋体"/>
                <w:kern w:val="0"/>
                <w:szCs w:val="21"/>
                <w:lang w:eastAsia="en-US"/>
              </w:rPr>
            </w:pPr>
            <w:r>
              <w:rPr>
                <w:rFonts w:hint="eastAsia" w:ascii="宋体" w:hAnsi="宋体"/>
                <w:kern w:val="0"/>
                <w:szCs w:val="21"/>
                <w:lang w:eastAsia="en-US"/>
              </w:rPr>
              <w:t>项目服务方案</w:t>
            </w:r>
          </w:p>
        </w:tc>
        <w:tc>
          <w:tcPr>
            <w:tcW w:w="6300" w:type="dxa"/>
            <w:vAlign w:val="center"/>
          </w:tcPr>
          <w:p w14:paraId="2ADA1252">
            <w:pPr>
              <w:autoSpaceDE w:val="0"/>
              <w:autoSpaceDN w:val="0"/>
              <w:jc w:val="left"/>
              <w:rPr>
                <w:rFonts w:hint="eastAsia" w:ascii="宋体" w:hAnsi="宋体"/>
                <w:kern w:val="0"/>
                <w:szCs w:val="21"/>
              </w:rPr>
            </w:pPr>
            <w:r>
              <w:rPr>
                <w:rFonts w:hint="eastAsia" w:ascii="宋体" w:hAnsi="宋体"/>
                <w:kern w:val="0"/>
                <w:szCs w:val="21"/>
              </w:rPr>
              <w:t>（1）方案内容完整性</w:t>
            </w:r>
          </w:p>
          <w:p w14:paraId="0AFD973A">
            <w:pPr>
              <w:autoSpaceDE w:val="0"/>
              <w:autoSpaceDN w:val="0"/>
              <w:jc w:val="left"/>
              <w:rPr>
                <w:rFonts w:hint="eastAsia" w:ascii="宋体" w:hAnsi="宋体"/>
                <w:kern w:val="0"/>
                <w:szCs w:val="21"/>
              </w:rPr>
            </w:pPr>
            <w:r>
              <w:rPr>
                <w:rFonts w:hint="eastAsia" w:ascii="宋体" w:hAnsi="宋体"/>
                <w:kern w:val="0"/>
                <w:szCs w:val="21"/>
              </w:rPr>
              <w:t>方案内容完整、且描述翔实具体，得 8 分；</w:t>
            </w:r>
          </w:p>
          <w:p w14:paraId="3D9F51D4">
            <w:pPr>
              <w:autoSpaceDE w:val="0"/>
              <w:autoSpaceDN w:val="0"/>
              <w:jc w:val="left"/>
              <w:rPr>
                <w:rFonts w:hint="eastAsia" w:ascii="宋体" w:hAnsi="宋体"/>
                <w:kern w:val="0"/>
                <w:szCs w:val="21"/>
              </w:rPr>
            </w:pPr>
            <w:r>
              <w:rPr>
                <w:rFonts w:hint="eastAsia" w:ascii="宋体" w:hAnsi="宋体"/>
                <w:kern w:val="0"/>
                <w:szCs w:val="21"/>
              </w:rPr>
              <w:t>方案内容不够完整或描述不够翔实具体，得 5 分；</w:t>
            </w:r>
          </w:p>
          <w:p w14:paraId="24130FFA">
            <w:pPr>
              <w:autoSpaceDE w:val="0"/>
              <w:autoSpaceDN w:val="0"/>
              <w:jc w:val="left"/>
              <w:rPr>
                <w:rFonts w:hint="eastAsia" w:ascii="宋体" w:hAnsi="宋体"/>
                <w:kern w:val="0"/>
                <w:szCs w:val="21"/>
                <w:lang w:eastAsia="en-US"/>
              </w:rPr>
            </w:pPr>
            <w:r>
              <w:rPr>
                <w:rFonts w:hint="eastAsia" w:ascii="宋体" w:hAnsi="宋体"/>
                <w:kern w:val="0"/>
                <w:szCs w:val="21"/>
                <w:lang w:eastAsia="en-US"/>
              </w:rPr>
              <w:t>方案存在重大欠缺或描述欠佳，得</w:t>
            </w:r>
            <w:r>
              <w:rPr>
                <w:rFonts w:hint="eastAsia" w:ascii="宋体" w:hAnsi="宋体"/>
                <w:kern w:val="0"/>
                <w:szCs w:val="21"/>
              </w:rPr>
              <w:t xml:space="preserve"> 2</w:t>
            </w:r>
            <w:r>
              <w:rPr>
                <w:rFonts w:hint="eastAsia" w:ascii="宋体" w:hAnsi="宋体"/>
                <w:kern w:val="0"/>
                <w:szCs w:val="21"/>
                <w:lang w:eastAsia="en-US"/>
              </w:rPr>
              <w:t xml:space="preserve"> 分。</w:t>
            </w:r>
          </w:p>
          <w:p w14:paraId="0A58BB1F">
            <w:pPr>
              <w:autoSpaceDE w:val="0"/>
              <w:autoSpaceDN w:val="0"/>
              <w:jc w:val="left"/>
              <w:rPr>
                <w:rFonts w:hint="eastAsia" w:ascii="宋体" w:hAnsi="宋体"/>
                <w:kern w:val="0"/>
                <w:szCs w:val="21"/>
              </w:rPr>
            </w:pPr>
            <w:r>
              <w:rPr>
                <w:rFonts w:hint="eastAsia" w:ascii="宋体" w:hAnsi="宋体"/>
                <w:kern w:val="0"/>
                <w:szCs w:val="21"/>
                <w:lang w:eastAsia="en-US"/>
              </w:rPr>
              <w:t>未提供方案得 0 分。</w:t>
            </w:r>
          </w:p>
        </w:tc>
        <w:tc>
          <w:tcPr>
            <w:tcW w:w="678" w:type="dxa"/>
            <w:vAlign w:val="center"/>
          </w:tcPr>
          <w:p w14:paraId="090F4AD0">
            <w:pPr>
              <w:autoSpaceDE w:val="0"/>
              <w:autoSpaceDN w:val="0"/>
              <w:jc w:val="center"/>
              <w:rPr>
                <w:rFonts w:hint="eastAsia" w:ascii="宋体" w:hAnsi="宋体"/>
                <w:kern w:val="0"/>
                <w:szCs w:val="21"/>
                <w:lang w:eastAsia="en-US"/>
              </w:rPr>
            </w:pPr>
            <w:r>
              <w:rPr>
                <w:rFonts w:hint="eastAsia" w:ascii="宋体" w:hAnsi="宋体"/>
                <w:kern w:val="0"/>
                <w:szCs w:val="21"/>
              </w:rPr>
              <w:t>8</w:t>
            </w:r>
          </w:p>
        </w:tc>
        <w:tc>
          <w:tcPr>
            <w:tcW w:w="678" w:type="dxa"/>
            <w:vAlign w:val="center"/>
          </w:tcPr>
          <w:p w14:paraId="2AB5CA08">
            <w:pPr>
              <w:autoSpaceDE w:val="0"/>
              <w:autoSpaceDN w:val="0"/>
              <w:jc w:val="center"/>
              <w:rPr>
                <w:rFonts w:hint="eastAsia" w:ascii="宋体" w:hAnsi="宋体"/>
                <w:kern w:val="0"/>
                <w:szCs w:val="21"/>
                <w:lang w:eastAsia="en-US"/>
              </w:rPr>
            </w:pPr>
            <w:r>
              <w:rPr>
                <w:rFonts w:hint="eastAsia" w:ascii="宋体" w:hAnsi="宋体"/>
                <w:kern w:val="0"/>
                <w:szCs w:val="21"/>
              </w:rPr>
              <w:t>主观</w:t>
            </w:r>
          </w:p>
        </w:tc>
      </w:tr>
      <w:tr w14:paraId="7D2F2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vMerge w:val="continue"/>
            <w:vAlign w:val="center"/>
          </w:tcPr>
          <w:p w14:paraId="7785229A">
            <w:pPr>
              <w:autoSpaceDE w:val="0"/>
              <w:autoSpaceDN w:val="0"/>
              <w:jc w:val="center"/>
              <w:rPr>
                <w:rFonts w:hint="eastAsia" w:ascii="宋体" w:hAnsi="宋体"/>
                <w:kern w:val="0"/>
                <w:szCs w:val="21"/>
                <w:lang w:eastAsia="en-US"/>
              </w:rPr>
            </w:pPr>
          </w:p>
        </w:tc>
        <w:tc>
          <w:tcPr>
            <w:tcW w:w="900" w:type="dxa"/>
            <w:vMerge w:val="continue"/>
            <w:vAlign w:val="center"/>
          </w:tcPr>
          <w:p w14:paraId="498D6921">
            <w:pPr>
              <w:autoSpaceDE w:val="0"/>
              <w:autoSpaceDN w:val="0"/>
              <w:jc w:val="center"/>
              <w:rPr>
                <w:rFonts w:hint="eastAsia" w:ascii="宋体" w:hAnsi="宋体"/>
                <w:kern w:val="0"/>
                <w:szCs w:val="21"/>
              </w:rPr>
            </w:pPr>
          </w:p>
        </w:tc>
        <w:tc>
          <w:tcPr>
            <w:tcW w:w="833" w:type="dxa"/>
            <w:vMerge w:val="continue"/>
            <w:tcBorders>
              <w:top w:val="nil"/>
            </w:tcBorders>
            <w:vAlign w:val="center"/>
          </w:tcPr>
          <w:p w14:paraId="5106E224">
            <w:pPr>
              <w:autoSpaceDE w:val="0"/>
              <w:autoSpaceDN w:val="0"/>
              <w:jc w:val="center"/>
              <w:rPr>
                <w:rFonts w:hint="eastAsia" w:ascii="宋体" w:hAnsi="宋体"/>
                <w:kern w:val="0"/>
                <w:szCs w:val="21"/>
                <w:lang w:eastAsia="en-US"/>
              </w:rPr>
            </w:pPr>
          </w:p>
        </w:tc>
        <w:tc>
          <w:tcPr>
            <w:tcW w:w="6300" w:type="dxa"/>
            <w:vAlign w:val="center"/>
          </w:tcPr>
          <w:p w14:paraId="101E600A">
            <w:pPr>
              <w:autoSpaceDE w:val="0"/>
              <w:autoSpaceDN w:val="0"/>
              <w:jc w:val="left"/>
              <w:rPr>
                <w:rFonts w:hint="eastAsia" w:ascii="宋体" w:hAnsi="宋体"/>
                <w:kern w:val="0"/>
                <w:szCs w:val="21"/>
              </w:rPr>
            </w:pPr>
            <w:r>
              <w:rPr>
                <w:rFonts w:hint="eastAsia" w:ascii="宋体" w:hAnsi="宋体"/>
                <w:kern w:val="0"/>
                <w:szCs w:val="21"/>
              </w:rPr>
              <w:t>（2）方案可实施性</w:t>
            </w:r>
          </w:p>
          <w:p w14:paraId="785714C1">
            <w:pPr>
              <w:autoSpaceDE w:val="0"/>
              <w:autoSpaceDN w:val="0"/>
              <w:jc w:val="left"/>
              <w:rPr>
                <w:rFonts w:hint="eastAsia" w:ascii="宋体" w:hAnsi="宋体"/>
                <w:kern w:val="0"/>
                <w:szCs w:val="21"/>
              </w:rPr>
            </w:pPr>
            <w:r>
              <w:rPr>
                <w:rFonts w:hint="eastAsia" w:ascii="宋体" w:hAnsi="宋体"/>
                <w:kern w:val="0"/>
                <w:szCs w:val="21"/>
              </w:rPr>
              <w:t>方案合理、考虑周全，可实施性高，得 8 分；</w:t>
            </w:r>
          </w:p>
          <w:p w14:paraId="3FC42800">
            <w:pPr>
              <w:autoSpaceDE w:val="0"/>
              <w:autoSpaceDN w:val="0"/>
              <w:jc w:val="left"/>
              <w:rPr>
                <w:rFonts w:hint="eastAsia" w:ascii="宋体" w:hAnsi="宋体"/>
                <w:kern w:val="0"/>
                <w:szCs w:val="21"/>
              </w:rPr>
            </w:pPr>
            <w:r>
              <w:rPr>
                <w:rFonts w:hint="eastAsia" w:ascii="宋体" w:hAnsi="宋体"/>
                <w:kern w:val="0"/>
                <w:szCs w:val="21"/>
              </w:rPr>
              <w:t>方案合理但考虑不够周全，可实施性欠佳，得 5 分；</w:t>
            </w:r>
          </w:p>
          <w:p w14:paraId="633F5373">
            <w:pPr>
              <w:autoSpaceDE w:val="0"/>
              <w:autoSpaceDN w:val="0"/>
              <w:jc w:val="left"/>
              <w:rPr>
                <w:rFonts w:hint="eastAsia" w:ascii="宋体" w:hAnsi="宋体"/>
                <w:kern w:val="0"/>
                <w:szCs w:val="21"/>
              </w:rPr>
            </w:pPr>
            <w:r>
              <w:rPr>
                <w:rFonts w:hint="eastAsia" w:ascii="宋体" w:hAnsi="宋体"/>
                <w:kern w:val="0"/>
                <w:szCs w:val="21"/>
              </w:rPr>
              <w:t>方案可实施性存在重大缺陷，得 2 分。</w:t>
            </w:r>
          </w:p>
          <w:p w14:paraId="0F715F9C">
            <w:pPr>
              <w:autoSpaceDE w:val="0"/>
              <w:autoSpaceDN w:val="0"/>
              <w:jc w:val="left"/>
              <w:rPr>
                <w:rFonts w:hint="eastAsia" w:ascii="宋体" w:hAnsi="宋体"/>
                <w:kern w:val="0"/>
                <w:szCs w:val="21"/>
                <w:lang w:eastAsia="en-US"/>
              </w:rPr>
            </w:pPr>
            <w:r>
              <w:rPr>
                <w:rFonts w:hint="eastAsia" w:ascii="宋体" w:hAnsi="宋体"/>
                <w:kern w:val="0"/>
                <w:szCs w:val="21"/>
                <w:lang w:eastAsia="en-US"/>
              </w:rPr>
              <w:t>未提供方案得 0 分。</w:t>
            </w:r>
          </w:p>
        </w:tc>
        <w:tc>
          <w:tcPr>
            <w:tcW w:w="678" w:type="dxa"/>
            <w:vAlign w:val="center"/>
          </w:tcPr>
          <w:p w14:paraId="0B6DAEAE">
            <w:pPr>
              <w:autoSpaceDE w:val="0"/>
              <w:autoSpaceDN w:val="0"/>
              <w:jc w:val="center"/>
              <w:rPr>
                <w:rFonts w:hint="eastAsia" w:ascii="宋体" w:hAnsi="宋体"/>
                <w:kern w:val="0"/>
                <w:szCs w:val="21"/>
              </w:rPr>
            </w:pPr>
            <w:r>
              <w:rPr>
                <w:rFonts w:hint="eastAsia" w:ascii="宋体" w:hAnsi="宋体"/>
                <w:kern w:val="0"/>
                <w:szCs w:val="21"/>
              </w:rPr>
              <w:t>8</w:t>
            </w:r>
          </w:p>
        </w:tc>
        <w:tc>
          <w:tcPr>
            <w:tcW w:w="678" w:type="dxa"/>
            <w:vAlign w:val="center"/>
          </w:tcPr>
          <w:p w14:paraId="09D2F5DF">
            <w:pPr>
              <w:autoSpaceDE w:val="0"/>
              <w:autoSpaceDN w:val="0"/>
              <w:jc w:val="center"/>
              <w:rPr>
                <w:rFonts w:hint="eastAsia" w:ascii="宋体" w:hAnsi="宋体"/>
                <w:kern w:val="0"/>
                <w:szCs w:val="21"/>
              </w:rPr>
            </w:pPr>
            <w:r>
              <w:rPr>
                <w:rFonts w:hint="eastAsia" w:ascii="宋体" w:hAnsi="宋体"/>
                <w:kern w:val="0"/>
                <w:szCs w:val="21"/>
              </w:rPr>
              <w:t>主观</w:t>
            </w:r>
          </w:p>
        </w:tc>
      </w:tr>
      <w:tr w14:paraId="01895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vMerge w:val="continue"/>
            <w:vAlign w:val="center"/>
          </w:tcPr>
          <w:p w14:paraId="15533F04">
            <w:pPr>
              <w:autoSpaceDE w:val="0"/>
              <w:autoSpaceDN w:val="0"/>
              <w:jc w:val="center"/>
              <w:rPr>
                <w:rFonts w:hint="eastAsia" w:ascii="宋体" w:hAnsi="宋体"/>
                <w:kern w:val="0"/>
                <w:szCs w:val="21"/>
                <w:lang w:eastAsia="en-US"/>
              </w:rPr>
            </w:pPr>
          </w:p>
        </w:tc>
        <w:tc>
          <w:tcPr>
            <w:tcW w:w="900" w:type="dxa"/>
            <w:vMerge w:val="continue"/>
            <w:vAlign w:val="center"/>
          </w:tcPr>
          <w:p w14:paraId="35A528BD">
            <w:pPr>
              <w:autoSpaceDE w:val="0"/>
              <w:autoSpaceDN w:val="0"/>
              <w:jc w:val="center"/>
              <w:rPr>
                <w:rFonts w:hint="eastAsia" w:ascii="宋体" w:hAnsi="宋体"/>
                <w:kern w:val="0"/>
                <w:szCs w:val="21"/>
                <w:lang w:eastAsia="en-US"/>
              </w:rPr>
            </w:pPr>
          </w:p>
        </w:tc>
        <w:tc>
          <w:tcPr>
            <w:tcW w:w="833" w:type="dxa"/>
            <w:vMerge w:val="continue"/>
            <w:tcBorders>
              <w:top w:val="nil"/>
            </w:tcBorders>
            <w:vAlign w:val="center"/>
          </w:tcPr>
          <w:p w14:paraId="1C189B8D">
            <w:pPr>
              <w:autoSpaceDE w:val="0"/>
              <w:autoSpaceDN w:val="0"/>
              <w:jc w:val="center"/>
              <w:rPr>
                <w:rFonts w:hint="eastAsia" w:ascii="宋体" w:hAnsi="宋体"/>
                <w:kern w:val="0"/>
                <w:szCs w:val="21"/>
                <w:lang w:eastAsia="en-US"/>
              </w:rPr>
            </w:pPr>
          </w:p>
        </w:tc>
        <w:tc>
          <w:tcPr>
            <w:tcW w:w="6300" w:type="dxa"/>
            <w:vAlign w:val="center"/>
          </w:tcPr>
          <w:p w14:paraId="77142F3C">
            <w:pPr>
              <w:autoSpaceDE w:val="0"/>
              <w:autoSpaceDN w:val="0"/>
              <w:jc w:val="left"/>
              <w:rPr>
                <w:rFonts w:hint="eastAsia" w:ascii="宋体" w:hAnsi="宋体"/>
                <w:kern w:val="0"/>
                <w:szCs w:val="21"/>
              </w:rPr>
            </w:pPr>
            <w:r>
              <w:rPr>
                <w:rFonts w:hint="eastAsia" w:ascii="宋体" w:hAnsi="宋体"/>
                <w:kern w:val="0"/>
                <w:szCs w:val="21"/>
              </w:rPr>
              <w:t>（3）方案针对性</w:t>
            </w:r>
          </w:p>
          <w:p w14:paraId="5C6507C8">
            <w:pPr>
              <w:autoSpaceDE w:val="0"/>
              <w:autoSpaceDN w:val="0"/>
              <w:jc w:val="left"/>
              <w:rPr>
                <w:rFonts w:hint="eastAsia" w:ascii="宋体" w:hAnsi="宋体"/>
                <w:kern w:val="0"/>
                <w:szCs w:val="21"/>
              </w:rPr>
            </w:pPr>
            <w:r>
              <w:rPr>
                <w:rFonts w:hint="eastAsia" w:ascii="宋体" w:hAnsi="宋体"/>
                <w:kern w:val="0"/>
                <w:szCs w:val="21"/>
              </w:rPr>
              <w:t>方案考虑充分，针对性强，得 8 分；</w:t>
            </w:r>
          </w:p>
          <w:p w14:paraId="2AE86E95">
            <w:pPr>
              <w:autoSpaceDE w:val="0"/>
              <w:autoSpaceDN w:val="0"/>
              <w:jc w:val="left"/>
              <w:rPr>
                <w:rFonts w:hint="eastAsia" w:ascii="宋体" w:hAnsi="宋体"/>
                <w:kern w:val="0"/>
                <w:szCs w:val="21"/>
              </w:rPr>
            </w:pPr>
            <w:r>
              <w:rPr>
                <w:rFonts w:hint="eastAsia" w:ascii="宋体" w:hAnsi="宋体"/>
                <w:kern w:val="0"/>
                <w:szCs w:val="21"/>
              </w:rPr>
              <w:t>方案考虑项目情况但针对性欠佳，得 5 分；</w:t>
            </w:r>
          </w:p>
          <w:p w14:paraId="31E70553">
            <w:pPr>
              <w:autoSpaceDE w:val="0"/>
              <w:autoSpaceDN w:val="0"/>
              <w:jc w:val="left"/>
              <w:rPr>
                <w:rFonts w:hint="eastAsia" w:ascii="宋体" w:hAnsi="宋体"/>
                <w:kern w:val="0"/>
                <w:szCs w:val="21"/>
              </w:rPr>
            </w:pPr>
            <w:r>
              <w:rPr>
                <w:rFonts w:hint="eastAsia" w:ascii="宋体" w:hAnsi="宋体"/>
                <w:kern w:val="0"/>
                <w:szCs w:val="21"/>
              </w:rPr>
              <w:t>方案通用简单、针对性严重不足，得 2 分；</w:t>
            </w:r>
          </w:p>
          <w:p w14:paraId="06C407AA">
            <w:pPr>
              <w:autoSpaceDE w:val="0"/>
              <w:autoSpaceDN w:val="0"/>
              <w:jc w:val="left"/>
              <w:rPr>
                <w:rFonts w:hint="eastAsia" w:ascii="宋体" w:hAnsi="宋体"/>
                <w:kern w:val="0"/>
                <w:szCs w:val="21"/>
                <w:lang w:eastAsia="en-US"/>
              </w:rPr>
            </w:pPr>
            <w:r>
              <w:rPr>
                <w:rFonts w:hint="eastAsia" w:ascii="宋体" w:hAnsi="宋体"/>
                <w:kern w:val="0"/>
                <w:szCs w:val="21"/>
                <w:lang w:eastAsia="en-US"/>
              </w:rPr>
              <w:t>未提供方案得 0 分。</w:t>
            </w:r>
          </w:p>
        </w:tc>
        <w:tc>
          <w:tcPr>
            <w:tcW w:w="678" w:type="dxa"/>
            <w:vAlign w:val="center"/>
          </w:tcPr>
          <w:p w14:paraId="2966B550">
            <w:pPr>
              <w:autoSpaceDE w:val="0"/>
              <w:autoSpaceDN w:val="0"/>
              <w:jc w:val="center"/>
              <w:rPr>
                <w:rFonts w:hint="eastAsia" w:ascii="宋体" w:hAnsi="宋体"/>
                <w:kern w:val="0"/>
                <w:szCs w:val="21"/>
              </w:rPr>
            </w:pPr>
            <w:r>
              <w:rPr>
                <w:rFonts w:hint="eastAsia" w:ascii="宋体" w:hAnsi="宋体"/>
                <w:kern w:val="0"/>
                <w:szCs w:val="21"/>
              </w:rPr>
              <w:t>8</w:t>
            </w:r>
          </w:p>
        </w:tc>
        <w:tc>
          <w:tcPr>
            <w:tcW w:w="678" w:type="dxa"/>
            <w:vAlign w:val="center"/>
          </w:tcPr>
          <w:p w14:paraId="64468C83">
            <w:pPr>
              <w:autoSpaceDE w:val="0"/>
              <w:autoSpaceDN w:val="0"/>
              <w:jc w:val="center"/>
              <w:rPr>
                <w:rFonts w:hint="eastAsia" w:ascii="宋体" w:hAnsi="宋体"/>
                <w:kern w:val="0"/>
                <w:szCs w:val="21"/>
                <w:lang w:eastAsia="en-US"/>
              </w:rPr>
            </w:pPr>
            <w:r>
              <w:rPr>
                <w:rFonts w:hint="eastAsia" w:ascii="宋体" w:hAnsi="宋体"/>
                <w:kern w:val="0"/>
                <w:szCs w:val="21"/>
              </w:rPr>
              <w:t>主观</w:t>
            </w:r>
          </w:p>
        </w:tc>
      </w:tr>
      <w:tr w14:paraId="7DE69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vMerge w:val="continue"/>
            <w:vAlign w:val="center"/>
          </w:tcPr>
          <w:p w14:paraId="0DF17CDE">
            <w:pPr>
              <w:autoSpaceDE w:val="0"/>
              <w:autoSpaceDN w:val="0"/>
              <w:jc w:val="center"/>
              <w:rPr>
                <w:rFonts w:hint="eastAsia" w:ascii="宋体" w:hAnsi="宋体"/>
                <w:kern w:val="0"/>
                <w:szCs w:val="21"/>
                <w:lang w:eastAsia="en-US"/>
              </w:rPr>
            </w:pPr>
          </w:p>
        </w:tc>
        <w:tc>
          <w:tcPr>
            <w:tcW w:w="900" w:type="dxa"/>
            <w:vMerge w:val="continue"/>
            <w:vAlign w:val="center"/>
          </w:tcPr>
          <w:p w14:paraId="04500C4C">
            <w:pPr>
              <w:autoSpaceDE w:val="0"/>
              <w:autoSpaceDN w:val="0"/>
              <w:jc w:val="center"/>
              <w:rPr>
                <w:rFonts w:hint="eastAsia" w:ascii="宋体" w:hAnsi="宋体"/>
                <w:kern w:val="0"/>
                <w:szCs w:val="21"/>
                <w:lang w:eastAsia="en-US"/>
              </w:rPr>
            </w:pPr>
          </w:p>
        </w:tc>
        <w:tc>
          <w:tcPr>
            <w:tcW w:w="833" w:type="dxa"/>
            <w:vAlign w:val="center"/>
          </w:tcPr>
          <w:p w14:paraId="0DF46EB5">
            <w:pPr>
              <w:autoSpaceDE w:val="0"/>
              <w:autoSpaceDN w:val="0"/>
              <w:jc w:val="center"/>
              <w:rPr>
                <w:rFonts w:hint="eastAsia" w:ascii="宋体" w:hAnsi="宋体"/>
                <w:kern w:val="0"/>
                <w:szCs w:val="21"/>
                <w:lang w:eastAsia="en-US"/>
              </w:rPr>
            </w:pPr>
            <w:r>
              <w:rPr>
                <w:rFonts w:hint="eastAsia" w:ascii="宋体" w:hAnsi="宋体"/>
                <w:kern w:val="0"/>
                <w:szCs w:val="21"/>
                <w:lang w:eastAsia="en-US"/>
              </w:rPr>
              <w:t>团队服务能力方案</w:t>
            </w:r>
          </w:p>
        </w:tc>
        <w:tc>
          <w:tcPr>
            <w:tcW w:w="6300" w:type="dxa"/>
            <w:vAlign w:val="center"/>
          </w:tcPr>
          <w:p w14:paraId="7547BC3A">
            <w:pPr>
              <w:autoSpaceDE w:val="0"/>
              <w:autoSpaceDN w:val="0"/>
              <w:jc w:val="left"/>
              <w:rPr>
                <w:rFonts w:hint="eastAsia" w:ascii="宋体" w:hAnsi="宋体"/>
                <w:kern w:val="0"/>
                <w:szCs w:val="21"/>
              </w:rPr>
            </w:pPr>
            <w:r>
              <w:rPr>
                <w:rFonts w:hint="eastAsia" w:ascii="宋体" w:hAnsi="宋体"/>
                <w:kern w:val="0"/>
                <w:szCs w:val="21"/>
              </w:rPr>
              <w:t>投标人对本项目拟投入的人员配备情况（包括但不限于：人员学历、从业年限、资质、从业经验等）进行综合评判。</w:t>
            </w:r>
          </w:p>
          <w:p w14:paraId="5C0CF48B">
            <w:pPr>
              <w:autoSpaceDE w:val="0"/>
              <w:autoSpaceDN w:val="0"/>
              <w:jc w:val="left"/>
              <w:rPr>
                <w:rFonts w:hint="eastAsia" w:ascii="宋体" w:hAnsi="宋体"/>
                <w:kern w:val="0"/>
                <w:szCs w:val="21"/>
              </w:rPr>
            </w:pPr>
            <w:r>
              <w:rPr>
                <w:rFonts w:hint="eastAsia" w:ascii="宋体" w:hAnsi="宋体"/>
                <w:kern w:val="0"/>
                <w:szCs w:val="21"/>
              </w:rPr>
              <w:t>人员配备充足、经验丰富，得8分；</w:t>
            </w:r>
          </w:p>
          <w:p w14:paraId="780E5747">
            <w:pPr>
              <w:autoSpaceDE w:val="0"/>
              <w:autoSpaceDN w:val="0"/>
              <w:jc w:val="left"/>
              <w:rPr>
                <w:rFonts w:hint="eastAsia" w:ascii="宋体" w:hAnsi="宋体"/>
                <w:kern w:val="0"/>
                <w:szCs w:val="21"/>
              </w:rPr>
            </w:pPr>
            <w:r>
              <w:rPr>
                <w:rFonts w:hint="eastAsia" w:ascii="宋体" w:hAnsi="宋体"/>
                <w:kern w:val="0"/>
                <w:szCs w:val="21"/>
              </w:rPr>
              <w:t>人员配备较合理、经验较丰富，得5分；</w:t>
            </w:r>
          </w:p>
          <w:p w14:paraId="59373661">
            <w:pPr>
              <w:autoSpaceDE w:val="0"/>
              <w:autoSpaceDN w:val="0"/>
              <w:jc w:val="left"/>
              <w:rPr>
                <w:rFonts w:hint="eastAsia" w:ascii="宋体" w:hAnsi="宋体"/>
                <w:kern w:val="0"/>
                <w:szCs w:val="21"/>
              </w:rPr>
            </w:pPr>
            <w:r>
              <w:rPr>
                <w:rFonts w:hint="eastAsia" w:ascii="宋体" w:hAnsi="宋体"/>
                <w:kern w:val="0"/>
                <w:szCs w:val="21"/>
              </w:rPr>
              <w:t>人员配备较弱、经验不足，但基本满足招标文件要求，得2分；</w:t>
            </w:r>
          </w:p>
          <w:p w14:paraId="362DFD2F">
            <w:pPr>
              <w:autoSpaceDE w:val="0"/>
              <w:autoSpaceDN w:val="0"/>
              <w:jc w:val="left"/>
              <w:rPr>
                <w:rFonts w:hint="eastAsia" w:ascii="宋体" w:hAnsi="宋体"/>
                <w:kern w:val="0"/>
                <w:szCs w:val="21"/>
                <w:lang w:eastAsia="en-US"/>
              </w:rPr>
            </w:pPr>
            <w:r>
              <w:rPr>
                <w:rFonts w:hint="eastAsia" w:ascii="宋体" w:hAnsi="宋体"/>
                <w:kern w:val="0"/>
                <w:szCs w:val="21"/>
              </w:rPr>
              <w:t>未提供得0分。</w:t>
            </w:r>
          </w:p>
        </w:tc>
        <w:tc>
          <w:tcPr>
            <w:tcW w:w="678" w:type="dxa"/>
            <w:vAlign w:val="center"/>
          </w:tcPr>
          <w:p w14:paraId="1D56B4AA">
            <w:pPr>
              <w:autoSpaceDE w:val="0"/>
              <w:autoSpaceDN w:val="0"/>
              <w:jc w:val="center"/>
              <w:rPr>
                <w:rFonts w:hint="eastAsia" w:ascii="宋体" w:hAnsi="宋体"/>
                <w:kern w:val="0"/>
                <w:szCs w:val="21"/>
              </w:rPr>
            </w:pPr>
            <w:r>
              <w:rPr>
                <w:rFonts w:ascii="宋体" w:hAnsi="宋体"/>
                <w:kern w:val="0"/>
                <w:szCs w:val="21"/>
              </w:rPr>
              <w:t>8</w:t>
            </w:r>
          </w:p>
        </w:tc>
        <w:tc>
          <w:tcPr>
            <w:tcW w:w="678" w:type="dxa"/>
            <w:vAlign w:val="center"/>
          </w:tcPr>
          <w:p w14:paraId="225DA744">
            <w:pPr>
              <w:autoSpaceDE w:val="0"/>
              <w:autoSpaceDN w:val="0"/>
              <w:jc w:val="center"/>
              <w:rPr>
                <w:rFonts w:hint="eastAsia" w:ascii="宋体" w:hAnsi="宋体"/>
                <w:kern w:val="0"/>
                <w:szCs w:val="21"/>
                <w:lang w:eastAsia="en-US"/>
              </w:rPr>
            </w:pPr>
            <w:r>
              <w:rPr>
                <w:rFonts w:hint="eastAsia" w:ascii="宋体" w:hAnsi="宋体"/>
                <w:kern w:val="0"/>
                <w:szCs w:val="21"/>
              </w:rPr>
              <w:t>主观</w:t>
            </w:r>
          </w:p>
        </w:tc>
      </w:tr>
      <w:tr w14:paraId="1CE71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6" w:hRule="atLeast"/>
          <w:jc w:val="center"/>
        </w:trPr>
        <w:tc>
          <w:tcPr>
            <w:tcW w:w="460" w:type="dxa"/>
            <w:vMerge w:val="continue"/>
            <w:vAlign w:val="center"/>
          </w:tcPr>
          <w:p w14:paraId="12267CD7">
            <w:pPr>
              <w:autoSpaceDE w:val="0"/>
              <w:autoSpaceDN w:val="0"/>
              <w:jc w:val="center"/>
              <w:rPr>
                <w:rFonts w:hint="eastAsia" w:ascii="宋体" w:hAnsi="宋体"/>
                <w:kern w:val="0"/>
                <w:szCs w:val="21"/>
                <w:lang w:eastAsia="en-US"/>
              </w:rPr>
            </w:pPr>
          </w:p>
        </w:tc>
        <w:tc>
          <w:tcPr>
            <w:tcW w:w="900" w:type="dxa"/>
            <w:vMerge w:val="continue"/>
            <w:vAlign w:val="center"/>
          </w:tcPr>
          <w:p w14:paraId="69900D75">
            <w:pPr>
              <w:autoSpaceDE w:val="0"/>
              <w:autoSpaceDN w:val="0"/>
              <w:jc w:val="center"/>
              <w:rPr>
                <w:rFonts w:hint="eastAsia" w:ascii="宋体" w:hAnsi="宋体"/>
                <w:kern w:val="0"/>
                <w:szCs w:val="21"/>
                <w:lang w:eastAsia="en-US"/>
              </w:rPr>
            </w:pPr>
          </w:p>
        </w:tc>
        <w:tc>
          <w:tcPr>
            <w:tcW w:w="833" w:type="dxa"/>
            <w:vAlign w:val="center"/>
          </w:tcPr>
          <w:p w14:paraId="56613B09">
            <w:pPr>
              <w:autoSpaceDE w:val="0"/>
              <w:autoSpaceDN w:val="0"/>
              <w:jc w:val="center"/>
              <w:rPr>
                <w:rFonts w:hint="eastAsia" w:ascii="宋体" w:hAnsi="宋体"/>
                <w:kern w:val="0"/>
                <w:szCs w:val="21"/>
                <w:lang w:eastAsia="en-US"/>
              </w:rPr>
            </w:pPr>
            <w:r>
              <w:rPr>
                <w:rFonts w:hint="eastAsia" w:ascii="宋体" w:hAnsi="宋体"/>
                <w:kern w:val="0"/>
                <w:szCs w:val="21"/>
                <w:lang w:eastAsia="en-US"/>
              </w:rPr>
              <w:t>项目质量管理方案</w:t>
            </w:r>
          </w:p>
        </w:tc>
        <w:tc>
          <w:tcPr>
            <w:tcW w:w="6300" w:type="dxa"/>
            <w:vAlign w:val="center"/>
          </w:tcPr>
          <w:p w14:paraId="6B22B9EF">
            <w:pPr>
              <w:autoSpaceDE w:val="0"/>
              <w:autoSpaceDN w:val="0"/>
              <w:jc w:val="left"/>
              <w:rPr>
                <w:rFonts w:hint="eastAsia" w:ascii="宋体" w:hAnsi="宋体"/>
                <w:kern w:val="0"/>
                <w:szCs w:val="21"/>
              </w:rPr>
            </w:pPr>
            <w:r>
              <w:rPr>
                <w:rFonts w:hint="eastAsia" w:ascii="宋体" w:hAnsi="宋体"/>
                <w:kern w:val="0"/>
                <w:szCs w:val="21"/>
              </w:rPr>
              <w:t>根据项目质量管理方案进行综合评判。</w:t>
            </w:r>
          </w:p>
          <w:p w14:paraId="2E43F4B8">
            <w:pPr>
              <w:autoSpaceDE w:val="0"/>
              <w:autoSpaceDN w:val="0"/>
              <w:jc w:val="left"/>
              <w:rPr>
                <w:rFonts w:hint="eastAsia" w:ascii="宋体" w:hAnsi="宋体"/>
                <w:kern w:val="0"/>
                <w:szCs w:val="21"/>
              </w:rPr>
            </w:pPr>
            <w:r>
              <w:rPr>
                <w:rFonts w:hint="eastAsia" w:ascii="宋体" w:hAnsi="宋体"/>
                <w:kern w:val="0"/>
                <w:szCs w:val="21"/>
              </w:rPr>
              <w:t>方案内容完整、描述翔实具体、考虑周全合理可行、针对性强，得 6 分；</w:t>
            </w:r>
          </w:p>
          <w:p w14:paraId="00100A18">
            <w:pPr>
              <w:autoSpaceDE w:val="0"/>
              <w:autoSpaceDN w:val="0"/>
              <w:jc w:val="left"/>
              <w:rPr>
                <w:rFonts w:hint="eastAsia" w:ascii="宋体" w:hAnsi="宋体"/>
                <w:kern w:val="0"/>
                <w:szCs w:val="21"/>
              </w:rPr>
            </w:pPr>
            <w:r>
              <w:rPr>
                <w:rFonts w:hint="eastAsia" w:ascii="宋体" w:hAnsi="宋体"/>
                <w:kern w:val="0"/>
                <w:szCs w:val="21"/>
              </w:rPr>
              <w:t>方案通用、简单，考虑欠佳或针对性欠佳，得 4 分；</w:t>
            </w:r>
          </w:p>
          <w:p w14:paraId="025FE6A1">
            <w:pPr>
              <w:autoSpaceDE w:val="0"/>
              <w:autoSpaceDN w:val="0"/>
              <w:jc w:val="left"/>
              <w:rPr>
                <w:rFonts w:hint="eastAsia" w:ascii="宋体" w:hAnsi="宋体"/>
                <w:kern w:val="0"/>
                <w:szCs w:val="21"/>
              </w:rPr>
            </w:pPr>
            <w:r>
              <w:rPr>
                <w:rFonts w:hint="eastAsia" w:ascii="宋体" w:hAnsi="宋体"/>
                <w:kern w:val="0"/>
                <w:szCs w:val="21"/>
              </w:rPr>
              <w:t>方案内容不全或存在明显欠缺，得 2 分；</w:t>
            </w:r>
          </w:p>
          <w:p w14:paraId="341F72E6">
            <w:pPr>
              <w:autoSpaceDE w:val="0"/>
              <w:autoSpaceDN w:val="0"/>
              <w:jc w:val="left"/>
              <w:rPr>
                <w:rFonts w:hint="eastAsia" w:ascii="宋体" w:hAnsi="宋体"/>
                <w:kern w:val="0"/>
                <w:szCs w:val="21"/>
              </w:rPr>
            </w:pPr>
            <w:r>
              <w:rPr>
                <w:rFonts w:hint="eastAsia" w:ascii="宋体" w:hAnsi="宋体"/>
                <w:kern w:val="0"/>
                <w:szCs w:val="21"/>
                <w:lang w:eastAsia="en-US"/>
              </w:rPr>
              <w:t>未提供方案得 0 分。</w:t>
            </w:r>
          </w:p>
        </w:tc>
        <w:tc>
          <w:tcPr>
            <w:tcW w:w="678" w:type="dxa"/>
            <w:vAlign w:val="center"/>
          </w:tcPr>
          <w:p w14:paraId="3587C2D5">
            <w:pPr>
              <w:autoSpaceDE w:val="0"/>
              <w:autoSpaceDN w:val="0"/>
              <w:jc w:val="center"/>
              <w:rPr>
                <w:rFonts w:hint="eastAsia" w:ascii="宋体" w:hAnsi="宋体"/>
                <w:kern w:val="0"/>
                <w:szCs w:val="21"/>
              </w:rPr>
            </w:pPr>
            <w:r>
              <w:rPr>
                <w:rFonts w:hint="eastAsia" w:ascii="宋体" w:hAnsi="宋体"/>
                <w:kern w:val="0"/>
                <w:szCs w:val="21"/>
                <w:lang w:eastAsia="en-US"/>
              </w:rPr>
              <w:t>6</w:t>
            </w:r>
          </w:p>
        </w:tc>
        <w:tc>
          <w:tcPr>
            <w:tcW w:w="678" w:type="dxa"/>
            <w:vAlign w:val="center"/>
          </w:tcPr>
          <w:p w14:paraId="344A2E83">
            <w:pPr>
              <w:autoSpaceDE w:val="0"/>
              <w:autoSpaceDN w:val="0"/>
              <w:jc w:val="center"/>
              <w:rPr>
                <w:rFonts w:hint="eastAsia" w:ascii="宋体" w:hAnsi="宋体"/>
                <w:kern w:val="0"/>
                <w:szCs w:val="21"/>
              </w:rPr>
            </w:pPr>
            <w:r>
              <w:rPr>
                <w:rFonts w:hint="eastAsia" w:ascii="宋体" w:hAnsi="宋体"/>
                <w:kern w:val="0"/>
                <w:szCs w:val="21"/>
              </w:rPr>
              <w:t>主观</w:t>
            </w:r>
          </w:p>
        </w:tc>
      </w:tr>
      <w:tr w14:paraId="15874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vMerge w:val="continue"/>
            <w:vAlign w:val="center"/>
          </w:tcPr>
          <w:p w14:paraId="683E4A39">
            <w:pPr>
              <w:autoSpaceDE w:val="0"/>
              <w:autoSpaceDN w:val="0"/>
              <w:jc w:val="center"/>
              <w:rPr>
                <w:rFonts w:hint="eastAsia" w:ascii="宋体" w:hAnsi="宋体"/>
                <w:kern w:val="0"/>
                <w:szCs w:val="21"/>
                <w:lang w:eastAsia="en-US"/>
              </w:rPr>
            </w:pPr>
          </w:p>
        </w:tc>
        <w:tc>
          <w:tcPr>
            <w:tcW w:w="900" w:type="dxa"/>
            <w:vMerge w:val="continue"/>
            <w:vAlign w:val="center"/>
          </w:tcPr>
          <w:p w14:paraId="38B25A7A">
            <w:pPr>
              <w:autoSpaceDE w:val="0"/>
              <w:autoSpaceDN w:val="0"/>
              <w:jc w:val="center"/>
              <w:rPr>
                <w:rFonts w:hint="eastAsia" w:ascii="宋体" w:hAnsi="宋体"/>
                <w:kern w:val="0"/>
                <w:szCs w:val="21"/>
                <w:lang w:eastAsia="en-US"/>
              </w:rPr>
            </w:pPr>
          </w:p>
        </w:tc>
        <w:tc>
          <w:tcPr>
            <w:tcW w:w="833" w:type="dxa"/>
            <w:vAlign w:val="center"/>
          </w:tcPr>
          <w:p w14:paraId="2D45D822">
            <w:pPr>
              <w:autoSpaceDE w:val="0"/>
              <w:autoSpaceDN w:val="0"/>
              <w:jc w:val="center"/>
              <w:rPr>
                <w:rFonts w:hint="eastAsia" w:ascii="宋体" w:hAnsi="宋体"/>
                <w:kern w:val="0"/>
                <w:szCs w:val="21"/>
                <w:lang w:eastAsia="en-US"/>
              </w:rPr>
            </w:pPr>
            <w:r>
              <w:rPr>
                <w:rFonts w:hint="eastAsia" w:ascii="宋体" w:hAnsi="宋体"/>
                <w:kern w:val="0"/>
                <w:szCs w:val="21"/>
                <w:lang w:eastAsia="en-US"/>
              </w:rPr>
              <w:t>保密措施方案</w:t>
            </w:r>
          </w:p>
        </w:tc>
        <w:tc>
          <w:tcPr>
            <w:tcW w:w="6300" w:type="dxa"/>
            <w:vAlign w:val="center"/>
          </w:tcPr>
          <w:p w14:paraId="6B8153B6">
            <w:pPr>
              <w:autoSpaceDE w:val="0"/>
              <w:autoSpaceDN w:val="0"/>
              <w:jc w:val="left"/>
              <w:rPr>
                <w:rFonts w:hint="eastAsia" w:ascii="宋体" w:hAnsi="宋体"/>
                <w:kern w:val="0"/>
                <w:szCs w:val="21"/>
              </w:rPr>
            </w:pPr>
            <w:r>
              <w:rPr>
                <w:rFonts w:hint="eastAsia" w:ascii="宋体" w:hAnsi="宋体"/>
                <w:kern w:val="0"/>
                <w:szCs w:val="21"/>
              </w:rPr>
              <w:t>根据保密措施方案进行综合评判。</w:t>
            </w:r>
          </w:p>
          <w:p w14:paraId="5B755245">
            <w:pPr>
              <w:autoSpaceDE w:val="0"/>
              <w:autoSpaceDN w:val="0"/>
              <w:jc w:val="left"/>
              <w:rPr>
                <w:rFonts w:hint="eastAsia" w:ascii="宋体" w:hAnsi="宋体"/>
                <w:kern w:val="0"/>
                <w:szCs w:val="21"/>
              </w:rPr>
            </w:pPr>
            <w:r>
              <w:rPr>
                <w:rFonts w:hint="eastAsia" w:ascii="宋体" w:hAnsi="宋体"/>
                <w:kern w:val="0"/>
                <w:szCs w:val="21"/>
              </w:rPr>
              <w:t>方案内容完整、描述翔实具体、考虑周全合理可行、</w:t>
            </w:r>
            <w:r>
              <w:rPr>
                <w:rFonts w:ascii="宋体" w:hAnsi="宋体"/>
                <w:kern w:val="0"/>
                <w:szCs w:val="21"/>
              </w:rPr>
              <w:t>针对性强，得 6 分；</w:t>
            </w:r>
          </w:p>
          <w:p w14:paraId="3EE2034C">
            <w:pPr>
              <w:autoSpaceDE w:val="0"/>
              <w:autoSpaceDN w:val="0"/>
              <w:jc w:val="left"/>
              <w:rPr>
                <w:rFonts w:hint="eastAsia" w:ascii="宋体" w:hAnsi="宋体"/>
                <w:kern w:val="0"/>
                <w:szCs w:val="21"/>
              </w:rPr>
            </w:pPr>
            <w:r>
              <w:rPr>
                <w:rFonts w:ascii="宋体" w:hAnsi="宋体"/>
                <w:kern w:val="0"/>
                <w:szCs w:val="21"/>
              </w:rPr>
              <w:t>方案通用、简单，考虑欠佳或针对性欠佳，得 4 分；</w:t>
            </w:r>
          </w:p>
          <w:p w14:paraId="7FA55977">
            <w:pPr>
              <w:autoSpaceDE w:val="0"/>
              <w:autoSpaceDN w:val="0"/>
              <w:jc w:val="left"/>
              <w:rPr>
                <w:rFonts w:hint="eastAsia" w:ascii="宋体" w:hAnsi="宋体"/>
                <w:kern w:val="0"/>
                <w:szCs w:val="21"/>
              </w:rPr>
            </w:pPr>
            <w:r>
              <w:rPr>
                <w:rFonts w:ascii="宋体" w:hAnsi="宋体"/>
                <w:kern w:val="0"/>
                <w:szCs w:val="21"/>
              </w:rPr>
              <w:t>方案内容不全或存在明显欠缺，得 2 分；</w:t>
            </w:r>
          </w:p>
          <w:p w14:paraId="056628CA">
            <w:pPr>
              <w:autoSpaceDE w:val="0"/>
              <w:autoSpaceDN w:val="0"/>
              <w:jc w:val="left"/>
              <w:rPr>
                <w:rFonts w:hint="eastAsia" w:ascii="宋体" w:hAnsi="宋体"/>
                <w:kern w:val="0"/>
                <w:szCs w:val="21"/>
                <w:lang w:eastAsia="en-US"/>
              </w:rPr>
            </w:pPr>
            <w:r>
              <w:rPr>
                <w:rFonts w:ascii="宋体" w:hAnsi="宋体"/>
                <w:kern w:val="0"/>
                <w:szCs w:val="21"/>
                <w:lang w:eastAsia="en-US"/>
              </w:rPr>
              <w:t>未提供方案得 0 分。</w:t>
            </w:r>
          </w:p>
        </w:tc>
        <w:tc>
          <w:tcPr>
            <w:tcW w:w="678" w:type="dxa"/>
            <w:vAlign w:val="center"/>
          </w:tcPr>
          <w:p w14:paraId="3B3778EB">
            <w:pPr>
              <w:autoSpaceDE w:val="0"/>
              <w:autoSpaceDN w:val="0"/>
              <w:jc w:val="center"/>
              <w:rPr>
                <w:rFonts w:hint="eastAsia" w:ascii="宋体" w:hAnsi="宋体"/>
                <w:kern w:val="0"/>
                <w:szCs w:val="21"/>
                <w:lang w:eastAsia="en-US"/>
              </w:rPr>
            </w:pPr>
            <w:r>
              <w:rPr>
                <w:rFonts w:hint="eastAsia" w:ascii="宋体" w:hAnsi="宋体"/>
                <w:kern w:val="0"/>
                <w:szCs w:val="21"/>
                <w:lang w:eastAsia="en-US"/>
              </w:rPr>
              <w:t>6</w:t>
            </w:r>
          </w:p>
        </w:tc>
        <w:tc>
          <w:tcPr>
            <w:tcW w:w="678" w:type="dxa"/>
            <w:vAlign w:val="center"/>
          </w:tcPr>
          <w:p w14:paraId="5A26974D">
            <w:pPr>
              <w:autoSpaceDE w:val="0"/>
              <w:autoSpaceDN w:val="0"/>
              <w:jc w:val="center"/>
              <w:rPr>
                <w:rFonts w:hint="eastAsia" w:ascii="宋体" w:hAnsi="宋体"/>
                <w:kern w:val="0"/>
                <w:szCs w:val="21"/>
              </w:rPr>
            </w:pPr>
            <w:r>
              <w:rPr>
                <w:rFonts w:hint="eastAsia" w:ascii="宋体" w:hAnsi="宋体"/>
                <w:kern w:val="0"/>
                <w:szCs w:val="21"/>
              </w:rPr>
              <w:t>主观</w:t>
            </w:r>
          </w:p>
        </w:tc>
      </w:tr>
      <w:tr w14:paraId="685CB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vMerge w:val="continue"/>
            <w:vAlign w:val="center"/>
          </w:tcPr>
          <w:p w14:paraId="02A96A68">
            <w:pPr>
              <w:autoSpaceDE w:val="0"/>
              <w:autoSpaceDN w:val="0"/>
              <w:jc w:val="center"/>
              <w:rPr>
                <w:rFonts w:hint="eastAsia" w:ascii="宋体" w:hAnsi="宋体"/>
                <w:kern w:val="0"/>
                <w:szCs w:val="21"/>
                <w:lang w:eastAsia="en-US"/>
              </w:rPr>
            </w:pPr>
          </w:p>
        </w:tc>
        <w:tc>
          <w:tcPr>
            <w:tcW w:w="900" w:type="dxa"/>
            <w:vMerge w:val="continue"/>
            <w:vAlign w:val="center"/>
          </w:tcPr>
          <w:p w14:paraId="3863D932">
            <w:pPr>
              <w:autoSpaceDE w:val="0"/>
              <w:autoSpaceDN w:val="0"/>
              <w:jc w:val="center"/>
              <w:rPr>
                <w:rFonts w:hint="eastAsia" w:ascii="宋体" w:hAnsi="宋体"/>
                <w:kern w:val="0"/>
                <w:szCs w:val="21"/>
                <w:lang w:eastAsia="en-US"/>
              </w:rPr>
            </w:pPr>
          </w:p>
        </w:tc>
        <w:tc>
          <w:tcPr>
            <w:tcW w:w="833" w:type="dxa"/>
            <w:vAlign w:val="center"/>
          </w:tcPr>
          <w:p w14:paraId="69901C98">
            <w:pPr>
              <w:autoSpaceDE w:val="0"/>
              <w:autoSpaceDN w:val="0"/>
              <w:jc w:val="center"/>
              <w:rPr>
                <w:rFonts w:hint="eastAsia" w:ascii="宋体" w:hAnsi="宋体"/>
                <w:kern w:val="0"/>
                <w:szCs w:val="21"/>
                <w:lang w:eastAsia="en-US"/>
              </w:rPr>
            </w:pPr>
            <w:r>
              <w:rPr>
                <w:rFonts w:ascii="宋体" w:hAnsi="宋体"/>
                <w:kern w:val="0"/>
                <w:szCs w:val="21"/>
                <w:lang w:eastAsia="en-US"/>
              </w:rPr>
              <w:t>风险规避措施方案</w:t>
            </w:r>
          </w:p>
        </w:tc>
        <w:tc>
          <w:tcPr>
            <w:tcW w:w="6300" w:type="dxa"/>
            <w:vAlign w:val="center"/>
          </w:tcPr>
          <w:p w14:paraId="58A5E45C">
            <w:pPr>
              <w:autoSpaceDE w:val="0"/>
              <w:autoSpaceDN w:val="0"/>
              <w:jc w:val="left"/>
              <w:rPr>
                <w:rFonts w:hint="eastAsia" w:ascii="宋体" w:hAnsi="宋体"/>
                <w:kern w:val="0"/>
                <w:szCs w:val="21"/>
              </w:rPr>
            </w:pPr>
            <w:r>
              <w:rPr>
                <w:rFonts w:ascii="宋体" w:hAnsi="宋体"/>
                <w:kern w:val="0"/>
                <w:szCs w:val="21"/>
              </w:rPr>
              <w:t>根据风险规避措施方案进行综合评判。</w:t>
            </w:r>
          </w:p>
          <w:p w14:paraId="6F3681E6">
            <w:pPr>
              <w:autoSpaceDE w:val="0"/>
              <w:autoSpaceDN w:val="0"/>
              <w:jc w:val="left"/>
              <w:rPr>
                <w:rFonts w:hint="eastAsia" w:ascii="宋体" w:hAnsi="宋体"/>
                <w:kern w:val="0"/>
                <w:szCs w:val="21"/>
              </w:rPr>
            </w:pPr>
            <w:r>
              <w:rPr>
                <w:rFonts w:ascii="宋体" w:hAnsi="宋体"/>
                <w:kern w:val="0"/>
                <w:szCs w:val="21"/>
              </w:rPr>
              <w:t>方案内容完整、描述翔实具体、考虑周全合理可行、针对性强，得 6 分；</w:t>
            </w:r>
          </w:p>
          <w:p w14:paraId="192244A6">
            <w:pPr>
              <w:autoSpaceDE w:val="0"/>
              <w:autoSpaceDN w:val="0"/>
              <w:jc w:val="left"/>
              <w:rPr>
                <w:rFonts w:hint="eastAsia" w:ascii="宋体" w:hAnsi="宋体"/>
                <w:kern w:val="0"/>
                <w:szCs w:val="21"/>
              </w:rPr>
            </w:pPr>
            <w:r>
              <w:rPr>
                <w:rFonts w:ascii="宋体" w:hAnsi="宋体"/>
                <w:kern w:val="0"/>
                <w:szCs w:val="21"/>
              </w:rPr>
              <w:t>方案通用、简单，考虑欠佳或针对性欠佳，得 4 分；</w:t>
            </w:r>
          </w:p>
          <w:p w14:paraId="52B063F4">
            <w:pPr>
              <w:autoSpaceDE w:val="0"/>
              <w:autoSpaceDN w:val="0"/>
              <w:jc w:val="left"/>
              <w:rPr>
                <w:rFonts w:hint="eastAsia" w:ascii="宋体" w:hAnsi="宋体"/>
                <w:kern w:val="0"/>
                <w:szCs w:val="21"/>
              </w:rPr>
            </w:pPr>
            <w:r>
              <w:rPr>
                <w:rFonts w:ascii="宋体" w:hAnsi="宋体"/>
                <w:kern w:val="0"/>
                <w:szCs w:val="21"/>
              </w:rPr>
              <w:t>方案内容不全或存在明显欠缺，得 2 分；</w:t>
            </w:r>
          </w:p>
          <w:p w14:paraId="53F764B3">
            <w:pPr>
              <w:autoSpaceDE w:val="0"/>
              <w:autoSpaceDN w:val="0"/>
              <w:jc w:val="left"/>
              <w:rPr>
                <w:rFonts w:hint="eastAsia" w:ascii="宋体" w:hAnsi="宋体"/>
                <w:kern w:val="0"/>
                <w:szCs w:val="21"/>
                <w:lang w:eastAsia="en-US"/>
              </w:rPr>
            </w:pPr>
            <w:r>
              <w:rPr>
                <w:rFonts w:ascii="宋体" w:hAnsi="宋体"/>
                <w:kern w:val="0"/>
                <w:szCs w:val="21"/>
                <w:lang w:eastAsia="en-US"/>
              </w:rPr>
              <w:t>未提供方案得 0 分。</w:t>
            </w:r>
          </w:p>
        </w:tc>
        <w:tc>
          <w:tcPr>
            <w:tcW w:w="678" w:type="dxa"/>
            <w:vAlign w:val="center"/>
          </w:tcPr>
          <w:p w14:paraId="54DF17CB">
            <w:pPr>
              <w:autoSpaceDE w:val="0"/>
              <w:autoSpaceDN w:val="0"/>
              <w:jc w:val="center"/>
              <w:rPr>
                <w:rFonts w:hint="eastAsia" w:ascii="宋体" w:hAnsi="宋体"/>
                <w:kern w:val="0"/>
                <w:szCs w:val="21"/>
                <w:lang w:eastAsia="en-US"/>
              </w:rPr>
            </w:pPr>
            <w:r>
              <w:rPr>
                <w:rFonts w:ascii="宋体" w:hAnsi="宋体"/>
                <w:kern w:val="0"/>
                <w:szCs w:val="21"/>
                <w:lang w:eastAsia="en-US"/>
              </w:rPr>
              <w:t>6</w:t>
            </w:r>
          </w:p>
        </w:tc>
        <w:tc>
          <w:tcPr>
            <w:tcW w:w="678" w:type="dxa"/>
            <w:vAlign w:val="center"/>
          </w:tcPr>
          <w:p w14:paraId="0DA0AEC0">
            <w:pPr>
              <w:autoSpaceDE w:val="0"/>
              <w:autoSpaceDN w:val="0"/>
              <w:jc w:val="center"/>
              <w:rPr>
                <w:rFonts w:hint="eastAsia" w:ascii="宋体" w:hAnsi="宋体"/>
                <w:kern w:val="0"/>
                <w:szCs w:val="21"/>
                <w:lang w:eastAsia="en-US"/>
              </w:rPr>
            </w:pPr>
            <w:r>
              <w:rPr>
                <w:rFonts w:hint="eastAsia" w:ascii="宋体" w:hAnsi="宋体"/>
                <w:kern w:val="0"/>
                <w:szCs w:val="21"/>
              </w:rPr>
              <w:t>主观</w:t>
            </w:r>
          </w:p>
        </w:tc>
      </w:tr>
      <w:tr w14:paraId="64A53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vMerge w:val="continue"/>
            <w:vAlign w:val="center"/>
          </w:tcPr>
          <w:p w14:paraId="47678DFC">
            <w:pPr>
              <w:autoSpaceDE w:val="0"/>
              <w:autoSpaceDN w:val="0"/>
              <w:jc w:val="center"/>
              <w:rPr>
                <w:rFonts w:hint="eastAsia" w:ascii="宋体" w:hAnsi="宋体"/>
                <w:kern w:val="0"/>
                <w:szCs w:val="21"/>
                <w:lang w:eastAsia="en-US"/>
              </w:rPr>
            </w:pPr>
          </w:p>
        </w:tc>
        <w:tc>
          <w:tcPr>
            <w:tcW w:w="900" w:type="dxa"/>
            <w:vMerge w:val="continue"/>
            <w:vAlign w:val="center"/>
          </w:tcPr>
          <w:p w14:paraId="6ABEC4DA">
            <w:pPr>
              <w:autoSpaceDE w:val="0"/>
              <w:autoSpaceDN w:val="0"/>
              <w:jc w:val="center"/>
              <w:rPr>
                <w:rFonts w:hint="eastAsia" w:ascii="宋体" w:hAnsi="宋体"/>
                <w:kern w:val="0"/>
                <w:szCs w:val="21"/>
                <w:lang w:eastAsia="en-US"/>
              </w:rPr>
            </w:pPr>
          </w:p>
        </w:tc>
        <w:tc>
          <w:tcPr>
            <w:tcW w:w="833" w:type="dxa"/>
            <w:vAlign w:val="center"/>
          </w:tcPr>
          <w:p w14:paraId="3392C3E6">
            <w:pPr>
              <w:autoSpaceDE w:val="0"/>
              <w:autoSpaceDN w:val="0"/>
              <w:jc w:val="center"/>
              <w:rPr>
                <w:rFonts w:hint="eastAsia" w:ascii="宋体" w:hAnsi="宋体"/>
                <w:kern w:val="0"/>
                <w:szCs w:val="21"/>
                <w:lang w:eastAsia="en-US"/>
              </w:rPr>
            </w:pPr>
            <w:r>
              <w:rPr>
                <w:rFonts w:ascii="宋体" w:hAnsi="宋体"/>
                <w:kern w:val="0"/>
                <w:szCs w:val="21"/>
                <w:lang w:eastAsia="en-US"/>
              </w:rPr>
              <w:t>售后服务方案</w:t>
            </w:r>
          </w:p>
        </w:tc>
        <w:tc>
          <w:tcPr>
            <w:tcW w:w="6300" w:type="dxa"/>
            <w:vAlign w:val="center"/>
          </w:tcPr>
          <w:p w14:paraId="20722D31">
            <w:pPr>
              <w:autoSpaceDE w:val="0"/>
              <w:autoSpaceDN w:val="0"/>
              <w:jc w:val="left"/>
              <w:rPr>
                <w:rFonts w:hint="eastAsia" w:ascii="宋体" w:hAnsi="宋体"/>
                <w:kern w:val="0"/>
                <w:szCs w:val="21"/>
              </w:rPr>
            </w:pPr>
            <w:r>
              <w:rPr>
                <w:rFonts w:ascii="宋体" w:hAnsi="宋体"/>
                <w:kern w:val="0"/>
                <w:szCs w:val="21"/>
              </w:rPr>
              <w:t>根据售后服务方案进行综合评判。</w:t>
            </w:r>
          </w:p>
          <w:p w14:paraId="573C7416">
            <w:pPr>
              <w:autoSpaceDE w:val="0"/>
              <w:autoSpaceDN w:val="0"/>
              <w:jc w:val="left"/>
              <w:rPr>
                <w:rFonts w:hint="eastAsia" w:ascii="宋体" w:hAnsi="宋体"/>
                <w:kern w:val="0"/>
                <w:szCs w:val="21"/>
              </w:rPr>
            </w:pPr>
            <w:r>
              <w:rPr>
                <w:rFonts w:ascii="宋体" w:hAnsi="宋体"/>
                <w:kern w:val="0"/>
                <w:szCs w:val="21"/>
              </w:rPr>
              <w:t xml:space="preserve">方案内容完整、描述翔实具体、考虑周全合理可行、针对性强，得 </w:t>
            </w:r>
            <w:r>
              <w:rPr>
                <w:rFonts w:hint="eastAsia" w:ascii="宋体" w:hAnsi="宋体"/>
                <w:kern w:val="0"/>
                <w:szCs w:val="21"/>
              </w:rPr>
              <w:t>6</w:t>
            </w:r>
            <w:r>
              <w:rPr>
                <w:rFonts w:ascii="宋体" w:hAnsi="宋体"/>
                <w:kern w:val="0"/>
                <w:szCs w:val="21"/>
              </w:rPr>
              <w:t xml:space="preserve"> 分；</w:t>
            </w:r>
          </w:p>
          <w:p w14:paraId="453E4E2D">
            <w:pPr>
              <w:autoSpaceDE w:val="0"/>
              <w:autoSpaceDN w:val="0"/>
              <w:jc w:val="left"/>
              <w:rPr>
                <w:rFonts w:hint="eastAsia" w:ascii="宋体" w:hAnsi="宋体"/>
                <w:kern w:val="0"/>
                <w:szCs w:val="21"/>
              </w:rPr>
            </w:pPr>
            <w:r>
              <w:rPr>
                <w:rFonts w:ascii="宋体" w:hAnsi="宋体"/>
                <w:kern w:val="0"/>
                <w:szCs w:val="21"/>
              </w:rPr>
              <w:t>方案通用、简单，考虑欠佳或针对性欠佳，得 4 分；</w:t>
            </w:r>
          </w:p>
          <w:p w14:paraId="0249FA8E">
            <w:pPr>
              <w:autoSpaceDE w:val="0"/>
              <w:autoSpaceDN w:val="0"/>
              <w:jc w:val="left"/>
              <w:rPr>
                <w:rFonts w:hint="eastAsia" w:ascii="宋体" w:hAnsi="宋体"/>
                <w:kern w:val="0"/>
                <w:szCs w:val="21"/>
              </w:rPr>
            </w:pPr>
            <w:r>
              <w:rPr>
                <w:rFonts w:ascii="宋体" w:hAnsi="宋体"/>
                <w:kern w:val="0"/>
                <w:szCs w:val="21"/>
              </w:rPr>
              <w:t>方案内容不全或存在明显欠缺，得 2 分；</w:t>
            </w:r>
          </w:p>
          <w:p w14:paraId="6B1DC3C5">
            <w:pPr>
              <w:autoSpaceDE w:val="0"/>
              <w:autoSpaceDN w:val="0"/>
              <w:jc w:val="left"/>
              <w:rPr>
                <w:rFonts w:hint="eastAsia" w:ascii="宋体" w:hAnsi="宋体"/>
                <w:kern w:val="0"/>
                <w:szCs w:val="21"/>
                <w:lang w:eastAsia="en-US"/>
              </w:rPr>
            </w:pPr>
            <w:r>
              <w:rPr>
                <w:rFonts w:ascii="宋体" w:hAnsi="宋体"/>
                <w:kern w:val="0"/>
                <w:szCs w:val="21"/>
                <w:lang w:eastAsia="en-US"/>
              </w:rPr>
              <w:t>未提供方案得 0 分。</w:t>
            </w:r>
          </w:p>
        </w:tc>
        <w:tc>
          <w:tcPr>
            <w:tcW w:w="678" w:type="dxa"/>
            <w:vAlign w:val="center"/>
          </w:tcPr>
          <w:p w14:paraId="6FEC4085">
            <w:pPr>
              <w:autoSpaceDE w:val="0"/>
              <w:autoSpaceDN w:val="0"/>
              <w:jc w:val="center"/>
              <w:rPr>
                <w:rFonts w:hint="eastAsia" w:ascii="宋体" w:hAnsi="宋体"/>
                <w:kern w:val="0"/>
                <w:szCs w:val="21"/>
                <w:lang w:eastAsia="en-US"/>
              </w:rPr>
            </w:pPr>
            <w:r>
              <w:rPr>
                <w:rFonts w:ascii="宋体" w:hAnsi="宋体"/>
                <w:kern w:val="0"/>
                <w:szCs w:val="21"/>
                <w:lang w:eastAsia="en-US"/>
              </w:rPr>
              <w:t>6</w:t>
            </w:r>
          </w:p>
        </w:tc>
        <w:tc>
          <w:tcPr>
            <w:tcW w:w="678" w:type="dxa"/>
            <w:vAlign w:val="center"/>
          </w:tcPr>
          <w:p w14:paraId="55742B12">
            <w:pPr>
              <w:autoSpaceDE w:val="0"/>
              <w:autoSpaceDN w:val="0"/>
              <w:jc w:val="center"/>
              <w:rPr>
                <w:rFonts w:hint="eastAsia" w:ascii="宋体" w:hAnsi="宋体"/>
                <w:kern w:val="0"/>
                <w:szCs w:val="21"/>
                <w:lang w:eastAsia="en-US"/>
              </w:rPr>
            </w:pPr>
            <w:r>
              <w:rPr>
                <w:rFonts w:hint="eastAsia" w:ascii="宋体" w:hAnsi="宋体"/>
                <w:kern w:val="0"/>
                <w:szCs w:val="21"/>
              </w:rPr>
              <w:t>主观</w:t>
            </w:r>
          </w:p>
        </w:tc>
      </w:tr>
      <w:tr w14:paraId="3F13C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vMerge w:val="continue"/>
            <w:tcBorders>
              <w:bottom w:val="single" w:color="auto" w:sz="4" w:space="0"/>
            </w:tcBorders>
            <w:vAlign w:val="center"/>
          </w:tcPr>
          <w:p w14:paraId="31FC1D33">
            <w:pPr>
              <w:autoSpaceDE w:val="0"/>
              <w:autoSpaceDN w:val="0"/>
              <w:jc w:val="center"/>
              <w:rPr>
                <w:rFonts w:hint="eastAsia" w:ascii="宋体" w:hAnsi="宋体"/>
                <w:kern w:val="0"/>
                <w:szCs w:val="21"/>
                <w:lang w:eastAsia="en-US"/>
              </w:rPr>
            </w:pPr>
          </w:p>
        </w:tc>
        <w:tc>
          <w:tcPr>
            <w:tcW w:w="900" w:type="dxa"/>
            <w:vMerge w:val="continue"/>
            <w:tcBorders>
              <w:bottom w:val="single" w:color="auto" w:sz="4" w:space="0"/>
            </w:tcBorders>
            <w:vAlign w:val="center"/>
          </w:tcPr>
          <w:p w14:paraId="2FF90CC3">
            <w:pPr>
              <w:autoSpaceDE w:val="0"/>
              <w:autoSpaceDN w:val="0"/>
              <w:jc w:val="center"/>
              <w:rPr>
                <w:rFonts w:hint="eastAsia" w:ascii="宋体" w:hAnsi="宋体"/>
                <w:kern w:val="0"/>
                <w:szCs w:val="21"/>
                <w:lang w:eastAsia="en-US"/>
              </w:rPr>
            </w:pPr>
          </w:p>
        </w:tc>
        <w:tc>
          <w:tcPr>
            <w:tcW w:w="833" w:type="dxa"/>
            <w:tcBorders>
              <w:bottom w:val="single" w:color="auto" w:sz="4" w:space="0"/>
            </w:tcBorders>
            <w:vAlign w:val="center"/>
          </w:tcPr>
          <w:p w14:paraId="006B6983">
            <w:pPr>
              <w:autoSpaceDE w:val="0"/>
              <w:autoSpaceDN w:val="0"/>
              <w:jc w:val="center"/>
              <w:rPr>
                <w:rFonts w:hint="eastAsia" w:ascii="宋体" w:hAnsi="宋体"/>
                <w:kern w:val="0"/>
                <w:szCs w:val="21"/>
                <w:lang w:eastAsia="en-US"/>
              </w:rPr>
            </w:pPr>
            <w:r>
              <w:rPr>
                <w:rFonts w:ascii="宋体" w:hAnsi="宋体"/>
                <w:kern w:val="0"/>
                <w:szCs w:val="21"/>
                <w:lang w:eastAsia="en-US"/>
              </w:rPr>
              <w:t>文档管理方案</w:t>
            </w:r>
          </w:p>
        </w:tc>
        <w:tc>
          <w:tcPr>
            <w:tcW w:w="6300" w:type="dxa"/>
            <w:vAlign w:val="center"/>
          </w:tcPr>
          <w:p w14:paraId="33BB83CF">
            <w:pPr>
              <w:autoSpaceDE w:val="0"/>
              <w:autoSpaceDN w:val="0"/>
              <w:jc w:val="left"/>
              <w:rPr>
                <w:rFonts w:hint="eastAsia" w:ascii="宋体" w:hAnsi="宋体"/>
                <w:kern w:val="0"/>
                <w:szCs w:val="21"/>
              </w:rPr>
            </w:pPr>
            <w:r>
              <w:rPr>
                <w:rFonts w:ascii="宋体" w:hAnsi="宋体"/>
                <w:kern w:val="0"/>
                <w:szCs w:val="21"/>
              </w:rPr>
              <w:t>根据文档管理方案进行综合评判。</w:t>
            </w:r>
          </w:p>
          <w:p w14:paraId="3BBC5F09">
            <w:pPr>
              <w:autoSpaceDE w:val="0"/>
              <w:autoSpaceDN w:val="0"/>
              <w:jc w:val="left"/>
              <w:rPr>
                <w:rFonts w:hint="eastAsia" w:ascii="宋体" w:hAnsi="宋体"/>
                <w:kern w:val="0"/>
                <w:szCs w:val="21"/>
              </w:rPr>
            </w:pPr>
            <w:r>
              <w:rPr>
                <w:rFonts w:ascii="宋体" w:hAnsi="宋体"/>
                <w:kern w:val="0"/>
                <w:szCs w:val="21"/>
              </w:rPr>
              <w:t xml:space="preserve">方案内容完整、描述翔实具体、考虑周全合理可行、针对性强，得 </w:t>
            </w:r>
            <w:r>
              <w:rPr>
                <w:rFonts w:hint="eastAsia" w:ascii="宋体" w:hAnsi="宋体"/>
                <w:kern w:val="0"/>
                <w:szCs w:val="21"/>
              </w:rPr>
              <w:t>6</w:t>
            </w:r>
            <w:r>
              <w:rPr>
                <w:rFonts w:ascii="宋体" w:hAnsi="宋体"/>
                <w:kern w:val="0"/>
                <w:szCs w:val="21"/>
              </w:rPr>
              <w:t xml:space="preserve"> 分；</w:t>
            </w:r>
          </w:p>
          <w:p w14:paraId="4496C282">
            <w:pPr>
              <w:autoSpaceDE w:val="0"/>
              <w:autoSpaceDN w:val="0"/>
              <w:jc w:val="left"/>
              <w:rPr>
                <w:rFonts w:hint="eastAsia" w:ascii="宋体" w:hAnsi="宋体"/>
                <w:kern w:val="0"/>
                <w:szCs w:val="21"/>
              </w:rPr>
            </w:pPr>
            <w:r>
              <w:rPr>
                <w:rFonts w:ascii="宋体" w:hAnsi="宋体"/>
                <w:kern w:val="0"/>
                <w:szCs w:val="21"/>
              </w:rPr>
              <w:t xml:space="preserve">方案通用、简单，考虑欠佳或针对性欠佳，得 </w:t>
            </w:r>
            <w:r>
              <w:rPr>
                <w:rFonts w:hint="eastAsia" w:ascii="宋体" w:hAnsi="宋体"/>
                <w:kern w:val="0"/>
                <w:szCs w:val="21"/>
                <w:lang w:val="en-US" w:eastAsia="zh-CN"/>
              </w:rPr>
              <w:t>4</w:t>
            </w:r>
            <w:r>
              <w:rPr>
                <w:rFonts w:ascii="宋体" w:hAnsi="宋体"/>
                <w:kern w:val="0"/>
                <w:szCs w:val="21"/>
              </w:rPr>
              <w:t xml:space="preserve"> 分；</w:t>
            </w:r>
          </w:p>
          <w:p w14:paraId="66B0DC7A">
            <w:pPr>
              <w:autoSpaceDE w:val="0"/>
              <w:autoSpaceDN w:val="0"/>
              <w:jc w:val="left"/>
              <w:rPr>
                <w:rFonts w:hint="eastAsia" w:ascii="宋体" w:hAnsi="宋体"/>
                <w:kern w:val="0"/>
                <w:szCs w:val="21"/>
              </w:rPr>
            </w:pPr>
            <w:r>
              <w:rPr>
                <w:rFonts w:ascii="宋体" w:hAnsi="宋体"/>
                <w:kern w:val="0"/>
                <w:szCs w:val="21"/>
              </w:rPr>
              <w:t>方案内容不全或存在明显欠缺，得 2 分；</w:t>
            </w:r>
          </w:p>
          <w:p w14:paraId="2A0719B3">
            <w:pPr>
              <w:autoSpaceDE w:val="0"/>
              <w:autoSpaceDN w:val="0"/>
              <w:jc w:val="left"/>
              <w:rPr>
                <w:rFonts w:hint="eastAsia" w:ascii="宋体" w:hAnsi="宋体"/>
                <w:kern w:val="0"/>
                <w:szCs w:val="21"/>
                <w:lang w:eastAsia="en-US"/>
              </w:rPr>
            </w:pPr>
            <w:r>
              <w:rPr>
                <w:rFonts w:ascii="宋体" w:hAnsi="宋体"/>
                <w:kern w:val="0"/>
                <w:szCs w:val="21"/>
                <w:lang w:eastAsia="en-US"/>
              </w:rPr>
              <w:t>未提供方案得 0 分。</w:t>
            </w:r>
          </w:p>
        </w:tc>
        <w:tc>
          <w:tcPr>
            <w:tcW w:w="678" w:type="dxa"/>
            <w:vAlign w:val="center"/>
          </w:tcPr>
          <w:p w14:paraId="6D71B8A6">
            <w:pPr>
              <w:autoSpaceDE w:val="0"/>
              <w:autoSpaceDN w:val="0"/>
              <w:jc w:val="center"/>
              <w:rPr>
                <w:rFonts w:hint="eastAsia" w:ascii="宋体" w:hAnsi="宋体"/>
                <w:kern w:val="0"/>
                <w:szCs w:val="21"/>
              </w:rPr>
            </w:pPr>
            <w:r>
              <w:rPr>
                <w:rFonts w:hint="eastAsia" w:ascii="宋体" w:hAnsi="宋体"/>
                <w:kern w:val="0"/>
                <w:szCs w:val="21"/>
              </w:rPr>
              <w:t>6</w:t>
            </w:r>
          </w:p>
        </w:tc>
        <w:tc>
          <w:tcPr>
            <w:tcW w:w="678" w:type="dxa"/>
            <w:vAlign w:val="center"/>
          </w:tcPr>
          <w:p w14:paraId="3EC5A33A">
            <w:pPr>
              <w:autoSpaceDE w:val="0"/>
              <w:autoSpaceDN w:val="0"/>
              <w:jc w:val="center"/>
              <w:rPr>
                <w:rFonts w:hint="eastAsia" w:ascii="宋体" w:hAnsi="宋体"/>
                <w:kern w:val="0"/>
                <w:szCs w:val="21"/>
                <w:lang w:eastAsia="en-US"/>
              </w:rPr>
            </w:pPr>
            <w:r>
              <w:rPr>
                <w:rFonts w:hint="eastAsia" w:ascii="宋体" w:hAnsi="宋体"/>
                <w:kern w:val="0"/>
                <w:szCs w:val="21"/>
              </w:rPr>
              <w:t>主观</w:t>
            </w:r>
          </w:p>
        </w:tc>
      </w:tr>
      <w:tr w14:paraId="3E5C1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14:paraId="752DCBDD">
            <w:pPr>
              <w:autoSpaceDE w:val="0"/>
              <w:autoSpaceDN w:val="0"/>
              <w:jc w:val="center"/>
              <w:rPr>
                <w:rFonts w:hint="eastAsia" w:ascii="宋体" w:hAnsi="宋体"/>
                <w:kern w:val="0"/>
                <w:szCs w:val="21"/>
              </w:rPr>
            </w:pPr>
            <w:r>
              <w:rPr>
                <w:rFonts w:ascii="宋体" w:hAnsi="宋体"/>
                <w:kern w:val="0"/>
                <w:szCs w:val="21"/>
                <w:lang w:eastAsia="en-US"/>
              </w:rPr>
              <w:t>3</w:t>
            </w:r>
          </w:p>
        </w:tc>
        <w:tc>
          <w:tcPr>
            <w:tcW w:w="1733" w:type="dxa"/>
            <w:gridSpan w:val="2"/>
            <w:tcBorders>
              <w:top w:val="single" w:color="auto" w:sz="4" w:space="0"/>
              <w:left w:val="single" w:color="auto" w:sz="4" w:space="0"/>
              <w:bottom w:val="single" w:color="auto" w:sz="4" w:space="0"/>
              <w:right w:val="single" w:color="auto" w:sz="4" w:space="0"/>
            </w:tcBorders>
            <w:vAlign w:val="center"/>
          </w:tcPr>
          <w:p w14:paraId="78F2D671">
            <w:pPr>
              <w:autoSpaceDE w:val="0"/>
              <w:autoSpaceDN w:val="0"/>
              <w:jc w:val="center"/>
              <w:rPr>
                <w:rFonts w:hint="eastAsia" w:ascii="宋体" w:hAnsi="宋体"/>
                <w:kern w:val="0"/>
                <w:szCs w:val="21"/>
                <w:lang w:eastAsia="en-US"/>
              </w:rPr>
            </w:pPr>
            <w:r>
              <w:rPr>
                <w:rFonts w:ascii="宋体" w:hAnsi="宋体"/>
                <w:kern w:val="0"/>
                <w:szCs w:val="21"/>
                <w:lang w:eastAsia="en-US"/>
              </w:rPr>
              <w:t>价格部分（20分）</w:t>
            </w:r>
          </w:p>
        </w:tc>
        <w:tc>
          <w:tcPr>
            <w:tcW w:w="6300" w:type="dxa"/>
            <w:tcBorders>
              <w:left w:val="single" w:color="auto" w:sz="4" w:space="0"/>
            </w:tcBorders>
            <w:vAlign w:val="center"/>
          </w:tcPr>
          <w:p w14:paraId="1719A251">
            <w:pPr>
              <w:autoSpaceDE w:val="0"/>
              <w:autoSpaceDN w:val="0"/>
              <w:jc w:val="left"/>
              <w:rPr>
                <w:rFonts w:hint="eastAsia" w:ascii="宋体" w:hAnsi="宋体"/>
                <w:kern w:val="0"/>
                <w:szCs w:val="21"/>
              </w:rPr>
            </w:pPr>
            <w:r>
              <w:rPr>
                <w:rFonts w:ascii="宋体" w:hAnsi="宋体"/>
                <w:kern w:val="0"/>
                <w:szCs w:val="21"/>
              </w:rPr>
              <w:t>满足招标文件要求且投标价格最低的投标报价为评标基准价，其价格分为满分。其他投标人的价格分统一按照下列公式计算： 投标报价得分＝（评标基准价/投标报价）×</w:t>
            </w:r>
            <w:r>
              <w:rPr>
                <w:rFonts w:hint="eastAsia" w:ascii="宋体" w:hAnsi="宋体"/>
                <w:kern w:val="0"/>
                <w:szCs w:val="21"/>
              </w:rPr>
              <w:t>20</w:t>
            </w:r>
            <w:r>
              <w:rPr>
                <w:rFonts w:ascii="宋体" w:hAnsi="宋体"/>
                <w:kern w:val="0"/>
                <w:szCs w:val="21"/>
              </w:rPr>
              <w:t>。</w:t>
            </w:r>
          </w:p>
        </w:tc>
        <w:tc>
          <w:tcPr>
            <w:tcW w:w="678" w:type="dxa"/>
            <w:vAlign w:val="center"/>
          </w:tcPr>
          <w:p w14:paraId="4D74BB3E">
            <w:pPr>
              <w:autoSpaceDE w:val="0"/>
              <w:autoSpaceDN w:val="0"/>
              <w:jc w:val="center"/>
              <w:rPr>
                <w:rFonts w:hint="eastAsia" w:ascii="宋体" w:hAnsi="宋体"/>
                <w:kern w:val="0"/>
                <w:szCs w:val="21"/>
              </w:rPr>
            </w:pPr>
            <w:r>
              <w:rPr>
                <w:rFonts w:hint="eastAsia" w:ascii="宋体" w:hAnsi="宋体"/>
                <w:kern w:val="0"/>
                <w:szCs w:val="21"/>
                <w:lang w:eastAsia="en-US"/>
              </w:rPr>
              <w:t>20</w:t>
            </w:r>
          </w:p>
        </w:tc>
        <w:tc>
          <w:tcPr>
            <w:tcW w:w="678" w:type="dxa"/>
            <w:vAlign w:val="center"/>
          </w:tcPr>
          <w:p w14:paraId="12400DBF">
            <w:pPr>
              <w:autoSpaceDE w:val="0"/>
              <w:autoSpaceDN w:val="0"/>
              <w:jc w:val="center"/>
              <w:rPr>
                <w:rFonts w:hint="eastAsia" w:ascii="宋体" w:hAnsi="宋体"/>
                <w:kern w:val="0"/>
                <w:szCs w:val="21"/>
              </w:rPr>
            </w:pPr>
            <w:r>
              <w:rPr>
                <w:rFonts w:hint="eastAsia" w:ascii="宋体" w:hAnsi="宋体"/>
                <w:kern w:val="0"/>
                <w:szCs w:val="21"/>
              </w:rPr>
              <w:t>客观</w:t>
            </w:r>
          </w:p>
        </w:tc>
      </w:tr>
      <w:tr w14:paraId="0E539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14:paraId="6D316417">
            <w:pPr>
              <w:autoSpaceDE w:val="0"/>
              <w:autoSpaceDN w:val="0"/>
              <w:jc w:val="center"/>
              <w:rPr>
                <w:rFonts w:hint="eastAsia" w:ascii="宋体" w:hAnsi="宋体"/>
                <w:kern w:val="0"/>
                <w:szCs w:val="21"/>
                <w:lang w:eastAsia="en-US"/>
              </w:rPr>
            </w:pPr>
            <w:r>
              <w:rPr>
                <w:rFonts w:ascii="宋体" w:hAnsi="宋体"/>
                <w:kern w:val="0"/>
                <w:szCs w:val="21"/>
                <w:lang w:eastAsia="en-US"/>
              </w:rPr>
              <w:t>4</w:t>
            </w:r>
          </w:p>
        </w:tc>
        <w:tc>
          <w:tcPr>
            <w:tcW w:w="1733" w:type="dxa"/>
            <w:gridSpan w:val="2"/>
            <w:tcBorders>
              <w:top w:val="single" w:color="auto" w:sz="4" w:space="0"/>
              <w:left w:val="single" w:color="auto" w:sz="4" w:space="0"/>
              <w:bottom w:val="single" w:color="auto" w:sz="4" w:space="0"/>
              <w:right w:val="single" w:color="auto" w:sz="4" w:space="0"/>
            </w:tcBorders>
            <w:vAlign w:val="center"/>
          </w:tcPr>
          <w:p w14:paraId="1AD9C536">
            <w:pPr>
              <w:autoSpaceDE w:val="0"/>
              <w:autoSpaceDN w:val="0"/>
              <w:jc w:val="center"/>
              <w:rPr>
                <w:rFonts w:hint="eastAsia" w:ascii="宋体" w:hAnsi="宋体"/>
                <w:kern w:val="0"/>
                <w:szCs w:val="21"/>
                <w:lang w:eastAsia="en-US"/>
              </w:rPr>
            </w:pPr>
            <w:r>
              <w:rPr>
                <w:rFonts w:ascii="宋体" w:hAnsi="宋体"/>
                <w:kern w:val="0"/>
                <w:szCs w:val="21"/>
                <w:lang w:eastAsia="en-US"/>
              </w:rPr>
              <w:t>综合评审得分</w:t>
            </w:r>
          </w:p>
        </w:tc>
        <w:tc>
          <w:tcPr>
            <w:tcW w:w="6300" w:type="dxa"/>
            <w:tcBorders>
              <w:left w:val="single" w:color="auto" w:sz="4" w:space="0"/>
            </w:tcBorders>
            <w:vAlign w:val="center"/>
          </w:tcPr>
          <w:p w14:paraId="2F6F7006">
            <w:pPr>
              <w:autoSpaceDE w:val="0"/>
              <w:autoSpaceDN w:val="0"/>
              <w:jc w:val="left"/>
              <w:rPr>
                <w:rFonts w:hint="eastAsia" w:ascii="宋体" w:hAnsi="宋体"/>
                <w:kern w:val="0"/>
                <w:szCs w:val="21"/>
              </w:rPr>
            </w:pPr>
            <w:r>
              <w:rPr>
                <w:rFonts w:ascii="宋体" w:hAnsi="宋体"/>
                <w:kern w:val="0"/>
                <w:szCs w:val="21"/>
              </w:rPr>
              <w:t>1-3 项得分之和，即为投标人的综合评审得分。</w:t>
            </w:r>
          </w:p>
        </w:tc>
        <w:tc>
          <w:tcPr>
            <w:tcW w:w="1356" w:type="dxa"/>
            <w:gridSpan w:val="2"/>
            <w:vAlign w:val="center"/>
          </w:tcPr>
          <w:p w14:paraId="612973FD">
            <w:pPr>
              <w:autoSpaceDE w:val="0"/>
              <w:autoSpaceDN w:val="0"/>
              <w:jc w:val="center"/>
              <w:rPr>
                <w:rFonts w:hint="eastAsia" w:ascii="宋体" w:hAnsi="宋体"/>
                <w:kern w:val="0"/>
                <w:szCs w:val="21"/>
              </w:rPr>
            </w:pPr>
            <w:r>
              <w:rPr>
                <w:rFonts w:ascii="宋体" w:hAnsi="宋体"/>
                <w:kern w:val="0"/>
                <w:szCs w:val="21"/>
                <w:lang w:eastAsia="en-US"/>
              </w:rPr>
              <w:t>100</w:t>
            </w:r>
          </w:p>
        </w:tc>
      </w:tr>
    </w:tbl>
    <w:p w14:paraId="24D0FEB7">
      <w:pPr>
        <w:spacing w:line="360" w:lineRule="auto"/>
        <w:jc w:val="left"/>
        <w:outlineLvl w:val="2"/>
        <w:rPr>
          <w:b/>
          <w:sz w:val="36"/>
          <w:szCs w:val="36"/>
        </w:rPr>
        <w:sectPr>
          <w:pgSz w:w="11907" w:h="16840"/>
          <w:pgMar w:top="1418" w:right="1134" w:bottom="1418" w:left="1701" w:header="851" w:footer="851" w:gutter="0"/>
          <w:cols w:space="720" w:num="1"/>
          <w:docGrid w:linePitch="462" w:charSpace="0"/>
        </w:sectPr>
      </w:pPr>
    </w:p>
    <w:p w14:paraId="5A6BEE71">
      <w:pPr>
        <w:spacing w:line="360" w:lineRule="auto"/>
        <w:jc w:val="left"/>
        <w:outlineLvl w:val="2"/>
        <w:rPr>
          <w:sz w:val="24"/>
        </w:rPr>
      </w:pPr>
      <w:r>
        <w:rPr>
          <w:rFonts w:hint="eastAsia"/>
          <w:sz w:val="24"/>
        </w:rPr>
        <w:t>05包：</w:t>
      </w:r>
    </w:p>
    <w:tbl>
      <w:tblPr>
        <w:tblStyle w:val="42"/>
        <w:tblpPr w:leftFromText="180" w:rightFromText="180" w:vertAnchor="text" w:tblpXSpec="center" w:tblpY="1"/>
        <w:tblOverlap w:val="never"/>
        <w:tblW w:w="9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035"/>
        <w:gridCol w:w="6326"/>
        <w:gridCol w:w="706"/>
        <w:gridCol w:w="706"/>
      </w:tblGrid>
      <w:tr w14:paraId="1AA7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14" w:type="dxa"/>
            <w:vAlign w:val="center"/>
          </w:tcPr>
          <w:p w14:paraId="79A75C55">
            <w:pPr>
              <w:snapToGrid w:val="0"/>
              <w:jc w:val="center"/>
              <w:rPr>
                <w:rFonts w:hint="eastAsia" w:ascii="宋体" w:hAnsi="宋体" w:cs="宋体"/>
                <w:bCs/>
                <w:kern w:val="0"/>
                <w:szCs w:val="21"/>
              </w:rPr>
            </w:pPr>
            <w:r>
              <w:rPr>
                <w:rFonts w:hint="eastAsia" w:ascii="宋体" w:hAnsi="宋体" w:cs="宋体"/>
                <w:bCs/>
                <w:kern w:val="0"/>
                <w:szCs w:val="21"/>
              </w:rPr>
              <w:t>评分项</w:t>
            </w:r>
          </w:p>
        </w:tc>
        <w:tc>
          <w:tcPr>
            <w:tcW w:w="1035" w:type="dxa"/>
            <w:vAlign w:val="center"/>
          </w:tcPr>
          <w:p w14:paraId="248E2FAD">
            <w:pPr>
              <w:snapToGrid w:val="0"/>
              <w:jc w:val="center"/>
              <w:rPr>
                <w:rFonts w:hint="eastAsia" w:ascii="宋体" w:hAnsi="宋体" w:cs="宋体"/>
                <w:bCs/>
                <w:kern w:val="0"/>
                <w:szCs w:val="21"/>
              </w:rPr>
            </w:pPr>
            <w:r>
              <w:rPr>
                <w:rFonts w:hint="eastAsia" w:ascii="宋体" w:hAnsi="宋体" w:cs="宋体"/>
                <w:bCs/>
                <w:kern w:val="0"/>
                <w:szCs w:val="21"/>
              </w:rPr>
              <w:t>评分内容</w:t>
            </w:r>
          </w:p>
        </w:tc>
        <w:tc>
          <w:tcPr>
            <w:tcW w:w="6326" w:type="dxa"/>
            <w:vAlign w:val="center"/>
          </w:tcPr>
          <w:p w14:paraId="7DC7D0FE">
            <w:pPr>
              <w:snapToGrid w:val="0"/>
              <w:jc w:val="center"/>
              <w:rPr>
                <w:rFonts w:hint="eastAsia" w:ascii="宋体" w:hAnsi="宋体" w:cs="宋体"/>
                <w:bCs/>
                <w:kern w:val="0"/>
                <w:szCs w:val="21"/>
              </w:rPr>
            </w:pPr>
            <w:r>
              <w:rPr>
                <w:rFonts w:hint="eastAsia" w:ascii="宋体" w:hAnsi="宋体" w:cs="宋体"/>
                <w:bCs/>
                <w:kern w:val="0"/>
                <w:szCs w:val="21"/>
              </w:rPr>
              <w:t>评审标准</w:t>
            </w:r>
          </w:p>
        </w:tc>
        <w:tc>
          <w:tcPr>
            <w:tcW w:w="706" w:type="dxa"/>
            <w:vAlign w:val="center"/>
          </w:tcPr>
          <w:p w14:paraId="75A9959C">
            <w:pPr>
              <w:snapToGrid w:val="0"/>
              <w:jc w:val="center"/>
              <w:rPr>
                <w:rFonts w:hint="eastAsia" w:ascii="宋体" w:hAnsi="宋体" w:cs="宋体"/>
                <w:bCs/>
                <w:kern w:val="0"/>
                <w:szCs w:val="21"/>
              </w:rPr>
            </w:pPr>
            <w:r>
              <w:rPr>
                <w:rFonts w:hint="eastAsia" w:ascii="宋体" w:hAnsi="宋体" w:cs="宋体"/>
                <w:bCs/>
                <w:kern w:val="0"/>
                <w:szCs w:val="21"/>
              </w:rPr>
              <w:t>分值</w:t>
            </w:r>
          </w:p>
        </w:tc>
        <w:tc>
          <w:tcPr>
            <w:tcW w:w="706" w:type="dxa"/>
            <w:vAlign w:val="center"/>
          </w:tcPr>
          <w:p w14:paraId="05DD6CE6">
            <w:pPr>
              <w:snapToGrid w:val="0"/>
              <w:jc w:val="center"/>
              <w:rPr>
                <w:rFonts w:hint="eastAsia" w:ascii="宋体" w:hAnsi="宋体" w:cs="宋体"/>
                <w:bCs/>
                <w:kern w:val="0"/>
                <w:szCs w:val="21"/>
              </w:rPr>
            </w:pPr>
            <w:r>
              <w:rPr>
                <w:rFonts w:hint="eastAsia" w:ascii="宋体" w:hAnsi="宋体"/>
                <w:b/>
                <w:kern w:val="0"/>
                <w:szCs w:val="21"/>
              </w:rPr>
              <w:t>分属性</w:t>
            </w:r>
          </w:p>
        </w:tc>
      </w:tr>
      <w:tr w14:paraId="3E8B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4" w:type="dxa"/>
            <w:vAlign w:val="center"/>
          </w:tcPr>
          <w:p w14:paraId="22C0F43C">
            <w:pPr>
              <w:snapToGrid w:val="0"/>
              <w:jc w:val="center"/>
              <w:rPr>
                <w:rFonts w:hint="eastAsia" w:ascii="宋体" w:hAnsi="宋体" w:cs="宋体"/>
                <w:bCs/>
                <w:kern w:val="0"/>
                <w:szCs w:val="21"/>
              </w:rPr>
            </w:pPr>
            <w:r>
              <w:rPr>
                <w:rFonts w:hint="eastAsia" w:ascii="宋体" w:hAnsi="宋体" w:cs="宋体"/>
                <w:bCs/>
                <w:kern w:val="0"/>
                <w:szCs w:val="21"/>
              </w:rPr>
              <w:t>报价</w:t>
            </w:r>
          </w:p>
          <w:p w14:paraId="5F667617">
            <w:pPr>
              <w:snapToGrid w:val="0"/>
              <w:jc w:val="center"/>
              <w:rPr>
                <w:rFonts w:hint="eastAsia" w:ascii="宋体" w:hAnsi="宋体" w:cs="宋体"/>
                <w:bCs/>
                <w:kern w:val="0"/>
                <w:szCs w:val="21"/>
              </w:rPr>
            </w:pPr>
            <w:r>
              <w:rPr>
                <w:rFonts w:hint="eastAsia" w:ascii="宋体" w:hAnsi="宋体" w:cs="宋体"/>
                <w:bCs/>
                <w:kern w:val="0"/>
                <w:szCs w:val="21"/>
              </w:rPr>
              <w:t>部分(10分)</w:t>
            </w:r>
          </w:p>
        </w:tc>
        <w:tc>
          <w:tcPr>
            <w:tcW w:w="1035" w:type="dxa"/>
            <w:vAlign w:val="center"/>
          </w:tcPr>
          <w:p w14:paraId="78CD3774">
            <w:pPr>
              <w:snapToGrid w:val="0"/>
              <w:jc w:val="center"/>
              <w:rPr>
                <w:rFonts w:hint="eastAsia" w:ascii="宋体" w:hAnsi="宋体" w:cs="宋体"/>
                <w:bCs/>
                <w:kern w:val="0"/>
                <w:szCs w:val="21"/>
              </w:rPr>
            </w:pPr>
            <w:r>
              <w:rPr>
                <w:rFonts w:hint="eastAsia" w:ascii="宋体" w:hAnsi="宋体" w:cs="宋体"/>
                <w:bCs/>
                <w:kern w:val="0"/>
                <w:szCs w:val="21"/>
              </w:rPr>
              <w:t>价格得分</w:t>
            </w:r>
          </w:p>
        </w:tc>
        <w:tc>
          <w:tcPr>
            <w:tcW w:w="6326" w:type="dxa"/>
            <w:vAlign w:val="center"/>
          </w:tcPr>
          <w:p w14:paraId="73D55AF1">
            <w:pPr>
              <w:widowControl/>
              <w:jc w:val="left"/>
              <w:rPr>
                <w:rFonts w:hint="eastAsia" w:ascii="宋体" w:hAnsi="宋体" w:cs="宋体"/>
                <w:szCs w:val="21"/>
              </w:rPr>
            </w:pPr>
            <w:r>
              <w:rPr>
                <w:rFonts w:hint="eastAsia" w:ascii="宋体" w:hAnsi="宋体" w:cs="宋体"/>
                <w:szCs w:val="21"/>
              </w:rPr>
              <w:t>符合招标文件要求且投标价格最低的投标报价为评标基准价，其价格为满分10分。</w:t>
            </w:r>
          </w:p>
          <w:p w14:paraId="5B0ECEDA">
            <w:pPr>
              <w:snapToGrid w:val="0"/>
              <w:jc w:val="left"/>
              <w:rPr>
                <w:rFonts w:hint="eastAsia" w:ascii="宋体" w:hAnsi="宋体" w:cs="宋体"/>
                <w:bCs/>
                <w:kern w:val="0"/>
                <w:szCs w:val="21"/>
              </w:rPr>
            </w:pPr>
            <w:r>
              <w:rPr>
                <w:rFonts w:hint="eastAsia" w:ascii="宋体" w:hAnsi="宋体" w:cs="宋体"/>
                <w:szCs w:val="21"/>
              </w:rPr>
              <w:t>其他投标人的投标报价得分=（评标基准价/投标报价）×10</w:t>
            </w:r>
          </w:p>
        </w:tc>
        <w:tc>
          <w:tcPr>
            <w:tcW w:w="706" w:type="dxa"/>
            <w:vAlign w:val="center"/>
          </w:tcPr>
          <w:p w14:paraId="62227269">
            <w:pPr>
              <w:snapToGrid w:val="0"/>
              <w:jc w:val="center"/>
              <w:rPr>
                <w:rFonts w:hint="eastAsia" w:ascii="宋体" w:hAnsi="宋体" w:cs="宋体"/>
                <w:bCs/>
                <w:kern w:val="0"/>
                <w:szCs w:val="21"/>
              </w:rPr>
            </w:pPr>
            <w:r>
              <w:rPr>
                <w:rFonts w:hint="eastAsia" w:ascii="宋体" w:hAnsi="宋体" w:cs="宋体"/>
                <w:bCs/>
                <w:kern w:val="0"/>
                <w:szCs w:val="21"/>
              </w:rPr>
              <w:t>10</w:t>
            </w:r>
          </w:p>
        </w:tc>
        <w:tc>
          <w:tcPr>
            <w:tcW w:w="706" w:type="dxa"/>
            <w:vAlign w:val="center"/>
          </w:tcPr>
          <w:p w14:paraId="5E8C1197">
            <w:pPr>
              <w:snapToGrid w:val="0"/>
              <w:jc w:val="center"/>
              <w:rPr>
                <w:rFonts w:hint="eastAsia" w:ascii="宋体" w:hAnsi="宋体" w:cs="宋体"/>
                <w:bCs/>
                <w:kern w:val="0"/>
                <w:szCs w:val="21"/>
              </w:rPr>
            </w:pPr>
            <w:r>
              <w:rPr>
                <w:rFonts w:hint="eastAsia" w:ascii="宋体" w:hAnsi="宋体" w:cs="宋体"/>
                <w:bCs/>
                <w:kern w:val="0"/>
                <w:szCs w:val="21"/>
              </w:rPr>
              <w:t>客观</w:t>
            </w:r>
          </w:p>
        </w:tc>
      </w:tr>
      <w:tr w14:paraId="10CE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14" w:type="dxa"/>
            <w:vMerge w:val="restart"/>
            <w:vAlign w:val="center"/>
          </w:tcPr>
          <w:p w14:paraId="1164CA0B">
            <w:pPr>
              <w:snapToGrid w:val="0"/>
              <w:jc w:val="center"/>
              <w:rPr>
                <w:rFonts w:hint="eastAsia" w:ascii="宋体" w:hAnsi="宋体" w:cs="宋体"/>
                <w:bCs/>
                <w:kern w:val="0"/>
                <w:szCs w:val="21"/>
              </w:rPr>
            </w:pPr>
            <w:r>
              <w:rPr>
                <w:rFonts w:hint="eastAsia" w:ascii="宋体" w:hAnsi="宋体" w:cs="宋体"/>
                <w:bCs/>
                <w:kern w:val="0"/>
                <w:szCs w:val="21"/>
              </w:rPr>
              <w:t>商务部分（15分）</w:t>
            </w:r>
          </w:p>
        </w:tc>
        <w:tc>
          <w:tcPr>
            <w:tcW w:w="1035" w:type="dxa"/>
            <w:tcBorders>
              <w:right w:val="single" w:color="auto" w:sz="4" w:space="0"/>
            </w:tcBorders>
            <w:vAlign w:val="center"/>
          </w:tcPr>
          <w:p w14:paraId="62A7BB2C">
            <w:pPr>
              <w:snapToGrid w:val="0"/>
              <w:jc w:val="center"/>
              <w:rPr>
                <w:rFonts w:hint="eastAsia" w:ascii="宋体" w:hAnsi="宋体" w:cs="宋体"/>
                <w:bCs/>
                <w:kern w:val="0"/>
                <w:szCs w:val="21"/>
              </w:rPr>
            </w:pPr>
            <w:r>
              <w:rPr>
                <w:rFonts w:hint="eastAsia" w:ascii="宋体" w:hAnsi="宋体" w:cs="宋体"/>
                <w:szCs w:val="21"/>
              </w:rPr>
              <w:t>近三年类似项目业绩</w:t>
            </w:r>
          </w:p>
        </w:tc>
        <w:tc>
          <w:tcPr>
            <w:tcW w:w="6326" w:type="dxa"/>
            <w:tcBorders>
              <w:top w:val="single" w:color="auto" w:sz="4" w:space="0"/>
              <w:left w:val="single" w:color="auto" w:sz="4" w:space="0"/>
              <w:right w:val="single" w:color="auto" w:sz="4" w:space="0"/>
            </w:tcBorders>
            <w:vAlign w:val="center"/>
          </w:tcPr>
          <w:p w14:paraId="57C46325">
            <w:pPr>
              <w:rPr>
                <w:rFonts w:hint="eastAsia" w:ascii="宋体" w:hAnsi="宋体" w:cs="宋体"/>
                <w:szCs w:val="21"/>
              </w:rPr>
            </w:pPr>
            <w:r>
              <w:rPr>
                <w:rFonts w:hint="eastAsia" w:ascii="宋体" w:hAnsi="宋体" w:cs="宋体"/>
                <w:szCs w:val="21"/>
              </w:rPr>
              <w:t>提供 2023年 1 月 1 日起至投标截止之日止（以合同签订日期为准）的类似业绩（运维服务项目），每提供一份合同得 2 分，最多得 10 分。评审依据为在投标文件中编制的合同首页、标的页、签字盖章页的扫描件，并加盖供应商公章。</w:t>
            </w:r>
          </w:p>
        </w:tc>
        <w:tc>
          <w:tcPr>
            <w:tcW w:w="706" w:type="dxa"/>
            <w:tcBorders>
              <w:top w:val="single" w:color="auto" w:sz="4" w:space="0"/>
              <w:left w:val="single" w:color="auto" w:sz="4" w:space="0"/>
              <w:right w:val="single" w:color="auto" w:sz="4" w:space="0"/>
            </w:tcBorders>
            <w:vAlign w:val="center"/>
          </w:tcPr>
          <w:p w14:paraId="241C6C51">
            <w:pPr>
              <w:snapToGrid w:val="0"/>
              <w:jc w:val="center"/>
              <w:rPr>
                <w:rFonts w:hint="eastAsia" w:ascii="宋体" w:hAnsi="宋体" w:cs="宋体"/>
                <w:bCs/>
                <w:kern w:val="0"/>
                <w:szCs w:val="21"/>
              </w:rPr>
            </w:pPr>
            <w:r>
              <w:rPr>
                <w:rFonts w:hint="eastAsia" w:ascii="宋体" w:hAnsi="宋体" w:cs="宋体"/>
                <w:bCs/>
                <w:kern w:val="0"/>
                <w:szCs w:val="21"/>
              </w:rPr>
              <w:t>10</w:t>
            </w:r>
          </w:p>
        </w:tc>
        <w:tc>
          <w:tcPr>
            <w:tcW w:w="706" w:type="dxa"/>
            <w:tcBorders>
              <w:top w:val="single" w:color="auto" w:sz="4" w:space="0"/>
              <w:left w:val="single" w:color="auto" w:sz="4" w:space="0"/>
              <w:right w:val="single" w:color="auto" w:sz="4" w:space="0"/>
            </w:tcBorders>
            <w:vAlign w:val="center"/>
          </w:tcPr>
          <w:p w14:paraId="71742C26">
            <w:pPr>
              <w:snapToGrid w:val="0"/>
              <w:jc w:val="center"/>
              <w:rPr>
                <w:rFonts w:hint="eastAsia" w:ascii="宋体" w:hAnsi="宋体" w:cs="宋体"/>
                <w:bCs/>
                <w:kern w:val="0"/>
                <w:szCs w:val="21"/>
              </w:rPr>
            </w:pPr>
            <w:r>
              <w:rPr>
                <w:rFonts w:hint="eastAsia" w:ascii="宋体" w:hAnsi="宋体" w:cs="宋体"/>
                <w:bCs/>
                <w:kern w:val="0"/>
                <w:szCs w:val="21"/>
              </w:rPr>
              <w:t>客观</w:t>
            </w:r>
          </w:p>
        </w:tc>
      </w:tr>
      <w:tr w14:paraId="0CDB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14" w:type="dxa"/>
            <w:vMerge w:val="continue"/>
            <w:vAlign w:val="center"/>
          </w:tcPr>
          <w:p w14:paraId="63F65479">
            <w:pPr>
              <w:snapToGrid w:val="0"/>
              <w:jc w:val="center"/>
              <w:rPr>
                <w:rFonts w:hint="eastAsia" w:ascii="宋体" w:hAnsi="宋体" w:cs="宋体"/>
                <w:bCs/>
                <w:kern w:val="0"/>
                <w:szCs w:val="21"/>
              </w:rPr>
            </w:pPr>
          </w:p>
        </w:tc>
        <w:tc>
          <w:tcPr>
            <w:tcW w:w="1035" w:type="dxa"/>
            <w:tcBorders>
              <w:right w:val="single" w:color="auto" w:sz="4" w:space="0"/>
            </w:tcBorders>
            <w:vAlign w:val="center"/>
          </w:tcPr>
          <w:p w14:paraId="7C138650">
            <w:pPr>
              <w:snapToGrid w:val="0"/>
              <w:jc w:val="center"/>
              <w:rPr>
                <w:rFonts w:hint="eastAsia" w:ascii="宋体" w:hAnsi="宋体" w:cs="宋体"/>
                <w:szCs w:val="21"/>
              </w:rPr>
            </w:pPr>
            <w:r>
              <w:rPr>
                <w:rFonts w:hint="eastAsia" w:ascii="宋体" w:hAnsi="宋体" w:cs="宋体"/>
                <w:szCs w:val="21"/>
              </w:rPr>
              <w:t>认证情况</w:t>
            </w:r>
          </w:p>
        </w:tc>
        <w:tc>
          <w:tcPr>
            <w:tcW w:w="6326" w:type="dxa"/>
            <w:tcBorders>
              <w:top w:val="single" w:color="auto" w:sz="4" w:space="0"/>
              <w:left w:val="single" w:color="auto" w:sz="4" w:space="0"/>
              <w:right w:val="single" w:color="auto" w:sz="4" w:space="0"/>
            </w:tcBorders>
            <w:vAlign w:val="center"/>
          </w:tcPr>
          <w:p w14:paraId="14149B88">
            <w:pPr>
              <w:wordWrap w:val="0"/>
              <w:jc w:val="left"/>
              <w:rPr>
                <w:rFonts w:hint="eastAsia" w:ascii="宋体" w:hAnsi="宋体" w:cs="宋体"/>
                <w:bCs/>
                <w:szCs w:val="21"/>
              </w:rPr>
            </w:pPr>
            <w:r>
              <w:rPr>
                <w:rFonts w:hint="eastAsia" w:ascii="宋体" w:hAnsi="宋体" w:cs="宋体"/>
                <w:bCs/>
                <w:szCs w:val="21"/>
              </w:rPr>
              <w:t xml:space="preserve">具 备 有 效 的 质 量 管 理 体 系 认 证ISO9001 证书，得 1 分，未按要求提供不得分； </w:t>
            </w:r>
          </w:p>
          <w:p w14:paraId="759F7C9B">
            <w:pPr>
              <w:wordWrap w:val="0"/>
              <w:jc w:val="left"/>
              <w:rPr>
                <w:rFonts w:hint="eastAsia" w:ascii="宋体" w:hAnsi="宋体" w:cs="宋体"/>
                <w:bCs/>
                <w:szCs w:val="21"/>
              </w:rPr>
            </w:pPr>
            <w:r>
              <w:rPr>
                <w:rFonts w:hint="eastAsia" w:ascii="宋体" w:hAnsi="宋体" w:cs="宋体"/>
                <w:bCs/>
                <w:szCs w:val="21"/>
              </w:rPr>
              <w:t xml:space="preserve">具备有效的信息安全管理体系认证ISO27001 证书，得 1 分，未按要求提供不得分； </w:t>
            </w:r>
          </w:p>
          <w:p w14:paraId="027C3C1A">
            <w:pPr>
              <w:wordWrap w:val="0"/>
              <w:jc w:val="left"/>
              <w:rPr>
                <w:rFonts w:hint="eastAsia" w:ascii="宋体" w:hAnsi="宋体" w:cs="宋体"/>
                <w:bCs/>
                <w:szCs w:val="21"/>
              </w:rPr>
            </w:pPr>
            <w:r>
              <w:rPr>
                <w:rFonts w:hint="eastAsia" w:ascii="宋体" w:hAnsi="宋体" w:cs="宋体"/>
                <w:bCs/>
                <w:szCs w:val="21"/>
              </w:rPr>
              <w:t xml:space="preserve">具备有效的信息技术服务管理体系认证 ISO20000 证书，得 1 分，未按要求提供不得分； </w:t>
            </w:r>
          </w:p>
          <w:p w14:paraId="731A533C">
            <w:pPr>
              <w:wordWrap w:val="0"/>
              <w:jc w:val="left"/>
              <w:rPr>
                <w:rFonts w:hint="eastAsia" w:ascii="宋体" w:hAnsi="宋体" w:cs="宋体"/>
                <w:bCs/>
                <w:szCs w:val="21"/>
              </w:rPr>
            </w:pPr>
            <w:r>
              <w:rPr>
                <w:rFonts w:hint="eastAsia" w:ascii="宋体" w:hAnsi="宋体" w:cs="宋体"/>
                <w:bCs/>
                <w:szCs w:val="21"/>
              </w:rPr>
              <w:t xml:space="preserve">具备有效的职业健康安全管理体系认证 ISO45001 证书，得 1 分，未按要求提供不得分； </w:t>
            </w:r>
          </w:p>
          <w:p w14:paraId="53F821EE">
            <w:pPr>
              <w:wordWrap w:val="0"/>
              <w:jc w:val="left"/>
              <w:rPr>
                <w:rFonts w:hint="eastAsia" w:ascii="宋体" w:hAnsi="宋体" w:cs="宋体"/>
                <w:bCs/>
                <w:szCs w:val="21"/>
              </w:rPr>
            </w:pPr>
            <w:r>
              <w:rPr>
                <w:rFonts w:hint="eastAsia" w:ascii="宋体" w:hAnsi="宋体" w:cs="宋体"/>
                <w:bCs/>
                <w:szCs w:val="21"/>
              </w:rPr>
              <w:t xml:space="preserve">具备有效的环境管理体系认证ISO14001 证书，得 1 分，未按要求提供不得分； </w:t>
            </w:r>
          </w:p>
          <w:p w14:paraId="713A7F0D">
            <w:pPr>
              <w:jc w:val="left"/>
              <w:rPr>
                <w:rFonts w:hint="eastAsia" w:ascii="宋体" w:hAnsi="宋体" w:cs="宋体"/>
                <w:bCs/>
                <w:szCs w:val="21"/>
              </w:rPr>
            </w:pPr>
            <w:r>
              <w:rPr>
                <w:rFonts w:hint="eastAsia" w:ascii="宋体" w:hAnsi="宋体" w:cs="宋体"/>
                <w:bCs/>
                <w:szCs w:val="21"/>
              </w:rPr>
              <w:t>（审核依据为投标文件中编制的证书扫描件加盖供应商公章，证书需要验证的，供应商需提供年检验证的证明并加盖供应商公章，否则不予认可）</w:t>
            </w:r>
          </w:p>
        </w:tc>
        <w:tc>
          <w:tcPr>
            <w:tcW w:w="706" w:type="dxa"/>
            <w:tcBorders>
              <w:top w:val="single" w:color="auto" w:sz="4" w:space="0"/>
              <w:left w:val="single" w:color="auto" w:sz="4" w:space="0"/>
              <w:right w:val="single" w:color="auto" w:sz="4" w:space="0"/>
            </w:tcBorders>
            <w:vAlign w:val="center"/>
          </w:tcPr>
          <w:p w14:paraId="6C28FC86">
            <w:pPr>
              <w:snapToGrid w:val="0"/>
              <w:jc w:val="center"/>
              <w:rPr>
                <w:rFonts w:hint="eastAsia" w:ascii="宋体" w:hAnsi="宋体" w:cs="宋体"/>
                <w:bCs/>
                <w:kern w:val="0"/>
                <w:szCs w:val="21"/>
              </w:rPr>
            </w:pPr>
            <w:r>
              <w:rPr>
                <w:rFonts w:hint="eastAsia" w:ascii="宋体" w:hAnsi="宋体" w:cs="宋体"/>
                <w:bCs/>
                <w:kern w:val="0"/>
                <w:szCs w:val="21"/>
              </w:rPr>
              <w:t>5</w:t>
            </w:r>
          </w:p>
        </w:tc>
        <w:tc>
          <w:tcPr>
            <w:tcW w:w="706" w:type="dxa"/>
            <w:tcBorders>
              <w:top w:val="single" w:color="auto" w:sz="4" w:space="0"/>
              <w:left w:val="single" w:color="auto" w:sz="4" w:space="0"/>
              <w:right w:val="single" w:color="auto" w:sz="4" w:space="0"/>
            </w:tcBorders>
            <w:vAlign w:val="center"/>
          </w:tcPr>
          <w:p w14:paraId="7B6C829C">
            <w:pPr>
              <w:snapToGrid w:val="0"/>
              <w:jc w:val="center"/>
              <w:rPr>
                <w:rFonts w:hint="eastAsia" w:ascii="宋体" w:hAnsi="宋体" w:cs="宋体"/>
                <w:bCs/>
                <w:kern w:val="0"/>
                <w:szCs w:val="21"/>
              </w:rPr>
            </w:pPr>
            <w:r>
              <w:rPr>
                <w:rFonts w:hint="eastAsia" w:ascii="宋体" w:hAnsi="宋体" w:cs="宋体"/>
                <w:bCs/>
                <w:kern w:val="0"/>
                <w:szCs w:val="21"/>
              </w:rPr>
              <w:t>客观</w:t>
            </w:r>
          </w:p>
        </w:tc>
      </w:tr>
      <w:tr w14:paraId="0CDE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914" w:type="dxa"/>
            <w:vMerge w:val="restart"/>
            <w:tcBorders>
              <w:top w:val="single" w:color="auto" w:sz="4" w:space="0"/>
              <w:left w:val="single" w:color="auto" w:sz="4" w:space="0"/>
              <w:right w:val="single" w:color="auto" w:sz="4" w:space="0"/>
            </w:tcBorders>
            <w:vAlign w:val="center"/>
          </w:tcPr>
          <w:p w14:paraId="5C677C6F">
            <w:pPr>
              <w:snapToGrid w:val="0"/>
              <w:jc w:val="center"/>
              <w:rPr>
                <w:rFonts w:hint="eastAsia" w:ascii="宋体" w:hAnsi="宋体" w:cs="宋体"/>
                <w:bCs/>
                <w:kern w:val="0"/>
                <w:szCs w:val="21"/>
              </w:rPr>
            </w:pPr>
            <w:r>
              <w:rPr>
                <w:rFonts w:hint="eastAsia" w:ascii="宋体" w:hAnsi="宋体" w:cs="宋体"/>
                <w:bCs/>
                <w:kern w:val="0"/>
                <w:szCs w:val="21"/>
              </w:rPr>
              <w:t>技术部分（75分）</w:t>
            </w:r>
          </w:p>
        </w:tc>
        <w:tc>
          <w:tcPr>
            <w:tcW w:w="1035" w:type="dxa"/>
            <w:tcBorders>
              <w:top w:val="single" w:color="auto" w:sz="4" w:space="0"/>
              <w:left w:val="single" w:color="auto" w:sz="4" w:space="0"/>
              <w:bottom w:val="single" w:color="auto" w:sz="4" w:space="0"/>
              <w:right w:val="single" w:color="auto" w:sz="4" w:space="0"/>
            </w:tcBorders>
            <w:vAlign w:val="center"/>
          </w:tcPr>
          <w:p w14:paraId="091DA7DD">
            <w:pPr>
              <w:snapToGrid w:val="0"/>
              <w:jc w:val="center"/>
              <w:rPr>
                <w:rFonts w:hint="eastAsia" w:ascii="宋体" w:hAnsi="宋体" w:cs="宋体"/>
                <w:bCs/>
                <w:kern w:val="0"/>
                <w:szCs w:val="21"/>
              </w:rPr>
            </w:pPr>
            <w:r>
              <w:rPr>
                <w:rFonts w:hint="eastAsia" w:ascii="宋体" w:hAnsi="宋体" w:cs="宋体"/>
                <w:bCs/>
                <w:kern w:val="0"/>
                <w:szCs w:val="21"/>
              </w:rPr>
              <w:t>对项目的理解</w:t>
            </w:r>
          </w:p>
          <w:p w14:paraId="51BD6E39">
            <w:pPr>
              <w:snapToGrid w:val="0"/>
              <w:jc w:val="center"/>
              <w:rPr>
                <w:rFonts w:hint="eastAsia" w:ascii="宋体" w:hAnsi="宋体" w:cs="宋体"/>
                <w:bCs/>
                <w:kern w:val="0"/>
                <w:szCs w:val="21"/>
              </w:rPr>
            </w:pPr>
            <w:r>
              <w:rPr>
                <w:rFonts w:hint="eastAsia" w:ascii="宋体" w:hAnsi="宋体" w:cs="宋体"/>
                <w:bCs/>
                <w:kern w:val="0"/>
                <w:szCs w:val="21"/>
              </w:rPr>
              <w:t>的程度</w:t>
            </w:r>
          </w:p>
        </w:tc>
        <w:tc>
          <w:tcPr>
            <w:tcW w:w="6326" w:type="dxa"/>
            <w:tcBorders>
              <w:top w:val="single" w:color="auto" w:sz="4" w:space="0"/>
              <w:left w:val="single" w:color="auto" w:sz="4" w:space="0"/>
              <w:bottom w:val="single" w:color="auto" w:sz="4" w:space="0"/>
              <w:right w:val="single" w:color="auto" w:sz="4" w:space="0"/>
            </w:tcBorders>
            <w:vAlign w:val="center"/>
          </w:tcPr>
          <w:p w14:paraId="6B3A6F99">
            <w:pPr>
              <w:adjustRightInd w:val="0"/>
              <w:snapToGrid w:val="0"/>
              <w:rPr>
                <w:rFonts w:hint="eastAsia" w:ascii="宋体" w:hAnsi="宋体" w:cs="宋体"/>
                <w:szCs w:val="21"/>
              </w:rPr>
            </w:pPr>
            <w:r>
              <w:rPr>
                <w:rFonts w:hint="eastAsia" w:ascii="宋体" w:hAnsi="宋体" w:cs="宋体"/>
                <w:szCs w:val="21"/>
              </w:rPr>
              <w:t xml:space="preserve">投标供应商根据“第五章第五包采购需求一、总体要求”中的内容进行对项目的理解阐述。 </w:t>
            </w:r>
          </w:p>
          <w:p w14:paraId="3BD83A31">
            <w:pPr>
              <w:adjustRightInd w:val="0"/>
              <w:snapToGrid w:val="0"/>
              <w:rPr>
                <w:rFonts w:hint="eastAsia" w:ascii="宋体" w:hAnsi="宋体" w:cs="宋体"/>
                <w:szCs w:val="21"/>
              </w:rPr>
            </w:pPr>
            <w:r>
              <w:rPr>
                <w:rFonts w:hint="eastAsia" w:ascii="宋体" w:hAnsi="宋体" w:cs="宋体"/>
                <w:szCs w:val="21"/>
              </w:rPr>
              <w:t xml:space="preserve">方案内容进行了详细的阐述，能正确理解项目需求，思路清晰，合理分析现状且满足招标要求，得10分； </w:t>
            </w:r>
          </w:p>
          <w:p w14:paraId="713D3C25">
            <w:pPr>
              <w:adjustRightInd w:val="0"/>
              <w:snapToGrid w:val="0"/>
              <w:rPr>
                <w:rFonts w:hint="eastAsia" w:ascii="宋体" w:hAnsi="宋体" w:cs="宋体"/>
                <w:szCs w:val="21"/>
              </w:rPr>
            </w:pPr>
            <w:r>
              <w:rPr>
                <w:rFonts w:hint="eastAsia" w:ascii="宋体" w:hAnsi="宋体" w:cs="宋体"/>
                <w:szCs w:val="21"/>
              </w:rPr>
              <w:t xml:space="preserve">方案内容虽进行阐述但并未进行详细论述，或方案中未包括具体实施细节及措施，得7分； </w:t>
            </w:r>
          </w:p>
          <w:p w14:paraId="5539492E">
            <w:pPr>
              <w:adjustRightInd w:val="0"/>
              <w:snapToGrid w:val="0"/>
              <w:rPr>
                <w:rFonts w:hint="eastAsia" w:ascii="宋体" w:hAnsi="宋体" w:cs="宋体"/>
                <w:szCs w:val="21"/>
              </w:rPr>
            </w:pPr>
            <w:r>
              <w:rPr>
                <w:rFonts w:hint="eastAsia" w:ascii="宋体" w:hAnsi="宋体" w:cs="宋体"/>
                <w:szCs w:val="21"/>
              </w:rPr>
              <w:t xml:space="preserve">方案满足招标要求，但仅为对招标需求的简单复制，未进行进一步的详细阐述，得5分； </w:t>
            </w:r>
          </w:p>
          <w:p w14:paraId="11B95FBA">
            <w:pPr>
              <w:adjustRightInd w:val="0"/>
              <w:snapToGrid w:val="0"/>
              <w:rPr>
                <w:rFonts w:hint="eastAsia" w:ascii="宋体" w:hAnsi="宋体" w:cs="宋体"/>
                <w:szCs w:val="21"/>
              </w:rPr>
            </w:pPr>
            <w:r>
              <w:rPr>
                <w:rFonts w:hint="eastAsia" w:ascii="宋体" w:hAnsi="宋体" w:cs="宋体"/>
                <w:szCs w:val="21"/>
              </w:rPr>
              <w:t>方案的应答仅部分满足招标要求，得3分；方案内容未进行任何阐述或不满足招标要求，得 0 分。</w:t>
            </w:r>
          </w:p>
        </w:tc>
        <w:tc>
          <w:tcPr>
            <w:tcW w:w="706" w:type="dxa"/>
            <w:tcBorders>
              <w:top w:val="single" w:color="auto" w:sz="4" w:space="0"/>
              <w:left w:val="single" w:color="auto" w:sz="4" w:space="0"/>
              <w:right w:val="single" w:color="auto" w:sz="4" w:space="0"/>
            </w:tcBorders>
            <w:vAlign w:val="center"/>
          </w:tcPr>
          <w:p w14:paraId="0F9A1945">
            <w:pPr>
              <w:snapToGrid w:val="0"/>
              <w:jc w:val="center"/>
              <w:rPr>
                <w:rFonts w:hint="eastAsia" w:ascii="宋体" w:hAnsi="宋体" w:cs="宋体"/>
                <w:bCs/>
                <w:kern w:val="0"/>
                <w:szCs w:val="21"/>
              </w:rPr>
            </w:pPr>
            <w:r>
              <w:rPr>
                <w:rFonts w:hint="eastAsia" w:ascii="宋体" w:hAnsi="宋体" w:cs="宋体"/>
                <w:bCs/>
                <w:kern w:val="0"/>
                <w:szCs w:val="21"/>
              </w:rPr>
              <w:t>10</w:t>
            </w:r>
          </w:p>
        </w:tc>
        <w:tc>
          <w:tcPr>
            <w:tcW w:w="706" w:type="dxa"/>
            <w:tcBorders>
              <w:top w:val="single" w:color="auto" w:sz="4" w:space="0"/>
              <w:left w:val="single" w:color="auto" w:sz="4" w:space="0"/>
              <w:right w:val="single" w:color="auto" w:sz="4" w:space="0"/>
            </w:tcBorders>
            <w:vAlign w:val="center"/>
          </w:tcPr>
          <w:p w14:paraId="25C83679">
            <w:pPr>
              <w:snapToGrid w:val="0"/>
              <w:jc w:val="center"/>
              <w:rPr>
                <w:rFonts w:hint="eastAsia" w:ascii="宋体" w:hAnsi="宋体" w:cs="宋体"/>
                <w:bCs/>
                <w:kern w:val="0"/>
                <w:szCs w:val="21"/>
              </w:rPr>
            </w:pPr>
            <w:r>
              <w:rPr>
                <w:rFonts w:hint="eastAsia" w:ascii="宋体" w:hAnsi="宋体" w:cs="宋体"/>
                <w:bCs/>
                <w:kern w:val="0"/>
                <w:szCs w:val="21"/>
              </w:rPr>
              <w:t>主观</w:t>
            </w:r>
          </w:p>
        </w:tc>
      </w:tr>
      <w:tr w14:paraId="7550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14" w:type="dxa"/>
            <w:vMerge w:val="continue"/>
            <w:tcBorders>
              <w:left w:val="single" w:color="auto" w:sz="4" w:space="0"/>
              <w:right w:val="single" w:color="auto" w:sz="4" w:space="0"/>
            </w:tcBorders>
            <w:vAlign w:val="center"/>
          </w:tcPr>
          <w:p w14:paraId="4F1E828E">
            <w:pPr>
              <w:snapToGrid w:val="0"/>
              <w:jc w:val="center"/>
              <w:rPr>
                <w:rFonts w:hint="eastAsia" w:ascii="宋体" w:hAnsi="宋体" w:cs="宋体"/>
                <w:bCs/>
                <w:kern w:val="0"/>
                <w:szCs w:val="21"/>
                <w:highlight w:val="green"/>
              </w:rPr>
            </w:pPr>
          </w:p>
        </w:tc>
        <w:tc>
          <w:tcPr>
            <w:tcW w:w="1035" w:type="dxa"/>
            <w:tcBorders>
              <w:top w:val="single" w:color="auto" w:sz="4" w:space="0"/>
              <w:left w:val="single" w:color="auto" w:sz="4" w:space="0"/>
              <w:bottom w:val="single" w:color="auto" w:sz="4" w:space="0"/>
              <w:right w:val="single" w:color="auto" w:sz="4" w:space="0"/>
            </w:tcBorders>
            <w:vAlign w:val="center"/>
          </w:tcPr>
          <w:p w14:paraId="60834F5C">
            <w:pPr>
              <w:snapToGrid w:val="0"/>
              <w:jc w:val="center"/>
              <w:rPr>
                <w:rFonts w:hint="eastAsia" w:ascii="宋体" w:hAnsi="宋体" w:cs="宋体"/>
                <w:bCs/>
                <w:kern w:val="0"/>
                <w:szCs w:val="21"/>
              </w:rPr>
            </w:pPr>
            <w:r>
              <w:rPr>
                <w:rFonts w:hint="eastAsia" w:ascii="宋体" w:hAnsi="宋体" w:cs="宋体"/>
                <w:bCs/>
                <w:kern w:val="0"/>
                <w:szCs w:val="21"/>
              </w:rPr>
              <w:t>监测设备管理</w:t>
            </w:r>
          </w:p>
          <w:p w14:paraId="28886B18">
            <w:pPr>
              <w:snapToGrid w:val="0"/>
              <w:jc w:val="center"/>
              <w:rPr>
                <w:rFonts w:hint="eastAsia" w:ascii="宋体" w:hAnsi="宋体" w:cs="宋体"/>
                <w:bCs/>
                <w:kern w:val="0"/>
                <w:szCs w:val="21"/>
              </w:rPr>
            </w:pPr>
            <w:r>
              <w:rPr>
                <w:rFonts w:hint="eastAsia" w:ascii="宋体" w:hAnsi="宋体" w:cs="宋体"/>
                <w:bCs/>
                <w:kern w:val="0"/>
                <w:szCs w:val="21"/>
              </w:rPr>
              <w:t>子系统运维方</w:t>
            </w:r>
          </w:p>
          <w:p w14:paraId="14813610">
            <w:pPr>
              <w:snapToGrid w:val="0"/>
              <w:jc w:val="center"/>
              <w:rPr>
                <w:rFonts w:hint="eastAsia" w:ascii="宋体" w:hAnsi="宋体" w:cs="宋体"/>
                <w:bCs/>
                <w:kern w:val="0"/>
                <w:szCs w:val="21"/>
              </w:rPr>
            </w:pPr>
            <w:r>
              <w:rPr>
                <w:rFonts w:hint="eastAsia" w:ascii="宋体" w:hAnsi="宋体" w:cs="宋体"/>
                <w:bCs/>
                <w:kern w:val="0"/>
                <w:szCs w:val="21"/>
              </w:rPr>
              <w:t>案</w:t>
            </w:r>
          </w:p>
        </w:tc>
        <w:tc>
          <w:tcPr>
            <w:tcW w:w="6326" w:type="dxa"/>
            <w:tcBorders>
              <w:top w:val="single" w:color="auto" w:sz="4" w:space="0"/>
              <w:left w:val="single" w:color="auto" w:sz="4" w:space="0"/>
              <w:bottom w:val="single" w:color="auto" w:sz="4" w:space="0"/>
              <w:right w:val="single" w:color="auto" w:sz="4" w:space="0"/>
            </w:tcBorders>
            <w:vAlign w:val="center"/>
          </w:tcPr>
          <w:p w14:paraId="3C03BC16">
            <w:pPr>
              <w:adjustRightInd w:val="0"/>
              <w:snapToGrid w:val="0"/>
              <w:rPr>
                <w:rFonts w:hint="eastAsia" w:ascii="宋体" w:hAnsi="宋体" w:cs="宋体"/>
                <w:szCs w:val="21"/>
              </w:rPr>
            </w:pPr>
            <w:r>
              <w:rPr>
                <w:rFonts w:hint="eastAsia" w:ascii="宋体" w:hAnsi="宋体" w:cs="宋体"/>
                <w:szCs w:val="21"/>
              </w:rPr>
              <w:t xml:space="preserve">方案进行了详细的阐述，能正确理解项目需求，思路清晰，针对性强，合理分析现状且满足招标要求，得10分； </w:t>
            </w:r>
          </w:p>
          <w:p w14:paraId="76535B46">
            <w:pPr>
              <w:adjustRightInd w:val="0"/>
              <w:snapToGrid w:val="0"/>
              <w:rPr>
                <w:rFonts w:hint="eastAsia" w:ascii="宋体" w:hAnsi="宋体" w:cs="宋体"/>
                <w:szCs w:val="21"/>
              </w:rPr>
            </w:pPr>
            <w:r>
              <w:rPr>
                <w:rFonts w:hint="eastAsia" w:ascii="宋体" w:hAnsi="宋体" w:cs="宋体"/>
                <w:szCs w:val="21"/>
              </w:rPr>
              <w:t xml:space="preserve">方案虽进行阐述但并未进行详细论述，或方案中未包括具体实施细节及措施，得6分； </w:t>
            </w:r>
          </w:p>
          <w:p w14:paraId="76E190FA">
            <w:pPr>
              <w:adjustRightInd w:val="0"/>
              <w:snapToGrid w:val="0"/>
              <w:rPr>
                <w:rFonts w:hint="eastAsia" w:ascii="宋体" w:hAnsi="宋体" w:cs="宋体"/>
                <w:szCs w:val="21"/>
              </w:rPr>
            </w:pPr>
            <w:r>
              <w:rPr>
                <w:rFonts w:hint="eastAsia" w:ascii="宋体" w:hAnsi="宋体" w:cs="宋体"/>
                <w:szCs w:val="21"/>
              </w:rPr>
              <w:t xml:space="preserve">方案的应答仅部分满足招标要求，得3分； </w:t>
            </w:r>
          </w:p>
          <w:p w14:paraId="4683AD19">
            <w:pPr>
              <w:adjustRightInd w:val="0"/>
              <w:snapToGrid w:val="0"/>
              <w:rPr>
                <w:rFonts w:hint="eastAsia" w:ascii="宋体" w:hAnsi="宋体" w:cs="宋体"/>
                <w:szCs w:val="21"/>
              </w:rPr>
            </w:pPr>
            <w:r>
              <w:rPr>
                <w:rFonts w:hint="eastAsia" w:ascii="宋体" w:hAnsi="宋体" w:cs="宋体"/>
                <w:szCs w:val="21"/>
              </w:rPr>
              <w:t>方案未进行任何阐述或不满足招标要求，得 0 分。</w:t>
            </w:r>
          </w:p>
        </w:tc>
        <w:tc>
          <w:tcPr>
            <w:tcW w:w="706" w:type="dxa"/>
            <w:tcBorders>
              <w:top w:val="single" w:color="auto" w:sz="4" w:space="0"/>
              <w:left w:val="single" w:color="auto" w:sz="4" w:space="0"/>
              <w:right w:val="single" w:color="auto" w:sz="4" w:space="0"/>
            </w:tcBorders>
            <w:vAlign w:val="center"/>
          </w:tcPr>
          <w:p w14:paraId="44946FAC">
            <w:pPr>
              <w:adjustRightInd w:val="0"/>
              <w:snapToGrid w:val="0"/>
              <w:jc w:val="center"/>
              <w:rPr>
                <w:rFonts w:hint="eastAsia" w:ascii="宋体" w:hAnsi="宋体" w:cs="宋体"/>
                <w:bCs/>
                <w:kern w:val="0"/>
                <w:szCs w:val="21"/>
              </w:rPr>
            </w:pPr>
            <w:r>
              <w:rPr>
                <w:rFonts w:hint="eastAsia" w:ascii="宋体" w:hAnsi="宋体" w:cs="宋体"/>
                <w:bCs/>
                <w:kern w:val="0"/>
                <w:szCs w:val="21"/>
              </w:rPr>
              <w:t>10</w:t>
            </w:r>
          </w:p>
        </w:tc>
        <w:tc>
          <w:tcPr>
            <w:tcW w:w="706" w:type="dxa"/>
            <w:tcBorders>
              <w:top w:val="single" w:color="auto" w:sz="4" w:space="0"/>
              <w:left w:val="single" w:color="auto" w:sz="4" w:space="0"/>
              <w:right w:val="single" w:color="auto" w:sz="4" w:space="0"/>
            </w:tcBorders>
            <w:vAlign w:val="center"/>
          </w:tcPr>
          <w:p w14:paraId="0D8D004A">
            <w:pPr>
              <w:adjustRightInd w:val="0"/>
              <w:snapToGrid w:val="0"/>
              <w:jc w:val="center"/>
              <w:rPr>
                <w:rFonts w:hint="eastAsia" w:ascii="宋体" w:hAnsi="宋体" w:cs="宋体"/>
                <w:bCs/>
                <w:kern w:val="0"/>
                <w:szCs w:val="21"/>
              </w:rPr>
            </w:pPr>
            <w:r>
              <w:rPr>
                <w:rFonts w:hint="eastAsia" w:ascii="宋体" w:hAnsi="宋体" w:cs="宋体"/>
                <w:bCs/>
                <w:kern w:val="0"/>
                <w:szCs w:val="21"/>
              </w:rPr>
              <w:t>主观</w:t>
            </w:r>
          </w:p>
        </w:tc>
      </w:tr>
      <w:tr w14:paraId="4FDE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4" w:type="dxa"/>
            <w:vMerge w:val="continue"/>
            <w:tcBorders>
              <w:left w:val="single" w:color="auto" w:sz="4" w:space="0"/>
              <w:right w:val="single" w:color="auto" w:sz="4" w:space="0"/>
            </w:tcBorders>
            <w:vAlign w:val="center"/>
          </w:tcPr>
          <w:p w14:paraId="38A66F21">
            <w:pPr>
              <w:snapToGrid w:val="0"/>
              <w:jc w:val="center"/>
              <w:rPr>
                <w:rFonts w:hint="eastAsia" w:ascii="宋体" w:hAnsi="宋体" w:cs="宋体"/>
                <w:bCs/>
                <w:kern w:val="0"/>
                <w:szCs w:val="21"/>
                <w:highlight w:val="green"/>
              </w:rPr>
            </w:pPr>
          </w:p>
        </w:tc>
        <w:tc>
          <w:tcPr>
            <w:tcW w:w="1035" w:type="dxa"/>
            <w:tcBorders>
              <w:top w:val="single" w:color="auto" w:sz="4" w:space="0"/>
              <w:left w:val="single" w:color="auto" w:sz="4" w:space="0"/>
              <w:bottom w:val="single" w:color="auto" w:sz="4" w:space="0"/>
              <w:right w:val="single" w:color="auto" w:sz="4" w:space="0"/>
            </w:tcBorders>
            <w:vAlign w:val="center"/>
          </w:tcPr>
          <w:p w14:paraId="64020773">
            <w:pPr>
              <w:snapToGrid w:val="0"/>
              <w:jc w:val="center"/>
              <w:rPr>
                <w:rFonts w:hint="eastAsia" w:ascii="宋体" w:hAnsi="宋体" w:cs="宋体"/>
                <w:szCs w:val="21"/>
              </w:rPr>
            </w:pPr>
            <w:r>
              <w:rPr>
                <w:rFonts w:hint="eastAsia" w:ascii="宋体" w:hAnsi="宋体" w:cs="宋体"/>
                <w:szCs w:val="21"/>
              </w:rPr>
              <w:t>数据管理子系</w:t>
            </w:r>
          </w:p>
          <w:p w14:paraId="3CE4A50A">
            <w:pPr>
              <w:snapToGrid w:val="0"/>
              <w:jc w:val="center"/>
              <w:rPr>
                <w:rFonts w:hint="eastAsia" w:ascii="宋体" w:hAnsi="宋体" w:cs="宋体"/>
                <w:szCs w:val="21"/>
              </w:rPr>
            </w:pPr>
            <w:r>
              <w:rPr>
                <w:rFonts w:hint="eastAsia" w:ascii="宋体" w:hAnsi="宋体" w:cs="宋体"/>
                <w:szCs w:val="21"/>
              </w:rPr>
              <w:t>统运维方案</w:t>
            </w:r>
          </w:p>
        </w:tc>
        <w:tc>
          <w:tcPr>
            <w:tcW w:w="6326" w:type="dxa"/>
            <w:tcBorders>
              <w:top w:val="single" w:color="auto" w:sz="4" w:space="0"/>
              <w:left w:val="single" w:color="auto" w:sz="4" w:space="0"/>
              <w:bottom w:val="single" w:color="auto" w:sz="4" w:space="0"/>
              <w:right w:val="single" w:color="auto" w:sz="4" w:space="0"/>
            </w:tcBorders>
            <w:vAlign w:val="center"/>
          </w:tcPr>
          <w:p w14:paraId="2A9C3771">
            <w:pPr>
              <w:autoSpaceDE w:val="0"/>
              <w:autoSpaceDN w:val="0"/>
              <w:adjustRightInd w:val="0"/>
              <w:jc w:val="left"/>
              <w:rPr>
                <w:rFonts w:hint="eastAsia" w:ascii="宋体" w:hAnsi="宋体" w:cs="宋体"/>
                <w:szCs w:val="21"/>
              </w:rPr>
            </w:pPr>
            <w:r>
              <w:rPr>
                <w:rFonts w:hint="eastAsia" w:ascii="宋体" w:hAnsi="宋体" w:cs="宋体"/>
                <w:szCs w:val="21"/>
              </w:rPr>
              <w:t xml:space="preserve">方案进行了详细的阐述，能正确理解项目需求，思路清晰，针对性强，合理分析现状且满足招标要求，得10分； </w:t>
            </w:r>
          </w:p>
          <w:p w14:paraId="4607B67A">
            <w:pPr>
              <w:autoSpaceDE w:val="0"/>
              <w:autoSpaceDN w:val="0"/>
              <w:adjustRightInd w:val="0"/>
              <w:jc w:val="left"/>
              <w:rPr>
                <w:rFonts w:hint="eastAsia" w:ascii="宋体" w:hAnsi="宋体" w:cs="宋体"/>
                <w:szCs w:val="21"/>
              </w:rPr>
            </w:pPr>
            <w:r>
              <w:rPr>
                <w:rFonts w:hint="eastAsia" w:ascii="宋体" w:hAnsi="宋体" w:cs="宋体"/>
                <w:szCs w:val="21"/>
              </w:rPr>
              <w:t xml:space="preserve">方案虽进行阐述但并未进行详细论述，或方案中未包括具体实施细节及措施，得6分； </w:t>
            </w:r>
          </w:p>
          <w:p w14:paraId="30F04AA7">
            <w:pPr>
              <w:autoSpaceDE w:val="0"/>
              <w:autoSpaceDN w:val="0"/>
              <w:adjustRightInd w:val="0"/>
              <w:jc w:val="left"/>
              <w:rPr>
                <w:rFonts w:hint="eastAsia" w:ascii="宋体" w:hAnsi="宋体" w:cs="宋体"/>
                <w:szCs w:val="21"/>
              </w:rPr>
            </w:pPr>
            <w:r>
              <w:rPr>
                <w:rFonts w:hint="eastAsia" w:ascii="宋体" w:hAnsi="宋体" w:cs="宋体"/>
                <w:szCs w:val="21"/>
              </w:rPr>
              <w:t xml:space="preserve">方案的应答仅部分满足招标要求，得3分； </w:t>
            </w:r>
          </w:p>
          <w:p w14:paraId="0D6CA477">
            <w:pPr>
              <w:autoSpaceDE w:val="0"/>
              <w:autoSpaceDN w:val="0"/>
              <w:adjustRightInd w:val="0"/>
              <w:jc w:val="left"/>
              <w:rPr>
                <w:rFonts w:hint="eastAsia" w:ascii="宋体" w:hAnsi="宋体" w:cs="宋体"/>
                <w:szCs w:val="21"/>
              </w:rPr>
            </w:pPr>
            <w:r>
              <w:rPr>
                <w:rFonts w:hint="eastAsia" w:ascii="宋体" w:hAnsi="宋体" w:cs="宋体"/>
                <w:szCs w:val="21"/>
              </w:rPr>
              <w:t>方案未进行任何阐述或不满足招标要求，得 0 分。</w:t>
            </w:r>
          </w:p>
        </w:tc>
        <w:tc>
          <w:tcPr>
            <w:tcW w:w="706" w:type="dxa"/>
            <w:tcBorders>
              <w:top w:val="single" w:color="auto" w:sz="4" w:space="0"/>
              <w:left w:val="single" w:color="auto" w:sz="4" w:space="0"/>
              <w:right w:val="single" w:color="auto" w:sz="4" w:space="0"/>
            </w:tcBorders>
            <w:vAlign w:val="center"/>
          </w:tcPr>
          <w:p w14:paraId="1BEE1AC3">
            <w:pPr>
              <w:adjustRightInd w:val="0"/>
              <w:snapToGrid w:val="0"/>
              <w:jc w:val="center"/>
              <w:rPr>
                <w:rFonts w:hint="eastAsia" w:ascii="宋体" w:hAnsi="宋体" w:cs="宋体"/>
                <w:szCs w:val="21"/>
              </w:rPr>
            </w:pPr>
            <w:r>
              <w:rPr>
                <w:rFonts w:hint="eastAsia" w:ascii="宋体" w:hAnsi="宋体" w:cs="宋体"/>
                <w:szCs w:val="21"/>
              </w:rPr>
              <w:t>10</w:t>
            </w:r>
          </w:p>
        </w:tc>
        <w:tc>
          <w:tcPr>
            <w:tcW w:w="706" w:type="dxa"/>
            <w:tcBorders>
              <w:top w:val="single" w:color="auto" w:sz="4" w:space="0"/>
              <w:left w:val="single" w:color="auto" w:sz="4" w:space="0"/>
              <w:right w:val="single" w:color="auto" w:sz="4" w:space="0"/>
            </w:tcBorders>
            <w:vAlign w:val="center"/>
          </w:tcPr>
          <w:p w14:paraId="188560CA">
            <w:pPr>
              <w:adjustRightInd w:val="0"/>
              <w:snapToGrid w:val="0"/>
              <w:jc w:val="center"/>
              <w:rPr>
                <w:rFonts w:hint="eastAsia" w:ascii="宋体" w:hAnsi="宋体" w:cs="宋体"/>
                <w:szCs w:val="21"/>
              </w:rPr>
            </w:pPr>
            <w:r>
              <w:rPr>
                <w:rFonts w:hint="eastAsia" w:ascii="宋体" w:hAnsi="宋体" w:cs="宋体"/>
                <w:bCs/>
                <w:kern w:val="0"/>
                <w:szCs w:val="21"/>
              </w:rPr>
              <w:t>主观</w:t>
            </w:r>
          </w:p>
        </w:tc>
      </w:tr>
      <w:tr w14:paraId="6242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14" w:type="dxa"/>
            <w:vMerge w:val="continue"/>
            <w:tcBorders>
              <w:left w:val="single" w:color="auto" w:sz="4" w:space="0"/>
              <w:right w:val="single" w:color="auto" w:sz="4" w:space="0"/>
            </w:tcBorders>
            <w:vAlign w:val="center"/>
          </w:tcPr>
          <w:p w14:paraId="37B00DDD">
            <w:pPr>
              <w:snapToGrid w:val="0"/>
              <w:jc w:val="center"/>
              <w:rPr>
                <w:rFonts w:hint="eastAsia" w:ascii="宋体" w:hAnsi="宋体" w:cs="宋体"/>
                <w:bCs/>
                <w:kern w:val="0"/>
                <w:szCs w:val="21"/>
                <w:highlight w:val="green"/>
              </w:rPr>
            </w:pPr>
          </w:p>
        </w:tc>
        <w:tc>
          <w:tcPr>
            <w:tcW w:w="1035" w:type="dxa"/>
            <w:tcBorders>
              <w:top w:val="single" w:color="auto" w:sz="4" w:space="0"/>
              <w:left w:val="single" w:color="auto" w:sz="4" w:space="0"/>
              <w:bottom w:val="single" w:color="auto" w:sz="4" w:space="0"/>
              <w:right w:val="single" w:color="auto" w:sz="4" w:space="0"/>
            </w:tcBorders>
            <w:vAlign w:val="center"/>
          </w:tcPr>
          <w:p w14:paraId="7810B1DF">
            <w:pPr>
              <w:snapToGrid w:val="0"/>
              <w:jc w:val="center"/>
              <w:rPr>
                <w:rFonts w:hint="eastAsia" w:ascii="宋体" w:hAnsi="宋体" w:cs="宋体"/>
                <w:szCs w:val="21"/>
              </w:rPr>
            </w:pPr>
            <w:r>
              <w:rPr>
                <w:rFonts w:hint="eastAsia" w:ascii="宋体" w:hAnsi="宋体" w:cs="宋体"/>
                <w:szCs w:val="21"/>
              </w:rPr>
              <w:t>动态监测子系</w:t>
            </w:r>
          </w:p>
          <w:p w14:paraId="3384A901">
            <w:pPr>
              <w:snapToGrid w:val="0"/>
              <w:jc w:val="center"/>
              <w:rPr>
                <w:rFonts w:hint="eastAsia" w:ascii="宋体" w:hAnsi="宋体" w:cs="宋体"/>
                <w:szCs w:val="21"/>
              </w:rPr>
            </w:pPr>
            <w:r>
              <w:rPr>
                <w:rFonts w:hint="eastAsia" w:ascii="宋体" w:hAnsi="宋体" w:cs="宋体"/>
                <w:szCs w:val="21"/>
              </w:rPr>
              <w:t>统运维方案</w:t>
            </w:r>
          </w:p>
        </w:tc>
        <w:tc>
          <w:tcPr>
            <w:tcW w:w="6326" w:type="dxa"/>
            <w:tcBorders>
              <w:top w:val="single" w:color="auto" w:sz="4" w:space="0"/>
              <w:left w:val="single" w:color="auto" w:sz="4" w:space="0"/>
              <w:bottom w:val="single" w:color="auto" w:sz="4" w:space="0"/>
              <w:right w:val="single" w:color="auto" w:sz="4" w:space="0"/>
            </w:tcBorders>
            <w:vAlign w:val="center"/>
          </w:tcPr>
          <w:p w14:paraId="035461E9">
            <w:pPr>
              <w:autoSpaceDE w:val="0"/>
              <w:autoSpaceDN w:val="0"/>
              <w:adjustRightInd w:val="0"/>
              <w:jc w:val="left"/>
              <w:rPr>
                <w:rFonts w:hint="eastAsia" w:ascii="宋体" w:hAnsi="宋体" w:cs="宋体"/>
                <w:szCs w:val="21"/>
              </w:rPr>
            </w:pPr>
            <w:r>
              <w:rPr>
                <w:rFonts w:hint="eastAsia" w:ascii="宋体" w:hAnsi="宋体" w:cs="宋体"/>
                <w:szCs w:val="21"/>
              </w:rPr>
              <w:t xml:space="preserve">方案进行了详细的阐述，能正确理解项目需求，思路清晰，针对性强，合理分析现状且满足招标要求，得6分； </w:t>
            </w:r>
          </w:p>
          <w:p w14:paraId="573CD340">
            <w:pPr>
              <w:autoSpaceDE w:val="0"/>
              <w:autoSpaceDN w:val="0"/>
              <w:adjustRightInd w:val="0"/>
              <w:jc w:val="left"/>
              <w:rPr>
                <w:rFonts w:hint="eastAsia" w:ascii="宋体" w:hAnsi="宋体" w:cs="宋体"/>
                <w:szCs w:val="21"/>
              </w:rPr>
            </w:pPr>
            <w:r>
              <w:rPr>
                <w:rFonts w:hint="eastAsia" w:ascii="宋体" w:hAnsi="宋体" w:cs="宋体"/>
                <w:szCs w:val="21"/>
              </w:rPr>
              <w:t xml:space="preserve">方案虽进行阐述但并未进行详细论述，或方案中未包括具体实施细节及措施，得4分； </w:t>
            </w:r>
          </w:p>
          <w:p w14:paraId="53813384">
            <w:pPr>
              <w:autoSpaceDE w:val="0"/>
              <w:autoSpaceDN w:val="0"/>
              <w:adjustRightInd w:val="0"/>
              <w:jc w:val="left"/>
              <w:rPr>
                <w:rFonts w:hint="eastAsia" w:ascii="宋体" w:hAnsi="宋体" w:cs="宋体"/>
                <w:szCs w:val="21"/>
              </w:rPr>
            </w:pPr>
            <w:r>
              <w:rPr>
                <w:rFonts w:hint="eastAsia" w:ascii="宋体" w:hAnsi="宋体" w:cs="宋体"/>
                <w:szCs w:val="21"/>
              </w:rPr>
              <w:t xml:space="preserve">方案的应答仅部分满足招标要求，得2分； </w:t>
            </w:r>
          </w:p>
          <w:p w14:paraId="1EA223B3">
            <w:pPr>
              <w:autoSpaceDE w:val="0"/>
              <w:autoSpaceDN w:val="0"/>
              <w:adjustRightInd w:val="0"/>
              <w:jc w:val="left"/>
              <w:rPr>
                <w:rFonts w:hint="eastAsia" w:ascii="宋体" w:hAnsi="宋体" w:cs="宋体"/>
                <w:szCs w:val="21"/>
              </w:rPr>
            </w:pPr>
            <w:r>
              <w:rPr>
                <w:rFonts w:hint="eastAsia" w:ascii="宋体" w:hAnsi="宋体" w:cs="宋体"/>
                <w:szCs w:val="21"/>
              </w:rPr>
              <w:t>方案未进行任何阐述或不满足招标要求，得 0 分。</w:t>
            </w:r>
          </w:p>
        </w:tc>
        <w:tc>
          <w:tcPr>
            <w:tcW w:w="706" w:type="dxa"/>
            <w:tcBorders>
              <w:top w:val="single" w:color="auto" w:sz="4" w:space="0"/>
              <w:left w:val="single" w:color="auto" w:sz="4" w:space="0"/>
              <w:right w:val="single" w:color="auto" w:sz="4" w:space="0"/>
            </w:tcBorders>
            <w:vAlign w:val="center"/>
          </w:tcPr>
          <w:p w14:paraId="4D404E36">
            <w:pPr>
              <w:adjustRightInd w:val="0"/>
              <w:snapToGrid w:val="0"/>
              <w:jc w:val="center"/>
              <w:rPr>
                <w:rFonts w:hint="eastAsia" w:ascii="宋体" w:hAnsi="宋体" w:cs="宋体"/>
                <w:szCs w:val="21"/>
              </w:rPr>
            </w:pPr>
            <w:r>
              <w:rPr>
                <w:rFonts w:hint="eastAsia" w:ascii="宋体" w:hAnsi="宋体" w:cs="宋体"/>
                <w:szCs w:val="21"/>
              </w:rPr>
              <w:t>6</w:t>
            </w:r>
          </w:p>
        </w:tc>
        <w:tc>
          <w:tcPr>
            <w:tcW w:w="706" w:type="dxa"/>
            <w:tcBorders>
              <w:top w:val="single" w:color="auto" w:sz="4" w:space="0"/>
              <w:left w:val="single" w:color="auto" w:sz="4" w:space="0"/>
              <w:right w:val="single" w:color="auto" w:sz="4" w:space="0"/>
            </w:tcBorders>
            <w:vAlign w:val="center"/>
          </w:tcPr>
          <w:p w14:paraId="370552B2">
            <w:pPr>
              <w:adjustRightInd w:val="0"/>
              <w:snapToGrid w:val="0"/>
              <w:jc w:val="center"/>
              <w:rPr>
                <w:rFonts w:hint="eastAsia" w:ascii="宋体" w:hAnsi="宋体" w:cs="宋体"/>
                <w:szCs w:val="21"/>
              </w:rPr>
            </w:pPr>
            <w:r>
              <w:rPr>
                <w:rFonts w:hint="eastAsia" w:ascii="宋体" w:hAnsi="宋体" w:cs="宋体"/>
                <w:bCs/>
                <w:kern w:val="0"/>
                <w:szCs w:val="21"/>
              </w:rPr>
              <w:t>主观</w:t>
            </w:r>
          </w:p>
        </w:tc>
      </w:tr>
      <w:tr w14:paraId="2888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14" w:type="dxa"/>
            <w:vMerge w:val="continue"/>
            <w:tcBorders>
              <w:left w:val="single" w:color="auto" w:sz="4" w:space="0"/>
              <w:right w:val="single" w:color="auto" w:sz="4" w:space="0"/>
            </w:tcBorders>
            <w:vAlign w:val="center"/>
          </w:tcPr>
          <w:p w14:paraId="25481457">
            <w:pPr>
              <w:snapToGrid w:val="0"/>
              <w:jc w:val="center"/>
              <w:rPr>
                <w:rFonts w:hint="eastAsia" w:ascii="宋体" w:hAnsi="宋体" w:cs="宋体"/>
                <w:bCs/>
                <w:kern w:val="0"/>
                <w:szCs w:val="21"/>
                <w:highlight w:val="green"/>
              </w:rPr>
            </w:pPr>
          </w:p>
        </w:tc>
        <w:tc>
          <w:tcPr>
            <w:tcW w:w="1035" w:type="dxa"/>
            <w:tcBorders>
              <w:top w:val="single" w:color="auto" w:sz="4" w:space="0"/>
              <w:left w:val="single" w:color="auto" w:sz="4" w:space="0"/>
              <w:bottom w:val="single" w:color="auto" w:sz="4" w:space="0"/>
              <w:right w:val="single" w:color="auto" w:sz="4" w:space="0"/>
            </w:tcBorders>
            <w:vAlign w:val="center"/>
          </w:tcPr>
          <w:p w14:paraId="5941074D">
            <w:pPr>
              <w:snapToGrid w:val="0"/>
              <w:jc w:val="center"/>
              <w:rPr>
                <w:rFonts w:hint="eastAsia" w:ascii="宋体" w:hAnsi="宋体" w:cs="宋体"/>
                <w:szCs w:val="21"/>
              </w:rPr>
            </w:pPr>
            <w:r>
              <w:rPr>
                <w:rFonts w:hint="eastAsia" w:ascii="宋体" w:hAnsi="宋体" w:cs="宋体"/>
                <w:szCs w:val="21"/>
              </w:rPr>
              <w:t>预警分析子系</w:t>
            </w:r>
          </w:p>
          <w:p w14:paraId="2EC1E991">
            <w:pPr>
              <w:snapToGrid w:val="0"/>
              <w:jc w:val="center"/>
              <w:rPr>
                <w:rFonts w:hint="eastAsia" w:ascii="宋体" w:hAnsi="宋体" w:cs="宋体"/>
                <w:szCs w:val="21"/>
              </w:rPr>
            </w:pPr>
            <w:r>
              <w:rPr>
                <w:rFonts w:hint="eastAsia" w:ascii="宋体" w:hAnsi="宋体" w:cs="宋体"/>
                <w:szCs w:val="21"/>
              </w:rPr>
              <w:t>统运维方案</w:t>
            </w:r>
          </w:p>
        </w:tc>
        <w:tc>
          <w:tcPr>
            <w:tcW w:w="6326" w:type="dxa"/>
            <w:tcBorders>
              <w:top w:val="single" w:color="auto" w:sz="4" w:space="0"/>
              <w:left w:val="single" w:color="auto" w:sz="4" w:space="0"/>
              <w:bottom w:val="single" w:color="auto" w:sz="4" w:space="0"/>
              <w:right w:val="single" w:color="auto" w:sz="4" w:space="0"/>
            </w:tcBorders>
            <w:vAlign w:val="center"/>
          </w:tcPr>
          <w:p w14:paraId="602A3C49">
            <w:pPr>
              <w:autoSpaceDE w:val="0"/>
              <w:autoSpaceDN w:val="0"/>
              <w:adjustRightInd w:val="0"/>
              <w:jc w:val="left"/>
              <w:rPr>
                <w:rFonts w:hint="eastAsia" w:ascii="宋体" w:hAnsi="宋体" w:cs="宋体"/>
                <w:szCs w:val="21"/>
              </w:rPr>
            </w:pPr>
            <w:r>
              <w:rPr>
                <w:rFonts w:hint="eastAsia" w:ascii="宋体" w:hAnsi="宋体" w:cs="宋体"/>
                <w:szCs w:val="21"/>
              </w:rPr>
              <w:t xml:space="preserve">方案进行了详细的阐述，能正确理解项目需求，思路清晰，针对性强，合理分析现状且满足招标要求，得5分； </w:t>
            </w:r>
          </w:p>
          <w:p w14:paraId="4F57A9D7">
            <w:pPr>
              <w:autoSpaceDE w:val="0"/>
              <w:autoSpaceDN w:val="0"/>
              <w:adjustRightInd w:val="0"/>
              <w:jc w:val="left"/>
              <w:rPr>
                <w:rFonts w:hint="eastAsia" w:ascii="宋体" w:hAnsi="宋体" w:cs="宋体"/>
                <w:szCs w:val="21"/>
              </w:rPr>
            </w:pPr>
            <w:r>
              <w:rPr>
                <w:rFonts w:hint="eastAsia" w:ascii="宋体" w:hAnsi="宋体" w:cs="宋体"/>
                <w:szCs w:val="21"/>
              </w:rPr>
              <w:t xml:space="preserve">方案虽进行阐述但并未进行详细论述，或方案中未包括具体实施细节及措施，得3分； </w:t>
            </w:r>
          </w:p>
          <w:p w14:paraId="711B7777">
            <w:pPr>
              <w:autoSpaceDE w:val="0"/>
              <w:autoSpaceDN w:val="0"/>
              <w:adjustRightInd w:val="0"/>
              <w:jc w:val="left"/>
              <w:rPr>
                <w:rFonts w:hint="eastAsia" w:ascii="宋体" w:hAnsi="宋体" w:cs="宋体"/>
                <w:szCs w:val="21"/>
              </w:rPr>
            </w:pPr>
            <w:r>
              <w:rPr>
                <w:rFonts w:hint="eastAsia" w:ascii="宋体" w:hAnsi="宋体" w:cs="宋体"/>
                <w:szCs w:val="21"/>
              </w:rPr>
              <w:t xml:space="preserve">方案的应答仅部分满足招标要求，得1分； </w:t>
            </w:r>
          </w:p>
          <w:p w14:paraId="45C312AE">
            <w:pPr>
              <w:autoSpaceDE w:val="0"/>
              <w:autoSpaceDN w:val="0"/>
              <w:adjustRightInd w:val="0"/>
              <w:jc w:val="left"/>
              <w:rPr>
                <w:rFonts w:hint="eastAsia" w:ascii="宋体" w:hAnsi="宋体" w:cs="宋体"/>
                <w:szCs w:val="21"/>
              </w:rPr>
            </w:pPr>
            <w:r>
              <w:rPr>
                <w:rFonts w:hint="eastAsia" w:ascii="宋体" w:hAnsi="宋体" w:cs="宋体"/>
                <w:szCs w:val="21"/>
              </w:rPr>
              <w:t>方案未进行任何阐述或不满足招标要求，得 0 分。</w:t>
            </w:r>
          </w:p>
        </w:tc>
        <w:tc>
          <w:tcPr>
            <w:tcW w:w="706" w:type="dxa"/>
            <w:tcBorders>
              <w:top w:val="single" w:color="auto" w:sz="4" w:space="0"/>
              <w:left w:val="single" w:color="auto" w:sz="4" w:space="0"/>
              <w:right w:val="single" w:color="auto" w:sz="4" w:space="0"/>
            </w:tcBorders>
            <w:vAlign w:val="center"/>
          </w:tcPr>
          <w:p w14:paraId="67B08030">
            <w:pPr>
              <w:adjustRightInd w:val="0"/>
              <w:snapToGrid w:val="0"/>
              <w:jc w:val="center"/>
              <w:rPr>
                <w:rFonts w:hint="eastAsia" w:ascii="宋体" w:hAnsi="宋体" w:cs="宋体"/>
                <w:szCs w:val="21"/>
              </w:rPr>
            </w:pPr>
            <w:r>
              <w:rPr>
                <w:rFonts w:hint="eastAsia" w:ascii="宋体" w:hAnsi="宋体" w:cs="宋体"/>
                <w:szCs w:val="21"/>
              </w:rPr>
              <w:t>5</w:t>
            </w:r>
          </w:p>
        </w:tc>
        <w:tc>
          <w:tcPr>
            <w:tcW w:w="706" w:type="dxa"/>
            <w:tcBorders>
              <w:top w:val="single" w:color="auto" w:sz="4" w:space="0"/>
              <w:left w:val="single" w:color="auto" w:sz="4" w:space="0"/>
              <w:right w:val="single" w:color="auto" w:sz="4" w:space="0"/>
            </w:tcBorders>
            <w:vAlign w:val="center"/>
          </w:tcPr>
          <w:p w14:paraId="7932AF9D">
            <w:pPr>
              <w:adjustRightInd w:val="0"/>
              <w:snapToGrid w:val="0"/>
              <w:jc w:val="center"/>
              <w:rPr>
                <w:rFonts w:hint="eastAsia" w:ascii="宋体" w:hAnsi="宋体" w:cs="宋体"/>
                <w:szCs w:val="21"/>
              </w:rPr>
            </w:pPr>
            <w:r>
              <w:rPr>
                <w:rFonts w:hint="eastAsia" w:ascii="宋体" w:hAnsi="宋体" w:cs="宋体"/>
                <w:bCs/>
                <w:kern w:val="0"/>
                <w:szCs w:val="21"/>
              </w:rPr>
              <w:t>主观</w:t>
            </w:r>
          </w:p>
        </w:tc>
      </w:tr>
      <w:tr w14:paraId="5068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14" w:type="dxa"/>
            <w:vMerge w:val="continue"/>
            <w:tcBorders>
              <w:left w:val="single" w:color="auto" w:sz="4" w:space="0"/>
              <w:right w:val="single" w:color="auto" w:sz="4" w:space="0"/>
            </w:tcBorders>
            <w:vAlign w:val="center"/>
          </w:tcPr>
          <w:p w14:paraId="07B6EFAC">
            <w:pPr>
              <w:snapToGrid w:val="0"/>
              <w:jc w:val="center"/>
              <w:rPr>
                <w:rFonts w:hint="eastAsia" w:ascii="宋体" w:hAnsi="宋体" w:cs="宋体"/>
                <w:bCs/>
                <w:kern w:val="0"/>
                <w:szCs w:val="21"/>
                <w:highlight w:val="green"/>
              </w:rPr>
            </w:pPr>
          </w:p>
        </w:tc>
        <w:tc>
          <w:tcPr>
            <w:tcW w:w="1035" w:type="dxa"/>
            <w:tcBorders>
              <w:top w:val="single" w:color="auto" w:sz="4" w:space="0"/>
              <w:left w:val="single" w:color="auto" w:sz="4" w:space="0"/>
              <w:bottom w:val="single" w:color="auto" w:sz="4" w:space="0"/>
              <w:right w:val="single" w:color="auto" w:sz="4" w:space="0"/>
            </w:tcBorders>
            <w:vAlign w:val="center"/>
          </w:tcPr>
          <w:p w14:paraId="10153E34">
            <w:pPr>
              <w:snapToGrid w:val="0"/>
              <w:jc w:val="center"/>
              <w:rPr>
                <w:rFonts w:hint="eastAsia" w:ascii="宋体" w:hAnsi="宋体" w:cs="宋体"/>
                <w:szCs w:val="21"/>
              </w:rPr>
            </w:pPr>
            <w:r>
              <w:rPr>
                <w:rFonts w:hint="eastAsia" w:ascii="宋体" w:hAnsi="宋体" w:cs="宋体"/>
                <w:szCs w:val="21"/>
              </w:rPr>
              <w:t>预警预报子系</w:t>
            </w:r>
          </w:p>
          <w:p w14:paraId="1A000485">
            <w:pPr>
              <w:snapToGrid w:val="0"/>
              <w:jc w:val="center"/>
              <w:rPr>
                <w:rFonts w:hint="eastAsia" w:ascii="宋体" w:hAnsi="宋体" w:cs="宋体"/>
                <w:szCs w:val="21"/>
              </w:rPr>
            </w:pPr>
            <w:r>
              <w:rPr>
                <w:rFonts w:hint="eastAsia" w:ascii="宋体" w:hAnsi="宋体" w:cs="宋体"/>
                <w:szCs w:val="21"/>
              </w:rPr>
              <w:t>统运维方案</w:t>
            </w:r>
          </w:p>
        </w:tc>
        <w:tc>
          <w:tcPr>
            <w:tcW w:w="6326" w:type="dxa"/>
            <w:tcBorders>
              <w:top w:val="single" w:color="auto" w:sz="4" w:space="0"/>
              <w:left w:val="single" w:color="auto" w:sz="4" w:space="0"/>
              <w:bottom w:val="single" w:color="auto" w:sz="4" w:space="0"/>
              <w:right w:val="single" w:color="auto" w:sz="4" w:space="0"/>
            </w:tcBorders>
            <w:vAlign w:val="center"/>
          </w:tcPr>
          <w:p w14:paraId="0DBA1B91">
            <w:pPr>
              <w:autoSpaceDE w:val="0"/>
              <w:autoSpaceDN w:val="0"/>
              <w:adjustRightInd w:val="0"/>
              <w:jc w:val="left"/>
              <w:rPr>
                <w:rFonts w:hint="eastAsia" w:ascii="宋体" w:hAnsi="宋体" w:cs="宋体"/>
                <w:szCs w:val="21"/>
              </w:rPr>
            </w:pPr>
            <w:r>
              <w:rPr>
                <w:rFonts w:hint="eastAsia" w:ascii="宋体" w:hAnsi="宋体" w:cs="宋体"/>
                <w:szCs w:val="21"/>
              </w:rPr>
              <w:t xml:space="preserve">方案进行了详细的阐述，能正确理解项目需求，思路清晰，针对性强，合理分析现状且满足招标要求，得5分； </w:t>
            </w:r>
          </w:p>
          <w:p w14:paraId="37C03476">
            <w:pPr>
              <w:autoSpaceDE w:val="0"/>
              <w:autoSpaceDN w:val="0"/>
              <w:adjustRightInd w:val="0"/>
              <w:jc w:val="left"/>
              <w:rPr>
                <w:rFonts w:hint="eastAsia" w:ascii="宋体" w:hAnsi="宋体" w:cs="宋体"/>
                <w:szCs w:val="21"/>
              </w:rPr>
            </w:pPr>
            <w:r>
              <w:rPr>
                <w:rFonts w:hint="eastAsia" w:ascii="宋体" w:hAnsi="宋体" w:cs="宋体"/>
                <w:szCs w:val="21"/>
              </w:rPr>
              <w:t xml:space="preserve">方案虽进行阐述但并未进行详细论述，或方案中未包括具体实施细节及措施，得3分； </w:t>
            </w:r>
          </w:p>
          <w:p w14:paraId="63A961D7">
            <w:pPr>
              <w:autoSpaceDE w:val="0"/>
              <w:autoSpaceDN w:val="0"/>
              <w:adjustRightInd w:val="0"/>
              <w:jc w:val="left"/>
              <w:rPr>
                <w:rFonts w:hint="eastAsia" w:ascii="宋体" w:hAnsi="宋体" w:cs="宋体"/>
                <w:szCs w:val="21"/>
              </w:rPr>
            </w:pPr>
            <w:r>
              <w:rPr>
                <w:rFonts w:hint="eastAsia" w:ascii="宋体" w:hAnsi="宋体" w:cs="宋体"/>
                <w:szCs w:val="21"/>
              </w:rPr>
              <w:t xml:space="preserve">方案的应答仅部分满足招标要求，得1分； </w:t>
            </w:r>
          </w:p>
          <w:p w14:paraId="741B602D">
            <w:pPr>
              <w:autoSpaceDE w:val="0"/>
              <w:autoSpaceDN w:val="0"/>
              <w:adjustRightInd w:val="0"/>
              <w:jc w:val="left"/>
              <w:rPr>
                <w:rFonts w:hint="eastAsia" w:ascii="宋体" w:hAnsi="宋体" w:cs="宋体"/>
                <w:szCs w:val="21"/>
              </w:rPr>
            </w:pPr>
            <w:r>
              <w:rPr>
                <w:rFonts w:hint="eastAsia" w:ascii="宋体" w:hAnsi="宋体" w:cs="宋体"/>
                <w:szCs w:val="21"/>
              </w:rPr>
              <w:t>方案未进行任何阐述或不满足招标要求，得 0 分。</w:t>
            </w:r>
          </w:p>
        </w:tc>
        <w:tc>
          <w:tcPr>
            <w:tcW w:w="706" w:type="dxa"/>
            <w:tcBorders>
              <w:top w:val="single" w:color="auto" w:sz="4" w:space="0"/>
              <w:left w:val="single" w:color="auto" w:sz="4" w:space="0"/>
              <w:right w:val="single" w:color="auto" w:sz="4" w:space="0"/>
            </w:tcBorders>
            <w:vAlign w:val="center"/>
          </w:tcPr>
          <w:p w14:paraId="59458DD7">
            <w:pPr>
              <w:adjustRightInd w:val="0"/>
              <w:snapToGrid w:val="0"/>
              <w:jc w:val="center"/>
              <w:rPr>
                <w:rFonts w:hint="eastAsia" w:ascii="宋体" w:hAnsi="宋体" w:cs="宋体"/>
                <w:szCs w:val="21"/>
              </w:rPr>
            </w:pPr>
            <w:r>
              <w:rPr>
                <w:rFonts w:hint="eastAsia" w:ascii="宋体" w:hAnsi="宋体" w:cs="宋体"/>
                <w:szCs w:val="21"/>
              </w:rPr>
              <w:t>5</w:t>
            </w:r>
          </w:p>
        </w:tc>
        <w:tc>
          <w:tcPr>
            <w:tcW w:w="706" w:type="dxa"/>
            <w:tcBorders>
              <w:top w:val="single" w:color="auto" w:sz="4" w:space="0"/>
              <w:left w:val="single" w:color="auto" w:sz="4" w:space="0"/>
              <w:right w:val="single" w:color="auto" w:sz="4" w:space="0"/>
            </w:tcBorders>
            <w:vAlign w:val="center"/>
          </w:tcPr>
          <w:p w14:paraId="5C5F55BC">
            <w:pPr>
              <w:adjustRightInd w:val="0"/>
              <w:snapToGrid w:val="0"/>
              <w:jc w:val="center"/>
              <w:rPr>
                <w:rFonts w:hint="eastAsia" w:ascii="宋体" w:hAnsi="宋体" w:cs="宋体"/>
                <w:szCs w:val="21"/>
              </w:rPr>
            </w:pPr>
            <w:r>
              <w:rPr>
                <w:rFonts w:hint="eastAsia" w:ascii="宋体" w:hAnsi="宋体" w:cs="宋体"/>
                <w:bCs/>
                <w:kern w:val="0"/>
                <w:szCs w:val="21"/>
              </w:rPr>
              <w:t>主观</w:t>
            </w:r>
          </w:p>
        </w:tc>
      </w:tr>
      <w:tr w14:paraId="42AA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914" w:type="dxa"/>
            <w:vMerge w:val="continue"/>
            <w:tcBorders>
              <w:left w:val="single" w:color="auto" w:sz="4" w:space="0"/>
              <w:right w:val="single" w:color="auto" w:sz="4" w:space="0"/>
            </w:tcBorders>
            <w:vAlign w:val="center"/>
          </w:tcPr>
          <w:p w14:paraId="63249F23">
            <w:pPr>
              <w:snapToGrid w:val="0"/>
              <w:jc w:val="center"/>
              <w:rPr>
                <w:rFonts w:hint="eastAsia" w:ascii="宋体" w:hAnsi="宋体" w:cs="宋体"/>
                <w:bCs/>
                <w:kern w:val="0"/>
                <w:szCs w:val="21"/>
                <w:highlight w:val="green"/>
              </w:rPr>
            </w:pPr>
          </w:p>
        </w:tc>
        <w:tc>
          <w:tcPr>
            <w:tcW w:w="1035" w:type="dxa"/>
            <w:tcBorders>
              <w:top w:val="single" w:color="auto" w:sz="4" w:space="0"/>
              <w:left w:val="single" w:color="auto" w:sz="4" w:space="0"/>
              <w:bottom w:val="single" w:color="auto" w:sz="4" w:space="0"/>
              <w:right w:val="single" w:color="auto" w:sz="4" w:space="0"/>
            </w:tcBorders>
            <w:vAlign w:val="center"/>
          </w:tcPr>
          <w:p w14:paraId="0EF9DF87">
            <w:pPr>
              <w:snapToGrid w:val="0"/>
              <w:jc w:val="center"/>
              <w:rPr>
                <w:rFonts w:hint="eastAsia" w:ascii="宋体" w:hAnsi="宋体" w:cs="宋体"/>
                <w:szCs w:val="21"/>
              </w:rPr>
            </w:pPr>
            <w:r>
              <w:rPr>
                <w:rFonts w:hint="eastAsia" w:ascii="宋体" w:hAnsi="宋体" w:cs="宋体"/>
                <w:szCs w:val="21"/>
              </w:rPr>
              <w:t>应急管理子系</w:t>
            </w:r>
          </w:p>
          <w:p w14:paraId="23010168">
            <w:pPr>
              <w:snapToGrid w:val="0"/>
              <w:jc w:val="center"/>
              <w:rPr>
                <w:rFonts w:hint="eastAsia" w:ascii="宋体" w:hAnsi="宋体" w:cs="宋体"/>
                <w:szCs w:val="21"/>
              </w:rPr>
            </w:pPr>
            <w:r>
              <w:rPr>
                <w:rFonts w:hint="eastAsia" w:ascii="宋体" w:hAnsi="宋体" w:cs="宋体"/>
                <w:szCs w:val="21"/>
              </w:rPr>
              <w:t>统运维方案</w:t>
            </w:r>
          </w:p>
        </w:tc>
        <w:tc>
          <w:tcPr>
            <w:tcW w:w="6326" w:type="dxa"/>
            <w:tcBorders>
              <w:top w:val="single" w:color="auto" w:sz="4" w:space="0"/>
              <w:left w:val="single" w:color="auto" w:sz="4" w:space="0"/>
              <w:bottom w:val="single" w:color="auto" w:sz="4" w:space="0"/>
              <w:right w:val="single" w:color="auto" w:sz="4" w:space="0"/>
            </w:tcBorders>
            <w:vAlign w:val="center"/>
          </w:tcPr>
          <w:p w14:paraId="789FB191">
            <w:pPr>
              <w:autoSpaceDE w:val="0"/>
              <w:autoSpaceDN w:val="0"/>
              <w:adjustRightInd w:val="0"/>
              <w:jc w:val="left"/>
              <w:rPr>
                <w:rFonts w:hint="eastAsia" w:ascii="宋体" w:hAnsi="宋体" w:cs="宋体"/>
                <w:szCs w:val="21"/>
              </w:rPr>
            </w:pPr>
            <w:r>
              <w:rPr>
                <w:rFonts w:hint="eastAsia" w:ascii="宋体" w:hAnsi="宋体" w:cs="宋体"/>
                <w:szCs w:val="21"/>
              </w:rPr>
              <w:t xml:space="preserve">方案进行了详细的阐述，能正确理解项目需求，思路清晰，针对性强，合理分析现状且满足招标要求，得3分； </w:t>
            </w:r>
          </w:p>
          <w:p w14:paraId="216C101F">
            <w:pPr>
              <w:autoSpaceDE w:val="0"/>
              <w:autoSpaceDN w:val="0"/>
              <w:adjustRightInd w:val="0"/>
              <w:jc w:val="left"/>
              <w:rPr>
                <w:rFonts w:hint="eastAsia" w:ascii="宋体" w:hAnsi="宋体" w:cs="宋体"/>
                <w:szCs w:val="21"/>
              </w:rPr>
            </w:pPr>
            <w:r>
              <w:rPr>
                <w:rFonts w:hint="eastAsia" w:ascii="宋体" w:hAnsi="宋体" w:cs="宋体"/>
                <w:szCs w:val="21"/>
              </w:rPr>
              <w:t xml:space="preserve">方案虽进行阐述但并未进行详细论述，或方案中未包括具体实施细节及措施，得2分； </w:t>
            </w:r>
          </w:p>
          <w:p w14:paraId="49B34642">
            <w:pPr>
              <w:autoSpaceDE w:val="0"/>
              <w:autoSpaceDN w:val="0"/>
              <w:adjustRightInd w:val="0"/>
              <w:jc w:val="left"/>
              <w:rPr>
                <w:rFonts w:hint="eastAsia" w:ascii="宋体" w:hAnsi="宋体" w:cs="宋体"/>
                <w:szCs w:val="21"/>
              </w:rPr>
            </w:pPr>
            <w:r>
              <w:rPr>
                <w:rFonts w:hint="eastAsia" w:ascii="宋体" w:hAnsi="宋体" w:cs="宋体"/>
                <w:szCs w:val="21"/>
              </w:rPr>
              <w:t xml:space="preserve">方案的应答仅部分满足招标要求，得1分； </w:t>
            </w:r>
          </w:p>
          <w:p w14:paraId="7D9B3960">
            <w:pPr>
              <w:autoSpaceDE w:val="0"/>
              <w:autoSpaceDN w:val="0"/>
              <w:adjustRightInd w:val="0"/>
              <w:jc w:val="left"/>
              <w:rPr>
                <w:rFonts w:hint="eastAsia" w:ascii="宋体" w:hAnsi="宋体" w:cs="宋体"/>
                <w:szCs w:val="21"/>
              </w:rPr>
            </w:pPr>
            <w:r>
              <w:rPr>
                <w:rFonts w:hint="eastAsia" w:ascii="宋体" w:hAnsi="宋体" w:cs="宋体"/>
                <w:szCs w:val="21"/>
              </w:rPr>
              <w:t>方案未进行任何阐述或不满足招标要求，得 0 分。</w:t>
            </w:r>
          </w:p>
        </w:tc>
        <w:tc>
          <w:tcPr>
            <w:tcW w:w="706" w:type="dxa"/>
            <w:tcBorders>
              <w:top w:val="single" w:color="auto" w:sz="4" w:space="0"/>
              <w:left w:val="single" w:color="auto" w:sz="4" w:space="0"/>
              <w:right w:val="single" w:color="auto" w:sz="4" w:space="0"/>
            </w:tcBorders>
            <w:vAlign w:val="center"/>
          </w:tcPr>
          <w:p w14:paraId="46F50B31">
            <w:pPr>
              <w:adjustRightInd w:val="0"/>
              <w:snapToGrid w:val="0"/>
              <w:jc w:val="center"/>
              <w:rPr>
                <w:rFonts w:hint="eastAsia" w:ascii="宋体" w:hAnsi="宋体" w:cs="宋体"/>
                <w:szCs w:val="21"/>
              </w:rPr>
            </w:pPr>
            <w:r>
              <w:rPr>
                <w:rFonts w:hint="eastAsia" w:ascii="宋体" w:hAnsi="宋体" w:cs="宋体"/>
                <w:szCs w:val="21"/>
              </w:rPr>
              <w:t>3</w:t>
            </w:r>
          </w:p>
        </w:tc>
        <w:tc>
          <w:tcPr>
            <w:tcW w:w="706" w:type="dxa"/>
            <w:tcBorders>
              <w:top w:val="single" w:color="auto" w:sz="4" w:space="0"/>
              <w:left w:val="single" w:color="auto" w:sz="4" w:space="0"/>
              <w:right w:val="single" w:color="auto" w:sz="4" w:space="0"/>
            </w:tcBorders>
            <w:vAlign w:val="center"/>
          </w:tcPr>
          <w:p w14:paraId="41BB1F42">
            <w:pPr>
              <w:adjustRightInd w:val="0"/>
              <w:snapToGrid w:val="0"/>
              <w:jc w:val="center"/>
              <w:rPr>
                <w:rFonts w:hint="eastAsia" w:ascii="宋体" w:hAnsi="宋体" w:cs="宋体"/>
                <w:szCs w:val="21"/>
              </w:rPr>
            </w:pPr>
            <w:r>
              <w:rPr>
                <w:rFonts w:hint="eastAsia" w:ascii="宋体" w:hAnsi="宋体" w:cs="宋体"/>
                <w:bCs/>
                <w:kern w:val="0"/>
                <w:szCs w:val="21"/>
              </w:rPr>
              <w:t>主观</w:t>
            </w:r>
          </w:p>
        </w:tc>
      </w:tr>
      <w:tr w14:paraId="3257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14" w:type="dxa"/>
            <w:vMerge w:val="continue"/>
            <w:tcBorders>
              <w:left w:val="single" w:color="auto" w:sz="4" w:space="0"/>
              <w:right w:val="single" w:color="auto" w:sz="4" w:space="0"/>
            </w:tcBorders>
            <w:vAlign w:val="center"/>
          </w:tcPr>
          <w:p w14:paraId="3342DB02">
            <w:pPr>
              <w:snapToGrid w:val="0"/>
              <w:jc w:val="center"/>
              <w:rPr>
                <w:rFonts w:hint="eastAsia" w:ascii="宋体" w:hAnsi="宋体" w:cs="宋体"/>
                <w:bCs/>
                <w:kern w:val="0"/>
                <w:szCs w:val="21"/>
                <w:highlight w:val="green"/>
              </w:rPr>
            </w:pPr>
          </w:p>
        </w:tc>
        <w:tc>
          <w:tcPr>
            <w:tcW w:w="1035" w:type="dxa"/>
            <w:tcBorders>
              <w:top w:val="single" w:color="auto" w:sz="4" w:space="0"/>
              <w:left w:val="single" w:color="auto" w:sz="4" w:space="0"/>
              <w:bottom w:val="single" w:color="auto" w:sz="4" w:space="0"/>
              <w:right w:val="single" w:color="auto" w:sz="4" w:space="0"/>
            </w:tcBorders>
            <w:vAlign w:val="center"/>
          </w:tcPr>
          <w:p w14:paraId="26D89FC3">
            <w:pPr>
              <w:snapToGrid w:val="0"/>
              <w:jc w:val="center"/>
              <w:rPr>
                <w:rFonts w:hint="eastAsia" w:ascii="宋体" w:hAnsi="宋体" w:cs="宋体"/>
                <w:szCs w:val="21"/>
              </w:rPr>
            </w:pPr>
            <w:r>
              <w:rPr>
                <w:rFonts w:hint="eastAsia" w:ascii="宋体" w:hAnsi="宋体" w:cs="宋体"/>
                <w:szCs w:val="21"/>
              </w:rPr>
              <w:t>三维展示子系</w:t>
            </w:r>
          </w:p>
          <w:p w14:paraId="5F75D2FB">
            <w:pPr>
              <w:snapToGrid w:val="0"/>
              <w:jc w:val="center"/>
              <w:rPr>
                <w:rFonts w:hint="eastAsia" w:ascii="宋体" w:hAnsi="宋体" w:cs="宋体"/>
                <w:szCs w:val="21"/>
              </w:rPr>
            </w:pPr>
            <w:r>
              <w:rPr>
                <w:rFonts w:hint="eastAsia" w:ascii="宋体" w:hAnsi="宋体" w:cs="宋体"/>
                <w:szCs w:val="21"/>
              </w:rPr>
              <w:t>统运维方案</w:t>
            </w:r>
          </w:p>
        </w:tc>
        <w:tc>
          <w:tcPr>
            <w:tcW w:w="6326" w:type="dxa"/>
            <w:tcBorders>
              <w:top w:val="single" w:color="auto" w:sz="4" w:space="0"/>
              <w:left w:val="single" w:color="auto" w:sz="4" w:space="0"/>
              <w:bottom w:val="single" w:color="auto" w:sz="4" w:space="0"/>
              <w:right w:val="single" w:color="auto" w:sz="4" w:space="0"/>
            </w:tcBorders>
            <w:vAlign w:val="center"/>
          </w:tcPr>
          <w:p w14:paraId="462BCA8A">
            <w:pPr>
              <w:autoSpaceDE w:val="0"/>
              <w:autoSpaceDN w:val="0"/>
              <w:adjustRightInd w:val="0"/>
              <w:jc w:val="left"/>
              <w:rPr>
                <w:rFonts w:hint="eastAsia" w:ascii="宋体" w:hAnsi="宋体" w:cs="宋体"/>
                <w:szCs w:val="21"/>
              </w:rPr>
            </w:pPr>
            <w:r>
              <w:rPr>
                <w:rFonts w:hint="eastAsia" w:ascii="宋体" w:hAnsi="宋体" w:cs="宋体"/>
                <w:szCs w:val="21"/>
              </w:rPr>
              <w:t xml:space="preserve">方案进行了详细的阐述，能正确理解项目需求，思路清晰，针对性强，合理分析现状且满足招标要求，得4分； </w:t>
            </w:r>
          </w:p>
          <w:p w14:paraId="1905E46E">
            <w:pPr>
              <w:autoSpaceDE w:val="0"/>
              <w:autoSpaceDN w:val="0"/>
              <w:adjustRightInd w:val="0"/>
              <w:jc w:val="left"/>
              <w:rPr>
                <w:rFonts w:hint="eastAsia" w:ascii="宋体" w:hAnsi="宋体" w:cs="宋体"/>
                <w:szCs w:val="21"/>
              </w:rPr>
            </w:pPr>
            <w:r>
              <w:rPr>
                <w:rFonts w:hint="eastAsia" w:ascii="宋体" w:hAnsi="宋体" w:cs="宋体"/>
                <w:szCs w:val="21"/>
              </w:rPr>
              <w:t xml:space="preserve">方案虽进行阐述但并未进行详细论述，或方案中未包括具体实施细节及措施，得2分； </w:t>
            </w:r>
          </w:p>
          <w:p w14:paraId="121910B4">
            <w:pPr>
              <w:autoSpaceDE w:val="0"/>
              <w:autoSpaceDN w:val="0"/>
              <w:adjustRightInd w:val="0"/>
              <w:jc w:val="left"/>
              <w:rPr>
                <w:rFonts w:hint="eastAsia" w:ascii="宋体" w:hAnsi="宋体" w:cs="宋体"/>
                <w:szCs w:val="21"/>
              </w:rPr>
            </w:pPr>
            <w:r>
              <w:rPr>
                <w:rFonts w:hint="eastAsia" w:ascii="宋体" w:hAnsi="宋体" w:cs="宋体"/>
                <w:szCs w:val="21"/>
              </w:rPr>
              <w:t xml:space="preserve">方案的应答仅部分满足招标要求，得1分； </w:t>
            </w:r>
          </w:p>
          <w:p w14:paraId="66A27A77">
            <w:pPr>
              <w:autoSpaceDE w:val="0"/>
              <w:autoSpaceDN w:val="0"/>
              <w:adjustRightInd w:val="0"/>
              <w:jc w:val="left"/>
              <w:rPr>
                <w:rFonts w:hint="eastAsia" w:ascii="宋体" w:hAnsi="宋体" w:cs="宋体"/>
                <w:szCs w:val="21"/>
              </w:rPr>
            </w:pPr>
            <w:r>
              <w:rPr>
                <w:rFonts w:hint="eastAsia" w:ascii="宋体" w:hAnsi="宋体" w:cs="宋体"/>
                <w:szCs w:val="21"/>
              </w:rPr>
              <w:t>方案未进行任何阐述或不满足招标要求，得 0 分。</w:t>
            </w:r>
          </w:p>
        </w:tc>
        <w:tc>
          <w:tcPr>
            <w:tcW w:w="706" w:type="dxa"/>
            <w:tcBorders>
              <w:top w:val="single" w:color="auto" w:sz="4" w:space="0"/>
              <w:left w:val="single" w:color="auto" w:sz="4" w:space="0"/>
              <w:right w:val="single" w:color="auto" w:sz="4" w:space="0"/>
            </w:tcBorders>
            <w:vAlign w:val="center"/>
          </w:tcPr>
          <w:p w14:paraId="02412676">
            <w:pPr>
              <w:adjustRightInd w:val="0"/>
              <w:snapToGrid w:val="0"/>
              <w:jc w:val="center"/>
              <w:rPr>
                <w:rFonts w:hint="eastAsia" w:ascii="宋体" w:hAnsi="宋体" w:cs="宋体"/>
                <w:szCs w:val="21"/>
              </w:rPr>
            </w:pPr>
            <w:r>
              <w:rPr>
                <w:rFonts w:hint="eastAsia" w:ascii="宋体" w:hAnsi="宋体" w:cs="宋体"/>
                <w:szCs w:val="21"/>
              </w:rPr>
              <w:t>4</w:t>
            </w:r>
          </w:p>
        </w:tc>
        <w:tc>
          <w:tcPr>
            <w:tcW w:w="706" w:type="dxa"/>
            <w:tcBorders>
              <w:top w:val="single" w:color="auto" w:sz="4" w:space="0"/>
              <w:left w:val="single" w:color="auto" w:sz="4" w:space="0"/>
              <w:right w:val="single" w:color="auto" w:sz="4" w:space="0"/>
            </w:tcBorders>
            <w:vAlign w:val="center"/>
          </w:tcPr>
          <w:p w14:paraId="186D40AE">
            <w:pPr>
              <w:adjustRightInd w:val="0"/>
              <w:snapToGrid w:val="0"/>
              <w:jc w:val="center"/>
              <w:rPr>
                <w:rFonts w:hint="eastAsia" w:ascii="宋体" w:hAnsi="宋体" w:cs="宋体"/>
                <w:szCs w:val="21"/>
              </w:rPr>
            </w:pPr>
            <w:r>
              <w:rPr>
                <w:rFonts w:hint="eastAsia" w:ascii="宋体" w:hAnsi="宋体" w:cs="宋体"/>
                <w:bCs/>
                <w:kern w:val="0"/>
                <w:szCs w:val="21"/>
              </w:rPr>
              <w:t>主观</w:t>
            </w:r>
          </w:p>
        </w:tc>
      </w:tr>
      <w:tr w14:paraId="1E89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14" w:type="dxa"/>
            <w:vMerge w:val="continue"/>
            <w:tcBorders>
              <w:left w:val="single" w:color="auto" w:sz="4" w:space="0"/>
              <w:right w:val="single" w:color="auto" w:sz="4" w:space="0"/>
            </w:tcBorders>
            <w:vAlign w:val="center"/>
          </w:tcPr>
          <w:p w14:paraId="51DEBD22">
            <w:pPr>
              <w:snapToGrid w:val="0"/>
              <w:jc w:val="center"/>
              <w:rPr>
                <w:rFonts w:hint="eastAsia" w:ascii="宋体" w:hAnsi="宋体" w:cs="宋体"/>
                <w:bCs/>
                <w:kern w:val="0"/>
                <w:szCs w:val="21"/>
                <w:highlight w:val="green"/>
              </w:rPr>
            </w:pPr>
          </w:p>
        </w:tc>
        <w:tc>
          <w:tcPr>
            <w:tcW w:w="1035" w:type="dxa"/>
            <w:tcBorders>
              <w:top w:val="single" w:color="auto" w:sz="4" w:space="0"/>
              <w:left w:val="single" w:color="auto" w:sz="4" w:space="0"/>
              <w:bottom w:val="single" w:color="auto" w:sz="4" w:space="0"/>
              <w:right w:val="single" w:color="auto" w:sz="4" w:space="0"/>
            </w:tcBorders>
            <w:vAlign w:val="center"/>
          </w:tcPr>
          <w:p w14:paraId="690AB1D1">
            <w:pPr>
              <w:snapToGrid w:val="0"/>
              <w:jc w:val="center"/>
              <w:rPr>
                <w:rFonts w:hint="eastAsia" w:ascii="宋体" w:hAnsi="宋体" w:cs="宋体"/>
                <w:szCs w:val="21"/>
              </w:rPr>
            </w:pPr>
            <w:r>
              <w:rPr>
                <w:rFonts w:hint="eastAsia" w:ascii="宋体" w:hAnsi="宋体" w:cs="宋体"/>
                <w:szCs w:val="21"/>
              </w:rPr>
              <w:t>APP 应用子系</w:t>
            </w:r>
          </w:p>
          <w:p w14:paraId="5A54916A">
            <w:pPr>
              <w:snapToGrid w:val="0"/>
              <w:jc w:val="center"/>
              <w:rPr>
                <w:rFonts w:hint="eastAsia" w:ascii="宋体" w:hAnsi="宋体" w:cs="宋体"/>
                <w:szCs w:val="21"/>
              </w:rPr>
            </w:pPr>
            <w:r>
              <w:rPr>
                <w:rFonts w:hint="eastAsia" w:ascii="宋体" w:hAnsi="宋体" w:cs="宋体"/>
                <w:szCs w:val="21"/>
              </w:rPr>
              <w:t>统运维方案</w:t>
            </w:r>
          </w:p>
        </w:tc>
        <w:tc>
          <w:tcPr>
            <w:tcW w:w="6326" w:type="dxa"/>
            <w:tcBorders>
              <w:top w:val="single" w:color="auto" w:sz="4" w:space="0"/>
              <w:left w:val="single" w:color="auto" w:sz="4" w:space="0"/>
              <w:bottom w:val="single" w:color="auto" w:sz="4" w:space="0"/>
              <w:right w:val="single" w:color="auto" w:sz="4" w:space="0"/>
            </w:tcBorders>
            <w:vAlign w:val="center"/>
          </w:tcPr>
          <w:p w14:paraId="795B7E53">
            <w:pPr>
              <w:autoSpaceDE w:val="0"/>
              <w:autoSpaceDN w:val="0"/>
              <w:adjustRightInd w:val="0"/>
              <w:jc w:val="left"/>
              <w:rPr>
                <w:rFonts w:hint="eastAsia" w:ascii="宋体" w:hAnsi="宋体" w:cs="宋体"/>
                <w:szCs w:val="21"/>
              </w:rPr>
            </w:pPr>
            <w:r>
              <w:rPr>
                <w:rFonts w:hint="eastAsia" w:ascii="宋体" w:hAnsi="宋体" w:cs="宋体"/>
                <w:szCs w:val="21"/>
              </w:rPr>
              <w:t xml:space="preserve">方案进行了详细的阐述，能正确理解项目需求，思路清晰，针对性强，合理分析现状且满足招标要求，得8分； </w:t>
            </w:r>
          </w:p>
          <w:p w14:paraId="460A28CB">
            <w:pPr>
              <w:autoSpaceDE w:val="0"/>
              <w:autoSpaceDN w:val="0"/>
              <w:adjustRightInd w:val="0"/>
              <w:jc w:val="left"/>
              <w:rPr>
                <w:rFonts w:hint="eastAsia" w:ascii="宋体" w:hAnsi="宋体" w:cs="宋体"/>
                <w:szCs w:val="21"/>
              </w:rPr>
            </w:pPr>
            <w:r>
              <w:rPr>
                <w:rFonts w:hint="eastAsia" w:ascii="宋体" w:hAnsi="宋体" w:cs="宋体"/>
                <w:szCs w:val="21"/>
              </w:rPr>
              <w:t xml:space="preserve">方案虽进行阐述但并未进行详细论述，或方案中未包括具体实施细节及措施，得5分； </w:t>
            </w:r>
          </w:p>
          <w:p w14:paraId="0ECBCA4B">
            <w:pPr>
              <w:autoSpaceDE w:val="0"/>
              <w:autoSpaceDN w:val="0"/>
              <w:adjustRightInd w:val="0"/>
              <w:jc w:val="left"/>
              <w:rPr>
                <w:rFonts w:hint="eastAsia" w:ascii="宋体" w:hAnsi="宋体" w:cs="宋体"/>
                <w:szCs w:val="21"/>
              </w:rPr>
            </w:pPr>
            <w:r>
              <w:rPr>
                <w:rFonts w:hint="eastAsia" w:ascii="宋体" w:hAnsi="宋体" w:cs="宋体"/>
                <w:szCs w:val="21"/>
              </w:rPr>
              <w:t xml:space="preserve">方案的应答仅部分满足招标要求，得3分； </w:t>
            </w:r>
          </w:p>
          <w:p w14:paraId="3B1C4ADB">
            <w:pPr>
              <w:autoSpaceDE w:val="0"/>
              <w:autoSpaceDN w:val="0"/>
              <w:adjustRightInd w:val="0"/>
              <w:jc w:val="left"/>
              <w:rPr>
                <w:rFonts w:hint="eastAsia" w:ascii="宋体" w:hAnsi="宋体" w:cs="宋体"/>
                <w:szCs w:val="21"/>
              </w:rPr>
            </w:pPr>
            <w:r>
              <w:rPr>
                <w:rFonts w:hint="eastAsia" w:ascii="宋体" w:hAnsi="宋体" w:cs="宋体"/>
                <w:szCs w:val="21"/>
              </w:rPr>
              <w:t>方案未进行任何阐述或不满足招标要求，得 0 分。</w:t>
            </w:r>
          </w:p>
        </w:tc>
        <w:tc>
          <w:tcPr>
            <w:tcW w:w="706" w:type="dxa"/>
            <w:tcBorders>
              <w:top w:val="single" w:color="auto" w:sz="4" w:space="0"/>
              <w:left w:val="single" w:color="auto" w:sz="4" w:space="0"/>
              <w:right w:val="single" w:color="auto" w:sz="4" w:space="0"/>
            </w:tcBorders>
            <w:vAlign w:val="center"/>
          </w:tcPr>
          <w:p w14:paraId="47708275">
            <w:pPr>
              <w:adjustRightInd w:val="0"/>
              <w:snapToGrid w:val="0"/>
              <w:jc w:val="center"/>
              <w:rPr>
                <w:rFonts w:hint="eastAsia" w:ascii="宋体" w:hAnsi="宋体" w:cs="宋体"/>
                <w:szCs w:val="21"/>
              </w:rPr>
            </w:pPr>
            <w:r>
              <w:rPr>
                <w:rFonts w:hint="eastAsia" w:ascii="宋体" w:hAnsi="宋体" w:cs="宋体"/>
                <w:szCs w:val="21"/>
              </w:rPr>
              <w:t>8</w:t>
            </w:r>
          </w:p>
        </w:tc>
        <w:tc>
          <w:tcPr>
            <w:tcW w:w="706" w:type="dxa"/>
            <w:tcBorders>
              <w:top w:val="single" w:color="auto" w:sz="4" w:space="0"/>
              <w:left w:val="single" w:color="auto" w:sz="4" w:space="0"/>
              <w:right w:val="single" w:color="auto" w:sz="4" w:space="0"/>
            </w:tcBorders>
            <w:vAlign w:val="center"/>
          </w:tcPr>
          <w:p w14:paraId="4249A69C">
            <w:pPr>
              <w:adjustRightInd w:val="0"/>
              <w:snapToGrid w:val="0"/>
              <w:jc w:val="center"/>
              <w:rPr>
                <w:rFonts w:hint="eastAsia" w:ascii="宋体" w:hAnsi="宋体" w:cs="宋体"/>
                <w:szCs w:val="21"/>
              </w:rPr>
            </w:pPr>
            <w:r>
              <w:rPr>
                <w:rFonts w:hint="eastAsia" w:ascii="宋体" w:hAnsi="宋体" w:cs="宋体"/>
                <w:bCs/>
                <w:kern w:val="0"/>
                <w:szCs w:val="21"/>
              </w:rPr>
              <w:t>主观</w:t>
            </w:r>
          </w:p>
        </w:tc>
      </w:tr>
      <w:tr w14:paraId="68B6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14" w:type="dxa"/>
            <w:vMerge w:val="continue"/>
            <w:tcBorders>
              <w:left w:val="single" w:color="auto" w:sz="4" w:space="0"/>
              <w:right w:val="single" w:color="auto" w:sz="4" w:space="0"/>
            </w:tcBorders>
            <w:vAlign w:val="center"/>
          </w:tcPr>
          <w:p w14:paraId="1B63F0FE">
            <w:pPr>
              <w:snapToGrid w:val="0"/>
              <w:jc w:val="center"/>
              <w:rPr>
                <w:rFonts w:hint="eastAsia" w:ascii="宋体" w:hAnsi="宋体" w:cs="宋体"/>
                <w:bCs/>
                <w:kern w:val="0"/>
                <w:szCs w:val="21"/>
                <w:highlight w:val="green"/>
              </w:rPr>
            </w:pPr>
          </w:p>
        </w:tc>
        <w:tc>
          <w:tcPr>
            <w:tcW w:w="1035" w:type="dxa"/>
            <w:tcBorders>
              <w:top w:val="single" w:color="auto" w:sz="4" w:space="0"/>
              <w:left w:val="single" w:color="auto" w:sz="4" w:space="0"/>
              <w:bottom w:val="single" w:color="auto" w:sz="4" w:space="0"/>
              <w:right w:val="single" w:color="auto" w:sz="4" w:space="0"/>
            </w:tcBorders>
            <w:vAlign w:val="center"/>
          </w:tcPr>
          <w:p w14:paraId="6420F519">
            <w:pPr>
              <w:snapToGrid w:val="0"/>
              <w:jc w:val="center"/>
              <w:rPr>
                <w:rFonts w:hint="eastAsia" w:ascii="宋体" w:hAnsi="宋体" w:cs="宋体"/>
                <w:szCs w:val="21"/>
              </w:rPr>
            </w:pPr>
            <w:r>
              <w:rPr>
                <w:rFonts w:hint="eastAsia" w:ascii="宋体" w:hAnsi="宋体" w:cs="宋体"/>
                <w:szCs w:val="21"/>
              </w:rPr>
              <w:t>视频监控子系</w:t>
            </w:r>
          </w:p>
          <w:p w14:paraId="5F679C18">
            <w:pPr>
              <w:snapToGrid w:val="0"/>
              <w:jc w:val="center"/>
              <w:rPr>
                <w:rFonts w:hint="eastAsia" w:ascii="宋体" w:hAnsi="宋体" w:cs="宋体"/>
                <w:szCs w:val="21"/>
              </w:rPr>
            </w:pPr>
            <w:r>
              <w:rPr>
                <w:rFonts w:hint="eastAsia" w:ascii="宋体" w:hAnsi="宋体" w:cs="宋体"/>
                <w:szCs w:val="21"/>
              </w:rPr>
              <w:t>统运维方案</w:t>
            </w:r>
          </w:p>
        </w:tc>
        <w:tc>
          <w:tcPr>
            <w:tcW w:w="6326" w:type="dxa"/>
            <w:tcBorders>
              <w:top w:val="single" w:color="auto" w:sz="4" w:space="0"/>
              <w:left w:val="single" w:color="auto" w:sz="4" w:space="0"/>
              <w:bottom w:val="single" w:color="auto" w:sz="4" w:space="0"/>
              <w:right w:val="single" w:color="auto" w:sz="4" w:space="0"/>
            </w:tcBorders>
            <w:vAlign w:val="center"/>
          </w:tcPr>
          <w:p w14:paraId="24DC20A8">
            <w:pPr>
              <w:autoSpaceDE w:val="0"/>
              <w:autoSpaceDN w:val="0"/>
              <w:adjustRightInd w:val="0"/>
              <w:jc w:val="left"/>
              <w:rPr>
                <w:rFonts w:hint="eastAsia" w:ascii="宋体" w:hAnsi="宋体" w:cs="宋体"/>
                <w:szCs w:val="21"/>
              </w:rPr>
            </w:pPr>
            <w:bookmarkStart w:id="824" w:name="OLE_LINK51"/>
            <w:r>
              <w:rPr>
                <w:rFonts w:hint="eastAsia" w:ascii="宋体" w:hAnsi="宋体" w:cs="宋体"/>
                <w:szCs w:val="21"/>
              </w:rPr>
              <w:t xml:space="preserve">方案进行了详细的阐述，能正确理解项目需求，思路清晰，针对性强，合理分析现状且满足招标要求，得4分； </w:t>
            </w:r>
          </w:p>
          <w:p w14:paraId="2BDDA200">
            <w:pPr>
              <w:autoSpaceDE w:val="0"/>
              <w:autoSpaceDN w:val="0"/>
              <w:adjustRightInd w:val="0"/>
              <w:jc w:val="left"/>
              <w:rPr>
                <w:rFonts w:hint="eastAsia" w:ascii="宋体" w:hAnsi="宋体" w:cs="宋体"/>
                <w:szCs w:val="21"/>
              </w:rPr>
            </w:pPr>
            <w:r>
              <w:rPr>
                <w:rFonts w:hint="eastAsia" w:ascii="宋体" w:hAnsi="宋体" w:cs="宋体"/>
                <w:szCs w:val="21"/>
              </w:rPr>
              <w:t xml:space="preserve">方案虽进行阐述但并未进行详细论述，或方案中未包括具体实施细节及措施，得2分； </w:t>
            </w:r>
          </w:p>
          <w:p w14:paraId="709CB316">
            <w:pPr>
              <w:autoSpaceDE w:val="0"/>
              <w:autoSpaceDN w:val="0"/>
              <w:adjustRightInd w:val="0"/>
              <w:jc w:val="left"/>
              <w:rPr>
                <w:rFonts w:hint="eastAsia" w:ascii="宋体" w:hAnsi="宋体" w:cs="宋体"/>
                <w:szCs w:val="21"/>
              </w:rPr>
            </w:pPr>
            <w:r>
              <w:rPr>
                <w:rFonts w:hint="eastAsia" w:ascii="宋体" w:hAnsi="宋体" w:cs="宋体"/>
                <w:szCs w:val="21"/>
              </w:rPr>
              <w:t>方案的应答仅部分满足招标要求，得1分；</w:t>
            </w:r>
          </w:p>
          <w:p w14:paraId="468F5212">
            <w:pPr>
              <w:autoSpaceDE w:val="0"/>
              <w:autoSpaceDN w:val="0"/>
              <w:adjustRightInd w:val="0"/>
              <w:jc w:val="left"/>
              <w:rPr>
                <w:rFonts w:hint="eastAsia" w:ascii="宋体" w:hAnsi="宋体" w:cs="宋体"/>
                <w:szCs w:val="21"/>
              </w:rPr>
            </w:pPr>
            <w:r>
              <w:rPr>
                <w:rFonts w:hint="eastAsia" w:ascii="宋体" w:hAnsi="宋体" w:cs="宋体"/>
                <w:szCs w:val="21"/>
              </w:rPr>
              <w:t>方案未进行任何阐述或不满足招标要求，得 0 分。</w:t>
            </w:r>
            <w:bookmarkEnd w:id="824"/>
          </w:p>
        </w:tc>
        <w:tc>
          <w:tcPr>
            <w:tcW w:w="706" w:type="dxa"/>
            <w:tcBorders>
              <w:top w:val="single" w:color="auto" w:sz="4" w:space="0"/>
              <w:left w:val="single" w:color="auto" w:sz="4" w:space="0"/>
              <w:right w:val="single" w:color="auto" w:sz="4" w:space="0"/>
            </w:tcBorders>
            <w:vAlign w:val="center"/>
          </w:tcPr>
          <w:p w14:paraId="034C58C8">
            <w:pPr>
              <w:adjustRightInd w:val="0"/>
              <w:snapToGrid w:val="0"/>
              <w:jc w:val="center"/>
              <w:rPr>
                <w:rFonts w:hint="eastAsia" w:ascii="宋体" w:hAnsi="宋体" w:cs="宋体"/>
                <w:szCs w:val="21"/>
              </w:rPr>
            </w:pPr>
            <w:r>
              <w:rPr>
                <w:rFonts w:hint="eastAsia" w:ascii="宋体" w:hAnsi="宋体" w:cs="宋体"/>
                <w:szCs w:val="21"/>
              </w:rPr>
              <w:t>4</w:t>
            </w:r>
          </w:p>
        </w:tc>
        <w:tc>
          <w:tcPr>
            <w:tcW w:w="706" w:type="dxa"/>
            <w:tcBorders>
              <w:top w:val="single" w:color="auto" w:sz="4" w:space="0"/>
              <w:left w:val="single" w:color="auto" w:sz="4" w:space="0"/>
              <w:right w:val="single" w:color="auto" w:sz="4" w:space="0"/>
            </w:tcBorders>
            <w:vAlign w:val="center"/>
          </w:tcPr>
          <w:p w14:paraId="22F694C6">
            <w:pPr>
              <w:adjustRightInd w:val="0"/>
              <w:snapToGrid w:val="0"/>
              <w:jc w:val="center"/>
              <w:rPr>
                <w:rFonts w:hint="eastAsia" w:ascii="宋体" w:hAnsi="宋体" w:cs="宋体"/>
                <w:szCs w:val="21"/>
              </w:rPr>
            </w:pPr>
            <w:r>
              <w:rPr>
                <w:rFonts w:hint="eastAsia" w:ascii="宋体" w:hAnsi="宋体" w:cs="宋体"/>
                <w:bCs/>
                <w:kern w:val="0"/>
                <w:szCs w:val="21"/>
              </w:rPr>
              <w:t>主观</w:t>
            </w:r>
          </w:p>
        </w:tc>
      </w:tr>
      <w:tr w14:paraId="2F7E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14" w:type="dxa"/>
            <w:vMerge w:val="continue"/>
            <w:tcBorders>
              <w:left w:val="single" w:color="auto" w:sz="4" w:space="0"/>
              <w:right w:val="single" w:color="auto" w:sz="4" w:space="0"/>
            </w:tcBorders>
            <w:vAlign w:val="center"/>
          </w:tcPr>
          <w:p w14:paraId="31A3D0FD">
            <w:pPr>
              <w:snapToGrid w:val="0"/>
              <w:jc w:val="center"/>
              <w:rPr>
                <w:rFonts w:hint="eastAsia" w:ascii="宋体" w:hAnsi="宋体" w:cs="宋体"/>
                <w:bCs/>
                <w:kern w:val="0"/>
                <w:szCs w:val="21"/>
                <w:highlight w:val="green"/>
              </w:rPr>
            </w:pPr>
          </w:p>
        </w:tc>
        <w:tc>
          <w:tcPr>
            <w:tcW w:w="1035" w:type="dxa"/>
            <w:tcBorders>
              <w:top w:val="single" w:color="auto" w:sz="4" w:space="0"/>
              <w:left w:val="single" w:color="auto" w:sz="4" w:space="0"/>
              <w:bottom w:val="single" w:color="auto" w:sz="4" w:space="0"/>
              <w:right w:val="single" w:color="auto" w:sz="4" w:space="0"/>
            </w:tcBorders>
            <w:vAlign w:val="center"/>
          </w:tcPr>
          <w:p w14:paraId="74953EFE">
            <w:pPr>
              <w:snapToGrid w:val="0"/>
              <w:jc w:val="center"/>
              <w:rPr>
                <w:rFonts w:hint="eastAsia" w:ascii="宋体" w:hAnsi="宋体" w:cs="宋体"/>
                <w:szCs w:val="21"/>
              </w:rPr>
            </w:pPr>
            <w:r>
              <w:rPr>
                <w:rFonts w:hint="eastAsia" w:ascii="宋体" w:hAnsi="宋体" w:cs="宋体"/>
                <w:szCs w:val="21"/>
              </w:rPr>
              <w:t>Oracel数据库运维方案</w:t>
            </w:r>
          </w:p>
        </w:tc>
        <w:tc>
          <w:tcPr>
            <w:tcW w:w="6326" w:type="dxa"/>
            <w:tcBorders>
              <w:top w:val="single" w:color="auto" w:sz="4" w:space="0"/>
              <w:left w:val="single" w:color="auto" w:sz="4" w:space="0"/>
              <w:bottom w:val="single" w:color="auto" w:sz="4" w:space="0"/>
              <w:right w:val="single" w:color="auto" w:sz="4" w:space="0"/>
            </w:tcBorders>
            <w:vAlign w:val="center"/>
          </w:tcPr>
          <w:p w14:paraId="1C9E823F">
            <w:pPr>
              <w:autoSpaceDE w:val="0"/>
              <w:autoSpaceDN w:val="0"/>
              <w:adjustRightInd w:val="0"/>
              <w:jc w:val="left"/>
              <w:rPr>
                <w:rFonts w:hint="eastAsia" w:ascii="宋体" w:hAnsi="宋体" w:cs="宋体"/>
                <w:szCs w:val="21"/>
              </w:rPr>
            </w:pPr>
            <w:r>
              <w:rPr>
                <w:rFonts w:hint="eastAsia" w:ascii="宋体" w:hAnsi="宋体" w:cs="宋体"/>
                <w:szCs w:val="21"/>
              </w:rPr>
              <w:t xml:space="preserve">方案进行了详细的阐述，能正确理解项目需求，思路清晰，针对性强，合理分析现状且满足招标要求，得4分； </w:t>
            </w:r>
          </w:p>
          <w:p w14:paraId="07F77AFD">
            <w:pPr>
              <w:autoSpaceDE w:val="0"/>
              <w:autoSpaceDN w:val="0"/>
              <w:adjustRightInd w:val="0"/>
              <w:jc w:val="left"/>
              <w:rPr>
                <w:rFonts w:hint="eastAsia" w:ascii="宋体" w:hAnsi="宋体" w:cs="宋体"/>
                <w:szCs w:val="21"/>
              </w:rPr>
            </w:pPr>
            <w:r>
              <w:rPr>
                <w:rFonts w:hint="eastAsia" w:ascii="宋体" w:hAnsi="宋体" w:cs="宋体"/>
                <w:szCs w:val="21"/>
              </w:rPr>
              <w:t xml:space="preserve">方案虽进行阐述但并未进行详细论述，或方案中未包括具体实施细节及措施，得2分； </w:t>
            </w:r>
          </w:p>
          <w:p w14:paraId="3C35F60E">
            <w:pPr>
              <w:autoSpaceDE w:val="0"/>
              <w:autoSpaceDN w:val="0"/>
              <w:adjustRightInd w:val="0"/>
              <w:jc w:val="left"/>
              <w:rPr>
                <w:rFonts w:hint="eastAsia" w:ascii="宋体" w:hAnsi="宋体" w:cs="宋体"/>
                <w:szCs w:val="21"/>
              </w:rPr>
            </w:pPr>
            <w:r>
              <w:rPr>
                <w:rFonts w:hint="eastAsia" w:ascii="宋体" w:hAnsi="宋体" w:cs="宋体"/>
                <w:szCs w:val="21"/>
              </w:rPr>
              <w:t>方案的应答仅部分满足招标要求，得1分；</w:t>
            </w:r>
          </w:p>
          <w:p w14:paraId="7D2D4F20">
            <w:pPr>
              <w:autoSpaceDE w:val="0"/>
              <w:autoSpaceDN w:val="0"/>
              <w:adjustRightInd w:val="0"/>
              <w:jc w:val="left"/>
              <w:rPr>
                <w:rFonts w:hint="eastAsia" w:ascii="宋体" w:hAnsi="宋体" w:cs="宋体"/>
                <w:szCs w:val="21"/>
              </w:rPr>
            </w:pPr>
            <w:r>
              <w:rPr>
                <w:rFonts w:hint="eastAsia" w:ascii="宋体" w:hAnsi="宋体" w:cs="宋体"/>
                <w:szCs w:val="21"/>
              </w:rPr>
              <w:t>方案未进行任何阐述或不满足招标要求，得 0 分。</w:t>
            </w:r>
          </w:p>
        </w:tc>
        <w:tc>
          <w:tcPr>
            <w:tcW w:w="706" w:type="dxa"/>
            <w:tcBorders>
              <w:top w:val="single" w:color="auto" w:sz="4" w:space="0"/>
              <w:left w:val="single" w:color="auto" w:sz="4" w:space="0"/>
              <w:right w:val="single" w:color="auto" w:sz="4" w:space="0"/>
            </w:tcBorders>
            <w:vAlign w:val="center"/>
          </w:tcPr>
          <w:p w14:paraId="4E4168DF">
            <w:pPr>
              <w:adjustRightInd w:val="0"/>
              <w:snapToGrid w:val="0"/>
              <w:jc w:val="center"/>
              <w:rPr>
                <w:rFonts w:hint="eastAsia" w:ascii="宋体" w:hAnsi="宋体" w:cs="宋体"/>
                <w:szCs w:val="21"/>
              </w:rPr>
            </w:pPr>
            <w:r>
              <w:rPr>
                <w:rFonts w:hint="eastAsia" w:ascii="宋体" w:hAnsi="宋体" w:cs="宋体"/>
                <w:szCs w:val="21"/>
              </w:rPr>
              <w:t>4</w:t>
            </w:r>
          </w:p>
        </w:tc>
        <w:tc>
          <w:tcPr>
            <w:tcW w:w="706" w:type="dxa"/>
            <w:tcBorders>
              <w:top w:val="single" w:color="auto" w:sz="4" w:space="0"/>
              <w:left w:val="single" w:color="auto" w:sz="4" w:space="0"/>
              <w:right w:val="single" w:color="auto" w:sz="4" w:space="0"/>
            </w:tcBorders>
            <w:vAlign w:val="center"/>
          </w:tcPr>
          <w:p w14:paraId="3E6122BB">
            <w:pPr>
              <w:adjustRightInd w:val="0"/>
              <w:snapToGrid w:val="0"/>
              <w:jc w:val="center"/>
              <w:rPr>
                <w:rFonts w:hint="eastAsia" w:ascii="宋体" w:hAnsi="宋体" w:cs="宋体"/>
                <w:szCs w:val="21"/>
              </w:rPr>
            </w:pPr>
            <w:r>
              <w:rPr>
                <w:rFonts w:hint="eastAsia" w:ascii="宋体" w:hAnsi="宋体" w:cs="宋体"/>
                <w:bCs/>
                <w:kern w:val="0"/>
                <w:szCs w:val="21"/>
              </w:rPr>
              <w:t>主观</w:t>
            </w:r>
          </w:p>
        </w:tc>
      </w:tr>
      <w:tr w14:paraId="1D7D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14" w:type="dxa"/>
            <w:vMerge w:val="continue"/>
            <w:tcBorders>
              <w:left w:val="single" w:color="auto" w:sz="4" w:space="0"/>
              <w:right w:val="single" w:color="auto" w:sz="4" w:space="0"/>
            </w:tcBorders>
            <w:vAlign w:val="center"/>
          </w:tcPr>
          <w:p w14:paraId="177B5E1D">
            <w:pPr>
              <w:snapToGrid w:val="0"/>
              <w:jc w:val="center"/>
              <w:rPr>
                <w:rFonts w:hint="eastAsia" w:ascii="宋体" w:hAnsi="宋体" w:cs="宋体"/>
                <w:bCs/>
                <w:kern w:val="0"/>
                <w:szCs w:val="21"/>
                <w:highlight w:val="green"/>
              </w:rPr>
            </w:pPr>
          </w:p>
        </w:tc>
        <w:tc>
          <w:tcPr>
            <w:tcW w:w="1035" w:type="dxa"/>
            <w:tcBorders>
              <w:top w:val="single" w:color="auto" w:sz="4" w:space="0"/>
              <w:left w:val="single" w:color="auto" w:sz="4" w:space="0"/>
              <w:bottom w:val="single" w:color="auto" w:sz="4" w:space="0"/>
              <w:right w:val="single" w:color="auto" w:sz="4" w:space="0"/>
            </w:tcBorders>
            <w:vAlign w:val="center"/>
          </w:tcPr>
          <w:p w14:paraId="72D64710">
            <w:pPr>
              <w:snapToGrid w:val="0"/>
              <w:jc w:val="center"/>
              <w:rPr>
                <w:rFonts w:hint="eastAsia" w:ascii="宋体" w:hAnsi="宋体" w:cs="宋体"/>
                <w:szCs w:val="21"/>
              </w:rPr>
            </w:pPr>
            <w:r>
              <w:rPr>
                <w:rFonts w:hint="eastAsia" w:ascii="宋体" w:hAnsi="宋体" w:cs="宋体"/>
                <w:szCs w:val="21"/>
              </w:rPr>
              <w:t>拟派运维团队</w:t>
            </w:r>
          </w:p>
          <w:p w14:paraId="21712A6C">
            <w:pPr>
              <w:snapToGrid w:val="0"/>
              <w:jc w:val="center"/>
              <w:rPr>
                <w:rFonts w:hint="eastAsia" w:ascii="宋体" w:hAnsi="宋体" w:cs="宋体"/>
                <w:szCs w:val="21"/>
              </w:rPr>
            </w:pPr>
            <w:r>
              <w:rPr>
                <w:rFonts w:hint="eastAsia" w:ascii="宋体" w:hAnsi="宋体" w:cs="宋体"/>
                <w:szCs w:val="21"/>
              </w:rPr>
              <w:t>专业技术能力</w:t>
            </w:r>
          </w:p>
          <w:p w14:paraId="0D754395">
            <w:pPr>
              <w:snapToGrid w:val="0"/>
              <w:jc w:val="center"/>
              <w:rPr>
                <w:rFonts w:hint="eastAsia" w:ascii="宋体" w:hAnsi="宋体" w:cs="宋体"/>
                <w:szCs w:val="21"/>
              </w:rPr>
            </w:pPr>
            <w:r>
              <w:rPr>
                <w:rFonts w:hint="eastAsia" w:ascii="宋体" w:hAnsi="宋体" w:cs="宋体"/>
                <w:szCs w:val="21"/>
              </w:rPr>
              <w:t>应答</w:t>
            </w:r>
          </w:p>
        </w:tc>
        <w:tc>
          <w:tcPr>
            <w:tcW w:w="6326" w:type="dxa"/>
            <w:tcBorders>
              <w:top w:val="single" w:color="auto" w:sz="4" w:space="0"/>
              <w:left w:val="single" w:color="auto" w:sz="4" w:space="0"/>
              <w:bottom w:val="single" w:color="auto" w:sz="4" w:space="0"/>
              <w:right w:val="single" w:color="auto" w:sz="4" w:space="0"/>
            </w:tcBorders>
            <w:vAlign w:val="center"/>
          </w:tcPr>
          <w:p w14:paraId="66AE7681">
            <w:pPr>
              <w:autoSpaceDE w:val="0"/>
              <w:autoSpaceDN w:val="0"/>
              <w:adjustRightInd w:val="0"/>
              <w:jc w:val="left"/>
              <w:rPr>
                <w:rFonts w:hint="eastAsia" w:ascii="宋体" w:hAnsi="宋体" w:cs="宋体"/>
                <w:szCs w:val="21"/>
              </w:rPr>
            </w:pPr>
            <w:r>
              <w:rPr>
                <w:rFonts w:hint="eastAsia" w:ascii="宋体" w:hAnsi="宋体" w:cs="宋体"/>
                <w:szCs w:val="21"/>
              </w:rPr>
              <w:t xml:space="preserve">投标供应商根据“第五章第五包采购需求三、其他服务要求或说明”中的第 1 至 12 条内容进行方案阐述。 </w:t>
            </w:r>
          </w:p>
          <w:p w14:paraId="4E0528BA">
            <w:pPr>
              <w:autoSpaceDE w:val="0"/>
              <w:autoSpaceDN w:val="0"/>
              <w:adjustRightInd w:val="0"/>
              <w:jc w:val="left"/>
              <w:rPr>
                <w:rFonts w:hint="eastAsia" w:ascii="宋体" w:hAnsi="宋体" w:cs="宋体"/>
                <w:szCs w:val="21"/>
              </w:rPr>
            </w:pPr>
            <w:r>
              <w:rPr>
                <w:rFonts w:hint="eastAsia" w:ascii="宋体" w:hAnsi="宋体" w:cs="宋体"/>
                <w:szCs w:val="21"/>
              </w:rPr>
              <w:t xml:space="preserve">结合拟派运维团队人员专业、经验等情况进行阐述。 </w:t>
            </w:r>
          </w:p>
          <w:p w14:paraId="36F836B2">
            <w:pPr>
              <w:autoSpaceDE w:val="0"/>
              <w:autoSpaceDN w:val="0"/>
              <w:adjustRightInd w:val="0"/>
              <w:jc w:val="left"/>
              <w:rPr>
                <w:rFonts w:hint="eastAsia" w:ascii="宋体" w:hAnsi="宋体" w:cs="宋体"/>
                <w:szCs w:val="21"/>
              </w:rPr>
            </w:pPr>
            <w:r>
              <w:rPr>
                <w:rFonts w:hint="eastAsia" w:ascii="宋体" w:hAnsi="宋体" w:cs="宋体"/>
                <w:szCs w:val="21"/>
              </w:rPr>
              <w:t xml:space="preserve">进行了详细的阐述和团队人员组成的分析，能正确理解项目的需求，团队人员组成、分工合理，团队人员系统运维或系统开发经验丰富，满足招标要求，得 6 分； </w:t>
            </w:r>
          </w:p>
          <w:p w14:paraId="6B571D4F">
            <w:pPr>
              <w:autoSpaceDE w:val="0"/>
              <w:autoSpaceDN w:val="0"/>
              <w:adjustRightInd w:val="0"/>
              <w:jc w:val="left"/>
              <w:rPr>
                <w:rFonts w:hint="eastAsia" w:ascii="宋体" w:hAnsi="宋体" w:cs="宋体"/>
                <w:szCs w:val="21"/>
              </w:rPr>
            </w:pPr>
            <w:r>
              <w:rPr>
                <w:rFonts w:hint="eastAsia" w:ascii="宋体" w:hAnsi="宋体" w:cs="宋体"/>
                <w:szCs w:val="21"/>
              </w:rPr>
              <w:t xml:space="preserve">虽进行了阐述但并未进行论述分析，团队人员组成符合要求，团队人员系统运维或系统开发经验一般，得 4 分； </w:t>
            </w:r>
          </w:p>
          <w:p w14:paraId="080C46F4">
            <w:pPr>
              <w:autoSpaceDE w:val="0"/>
              <w:autoSpaceDN w:val="0"/>
              <w:adjustRightInd w:val="0"/>
              <w:jc w:val="left"/>
              <w:rPr>
                <w:rFonts w:hint="eastAsia" w:ascii="宋体" w:hAnsi="宋体" w:cs="宋体"/>
                <w:szCs w:val="21"/>
              </w:rPr>
            </w:pPr>
            <w:r>
              <w:rPr>
                <w:rFonts w:hint="eastAsia" w:ascii="宋体" w:hAnsi="宋体" w:cs="宋体"/>
                <w:szCs w:val="21"/>
              </w:rPr>
              <w:t xml:space="preserve">未对招标所需运维团队及人员要求进行阐述分析，团队人员仅部分满足招标要求，团队人员系统运维或系统开发经验欠缺，得 2 分； </w:t>
            </w:r>
          </w:p>
          <w:p w14:paraId="5A0ABDCE">
            <w:pPr>
              <w:autoSpaceDE w:val="0"/>
              <w:autoSpaceDN w:val="0"/>
              <w:adjustRightInd w:val="0"/>
              <w:jc w:val="left"/>
              <w:rPr>
                <w:rFonts w:hint="eastAsia" w:ascii="宋体" w:hAnsi="宋体" w:cs="宋体"/>
                <w:szCs w:val="21"/>
              </w:rPr>
            </w:pPr>
            <w:r>
              <w:rPr>
                <w:rFonts w:hint="eastAsia" w:ascii="宋体" w:hAnsi="宋体" w:cs="宋体"/>
                <w:szCs w:val="21"/>
              </w:rPr>
              <w:t xml:space="preserve">未进行任何阐述或不满足招标要求，得 0 分。 </w:t>
            </w:r>
          </w:p>
          <w:p w14:paraId="69206665">
            <w:pPr>
              <w:autoSpaceDE w:val="0"/>
              <w:autoSpaceDN w:val="0"/>
              <w:adjustRightInd w:val="0"/>
              <w:jc w:val="left"/>
              <w:rPr>
                <w:rFonts w:hint="eastAsia" w:ascii="宋体" w:hAnsi="宋体" w:cs="宋体"/>
                <w:szCs w:val="21"/>
              </w:rPr>
            </w:pPr>
            <w:r>
              <w:rPr>
                <w:rFonts w:hint="eastAsia" w:ascii="宋体" w:hAnsi="宋体" w:cs="宋体"/>
                <w:szCs w:val="21"/>
              </w:rPr>
              <w:t>（审核依据为投标文件中编制的拟派团队人员列表、人员岗位分工及人员资格证书或技术水平证明扫描件以及人员专业履历，须加盖供应商公章）</w:t>
            </w:r>
          </w:p>
        </w:tc>
        <w:tc>
          <w:tcPr>
            <w:tcW w:w="706" w:type="dxa"/>
            <w:tcBorders>
              <w:top w:val="single" w:color="auto" w:sz="4" w:space="0"/>
              <w:left w:val="single" w:color="auto" w:sz="4" w:space="0"/>
              <w:right w:val="single" w:color="auto" w:sz="4" w:space="0"/>
            </w:tcBorders>
            <w:vAlign w:val="center"/>
          </w:tcPr>
          <w:p w14:paraId="1B051360">
            <w:pPr>
              <w:adjustRightInd w:val="0"/>
              <w:snapToGrid w:val="0"/>
              <w:jc w:val="center"/>
              <w:rPr>
                <w:rFonts w:hint="eastAsia" w:ascii="宋体" w:hAnsi="宋体" w:cs="宋体"/>
                <w:szCs w:val="21"/>
              </w:rPr>
            </w:pPr>
            <w:r>
              <w:rPr>
                <w:rFonts w:hint="eastAsia" w:ascii="宋体" w:hAnsi="宋体" w:cs="宋体"/>
                <w:szCs w:val="21"/>
              </w:rPr>
              <w:t>6</w:t>
            </w:r>
          </w:p>
        </w:tc>
        <w:tc>
          <w:tcPr>
            <w:tcW w:w="706" w:type="dxa"/>
            <w:tcBorders>
              <w:top w:val="single" w:color="auto" w:sz="4" w:space="0"/>
              <w:left w:val="single" w:color="auto" w:sz="4" w:space="0"/>
              <w:right w:val="single" w:color="auto" w:sz="4" w:space="0"/>
            </w:tcBorders>
            <w:vAlign w:val="center"/>
          </w:tcPr>
          <w:p w14:paraId="2CC505D2">
            <w:pPr>
              <w:adjustRightInd w:val="0"/>
              <w:snapToGrid w:val="0"/>
              <w:jc w:val="center"/>
              <w:rPr>
                <w:rFonts w:hint="eastAsia" w:ascii="宋体" w:hAnsi="宋体" w:cs="宋体"/>
                <w:szCs w:val="21"/>
              </w:rPr>
            </w:pPr>
            <w:r>
              <w:rPr>
                <w:rFonts w:hint="eastAsia" w:ascii="宋体" w:hAnsi="宋体" w:cs="宋体"/>
                <w:bCs/>
                <w:kern w:val="0"/>
                <w:szCs w:val="21"/>
              </w:rPr>
              <w:t>主观</w:t>
            </w:r>
          </w:p>
        </w:tc>
      </w:tr>
    </w:tbl>
    <w:p w14:paraId="7428FD23">
      <w:pPr>
        <w:spacing w:line="360" w:lineRule="auto"/>
        <w:jc w:val="left"/>
        <w:outlineLvl w:val="2"/>
        <w:rPr>
          <w:b/>
          <w:sz w:val="36"/>
          <w:szCs w:val="36"/>
        </w:rPr>
        <w:sectPr>
          <w:pgSz w:w="11907" w:h="16840"/>
          <w:pgMar w:top="1418" w:right="1134" w:bottom="1418" w:left="1701" w:header="851" w:footer="851" w:gutter="0"/>
          <w:cols w:space="720" w:num="1"/>
          <w:docGrid w:linePitch="462" w:charSpace="0"/>
        </w:sectPr>
      </w:pPr>
    </w:p>
    <w:p w14:paraId="19D1E546">
      <w:pPr>
        <w:spacing w:line="360" w:lineRule="auto"/>
        <w:jc w:val="left"/>
        <w:outlineLvl w:val="2"/>
        <w:rPr>
          <w:b/>
          <w:sz w:val="36"/>
          <w:szCs w:val="36"/>
        </w:rPr>
      </w:pPr>
      <w:r>
        <w:rPr>
          <w:rFonts w:hint="eastAsia"/>
          <w:sz w:val="24"/>
        </w:rPr>
        <w:t>06包：</w:t>
      </w:r>
    </w:p>
    <w:tbl>
      <w:tblPr>
        <w:tblStyle w:val="42"/>
        <w:tblpPr w:leftFromText="180" w:rightFromText="180" w:vertAnchor="text" w:tblpXSpec="center" w:tblpY="1"/>
        <w:tblOverlap w:val="never"/>
        <w:tblW w:w="9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035"/>
        <w:gridCol w:w="6326"/>
        <w:gridCol w:w="706"/>
        <w:gridCol w:w="706"/>
      </w:tblGrid>
      <w:tr w14:paraId="21AB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14" w:type="dxa"/>
            <w:vAlign w:val="center"/>
          </w:tcPr>
          <w:p w14:paraId="24556BDF">
            <w:pPr>
              <w:snapToGrid w:val="0"/>
              <w:jc w:val="center"/>
              <w:rPr>
                <w:rFonts w:hint="eastAsia" w:ascii="宋体" w:hAnsi="宋体" w:cs="宋体"/>
                <w:bCs/>
                <w:kern w:val="0"/>
                <w:szCs w:val="21"/>
              </w:rPr>
            </w:pPr>
            <w:r>
              <w:rPr>
                <w:rFonts w:hint="eastAsia" w:ascii="宋体" w:hAnsi="宋体" w:cs="宋体"/>
                <w:bCs/>
                <w:kern w:val="0"/>
                <w:szCs w:val="21"/>
              </w:rPr>
              <w:t>序号</w:t>
            </w:r>
          </w:p>
        </w:tc>
        <w:tc>
          <w:tcPr>
            <w:tcW w:w="1035" w:type="dxa"/>
            <w:vAlign w:val="center"/>
          </w:tcPr>
          <w:p w14:paraId="7C1821C0">
            <w:pPr>
              <w:snapToGrid w:val="0"/>
              <w:jc w:val="center"/>
              <w:rPr>
                <w:rFonts w:hint="eastAsia" w:ascii="宋体" w:hAnsi="宋体" w:cs="宋体"/>
                <w:bCs/>
                <w:kern w:val="0"/>
                <w:szCs w:val="21"/>
              </w:rPr>
            </w:pPr>
            <w:r>
              <w:rPr>
                <w:rFonts w:hint="eastAsia" w:ascii="宋体" w:hAnsi="宋体" w:cs="宋体"/>
                <w:bCs/>
                <w:kern w:val="0"/>
                <w:szCs w:val="21"/>
              </w:rPr>
              <w:t>评分内容</w:t>
            </w:r>
          </w:p>
        </w:tc>
        <w:tc>
          <w:tcPr>
            <w:tcW w:w="6326" w:type="dxa"/>
            <w:vAlign w:val="center"/>
          </w:tcPr>
          <w:p w14:paraId="44D3B77D">
            <w:pPr>
              <w:snapToGrid w:val="0"/>
              <w:jc w:val="center"/>
              <w:rPr>
                <w:rFonts w:hint="eastAsia" w:ascii="宋体" w:hAnsi="宋体" w:cs="宋体"/>
                <w:bCs/>
                <w:kern w:val="0"/>
                <w:szCs w:val="21"/>
              </w:rPr>
            </w:pPr>
            <w:r>
              <w:rPr>
                <w:rFonts w:hint="eastAsia" w:ascii="宋体" w:hAnsi="宋体" w:cs="宋体"/>
                <w:bCs/>
                <w:kern w:val="0"/>
                <w:szCs w:val="21"/>
              </w:rPr>
              <w:t>评审标准</w:t>
            </w:r>
          </w:p>
        </w:tc>
        <w:tc>
          <w:tcPr>
            <w:tcW w:w="706" w:type="dxa"/>
            <w:vAlign w:val="center"/>
          </w:tcPr>
          <w:p w14:paraId="09331041">
            <w:pPr>
              <w:snapToGrid w:val="0"/>
              <w:jc w:val="center"/>
              <w:rPr>
                <w:rFonts w:hint="eastAsia" w:ascii="宋体" w:hAnsi="宋体" w:cs="宋体"/>
                <w:bCs/>
                <w:kern w:val="0"/>
                <w:szCs w:val="21"/>
              </w:rPr>
            </w:pPr>
            <w:r>
              <w:rPr>
                <w:rFonts w:hint="eastAsia" w:ascii="宋体" w:hAnsi="宋体" w:cs="宋体"/>
                <w:bCs/>
                <w:kern w:val="0"/>
                <w:szCs w:val="21"/>
              </w:rPr>
              <w:t>分值</w:t>
            </w:r>
          </w:p>
        </w:tc>
        <w:tc>
          <w:tcPr>
            <w:tcW w:w="706" w:type="dxa"/>
            <w:vAlign w:val="center"/>
          </w:tcPr>
          <w:p w14:paraId="070338ED">
            <w:pPr>
              <w:snapToGrid w:val="0"/>
              <w:jc w:val="center"/>
              <w:rPr>
                <w:rFonts w:hint="eastAsia" w:ascii="宋体" w:hAnsi="宋体" w:cs="宋体"/>
                <w:bCs/>
                <w:kern w:val="0"/>
                <w:szCs w:val="21"/>
              </w:rPr>
            </w:pPr>
            <w:r>
              <w:rPr>
                <w:rFonts w:hint="eastAsia" w:ascii="宋体" w:hAnsi="宋体" w:cs="宋体"/>
                <w:bCs/>
                <w:kern w:val="0"/>
                <w:szCs w:val="21"/>
              </w:rPr>
              <w:t>分属性</w:t>
            </w:r>
          </w:p>
        </w:tc>
      </w:tr>
      <w:tr w14:paraId="331D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4" w:type="dxa"/>
            <w:vMerge w:val="restart"/>
            <w:vAlign w:val="center"/>
          </w:tcPr>
          <w:p w14:paraId="4D9E8CDA">
            <w:pPr>
              <w:snapToGrid w:val="0"/>
              <w:jc w:val="center"/>
              <w:rPr>
                <w:rFonts w:hint="eastAsia" w:ascii="宋体" w:hAnsi="宋体" w:cs="宋体"/>
                <w:bCs/>
                <w:kern w:val="0"/>
                <w:szCs w:val="21"/>
              </w:rPr>
            </w:pPr>
            <w:r>
              <w:rPr>
                <w:rFonts w:hint="eastAsia" w:ascii="宋体" w:hAnsi="宋体" w:cs="宋体"/>
                <w:bCs/>
                <w:kern w:val="0"/>
                <w:szCs w:val="21"/>
              </w:rPr>
              <w:t>1</w:t>
            </w:r>
          </w:p>
        </w:tc>
        <w:tc>
          <w:tcPr>
            <w:tcW w:w="1035" w:type="dxa"/>
            <w:vMerge w:val="restart"/>
            <w:vAlign w:val="center"/>
          </w:tcPr>
          <w:p w14:paraId="568E52F2">
            <w:pPr>
              <w:snapToGrid w:val="0"/>
              <w:jc w:val="center"/>
              <w:rPr>
                <w:rFonts w:hint="eastAsia" w:ascii="宋体" w:hAnsi="宋体" w:cs="宋体"/>
                <w:bCs/>
                <w:kern w:val="0"/>
                <w:szCs w:val="21"/>
              </w:rPr>
            </w:pPr>
            <w:r>
              <w:rPr>
                <w:rFonts w:hint="eastAsia" w:ascii="宋体" w:hAnsi="宋体" w:cs="宋体"/>
                <w:bCs/>
                <w:kern w:val="0"/>
                <w:szCs w:val="21"/>
              </w:rPr>
              <w:t>商务部分</w:t>
            </w:r>
          </w:p>
        </w:tc>
        <w:tc>
          <w:tcPr>
            <w:tcW w:w="6326" w:type="dxa"/>
            <w:vAlign w:val="center"/>
          </w:tcPr>
          <w:p w14:paraId="2D110042">
            <w:pPr>
              <w:snapToGrid w:val="0"/>
              <w:jc w:val="left"/>
              <w:rPr>
                <w:rFonts w:hint="eastAsia" w:ascii="宋体" w:hAnsi="宋体" w:cs="宋体"/>
                <w:bCs/>
                <w:kern w:val="0"/>
                <w:szCs w:val="21"/>
              </w:rPr>
            </w:pPr>
            <w:r>
              <w:rPr>
                <w:rFonts w:hint="eastAsia" w:ascii="宋体" w:hAnsi="宋体" w:cs="宋体"/>
                <w:bCs/>
                <w:kern w:val="0"/>
                <w:szCs w:val="21"/>
              </w:rPr>
              <w:t>类似项目业绩情况：审核依据为投标文件中提供的 2023年 1月 1 日起至投标截止之日止（以合同签订日期为准），类似遥感数据服务类项目合同扫描件并加盖供应商公章。每提供一个符合上述要求的合同得1分，最高得 5 分，最低得 0 分。</w:t>
            </w:r>
          </w:p>
        </w:tc>
        <w:tc>
          <w:tcPr>
            <w:tcW w:w="706" w:type="dxa"/>
            <w:vAlign w:val="center"/>
          </w:tcPr>
          <w:p w14:paraId="00439E80">
            <w:pPr>
              <w:snapToGrid w:val="0"/>
              <w:jc w:val="center"/>
              <w:rPr>
                <w:rFonts w:hint="eastAsia" w:ascii="宋体" w:hAnsi="宋体" w:cs="宋体"/>
                <w:bCs/>
                <w:kern w:val="0"/>
                <w:szCs w:val="21"/>
              </w:rPr>
            </w:pPr>
            <w:r>
              <w:rPr>
                <w:rFonts w:hint="eastAsia" w:ascii="宋体" w:hAnsi="宋体" w:cs="宋体"/>
                <w:bCs/>
                <w:kern w:val="0"/>
                <w:szCs w:val="21"/>
              </w:rPr>
              <w:t>5</w:t>
            </w:r>
          </w:p>
        </w:tc>
        <w:tc>
          <w:tcPr>
            <w:tcW w:w="706" w:type="dxa"/>
            <w:vAlign w:val="center"/>
          </w:tcPr>
          <w:p w14:paraId="3D2442A8">
            <w:pPr>
              <w:snapToGrid w:val="0"/>
              <w:jc w:val="center"/>
              <w:rPr>
                <w:rFonts w:hint="eastAsia" w:ascii="宋体" w:hAnsi="宋体" w:cs="宋体"/>
                <w:bCs/>
                <w:kern w:val="0"/>
                <w:szCs w:val="21"/>
              </w:rPr>
            </w:pPr>
            <w:r>
              <w:rPr>
                <w:rFonts w:hint="eastAsia" w:ascii="宋体" w:hAnsi="宋体" w:cs="宋体"/>
                <w:bCs/>
                <w:kern w:val="0"/>
                <w:szCs w:val="21"/>
              </w:rPr>
              <w:t>客观</w:t>
            </w:r>
          </w:p>
        </w:tc>
      </w:tr>
      <w:tr w14:paraId="16BE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4" w:type="dxa"/>
            <w:vMerge w:val="continue"/>
            <w:vAlign w:val="center"/>
          </w:tcPr>
          <w:p w14:paraId="20735250">
            <w:pPr>
              <w:snapToGrid w:val="0"/>
              <w:jc w:val="center"/>
              <w:rPr>
                <w:rFonts w:hint="eastAsia" w:ascii="宋体" w:hAnsi="宋体" w:cs="宋体"/>
                <w:bCs/>
                <w:kern w:val="0"/>
                <w:szCs w:val="21"/>
              </w:rPr>
            </w:pPr>
          </w:p>
        </w:tc>
        <w:tc>
          <w:tcPr>
            <w:tcW w:w="1035" w:type="dxa"/>
            <w:vMerge w:val="continue"/>
            <w:vAlign w:val="center"/>
          </w:tcPr>
          <w:p w14:paraId="03299C43">
            <w:pPr>
              <w:snapToGrid w:val="0"/>
              <w:jc w:val="center"/>
              <w:rPr>
                <w:rFonts w:hint="eastAsia" w:ascii="宋体" w:hAnsi="宋体" w:cs="宋体"/>
                <w:bCs/>
                <w:kern w:val="0"/>
                <w:szCs w:val="21"/>
              </w:rPr>
            </w:pPr>
          </w:p>
        </w:tc>
        <w:tc>
          <w:tcPr>
            <w:tcW w:w="6326" w:type="dxa"/>
            <w:vAlign w:val="center"/>
          </w:tcPr>
          <w:p w14:paraId="6E5C579B">
            <w:pPr>
              <w:snapToGrid w:val="0"/>
              <w:jc w:val="left"/>
              <w:rPr>
                <w:rFonts w:hint="eastAsia" w:ascii="宋体" w:hAnsi="宋体" w:cs="宋体"/>
                <w:bCs/>
                <w:kern w:val="0"/>
                <w:szCs w:val="21"/>
              </w:rPr>
            </w:pPr>
            <w:r>
              <w:rPr>
                <w:rFonts w:hint="eastAsia" w:ascii="宋体" w:hAnsi="宋体" w:cs="宋体"/>
                <w:bCs/>
                <w:kern w:val="0"/>
                <w:szCs w:val="21"/>
              </w:rPr>
              <w:t>认证情况：供应商具有有效的质量管理体系认证得0.5分；供应商具有有效的合规管理体系认证得0.5分；供应商具有有效的职业健康安全管理体系认证得0.5分；供应商具有有效的环境管理体系认证得0.5分。最高得2分。</w:t>
            </w:r>
          </w:p>
          <w:p w14:paraId="6799C806">
            <w:pPr>
              <w:snapToGrid w:val="0"/>
              <w:jc w:val="left"/>
              <w:rPr>
                <w:rFonts w:hint="eastAsia" w:ascii="宋体" w:hAnsi="宋体" w:cs="宋体"/>
                <w:bCs/>
                <w:kern w:val="0"/>
                <w:szCs w:val="21"/>
              </w:rPr>
            </w:pPr>
            <w:r>
              <w:rPr>
                <w:rFonts w:hint="eastAsia" w:ascii="宋体" w:hAnsi="宋体" w:cs="宋体"/>
                <w:bCs/>
                <w:kern w:val="0"/>
                <w:szCs w:val="21"/>
              </w:rPr>
              <w:t>（审核依据为投标文件中编制的证书扫描件加盖供应商公章，证书需要验证的，供应商需提供年检验证的证明并加盖供应商公章，否则不予认可）</w:t>
            </w:r>
          </w:p>
        </w:tc>
        <w:tc>
          <w:tcPr>
            <w:tcW w:w="706" w:type="dxa"/>
            <w:vAlign w:val="center"/>
          </w:tcPr>
          <w:p w14:paraId="119B828C">
            <w:pPr>
              <w:snapToGrid w:val="0"/>
              <w:jc w:val="center"/>
              <w:rPr>
                <w:rFonts w:hint="eastAsia" w:ascii="宋体" w:hAnsi="宋体" w:cs="宋体"/>
                <w:bCs/>
                <w:kern w:val="0"/>
                <w:szCs w:val="21"/>
              </w:rPr>
            </w:pPr>
            <w:r>
              <w:rPr>
                <w:rFonts w:hint="eastAsia" w:ascii="宋体" w:hAnsi="宋体" w:cs="宋体"/>
                <w:bCs/>
                <w:kern w:val="0"/>
                <w:szCs w:val="21"/>
              </w:rPr>
              <w:t>2</w:t>
            </w:r>
          </w:p>
        </w:tc>
        <w:tc>
          <w:tcPr>
            <w:tcW w:w="706" w:type="dxa"/>
            <w:vAlign w:val="center"/>
          </w:tcPr>
          <w:p w14:paraId="15EBEBB6">
            <w:pPr>
              <w:snapToGrid w:val="0"/>
              <w:jc w:val="center"/>
              <w:rPr>
                <w:rFonts w:hint="eastAsia" w:ascii="宋体" w:hAnsi="宋体" w:cs="宋体"/>
                <w:bCs/>
                <w:kern w:val="0"/>
                <w:szCs w:val="21"/>
              </w:rPr>
            </w:pPr>
            <w:r>
              <w:rPr>
                <w:rFonts w:hint="eastAsia" w:ascii="宋体" w:hAnsi="宋体" w:cs="宋体"/>
                <w:bCs/>
                <w:kern w:val="0"/>
                <w:szCs w:val="21"/>
              </w:rPr>
              <w:t>客观</w:t>
            </w:r>
          </w:p>
        </w:tc>
      </w:tr>
      <w:tr w14:paraId="15BE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4" w:type="dxa"/>
            <w:vMerge w:val="continue"/>
            <w:vAlign w:val="center"/>
          </w:tcPr>
          <w:p w14:paraId="1F20137B">
            <w:pPr>
              <w:snapToGrid w:val="0"/>
              <w:jc w:val="center"/>
              <w:rPr>
                <w:rFonts w:hint="eastAsia" w:ascii="宋体" w:hAnsi="宋体" w:cs="宋体"/>
                <w:bCs/>
                <w:kern w:val="0"/>
                <w:szCs w:val="21"/>
              </w:rPr>
            </w:pPr>
          </w:p>
        </w:tc>
        <w:tc>
          <w:tcPr>
            <w:tcW w:w="1035" w:type="dxa"/>
            <w:vMerge w:val="continue"/>
            <w:vAlign w:val="center"/>
          </w:tcPr>
          <w:p w14:paraId="2C980E68">
            <w:pPr>
              <w:snapToGrid w:val="0"/>
              <w:jc w:val="center"/>
              <w:rPr>
                <w:rFonts w:hint="eastAsia" w:ascii="宋体" w:hAnsi="宋体" w:cs="宋体"/>
                <w:bCs/>
                <w:kern w:val="0"/>
                <w:szCs w:val="21"/>
              </w:rPr>
            </w:pPr>
          </w:p>
        </w:tc>
        <w:tc>
          <w:tcPr>
            <w:tcW w:w="6326" w:type="dxa"/>
            <w:vAlign w:val="center"/>
          </w:tcPr>
          <w:p w14:paraId="606D7283">
            <w:pPr>
              <w:snapToGrid w:val="0"/>
              <w:jc w:val="left"/>
              <w:rPr>
                <w:rFonts w:hint="eastAsia" w:ascii="宋体" w:hAnsi="宋体" w:cs="宋体"/>
                <w:bCs/>
                <w:kern w:val="0"/>
                <w:szCs w:val="21"/>
              </w:rPr>
            </w:pPr>
            <w:r>
              <w:rPr>
                <w:rFonts w:hint="eastAsia" w:ascii="宋体" w:hAnsi="宋体" w:cs="宋体"/>
                <w:bCs/>
                <w:kern w:val="0"/>
                <w:szCs w:val="21"/>
              </w:rPr>
              <w:t>卫星数据来源情况：供应商具有数据产品知识产权，或者卫星数据厂家授权（或卫星厂商的授权代理商针对本项目为供应商出具的授权书）的得 2 分，否则不得分。（审核依据具体要求参见第五章第六包 2.1 相关条款）</w:t>
            </w:r>
          </w:p>
        </w:tc>
        <w:tc>
          <w:tcPr>
            <w:tcW w:w="706" w:type="dxa"/>
            <w:vAlign w:val="center"/>
          </w:tcPr>
          <w:p w14:paraId="61CEF769">
            <w:pPr>
              <w:snapToGrid w:val="0"/>
              <w:jc w:val="center"/>
              <w:rPr>
                <w:rFonts w:hint="eastAsia" w:ascii="宋体" w:hAnsi="宋体" w:cs="宋体"/>
                <w:bCs/>
                <w:kern w:val="0"/>
                <w:szCs w:val="21"/>
              </w:rPr>
            </w:pPr>
            <w:r>
              <w:rPr>
                <w:rFonts w:hint="eastAsia" w:ascii="宋体" w:hAnsi="宋体" w:cs="宋体"/>
                <w:bCs/>
                <w:kern w:val="0"/>
                <w:szCs w:val="21"/>
              </w:rPr>
              <w:t>2</w:t>
            </w:r>
          </w:p>
        </w:tc>
        <w:tc>
          <w:tcPr>
            <w:tcW w:w="706" w:type="dxa"/>
            <w:vAlign w:val="center"/>
          </w:tcPr>
          <w:p w14:paraId="5BF65F98">
            <w:pPr>
              <w:snapToGrid w:val="0"/>
              <w:jc w:val="center"/>
              <w:rPr>
                <w:rFonts w:hint="eastAsia" w:ascii="宋体" w:hAnsi="宋体" w:cs="宋体"/>
                <w:bCs/>
                <w:kern w:val="0"/>
                <w:szCs w:val="21"/>
              </w:rPr>
            </w:pPr>
            <w:r>
              <w:rPr>
                <w:rFonts w:hint="eastAsia" w:ascii="宋体" w:hAnsi="宋体" w:cs="宋体"/>
                <w:bCs/>
                <w:kern w:val="0"/>
                <w:szCs w:val="21"/>
              </w:rPr>
              <w:t>客观</w:t>
            </w:r>
          </w:p>
        </w:tc>
      </w:tr>
      <w:tr w14:paraId="52A7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4" w:type="dxa"/>
            <w:vMerge w:val="continue"/>
            <w:vAlign w:val="center"/>
          </w:tcPr>
          <w:p w14:paraId="3BAAD76A">
            <w:pPr>
              <w:snapToGrid w:val="0"/>
              <w:jc w:val="center"/>
              <w:rPr>
                <w:rFonts w:hint="eastAsia" w:ascii="宋体" w:hAnsi="宋体" w:cs="宋体"/>
                <w:bCs/>
                <w:kern w:val="0"/>
                <w:szCs w:val="21"/>
              </w:rPr>
            </w:pPr>
          </w:p>
        </w:tc>
        <w:tc>
          <w:tcPr>
            <w:tcW w:w="1035" w:type="dxa"/>
            <w:vMerge w:val="continue"/>
            <w:vAlign w:val="center"/>
          </w:tcPr>
          <w:p w14:paraId="2416C810">
            <w:pPr>
              <w:snapToGrid w:val="0"/>
              <w:jc w:val="center"/>
              <w:rPr>
                <w:rFonts w:hint="eastAsia" w:ascii="宋体" w:hAnsi="宋体" w:cs="宋体"/>
                <w:bCs/>
                <w:kern w:val="0"/>
                <w:szCs w:val="21"/>
              </w:rPr>
            </w:pPr>
          </w:p>
        </w:tc>
        <w:tc>
          <w:tcPr>
            <w:tcW w:w="6326" w:type="dxa"/>
            <w:vAlign w:val="center"/>
          </w:tcPr>
          <w:p w14:paraId="1905DD64">
            <w:pPr>
              <w:snapToGrid w:val="0"/>
              <w:jc w:val="left"/>
              <w:rPr>
                <w:rFonts w:hint="eastAsia" w:ascii="宋体" w:hAnsi="宋体" w:cs="宋体"/>
                <w:bCs/>
                <w:kern w:val="0"/>
                <w:szCs w:val="21"/>
              </w:rPr>
            </w:pPr>
            <w:r>
              <w:rPr>
                <w:rFonts w:hint="eastAsia" w:ascii="宋体" w:hAnsi="宋体" w:cs="宋体"/>
                <w:bCs/>
                <w:kern w:val="0"/>
                <w:szCs w:val="21"/>
              </w:rPr>
              <w:t>卫星能力：供应商自有的自主可控卫星具备敏捷成像能力具备区域模式成像(同轨多条带拼接)且单星单次成像幅宽达130km，得4分;代理授权卫星具备上述能力的，得1分。</w:t>
            </w:r>
          </w:p>
          <w:p w14:paraId="110AF510">
            <w:pPr>
              <w:snapToGrid w:val="0"/>
              <w:jc w:val="left"/>
              <w:rPr>
                <w:rFonts w:hint="eastAsia" w:ascii="宋体" w:hAnsi="宋体" w:cs="宋体"/>
                <w:bCs/>
                <w:kern w:val="0"/>
                <w:szCs w:val="21"/>
              </w:rPr>
            </w:pPr>
            <w:r>
              <w:rPr>
                <w:rFonts w:hint="eastAsia" w:ascii="宋体" w:hAnsi="宋体" w:cs="宋体"/>
                <w:bCs/>
                <w:kern w:val="0"/>
                <w:szCs w:val="21"/>
              </w:rPr>
              <w:t>需提供卫星制造厂商出具的技术证明，并提供拍摄实例的落图矢量备查，不提供的不得分。</w:t>
            </w:r>
          </w:p>
        </w:tc>
        <w:tc>
          <w:tcPr>
            <w:tcW w:w="706" w:type="dxa"/>
            <w:vAlign w:val="center"/>
          </w:tcPr>
          <w:p w14:paraId="6C680EF9">
            <w:pPr>
              <w:snapToGrid w:val="0"/>
              <w:jc w:val="center"/>
              <w:rPr>
                <w:rFonts w:hint="eastAsia" w:ascii="宋体" w:hAnsi="宋体" w:cs="宋体"/>
                <w:bCs/>
                <w:kern w:val="0"/>
                <w:szCs w:val="21"/>
              </w:rPr>
            </w:pPr>
            <w:r>
              <w:rPr>
                <w:rFonts w:hint="eastAsia" w:ascii="宋体" w:hAnsi="宋体" w:cs="宋体"/>
                <w:bCs/>
                <w:kern w:val="0"/>
                <w:szCs w:val="21"/>
              </w:rPr>
              <w:t>4</w:t>
            </w:r>
          </w:p>
        </w:tc>
        <w:tc>
          <w:tcPr>
            <w:tcW w:w="706" w:type="dxa"/>
            <w:vAlign w:val="center"/>
          </w:tcPr>
          <w:p w14:paraId="6F134E15">
            <w:pPr>
              <w:snapToGrid w:val="0"/>
              <w:jc w:val="center"/>
              <w:rPr>
                <w:rFonts w:hint="eastAsia" w:ascii="宋体" w:hAnsi="宋体" w:cs="宋体"/>
                <w:bCs/>
                <w:kern w:val="0"/>
                <w:szCs w:val="21"/>
              </w:rPr>
            </w:pPr>
            <w:r>
              <w:rPr>
                <w:rFonts w:hint="eastAsia" w:ascii="宋体" w:hAnsi="宋体" w:cs="宋体"/>
                <w:bCs/>
                <w:kern w:val="0"/>
                <w:szCs w:val="21"/>
              </w:rPr>
              <w:t>客观</w:t>
            </w:r>
          </w:p>
        </w:tc>
      </w:tr>
      <w:tr w14:paraId="39AD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14" w:type="dxa"/>
            <w:vMerge w:val="restart"/>
            <w:vAlign w:val="center"/>
          </w:tcPr>
          <w:p w14:paraId="79BD205F">
            <w:pPr>
              <w:snapToGrid w:val="0"/>
              <w:jc w:val="center"/>
              <w:rPr>
                <w:rFonts w:hint="eastAsia" w:ascii="宋体" w:hAnsi="宋体" w:cs="宋体"/>
                <w:bCs/>
                <w:kern w:val="0"/>
                <w:szCs w:val="21"/>
              </w:rPr>
            </w:pPr>
            <w:r>
              <w:rPr>
                <w:rFonts w:hint="eastAsia" w:ascii="宋体" w:hAnsi="宋体" w:cs="宋体"/>
                <w:bCs/>
                <w:kern w:val="0"/>
                <w:szCs w:val="21"/>
              </w:rPr>
              <w:t>2</w:t>
            </w:r>
          </w:p>
        </w:tc>
        <w:tc>
          <w:tcPr>
            <w:tcW w:w="1035" w:type="dxa"/>
            <w:vMerge w:val="restart"/>
            <w:tcBorders>
              <w:right w:val="single" w:color="auto" w:sz="4" w:space="0"/>
            </w:tcBorders>
            <w:vAlign w:val="center"/>
          </w:tcPr>
          <w:p w14:paraId="678FCC27">
            <w:pPr>
              <w:snapToGrid w:val="0"/>
              <w:jc w:val="center"/>
              <w:rPr>
                <w:rFonts w:hint="eastAsia" w:ascii="宋体" w:hAnsi="宋体" w:cs="宋体"/>
                <w:bCs/>
                <w:kern w:val="0"/>
                <w:szCs w:val="21"/>
              </w:rPr>
            </w:pPr>
            <w:r>
              <w:rPr>
                <w:rFonts w:hint="eastAsia" w:ascii="宋体" w:hAnsi="宋体" w:cs="宋体"/>
                <w:bCs/>
                <w:kern w:val="0"/>
                <w:szCs w:val="21"/>
              </w:rPr>
              <w:t>技术部分</w:t>
            </w:r>
          </w:p>
        </w:tc>
        <w:tc>
          <w:tcPr>
            <w:tcW w:w="6326" w:type="dxa"/>
            <w:tcBorders>
              <w:top w:val="single" w:color="auto" w:sz="4" w:space="0"/>
              <w:left w:val="single" w:color="auto" w:sz="4" w:space="0"/>
              <w:right w:val="single" w:color="auto" w:sz="4" w:space="0"/>
            </w:tcBorders>
            <w:vAlign w:val="center"/>
          </w:tcPr>
          <w:p w14:paraId="1297E6E3">
            <w:pPr>
              <w:rPr>
                <w:rFonts w:hint="eastAsia" w:ascii="宋体" w:hAnsi="宋体" w:cs="宋体"/>
                <w:szCs w:val="21"/>
              </w:rPr>
            </w:pPr>
            <w:r>
              <w:rPr>
                <w:rFonts w:hint="eastAsia" w:ascii="宋体" w:hAnsi="宋体" w:cs="宋体"/>
                <w:szCs w:val="21"/>
              </w:rPr>
              <w:t>技术响应（16.5分）</w:t>
            </w:r>
          </w:p>
          <w:p w14:paraId="68814976">
            <w:pPr>
              <w:rPr>
                <w:rFonts w:hint="eastAsia" w:ascii="宋体" w:hAnsi="宋体" w:cs="宋体"/>
                <w:szCs w:val="21"/>
              </w:rPr>
            </w:pPr>
            <w:r>
              <w:rPr>
                <w:rFonts w:hint="eastAsia" w:ascii="宋体" w:hAnsi="宋体" w:cs="宋体"/>
                <w:szCs w:val="21"/>
              </w:rPr>
              <w:t xml:space="preserve">应答并满足招标文件第五章第六包 2.2.2 条款全部内容得 0.5分，否则不得分； </w:t>
            </w:r>
          </w:p>
          <w:p w14:paraId="42EC1A25">
            <w:pPr>
              <w:rPr>
                <w:rFonts w:hint="eastAsia" w:ascii="宋体" w:hAnsi="宋体" w:cs="宋体"/>
                <w:szCs w:val="21"/>
              </w:rPr>
            </w:pPr>
            <w:r>
              <w:rPr>
                <w:rFonts w:hint="eastAsia" w:ascii="宋体" w:hAnsi="宋体" w:cs="宋体"/>
                <w:szCs w:val="21"/>
              </w:rPr>
              <w:t>应答并满足招标文件第五章第六包 2.2.3 条款全部内容（7</w:t>
            </w:r>
            <w:r>
              <w:rPr>
                <w:rFonts w:ascii="宋体" w:hAnsi="宋体" w:cs="宋体"/>
                <w:szCs w:val="21"/>
              </w:rPr>
              <w:t xml:space="preserve"> </w:t>
            </w:r>
            <w:r>
              <w:rPr>
                <w:rFonts w:hint="eastAsia" w:ascii="宋体" w:hAnsi="宋体" w:cs="宋体"/>
                <w:szCs w:val="21"/>
              </w:rPr>
              <w:t xml:space="preserve">条子条款）每条子项得 0.5分，否则不得分； </w:t>
            </w:r>
          </w:p>
          <w:p w14:paraId="76B3D4F4">
            <w:pPr>
              <w:rPr>
                <w:rFonts w:hint="eastAsia" w:ascii="宋体" w:hAnsi="宋体" w:cs="宋体"/>
                <w:szCs w:val="21"/>
              </w:rPr>
            </w:pPr>
            <w:r>
              <w:rPr>
                <w:rFonts w:hint="eastAsia" w:ascii="宋体" w:hAnsi="宋体" w:cs="宋体"/>
                <w:szCs w:val="21"/>
              </w:rPr>
              <w:t xml:space="preserve">应答并满足招标文件第五章第六包 2.2.4 条款全部内容（7 条子条款）每条子项得 0.5分，否则不得分； </w:t>
            </w:r>
          </w:p>
          <w:p w14:paraId="6BFD9AD6">
            <w:pPr>
              <w:rPr>
                <w:rFonts w:hint="eastAsia" w:ascii="宋体" w:hAnsi="宋体" w:cs="宋体"/>
                <w:szCs w:val="21"/>
              </w:rPr>
            </w:pPr>
            <w:r>
              <w:rPr>
                <w:rFonts w:hint="eastAsia" w:ascii="宋体" w:hAnsi="宋体" w:cs="宋体"/>
                <w:szCs w:val="21"/>
              </w:rPr>
              <w:t xml:space="preserve">应答并满足招标文件第五章第六包 2.3 条款全部内容（6 条子条款）每条子项得 0.5分，否则不得分； </w:t>
            </w:r>
          </w:p>
          <w:p w14:paraId="7B29E9DE">
            <w:pPr>
              <w:rPr>
                <w:rFonts w:hint="eastAsia" w:ascii="宋体" w:hAnsi="宋体" w:cs="宋体"/>
                <w:szCs w:val="21"/>
              </w:rPr>
            </w:pPr>
            <w:r>
              <w:rPr>
                <w:rFonts w:hint="eastAsia" w:ascii="宋体" w:hAnsi="宋体" w:cs="宋体"/>
                <w:szCs w:val="21"/>
              </w:rPr>
              <w:t xml:space="preserve">应答并满足招标文件第五章第六包 2.4.1 条款全部内容得 0.5 分，否则不得分； </w:t>
            </w:r>
          </w:p>
          <w:p w14:paraId="11FDD9AB">
            <w:pPr>
              <w:rPr>
                <w:rFonts w:hint="eastAsia" w:ascii="宋体" w:hAnsi="宋体" w:cs="宋体"/>
                <w:szCs w:val="21"/>
              </w:rPr>
            </w:pPr>
            <w:r>
              <w:rPr>
                <w:rFonts w:hint="eastAsia" w:ascii="宋体" w:hAnsi="宋体" w:cs="宋体"/>
                <w:szCs w:val="21"/>
              </w:rPr>
              <w:t xml:space="preserve">应答并满足招标文件第五章第六包 2.4.2 条款全部内容（5 条子条款）每条子项得 0.5分，否则不得分； </w:t>
            </w:r>
          </w:p>
          <w:p w14:paraId="52943DE0">
            <w:pPr>
              <w:rPr>
                <w:rFonts w:hint="eastAsia" w:ascii="宋体" w:hAnsi="宋体" w:cs="宋体"/>
                <w:szCs w:val="21"/>
              </w:rPr>
            </w:pPr>
            <w:r>
              <w:rPr>
                <w:rFonts w:hint="eastAsia" w:ascii="宋体" w:hAnsi="宋体" w:cs="宋体"/>
                <w:szCs w:val="21"/>
              </w:rPr>
              <w:t xml:space="preserve">应答并满足招标文件第五章第六包 2.4.3 条款全部内容（2 条子条款）及 2.5 条款全部内容（2 条子条款）每条子项得 0.5分，否则不得分； </w:t>
            </w:r>
          </w:p>
          <w:p w14:paraId="1C16A287">
            <w:pPr>
              <w:rPr>
                <w:rFonts w:hint="eastAsia" w:ascii="宋体" w:hAnsi="宋体" w:cs="宋体"/>
                <w:szCs w:val="21"/>
              </w:rPr>
            </w:pPr>
            <w:r>
              <w:rPr>
                <w:rFonts w:hint="eastAsia" w:ascii="宋体" w:hAnsi="宋体" w:cs="宋体"/>
                <w:szCs w:val="21"/>
              </w:rPr>
              <w:t>应答并满足招标文件第五章第六包 三、2、条款全部内容（2 条子条款）每条子项得 0.5分，否则不得分。</w:t>
            </w:r>
          </w:p>
        </w:tc>
        <w:tc>
          <w:tcPr>
            <w:tcW w:w="706" w:type="dxa"/>
            <w:tcBorders>
              <w:top w:val="single" w:color="auto" w:sz="4" w:space="0"/>
              <w:left w:val="single" w:color="auto" w:sz="4" w:space="0"/>
              <w:right w:val="single" w:color="auto" w:sz="4" w:space="0"/>
            </w:tcBorders>
            <w:vAlign w:val="center"/>
          </w:tcPr>
          <w:p w14:paraId="2B65DAF4">
            <w:pPr>
              <w:snapToGrid w:val="0"/>
              <w:jc w:val="center"/>
              <w:rPr>
                <w:rFonts w:hint="eastAsia" w:ascii="宋体" w:hAnsi="宋体" w:cs="宋体"/>
                <w:bCs/>
                <w:kern w:val="0"/>
                <w:szCs w:val="21"/>
              </w:rPr>
            </w:pPr>
            <w:r>
              <w:rPr>
                <w:rFonts w:hint="eastAsia" w:ascii="宋体" w:hAnsi="宋体" w:cs="宋体"/>
                <w:bCs/>
                <w:kern w:val="0"/>
                <w:szCs w:val="21"/>
              </w:rPr>
              <w:t>16.5</w:t>
            </w:r>
          </w:p>
        </w:tc>
        <w:tc>
          <w:tcPr>
            <w:tcW w:w="706" w:type="dxa"/>
            <w:tcBorders>
              <w:top w:val="single" w:color="auto" w:sz="4" w:space="0"/>
              <w:left w:val="single" w:color="auto" w:sz="4" w:space="0"/>
              <w:right w:val="single" w:color="auto" w:sz="4" w:space="0"/>
            </w:tcBorders>
            <w:vAlign w:val="center"/>
          </w:tcPr>
          <w:p w14:paraId="7D8D882C">
            <w:pPr>
              <w:snapToGrid w:val="0"/>
              <w:jc w:val="center"/>
              <w:rPr>
                <w:rFonts w:hint="eastAsia" w:ascii="宋体" w:hAnsi="宋体" w:cs="宋体"/>
                <w:bCs/>
                <w:kern w:val="0"/>
                <w:szCs w:val="21"/>
              </w:rPr>
            </w:pPr>
            <w:r>
              <w:rPr>
                <w:rFonts w:hint="eastAsia" w:ascii="宋体" w:hAnsi="宋体" w:cs="宋体"/>
                <w:bCs/>
                <w:kern w:val="0"/>
                <w:szCs w:val="21"/>
              </w:rPr>
              <w:t>客观</w:t>
            </w:r>
          </w:p>
        </w:tc>
      </w:tr>
      <w:tr w14:paraId="729C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4" w:type="dxa"/>
            <w:vMerge w:val="continue"/>
            <w:vAlign w:val="center"/>
          </w:tcPr>
          <w:p w14:paraId="60C62027">
            <w:pPr>
              <w:snapToGrid w:val="0"/>
              <w:jc w:val="center"/>
              <w:rPr>
                <w:rFonts w:hint="eastAsia" w:ascii="宋体" w:hAnsi="宋体" w:cs="宋体"/>
                <w:bCs/>
                <w:kern w:val="0"/>
                <w:szCs w:val="21"/>
              </w:rPr>
            </w:pPr>
          </w:p>
        </w:tc>
        <w:tc>
          <w:tcPr>
            <w:tcW w:w="1035" w:type="dxa"/>
            <w:vMerge w:val="continue"/>
            <w:tcBorders>
              <w:right w:val="single" w:color="auto" w:sz="4" w:space="0"/>
            </w:tcBorders>
            <w:vAlign w:val="center"/>
          </w:tcPr>
          <w:p w14:paraId="2BCC5AED">
            <w:pPr>
              <w:snapToGrid w:val="0"/>
              <w:jc w:val="center"/>
              <w:rPr>
                <w:rFonts w:hint="eastAsia" w:ascii="宋体" w:hAnsi="宋体" w:cs="宋体"/>
                <w:bCs/>
                <w:kern w:val="0"/>
                <w:szCs w:val="21"/>
              </w:rPr>
            </w:pPr>
          </w:p>
        </w:tc>
        <w:tc>
          <w:tcPr>
            <w:tcW w:w="6326" w:type="dxa"/>
            <w:tcBorders>
              <w:top w:val="single" w:color="auto" w:sz="4" w:space="0"/>
              <w:left w:val="single" w:color="auto" w:sz="4" w:space="0"/>
              <w:bottom w:val="single" w:color="auto" w:sz="4" w:space="0"/>
              <w:right w:val="single" w:color="auto" w:sz="4" w:space="0"/>
            </w:tcBorders>
            <w:vAlign w:val="center"/>
          </w:tcPr>
          <w:p w14:paraId="59C8F902">
            <w:pPr>
              <w:adjustRightInd w:val="0"/>
              <w:snapToGrid w:val="0"/>
              <w:rPr>
                <w:rFonts w:hint="eastAsia" w:ascii="宋体" w:hAnsi="宋体" w:cs="宋体"/>
                <w:szCs w:val="21"/>
              </w:rPr>
            </w:pPr>
            <w:r>
              <w:rPr>
                <w:rFonts w:hint="eastAsia" w:ascii="宋体" w:hAnsi="宋体" w:cs="宋体"/>
                <w:szCs w:val="21"/>
              </w:rPr>
              <w:t xml:space="preserve">拟派服务团队情况（12 分） </w:t>
            </w:r>
          </w:p>
          <w:p w14:paraId="0E05A370">
            <w:pPr>
              <w:widowControl/>
              <w:jc w:val="left"/>
              <w:rPr>
                <w:rFonts w:hint="eastAsia" w:ascii="宋体" w:hAnsi="宋体" w:cs="宋体"/>
                <w:szCs w:val="21"/>
              </w:rPr>
            </w:pPr>
            <w:r>
              <w:rPr>
                <w:rFonts w:hint="eastAsia" w:ascii="宋体" w:hAnsi="宋体" w:cs="宋体"/>
                <w:szCs w:val="21"/>
              </w:rPr>
              <w:t>1.项目负责人，同时具备测绘相关专业高级及以上职称证书、注册测绘师证书</w:t>
            </w:r>
            <w:r>
              <w:rPr>
                <w:rFonts w:hint="eastAsia"/>
              </w:rPr>
              <w:t>、</w:t>
            </w:r>
            <w:r>
              <w:rPr>
                <w:rFonts w:hint="eastAsia" w:ascii="宋体" w:hAnsi="宋体" w:cs="宋体"/>
                <w:szCs w:val="21"/>
              </w:rPr>
              <w:t>地理信息安全保密培训合格证书</w:t>
            </w:r>
            <w:r>
              <w:rPr>
                <w:rFonts w:hint="eastAsia" w:ascii="宋体" w:hAnsi="宋体" w:cs="宋体"/>
                <w:color w:val="000000"/>
                <w:kern w:val="0"/>
                <w:szCs w:val="21"/>
                <w:lang w:bidi="ar"/>
              </w:rPr>
              <w:t>的</w:t>
            </w:r>
            <w:r>
              <w:rPr>
                <w:rFonts w:hint="eastAsia" w:ascii="宋体" w:hAnsi="宋体" w:cs="宋体"/>
                <w:szCs w:val="21"/>
              </w:rPr>
              <w:t xml:space="preserve">得 3 分，不满足得 0 分。 </w:t>
            </w:r>
          </w:p>
          <w:p w14:paraId="095BADC6">
            <w:pPr>
              <w:widowControl/>
              <w:jc w:val="left"/>
              <w:rPr>
                <w:rFonts w:hint="eastAsia" w:ascii="宋体" w:hAnsi="宋体" w:cs="宋体"/>
                <w:szCs w:val="21"/>
              </w:rPr>
            </w:pPr>
            <w:r>
              <w:rPr>
                <w:rFonts w:hint="eastAsia" w:ascii="宋体" w:hAnsi="宋体" w:cs="宋体"/>
                <w:szCs w:val="21"/>
              </w:rPr>
              <w:t>2.技术负责人，同时具有测绘相关专业高级及以上职称证书、注册测绘师证书、地理信息安全保密培训合格证书</w:t>
            </w:r>
            <w:r>
              <w:rPr>
                <w:rFonts w:hint="eastAsia" w:ascii="宋体" w:hAnsi="宋体" w:cs="宋体"/>
                <w:color w:val="000000"/>
                <w:kern w:val="0"/>
                <w:szCs w:val="21"/>
                <w:lang w:bidi="ar"/>
              </w:rPr>
              <w:t>的</w:t>
            </w:r>
            <w:r>
              <w:rPr>
                <w:rFonts w:hint="eastAsia" w:ascii="宋体" w:hAnsi="宋体" w:cs="宋体"/>
                <w:szCs w:val="21"/>
              </w:rPr>
              <w:t xml:space="preserve">得 3 分，不满足得 0 分。 </w:t>
            </w:r>
          </w:p>
          <w:p w14:paraId="1D262D3E">
            <w:pPr>
              <w:adjustRightInd w:val="0"/>
              <w:snapToGrid w:val="0"/>
              <w:rPr>
                <w:rFonts w:hint="eastAsia" w:ascii="宋体" w:hAnsi="宋体" w:cs="宋体"/>
                <w:szCs w:val="21"/>
              </w:rPr>
            </w:pPr>
            <w:r>
              <w:rPr>
                <w:rFonts w:hint="eastAsia" w:ascii="宋体" w:hAnsi="宋体" w:cs="宋体"/>
                <w:szCs w:val="21"/>
              </w:rPr>
              <w:t xml:space="preserve">3.项目拟投入人员（除项目负责人、技术负责人以外）具有测绘相关专业中级及以上职称证书同时具备地理信息安全保密培训合格证书的，每有 1 人得 1 分，最高 6 分。 </w:t>
            </w:r>
          </w:p>
          <w:p w14:paraId="5CA272B9">
            <w:pPr>
              <w:adjustRightInd w:val="0"/>
              <w:snapToGrid w:val="0"/>
              <w:rPr>
                <w:rFonts w:hint="eastAsia" w:ascii="宋体" w:hAnsi="宋体" w:cs="宋体"/>
                <w:szCs w:val="21"/>
              </w:rPr>
            </w:pPr>
            <w:r>
              <w:rPr>
                <w:rFonts w:hint="eastAsia" w:ascii="宋体" w:hAnsi="宋体" w:cs="宋体"/>
                <w:szCs w:val="21"/>
              </w:rPr>
              <w:t>（审核依据为投标文件中编制的拟派团队人员列表、人员岗位分工及人员证书扫描件、社保缴纳证明扫描件，须加盖供应商公章。）</w:t>
            </w:r>
          </w:p>
        </w:tc>
        <w:tc>
          <w:tcPr>
            <w:tcW w:w="706" w:type="dxa"/>
            <w:tcBorders>
              <w:top w:val="single" w:color="auto" w:sz="4" w:space="0"/>
              <w:left w:val="single" w:color="auto" w:sz="4" w:space="0"/>
              <w:right w:val="single" w:color="auto" w:sz="4" w:space="0"/>
            </w:tcBorders>
            <w:vAlign w:val="center"/>
          </w:tcPr>
          <w:p w14:paraId="5F17FCD2">
            <w:pPr>
              <w:snapToGrid w:val="0"/>
              <w:jc w:val="center"/>
              <w:rPr>
                <w:rFonts w:hint="eastAsia" w:ascii="宋体" w:hAnsi="宋体" w:cs="宋体"/>
                <w:bCs/>
                <w:kern w:val="0"/>
                <w:szCs w:val="21"/>
              </w:rPr>
            </w:pPr>
            <w:r>
              <w:rPr>
                <w:rFonts w:hint="eastAsia" w:ascii="宋体" w:hAnsi="宋体" w:cs="宋体"/>
                <w:bCs/>
                <w:kern w:val="0"/>
                <w:szCs w:val="21"/>
              </w:rPr>
              <w:t>12</w:t>
            </w:r>
          </w:p>
        </w:tc>
        <w:tc>
          <w:tcPr>
            <w:tcW w:w="706" w:type="dxa"/>
            <w:tcBorders>
              <w:top w:val="single" w:color="auto" w:sz="4" w:space="0"/>
              <w:left w:val="single" w:color="auto" w:sz="4" w:space="0"/>
              <w:right w:val="single" w:color="auto" w:sz="4" w:space="0"/>
            </w:tcBorders>
            <w:vAlign w:val="center"/>
          </w:tcPr>
          <w:p w14:paraId="364AE76C">
            <w:pPr>
              <w:snapToGrid w:val="0"/>
              <w:jc w:val="center"/>
              <w:rPr>
                <w:rFonts w:hint="eastAsia" w:ascii="宋体" w:hAnsi="宋体" w:cs="宋体"/>
                <w:bCs/>
                <w:kern w:val="0"/>
                <w:szCs w:val="21"/>
              </w:rPr>
            </w:pPr>
            <w:r>
              <w:rPr>
                <w:rFonts w:hint="eastAsia" w:ascii="宋体" w:hAnsi="宋体" w:cs="宋体"/>
                <w:bCs/>
                <w:kern w:val="0"/>
                <w:szCs w:val="21"/>
              </w:rPr>
              <w:t>客观</w:t>
            </w:r>
          </w:p>
        </w:tc>
      </w:tr>
      <w:tr w14:paraId="555F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4" w:type="dxa"/>
            <w:vMerge w:val="continue"/>
            <w:vAlign w:val="center"/>
          </w:tcPr>
          <w:p w14:paraId="06559C3B">
            <w:pPr>
              <w:snapToGrid w:val="0"/>
              <w:jc w:val="center"/>
              <w:rPr>
                <w:rFonts w:hint="eastAsia" w:ascii="宋体" w:hAnsi="宋体" w:cs="宋体"/>
                <w:bCs/>
                <w:kern w:val="0"/>
                <w:szCs w:val="21"/>
              </w:rPr>
            </w:pPr>
          </w:p>
        </w:tc>
        <w:tc>
          <w:tcPr>
            <w:tcW w:w="1035" w:type="dxa"/>
            <w:vMerge w:val="continue"/>
            <w:tcBorders>
              <w:right w:val="single" w:color="auto" w:sz="4" w:space="0"/>
            </w:tcBorders>
            <w:vAlign w:val="center"/>
          </w:tcPr>
          <w:p w14:paraId="1D573377">
            <w:pPr>
              <w:snapToGrid w:val="0"/>
              <w:jc w:val="center"/>
              <w:rPr>
                <w:rFonts w:hint="eastAsia" w:ascii="宋体" w:hAnsi="宋体" w:cs="宋体"/>
                <w:szCs w:val="21"/>
              </w:rPr>
            </w:pPr>
          </w:p>
        </w:tc>
        <w:tc>
          <w:tcPr>
            <w:tcW w:w="6326" w:type="dxa"/>
            <w:tcBorders>
              <w:top w:val="single" w:color="auto" w:sz="4" w:space="0"/>
              <w:left w:val="single" w:color="auto" w:sz="4" w:space="0"/>
              <w:bottom w:val="single" w:color="auto" w:sz="4" w:space="0"/>
              <w:right w:val="single" w:color="auto" w:sz="4" w:space="0"/>
            </w:tcBorders>
            <w:vAlign w:val="center"/>
          </w:tcPr>
          <w:p w14:paraId="355E2044">
            <w:pPr>
              <w:autoSpaceDE w:val="0"/>
              <w:autoSpaceDN w:val="0"/>
              <w:adjustRightInd w:val="0"/>
              <w:jc w:val="left"/>
              <w:rPr>
                <w:rFonts w:hint="eastAsia" w:ascii="宋体" w:hAnsi="宋体" w:cs="宋体"/>
                <w:szCs w:val="21"/>
              </w:rPr>
            </w:pPr>
            <w:r>
              <w:rPr>
                <w:rFonts w:hint="eastAsia" w:ascii="宋体" w:hAnsi="宋体" w:cs="宋体"/>
                <w:szCs w:val="21"/>
              </w:rPr>
              <w:t xml:space="preserve">实施方案及可实现性（25 分） </w:t>
            </w:r>
          </w:p>
          <w:p w14:paraId="7708A7D7">
            <w:pPr>
              <w:autoSpaceDE w:val="0"/>
              <w:autoSpaceDN w:val="0"/>
              <w:adjustRightInd w:val="0"/>
              <w:jc w:val="left"/>
              <w:rPr>
                <w:rFonts w:hint="eastAsia" w:ascii="宋体" w:hAnsi="宋体" w:cs="宋体"/>
                <w:szCs w:val="21"/>
              </w:rPr>
            </w:pPr>
            <w:r>
              <w:rPr>
                <w:rFonts w:hint="eastAsia" w:ascii="宋体" w:hAnsi="宋体" w:cs="宋体"/>
                <w:szCs w:val="21"/>
              </w:rPr>
              <w:t xml:space="preserve">为了保障项目的时效性和方案的可实现性，实施方案是否充分考虑并详细论述了所采用的卫星数据的类型、幅宽、重访周期、敏捷成像能力、影像定位精度及卫星测控、任务规划、原始码流数据接收与处理、运营和管理等情况。 </w:t>
            </w:r>
          </w:p>
          <w:p w14:paraId="221BECD3">
            <w:pPr>
              <w:autoSpaceDE w:val="0"/>
              <w:autoSpaceDN w:val="0"/>
              <w:adjustRightInd w:val="0"/>
              <w:jc w:val="left"/>
              <w:rPr>
                <w:rFonts w:hint="eastAsia" w:ascii="宋体" w:hAnsi="宋体" w:cs="宋体"/>
                <w:szCs w:val="21"/>
              </w:rPr>
            </w:pPr>
            <w:r>
              <w:rPr>
                <w:rFonts w:hint="eastAsia" w:ascii="宋体" w:hAnsi="宋体" w:cs="宋体"/>
                <w:szCs w:val="21"/>
              </w:rPr>
              <w:t xml:space="preserve">投标所用卫星幅宽大于 20km，具有敏捷成像能力（5 种及以上拍摄模式），重访周期小，无控定位精度 5m 及以内（需提供由国家级检测机构出具的精度报告），卫星测控、任务规划、原始码流数据接收与处理、运营和管理流程简约高效，得 25分； </w:t>
            </w:r>
          </w:p>
          <w:p w14:paraId="24592F19">
            <w:pPr>
              <w:autoSpaceDE w:val="0"/>
              <w:autoSpaceDN w:val="0"/>
              <w:adjustRightInd w:val="0"/>
              <w:jc w:val="left"/>
              <w:rPr>
                <w:rFonts w:hint="eastAsia" w:ascii="宋体" w:hAnsi="宋体" w:cs="宋体"/>
                <w:szCs w:val="21"/>
              </w:rPr>
            </w:pPr>
            <w:r>
              <w:rPr>
                <w:rFonts w:hint="eastAsia" w:ascii="宋体" w:hAnsi="宋体" w:cs="宋体"/>
                <w:szCs w:val="21"/>
              </w:rPr>
              <w:t xml:space="preserve">所采用卫星数据幅宽 20-15km，具有敏捷成像能力（3-4 种拍摄模式），重访周期中等，无控定位精度大于 5m 小于 10m（需提供由国家级检测机构出具的精度报告），卫星测控、任务规划、原始码流数据接收与处理、运营和管理流程简约高效程度中等，得 15 分； </w:t>
            </w:r>
          </w:p>
          <w:p w14:paraId="0C70A0C3">
            <w:pPr>
              <w:autoSpaceDE w:val="0"/>
              <w:autoSpaceDN w:val="0"/>
              <w:adjustRightInd w:val="0"/>
              <w:jc w:val="left"/>
              <w:rPr>
                <w:rFonts w:hint="eastAsia" w:ascii="宋体" w:hAnsi="宋体" w:cs="宋体"/>
                <w:szCs w:val="21"/>
              </w:rPr>
            </w:pPr>
            <w:r>
              <w:rPr>
                <w:rFonts w:hint="eastAsia" w:ascii="宋体" w:hAnsi="宋体" w:cs="宋体"/>
                <w:szCs w:val="21"/>
              </w:rPr>
              <w:t xml:space="preserve">所采用卫星数据幅宽小于 15km，不具有敏捷成像能力，重访周期大，无控定位精度大于 10m，卫星测控、任务规划、原始码流数据接收与处理、运营和管理流程最复杂低效，得 6 分； </w:t>
            </w:r>
          </w:p>
          <w:p w14:paraId="57D401AD">
            <w:pPr>
              <w:autoSpaceDE w:val="0"/>
              <w:autoSpaceDN w:val="0"/>
              <w:adjustRightInd w:val="0"/>
              <w:jc w:val="left"/>
              <w:rPr>
                <w:rFonts w:hint="eastAsia" w:ascii="宋体" w:hAnsi="宋体" w:cs="宋体"/>
                <w:szCs w:val="21"/>
              </w:rPr>
            </w:pPr>
            <w:r>
              <w:rPr>
                <w:rFonts w:hint="eastAsia" w:ascii="宋体" w:hAnsi="宋体" w:cs="宋体"/>
                <w:szCs w:val="21"/>
              </w:rPr>
              <w:t>本项未应答，得 0 分。</w:t>
            </w:r>
          </w:p>
        </w:tc>
        <w:tc>
          <w:tcPr>
            <w:tcW w:w="706" w:type="dxa"/>
            <w:tcBorders>
              <w:left w:val="single" w:color="auto" w:sz="4" w:space="0"/>
              <w:right w:val="single" w:color="auto" w:sz="4" w:space="0"/>
            </w:tcBorders>
            <w:vAlign w:val="center"/>
          </w:tcPr>
          <w:p w14:paraId="7B512375">
            <w:pPr>
              <w:adjustRightInd w:val="0"/>
              <w:snapToGrid w:val="0"/>
              <w:jc w:val="center"/>
              <w:rPr>
                <w:rFonts w:hint="eastAsia" w:ascii="宋体" w:hAnsi="宋体" w:cs="宋体"/>
                <w:szCs w:val="21"/>
              </w:rPr>
            </w:pPr>
            <w:r>
              <w:rPr>
                <w:rFonts w:hint="eastAsia" w:ascii="宋体" w:hAnsi="宋体" w:cs="宋体"/>
                <w:szCs w:val="21"/>
              </w:rPr>
              <w:t>25</w:t>
            </w:r>
          </w:p>
        </w:tc>
        <w:tc>
          <w:tcPr>
            <w:tcW w:w="706" w:type="dxa"/>
            <w:tcBorders>
              <w:left w:val="single" w:color="auto" w:sz="4" w:space="0"/>
              <w:right w:val="single" w:color="auto" w:sz="4" w:space="0"/>
            </w:tcBorders>
            <w:vAlign w:val="center"/>
          </w:tcPr>
          <w:p w14:paraId="72CA48FF">
            <w:pPr>
              <w:adjustRightInd w:val="0"/>
              <w:snapToGrid w:val="0"/>
              <w:jc w:val="center"/>
              <w:rPr>
                <w:rFonts w:hint="eastAsia" w:ascii="宋体" w:hAnsi="宋体" w:cs="宋体"/>
                <w:szCs w:val="21"/>
              </w:rPr>
            </w:pPr>
            <w:r>
              <w:rPr>
                <w:rFonts w:hint="eastAsia" w:ascii="宋体" w:hAnsi="宋体" w:cs="宋体"/>
                <w:szCs w:val="21"/>
              </w:rPr>
              <w:t>主观</w:t>
            </w:r>
          </w:p>
        </w:tc>
      </w:tr>
      <w:tr w14:paraId="690E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4" w:type="dxa"/>
            <w:vMerge w:val="continue"/>
            <w:vAlign w:val="center"/>
          </w:tcPr>
          <w:p w14:paraId="42D25D60">
            <w:pPr>
              <w:snapToGrid w:val="0"/>
              <w:jc w:val="center"/>
              <w:rPr>
                <w:rFonts w:hint="eastAsia" w:ascii="宋体" w:hAnsi="宋体" w:cs="宋体"/>
                <w:bCs/>
                <w:kern w:val="0"/>
                <w:szCs w:val="21"/>
              </w:rPr>
            </w:pPr>
          </w:p>
        </w:tc>
        <w:tc>
          <w:tcPr>
            <w:tcW w:w="1035" w:type="dxa"/>
            <w:vMerge w:val="continue"/>
            <w:tcBorders>
              <w:right w:val="single" w:color="auto" w:sz="4" w:space="0"/>
            </w:tcBorders>
            <w:vAlign w:val="center"/>
          </w:tcPr>
          <w:p w14:paraId="1B55050B">
            <w:pPr>
              <w:snapToGrid w:val="0"/>
              <w:jc w:val="center"/>
              <w:rPr>
                <w:rFonts w:hint="eastAsia" w:ascii="宋体" w:hAnsi="宋体" w:cs="宋体"/>
                <w:szCs w:val="21"/>
              </w:rPr>
            </w:pPr>
          </w:p>
        </w:tc>
        <w:tc>
          <w:tcPr>
            <w:tcW w:w="6326" w:type="dxa"/>
            <w:tcBorders>
              <w:top w:val="single" w:color="auto" w:sz="4" w:space="0"/>
              <w:left w:val="single" w:color="auto" w:sz="4" w:space="0"/>
              <w:bottom w:val="single" w:color="auto" w:sz="4" w:space="0"/>
              <w:right w:val="single" w:color="auto" w:sz="4" w:space="0"/>
            </w:tcBorders>
            <w:vAlign w:val="center"/>
          </w:tcPr>
          <w:p w14:paraId="27AF3051">
            <w:pPr>
              <w:adjustRightInd w:val="0"/>
              <w:snapToGrid w:val="0"/>
              <w:rPr>
                <w:rFonts w:hint="eastAsia" w:ascii="宋体" w:hAnsi="宋体" w:cs="宋体"/>
                <w:szCs w:val="21"/>
              </w:rPr>
            </w:pPr>
            <w:r>
              <w:rPr>
                <w:rFonts w:hint="eastAsia" w:ascii="宋体" w:hAnsi="宋体" w:cs="宋体"/>
                <w:szCs w:val="21"/>
              </w:rPr>
              <w:t>项目保障方案（13分）</w:t>
            </w:r>
          </w:p>
          <w:p w14:paraId="06DD6B8C">
            <w:pPr>
              <w:autoSpaceDE w:val="0"/>
              <w:autoSpaceDN w:val="0"/>
              <w:adjustRightInd w:val="0"/>
              <w:jc w:val="left"/>
              <w:rPr>
                <w:rFonts w:hint="eastAsia" w:ascii="宋体" w:hAnsi="宋体" w:cs="宋体"/>
                <w:szCs w:val="21"/>
              </w:rPr>
            </w:pPr>
            <w:r>
              <w:rPr>
                <w:rFonts w:hint="eastAsia" w:ascii="宋体" w:hAnsi="宋体" w:cs="宋体"/>
                <w:szCs w:val="21"/>
              </w:rPr>
              <w:t>该方案应涉及人员保障、质量保障、进度保障等内容，保障措施设计合理、成熟、可行性高的得13分；设计基本合理、基本可行得 8分；设计不够合理、可行性较差得0分。不提供的不得分。</w:t>
            </w:r>
          </w:p>
        </w:tc>
        <w:tc>
          <w:tcPr>
            <w:tcW w:w="706" w:type="dxa"/>
            <w:tcBorders>
              <w:left w:val="single" w:color="auto" w:sz="4" w:space="0"/>
              <w:right w:val="single" w:color="auto" w:sz="4" w:space="0"/>
            </w:tcBorders>
            <w:vAlign w:val="center"/>
          </w:tcPr>
          <w:p w14:paraId="77737E59">
            <w:pPr>
              <w:adjustRightInd w:val="0"/>
              <w:snapToGrid w:val="0"/>
              <w:jc w:val="center"/>
              <w:rPr>
                <w:rFonts w:hint="eastAsia" w:ascii="宋体" w:hAnsi="宋体" w:cs="宋体"/>
                <w:szCs w:val="21"/>
              </w:rPr>
            </w:pPr>
            <w:r>
              <w:rPr>
                <w:rFonts w:hint="eastAsia" w:ascii="宋体" w:hAnsi="宋体" w:cs="宋体"/>
                <w:bCs/>
                <w:kern w:val="0"/>
                <w:szCs w:val="21"/>
              </w:rPr>
              <w:t>13</w:t>
            </w:r>
          </w:p>
        </w:tc>
        <w:tc>
          <w:tcPr>
            <w:tcW w:w="706" w:type="dxa"/>
            <w:tcBorders>
              <w:left w:val="single" w:color="auto" w:sz="4" w:space="0"/>
              <w:right w:val="single" w:color="auto" w:sz="4" w:space="0"/>
            </w:tcBorders>
            <w:vAlign w:val="center"/>
          </w:tcPr>
          <w:p w14:paraId="24C307C8">
            <w:pPr>
              <w:adjustRightInd w:val="0"/>
              <w:snapToGrid w:val="0"/>
              <w:jc w:val="center"/>
              <w:rPr>
                <w:rFonts w:hint="eastAsia" w:ascii="宋体" w:hAnsi="宋体" w:cs="宋体"/>
                <w:szCs w:val="21"/>
              </w:rPr>
            </w:pPr>
            <w:r>
              <w:rPr>
                <w:rFonts w:hint="eastAsia" w:ascii="宋体" w:hAnsi="宋体" w:cs="宋体"/>
                <w:szCs w:val="21"/>
              </w:rPr>
              <w:t>主观</w:t>
            </w:r>
          </w:p>
        </w:tc>
      </w:tr>
      <w:tr w14:paraId="58EE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14" w:type="dxa"/>
            <w:vMerge w:val="continue"/>
            <w:vAlign w:val="center"/>
          </w:tcPr>
          <w:p w14:paraId="64234577">
            <w:pPr>
              <w:snapToGrid w:val="0"/>
              <w:jc w:val="center"/>
              <w:rPr>
                <w:rFonts w:hint="eastAsia" w:ascii="宋体" w:hAnsi="宋体" w:cs="宋体"/>
                <w:bCs/>
                <w:kern w:val="0"/>
                <w:szCs w:val="21"/>
              </w:rPr>
            </w:pPr>
          </w:p>
        </w:tc>
        <w:tc>
          <w:tcPr>
            <w:tcW w:w="1035" w:type="dxa"/>
            <w:vMerge w:val="continue"/>
            <w:tcBorders>
              <w:bottom w:val="single" w:color="auto" w:sz="4" w:space="0"/>
              <w:right w:val="single" w:color="auto" w:sz="4" w:space="0"/>
            </w:tcBorders>
            <w:vAlign w:val="center"/>
          </w:tcPr>
          <w:p w14:paraId="382CDDE4">
            <w:pPr>
              <w:snapToGrid w:val="0"/>
              <w:jc w:val="center"/>
              <w:rPr>
                <w:rFonts w:hint="eastAsia" w:ascii="宋体" w:hAnsi="宋体" w:cs="宋体"/>
                <w:szCs w:val="21"/>
              </w:rPr>
            </w:pPr>
          </w:p>
        </w:tc>
        <w:tc>
          <w:tcPr>
            <w:tcW w:w="6326" w:type="dxa"/>
            <w:tcBorders>
              <w:top w:val="single" w:color="auto" w:sz="4" w:space="0"/>
              <w:left w:val="single" w:color="auto" w:sz="4" w:space="0"/>
              <w:bottom w:val="single" w:color="auto" w:sz="4" w:space="0"/>
              <w:right w:val="single" w:color="auto" w:sz="4" w:space="0"/>
            </w:tcBorders>
            <w:vAlign w:val="center"/>
          </w:tcPr>
          <w:p w14:paraId="2C4950BE">
            <w:pPr>
              <w:autoSpaceDE w:val="0"/>
              <w:autoSpaceDN w:val="0"/>
              <w:adjustRightInd w:val="0"/>
              <w:jc w:val="left"/>
              <w:rPr>
                <w:rFonts w:hint="eastAsia" w:ascii="宋体" w:hAnsi="宋体" w:cs="宋体"/>
                <w:szCs w:val="21"/>
              </w:rPr>
            </w:pPr>
            <w:r>
              <w:rPr>
                <w:rFonts w:hint="eastAsia" w:ascii="宋体" w:hAnsi="宋体" w:cs="宋体"/>
                <w:szCs w:val="21"/>
              </w:rPr>
              <w:t xml:space="preserve">应急保障方案（10 分） </w:t>
            </w:r>
          </w:p>
          <w:p w14:paraId="13AB457E">
            <w:pPr>
              <w:autoSpaceDE w:val="0"/>
              <w:autoSpaceDN w:val="0"/>
              <w:adjustRightInd w:val="0"/>
              <w:jc w:val="left"/>
              <w:rPr>
                <w:rFonts w:hint="eastAsia" w:ascii="宋体" w:hAnsi="宋体" w:cs="宋体"/>
                <w:szCs w:val="21"/>
              </w:rPr>
            </w:pPr>
            <w:r>
              <w:rPr>
                <w:rFonts w:hint="eastAsia" w:ascii="宋体" w:hAnsi="宋体" w:cs="宋体"/>
                <w:szCs w:val="21"/>
              </w:rPr>
              <w:t xml:space="preserve">应急保障方案详细、具有时效性，对各种应急情况，尤其是受天气影响造成数据接收困难时，应急措施能够在 24 小时内生效的，得 10 分； </w:t>
            </w:r>
          </w:p>
          <w:p w14:paraId="2C95BCA7">
            <w:pPr>
              <w:autoSpaceDE w:val="0"/>
              <w:autoSpaceDN w:val="0"/>
              <w:adjustRightInd w:val="0"/>
              <w:jc w:val="left"/>
              <w:rPr>
                <w:rFonts w:hint="eastAsia" w:ascii="宋体" w:hAnsi="宋体" w:cs="宋体"/>
                <w:szCs w:val="21"/>
              </w:rPr>
            </w:pPr>
            <w:r>
              <w:rPr>
                <w:rFonts w:hint="eastAsia" w:ascii="宋体" w:hAnsi="宋体" w:cs="宋体"/>
                <w:szCs w:val="21"/>
              </w:rPr>
              <w:t xml:space="preserve">应急保障方案比较完整，或应急措施在 48 小时内生效的，得 4 分； </w:t>
            </w:r>
          </w:p>
          <w:p w14:paraId="07733042">
            <w:pPr>
              <w:autoSpaceDE w:val="0"/>
              <w:autoSpaceDN w:val="0"/>
              <w:adjustRightInd w:val="0"/>
              <w:jc w:val="left"/>
              <w:rPr>
                <w:rFonts w:hint="eastAsia" w:ascii="宋体" w:hAnsi="宋体" w:cs="宋体"/>
                <w:szCs w:val="21"/>
              </w:rPr>
            </w:pPr>
            <w:r>
              <w:rPr>
                <w:rFonts w:hint="eastAsia" w:ascii="宋体" w:hAnsi="宋体" w:cs="宋体"/>
                <w:szCs w:val="21"/>
              </w:rPr>
              <w:t xml:space="preserve">应急保障方案不完整，不切实际，或应急措施超过 48 小时生效的，得 5分； </w:t>
            </w:r>
          </w:p>
          <w:p w14:paraId="690F026E">
            <w:pPr>
              <w:autoSpaceDE w:val="0"/>
              <w:autoSpaceDN w:val="0"/>
              <w:adjustRightInd w:val="0"/>
              <w:jc w:val="left"/>
              <w:rPr>
                <w:rFonts w:hint="eastAsia" w:ascii="宋体" w:hAnsi="宋体" w:cs="宋体"/>
                <w:szCs w:val="21"/>
              </w:rPr>
            </w:pPr>
            <w:r>
              <w:rPr>
                <w:rFonts w:hint="eastAsia" w:ascii="宋体" w:hAnsi="宋体" w:cs="宋体"/>
                <w:szCs w:val="21"/>
              </w:rPr>
              <w:t>本项未应答，得 0 分。</w:t>
            </w:r>
          </w:p>
        </w:tc>
        <w:tc>
          <w:tcPr>
            <w:tcW w:w="706" w:type="dxa"/>
            <w:tcBorders>
              <w:left w:val="single" w:color="auto" w:sz="4" w:space="0"/>
              <w:right w:val="single" w:color="auto" w:sz="4" w:space="0"/>
            </w:tcBorders>
            <w:vAlign w:val="center"/>
          </w:tcPr>
          <w:p w14:paraId="7FDD2779">
            <w:pPr>
              <w:adjustRightInd w:val="0"/>
              <w:snapToGrid w:val="0"/>
              <w:jc w:val="center"/>
              <w:rPr>
                <w:rFonts w:hint="eastAsia" w:ascii="宋体" w:hAnsi="宋体" w:cs="宋体"/>
                <w:szCs w:val="21"/>
              </w:rPr>
            </w:pPr>
            <w:r>
              <w:rPr>
                <w:rFonts w:hint="eastAsia" w:ascii="宋体" w:hAnsi="宋体" w:cs="宋体"/>
                <w:szCs w:val="21"/>
              </w:rPr>
              <w:t>10</w:t>
            </w:r>
          </w:p>
        </w:tc>
        <w:tc>
          <w:tcPr>
            <w:tcW w:w="706" w:type="dxa"/>
            <w:tcBorders>
              <w:left w:val="single" w:color="auto" w:sz="4" w:space="0"/>
              <w:right w:val="single" w:color="auto" w:sz="4" w:space="0"/>
            </w:tcBorders>
            <w:vAlign w:val="center"/>
          </w:tcPr>
          <w:p w14:paraId="62405447">
            <w:pPr>
              <w:adjustRightInd w:val="0"/>
              <w:snapToGrid w:val="0"/>
              <w:jc w:val="center"/>
              <w:rPr>
                <w:rFonts w:hint="eastAsia" w:ascii="宋体" w:hAnsi="宋体" w:cs="宋体"/>
                <w:szCs w:val="21"/>
              </w:rPr>
            </w:pPr>
            <w:r>
              <w:rPr>
                <w:rFonts w:hint="eastAsia" w:ascii="宋体" w:hAnsi="宋体" w:cs="宋体"/>
                <w:szCs w:val="21"/>
              </w:rPr>
              <w:t>主观</w:t>
            </w:r>
          </w:p>
        </w:tc>
      </w:tr>
      <w:tr w14:paraId="646F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914" w:type="dxa"/>
            <w:tcBorders>
              <w:left w:val="single" w:color="auto" w:sz="4" w:space="0"/>
              <w:right w:val="single" w:color="auto" w:sz="4" w:space="0"/>
            </w:tcBorders>
            <w:vAlign w:val="center"/>
          </w:tcPr>
          <w:p w14:paraId="3E06726C">
            <w:pPr>
              <w:snapToGrid w:val="0"/>
              <w:jc w:val="center"/>
              <w:rPr>
                <w:rFonts w:hint="eastAsia" w:ascii="宋体" w:hAnsi="宋体" w:cs="宋体"/>
                <w:bCs/>
                <w:kern w:val="0"/>
                <w:szCs w:val="21"/>
              </w:rPr>
            </w:pPr>
            <w:r>
              <w:rPr>
                <w:rFonts w:hint="eastAsia" w:ascii="宋体" w:hAnsi="宋体" w:cs="宋体"/>
                <w:bCs/>
                <w:kern w:val="0"/>
                <w:szCs w:val="21"/>
              </w:rPr>
              <w:t>4</w:t>
            </w:r>
          </w:p>
        </w:tc>
        <w:tc>
          <w:tcPr>
            <w:tcW w:w="1035" w:type="dxa"/>
            <w:tcBorders>
              <w:right w:val="single" w:color="auto" w:sz="4" w:space="0"/>
            </w:tcBorders>
            <w:vAlign w:val="center"/>
          </w:tcPr>
          <w:p w14:paraId="18605C73">
            <w:pPr>
              <w:snapToGrid w:val="0"/>
              <w:jc w:val="center"/>
              <w:rPr>
                <w:rFonts w:hint="eastAsia" w:ascii="宋体" w:hAnsi="宋体" w:cs="宋体"/>
                <w:szCs w:val="21"/>
              </w:rPr>
            </w:pPr>
            <w:r>
              <w:rPr>
                <w:rFonts w:hint="eastAsia" w:ascii="宋体" w:hAnsi="宋体" w:cs="宋体"/>
                <w:szCs w:val="21"/>
              </w:rPr>
              <w:t>投标价格评分</w:t>
            </w:r>
          </w:p>
        </w:tc>
        <w:tc>
          <w:tcPr>
            <w:tcW w:w="6326" w:type="dxa"/>
            <w:tcBorders>
              <w:left w:val="single" w:color="auto" w:sz="4" w:space="0"/>
              <w:right w:val="single" w:color="auto" w:sz="4" w:space="0"/>
            </w:tcBorders>
            <w:vAlign w:val="center"/>
          </w:tcPr>
          <w:p w14:paraId="43C758A1">
            <w:pPr>
              <w:widowControl/>
              <w:jc w:val="left"/>
              <w:rPr>
                <w:rFonts w:hint="eastAsia" w:ascii="宋体" w:hAnsi="宋体" w:cs="宋体"/>
                <w:szCs w:val="21"/>
              </w:rPr>
            </w:pPr>
            <w:r>
              <w:rPr>
                <w:rFonts w:hint="eastAsia" w:ascii="宋体" w:hAnsi="宋体" w:cs="宋体"/>
                <w:szCs w:val="21"/>
              </w:rPr>
              <w:t>符合招标文件要求且投标价格最低的投标报价为评标基准价，其价格为满分10.5分。</w:t>
            </w:r>
          </w:p>
          <w:p w14:paraId="51A002D0">
            <w:pPr>
              <w:autoSpaceDE w:val="0"/>
              <w:autoSpaceDN w:val="0"/>
              <w:adjustRightInd w:val="0"/>
              <w:jc w:val="left"/>
              <w:rPr>
                <w:rFonts w:hint="eastAsia" w:ascii="宋体" w:hAnsi="宋体" w:cs="宋体"/>
                <w:szCs w:val="21"/>
              </w:rPr>
            </w:pPr>
            <w:r>
              <w:rPr>
                <w:rFonts w:hint="eastAsia" w:ascii="宋体" w:hAnsi="宋体" w:cs="宋体"/>
                <w:szCs w:val="21"/>
              </w:rPr>
              <w:t>其他投标人的投标报价得分=（评标基准价/投标报价）×10.5</w:t>
            </w:r>
          </w:p>
        </w:tc>
        <w:tc>
          <w:tcPr>
            <w:tcW w:w="706" w:type="dxa"/>
            <w:tcBorders>
              <w:top w:val="single" w:color="auto" w:sz="4" w:space="0"/>
              <w:left w:val="single" w:color="auto" w:sz="4" w:space="0"/>
              <w:bottom w:val="single" w:color="auto" w:sz="4" w:space="0"/>
              <w:right w:val="single" w:color="auto" w:sz="4" w:space="0"/>
            </w:tcBorders>
            <w:vAlign w:val="center"/>
          </w:tcPr>
          <w:p w14:paraId="0298B5BD">
            <w:pPr>
              <w:adjustRightInd w:val="0"/>
              <w:snapToGrid w:val="0"/>
              <w:jc w:val="center"/>
              <w:rPr>
                <w:rFonts w:hint="eastAsia" w:ascii="宋体" w:hAnsi="宋体" w:cs="宋体"/>
                <w:szCs w:val="21"/>
              </w:rPr>
            </w:pPr>
            <w:r>
              <w:rPr>
                <w:rFonts w:hint="eastAsia" w:ascii="宋体" w:hAnsi="宋体" w:cs="宋体"/>
                <w:szCs w:val="21"/>
              </w:rPr>
              <w:t>10.5</w:t>
            </w:r>
          </w:p>
        </w:tc>
        <w:tc>
          <w:tcPr>
            <w:tcW w:w="706" w:type="dxa"/>
            <w:tcBorders>
              <w:top w:val="single" w:color="auto" w:sz="4" w:space="0"/>
              <w:left w:val="single" w:color="auto" w:sz="4" w:space="0"/>
              <w:bottom w:val="single" w:color="auto" w:sz="4" w:space="0"/>
              <w:right w:val="single" w:color="auto" w:sz="4" w:space="0"/>
            </w:tcBorders>
            <w:vAlign w:val="center"/>
          </w:tcPr>
          <w:p w14:paraId="3780D4C6">
            <w:pPr>
              <w:adjustRightInd w:val="0"/>
              <w:snapToGrid w:val="0"/>
              <w:jc w:val="center"/>
              <w:rPr>
                <w:rFonts w:hint="eastAsia" w:ascii="宋体" w:hAnsi="宋体" w:cs="宋体"/>
                <w:szCs w:val="21"/>
              </w:rPr>
            </w:pPr>
            <w:r>
              <w:rPr>
                <w:rFonts w:hint="eastAsia" w:ascii="宋体" w:hAnsi="宋体" w:cs="宋体"/>
                <w:szCs w:val="21"/>
              </w:rPr>
              <w:t>客观</w:t>
            </w:r>
          </w:p>
        </w:tc>
      </w:tr>
    </w:tbl>
    <w:p w14:paraId="2B6FF008">
      <w:pPr>
        <w:spacing w:line="360" w:lineRule="auto"/>
        <w:jc w:val="left"/>
        <w:outlineLvl w:val="2"/>
        <w:rPr>
          <w:b/>
          <w:sz w:val="36"/>
          <w:szCs w:val="36"/>
        </w:rPr>
        <w:sectPr>
          <w:pgSz w:w="11907" w:h="16840"/>
          <w:pgMar w:top="1418" w:right="1134" w:bottom="1418" w:left="1701" w:header="851" w:footer="851" w:gutter="0"/>
          <w:cols w:space="720" w:num="1"/>
          <w:docGrid w:linePitch="462" w:charSpace="0"/>
        </w:sectPr>
      </w:pPr>
    </w:p>
    <w:p w14:paraId="28D0F47C">
      <w:pPr>
        <w:spacing w:line="360" w:lineRule="auto"/>
        <w:jc w:val="left"/>
        <w:outlineLvl w:val="2"/>
        <w:rPr>
          <w:b/>
          <w:sz w:val="36"/>
          <w:szCs w:val="36"/>
        </w:rPr>
      </w:pPr>
      <w:r>
        <w:rPr>
          <w:rFonts w:hint="eastAsia"/>
          <w:sz w:val="24"/>
        </w:rPr>
        <w:t>07包：</w:t>
      </w:r>
    </w:p>
    <w:tbl>
      <w:tblPr>
        <w:tblStyle w:val="42"/>
        <w:tblW w:w="98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0"/>
        <w:gridCol w:w="900"/>
        <w:gridCol w:w="833"/>
        <w:gridCol w:w="6300"/>
        <w:gridCol w:w="678"/>
        <w:gridCol w:w="678"/>
      </w:tblGrid>
      <w:tr w14:paraId="61A2C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460" w:type="dxa"/>
            <w:vAlign w:val="center"/>
          </w:tcPr>
          <w:p w14:paraId="734010DC">
            <w:pPr>
              <w:autoSpaceDE w:val="0"/>
              <w:autoSpaceDN w:val="0"/>
              <w:jc w:val="center"/>
              <w:rPr>
                <w:rFonts w:hint="eastAsia" w:ascii="宋体" w:hAnsi="宋体" w:cs="宋体"/>
                <w:b/>
                <w:kern w:val="0"/>
                <w:szCs w:val="21"/>
                <w:lang w:eastAsia="en-US"/>
              </w:rPr>
            </w:pPr>
            <w:r>
              <w:rPr>
                <w:rFonts w:hint="eastAsia" w:ascii="宋体" w:hAnsi="宋体" w:cs="宋体"/>
                <w:b/>
                <w:kern w:val="0"/>
                <w:szCs w:val="21"/>
                <w:lang w:eastAsia="en-US"/>
              </w:rPr>
              <w:t>序号</w:t>
            </w:r>
          </w:p>
        </w:tc>
        <w:tc>
          <w:tcPr>
            <w:tcW w:w="1733" w:type="dxa"/>
            <w:gridSpan w:val="2"/>
            <w:vAlign w:val="center"/>
          </w:tcPr>
          <w:p w14:paraId="7BD3C3A0">
            <w:pPr>
              <w:autoSpaceDE w:val="0"/>
              <w:autoSpaceDN w:val="0"/>
              <w:jc w:val="center"/>
              <w:rPr>
                <w:rFonts w:hint="eastAsia" w:ascii="宋体" w:hAnsi="宋体" w:cs="宋体"/>
                <w:b/>
                <w:kern w:val="0"/>
                <w:szCs w:val="21"/>
                <w:lang w:eastAsia="en-US"/>
              </w:rPr>
            </w:pPr>
            <w:r>
              <w:rPr>
                <w:rFonts w:hint="eastAsia" w:ascii="宋体" w:hAnsi="宋体" w:cs="宋体"/>
                <w:b/>
                <w:kern w:val="0"/>
                <w:szCs w:val="21"/>
                <w:lang w:eastAsia="en-US"/>
              </w:rPr>
              <w:t>评审因素</w:t>
            </w:r>
          </w:p>
        </w:tc>
        <w:tc>
          <w:tcPr>
            <w:tcW w:w="6300" w:type="dxa"/>
            <w:vAlign w:val="center"/>
          </w:tcPr>
          <w:p w14:paraId="0604CD23">
            <w:pPr>
              <w:autoSpaceDE w:val="0"/>
              <w:autoSpaceDN w:val="0"/>
              <w:jc w:val="center"/>
              <w:rPr>
                <w:rFonts w:hint="eastAsia" w:ascii="宋体" w:hAnsi="宋体" w:cs="宋体"/>
                <w:b/>
                <w:kern w:val="0"/>
                <w:szCs w:val="21"/>
                <w:lang w:eastAsia="en-US"/>
              </w:rPr>
            </w:pPr>
            <w:r>
              <w:rPr>
                <w:rFonts w:hint="eastAsia" w:ascii="宋体" w:hAnsi="宋体" w:cs="宋体"/>
                <w:b/>
                <w:kern w:val="0"/>
                <w:szCs w:val="21"/>
                <w:lang w:eastAsia="en-US"/>
              </w:rPr>
              <w:t>评审标准及分值</w:t>
            </w:r>
          </w:p>
        </w:tc>
        <w:tc>
          <w:tcPr>
            <w:tcW w:w="678" w:type="dxa"/>
            <w:vAlign w:val="center"/>
          </w:tcPr>
          <w:p w14:paraId="013E5C82">
            <w:pPr>
              <w:autoSpaceDE w:val="0"/>
              <w:autoSpaceDN w:val="0"/>
              <w:jc w:val="center"/>
              <w:rPr>
                <w:rFonts w:hint="eastAsia" w:ascii="宋体" w:hAnsi="宋体" w:cs="宋体"/>
                <w:b/>
                <w:kern w:val="0"/>
                <w:szCs w:val="21"/>
                <w:lang w:eastAsia="en-US"/>
              </w:rPr>
            </w:pPr>
            <w:r>
              <w:rPr>
                <w:rFonts w:hint="eastAsia" w:ascii="宋体" w:hAnsi="宋体" w:cs="宋体"/>
                <w:b/>
                <w:kern w:val="0"/>
                <w:szCs w:val="21"/>
                <w:lang w:eastAsia="en-US"/>
              </w:rPr>
              <w:t>分值</w:t>
            </w:r>
          </w:p>
        </w:tc>
        <w:tc>
          <w:tcPr>
            <w:tcW w:w="678" w:type="dxa"/>
            <w:vAlign w:val="center"/>
          </w:tcPr>
          <w:p w14:paraId="1577F7A1">
            <w:pPr>
              <w:autoSpaceDE w:val="0"/>
              <w:autoSpaceDN w:val="0"/>
              <w:jc w:val="center"/>
              <w:rPr>
                <w:rFonts w:hint="eastAsia" w:ascii="宋体" w:hAnsi="宋体" w:eastAsia="宋体" w:cs="宋体"/>
                <w:b/>
                <w:kern w:val="0"/>
                <w:szCs w:val="21"/>
                <w:lang w:val="en-US" w:eastAsia="zh-CN"/>
              </w:rPr>
            </w:pPr>
            <w:r>
              <w:rPr>
                <w:rFonts w:hint="eastAsia" w:ascii="宋体" w:hAnsi="宋体" w:cs="宋体"/>
                <w:b/>
                <w:kern w:val="0"/>
                <w:szCs w:val="21"/>
                <w:lang w:val="en-US" w:eastAsia="zh-CN"/>
              </w:rPr>
              <w:t>分属</w:t>
            </w:r>
            <w:bookmarkStart w:id="1034" w:name="_GoBack"/>
            <w:bookmarkEnd w:id="1034"/>
            <w:r>
              <w:rPr>
                <w:rFonts w:hint="eastAsia" w:ascii="宋体" w:hAnsi="宋体" w:cs="宋体"/>
                <w:b/>
                <w:kern w:val="0"/>
                <w:szCs w:val="21"/>
                <w:lang w:val="en-US" w:eastAsia="zh-CN"/>
              </w:rPr>
              <w:t>性</w:t>
            </w:r>
          </w:p>
        </w:tc>
      </w:tr>
      <w:tr w14:paraId="2105A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vMerge w:val="restart"/>
            <w:vAlign w:val="center"/>
          </w:tcPr>
          <w:p w14:paraId="659FD0C7">
            <w:pPr>
              <w:autoSpaceDE w:val="0"/>
              <w:autoSpaceDN w:val="0"/>
              <w:jc w:val="center"/>
              <w:rPr>
                <w:rFonts w:hint="eastAsia" w:ascii="宋体" w:hAnsi="宋体" w:cs="宋体"/>
                <w:kern w:val="0"/>
                <w:szCs w:val="21"/>
              </w:rPr>
            </w:pPr>
            <w:r>
              <w:rPr>
                <w:rFonts w:hint="eastAsia" w:ascii="宋体" w:hAnsi="宋体" w:cs="宋体"/>
                <w:kern w:val="0"/>
                <w:szCs w:val="21"/>
              </w:rPr>
              <w:t>1</w:t>
            </w:r>
          </w:p>
        </w:tc>
        <w:tc>
          <w:tcPr>
            <w:tcW w:w="900" w:type="dxa"/>
            <w:vMerge w:val="restart"/>
            <w:vAlign w:val="center"/>
          </w:tcPr>
          <w:p w14:paraId="3F193F48">
            <w:pPr>
              <w:autoSpaceDE w:val="0"/>
              <w:autoSpaceDN w:val="0"/>
              <w:jc w:val="center"/>
              <w:rPr>
                <w:rFonts w:hint="eastAsia" w:ascii="宋体" w:hAnsi="宋体" w:cs="宋体"/>
                <w:kern w:val="0"/>
                <w:szCs w:val="21"/>
                <w:lang w:eastAsia="en-US"/>
              </w:rPr>
            </w:pPr>
            <w:r>
              <w:rPr>
                <w:rFonts w:hint="eastAsia" w:ascii="宋体" w:hAnsi="宋体" w:cs="宋体"/>
                <w:kern w:val="0"/>
                <w:szCs w:val="21"/>
                <w:lang w:eastAsia="en-US"/>
              </w:rPr>
              <w:t>商务部分（</w:t>
            </w:r>
            <w:r>
              <w:rPr>
                <w:rFonts w:hint="eastAsia" w:ascii="宋体" w:hAnsi="宋体" w:cs="宋体"/>
                <w:kern w:val="0"/>
                <w:szCs w:val="21"/>
              </w:rPr>
              <w:t>19</w:t>
            </w:r>
            <w:r>
              <w:rPr>
                <w:rFonts w:hint="eastAsia" w:ascii="宋体" w:hAnsi="宋体" w:cs="宋体"/>
                <w:kern w:val="0"/>
                <w:szCs w:val="21"/>
                <w:lang w:eastAsia="en-US"/>
              </w:rPr>
              <w:t>分）</w:t>
            </w:r>
          </w:p>
        </w:tc>
        <w:tc>
          <w:tcPr>
            <w:tcW w:w="833" w:type="dxa"/>
            <w:vMerge w:val="restart"/>
            <w:vAlign w:val="center"/>
          </w:tcPr>
          <w:p w14:paraId="469D7097">
            <w:pPr>
              <w:autoSpaceDE w:val="0"/>
              <w:autoSpaceDN w:val="0"/>
              <w:jc w:val="center"/>
              <w:rPr>
                <w:rFonts w:hint="eastAsia" w:ascii="宋体" w:hAnsi="宋体" w:cs="宋体"/>
                <w:kern w:val="0"/>
                <w:szCs w:val="21"/>
                <w:lang w:eastAsia="en-US"/>
              </w:rPr>
            </w:pPr>
            <w:r>
              <w:rPr>
                <w:rFonts w:hint="eastAsia" w:ascii="宋体" w:hAnsi="宋体" w:cs="宋体"/>
                <w:kern w:val="0"/>
                <w:szCs w:val="21"/>
                <w:lang w:eastAsia="en-US"/>
              </w:rPr>
              <w:t>相关证书</w:t>
            </w:r>
          </w:p>
        </w:tc>
        <w:tc>
          <w:tcPr>
            <w:tcW w:w="6300" w:type="dxa"/>
            <w:vAlign w:val="center"/>
          </w:tcPr>
          <w:p w14:paraId="20F53CFB">
            <w:pPr>
              <w:autoSpaceDE w:val="0"/>
              <w:autoSpaceDN w:val="0"/>
              <w:jc w:val="left"/>
              <w:rPr>
                <w:rFonts w:hint="eastAsia" w:ascii="宋体" w:hAnsi="宋体" w:cs="宋体"/>
                <w:kern w:val="0"/>
                <w:szCs w:val="21"/>
              </w:rPr>
            </w:pPr>
            <w:r>
              <w:rPr>
                <w:rFonts w:hint="eastAsia" w:ascii="宋体" w:hAnsi="宋体" w:cs="宋体"/>
                <w:kern w:val="0"/>
                <w:szCs w:val="21"/>
              </w:rPr>
              <w:t>具</w:t>
            </w:r>
            <w:r>
              <w:rPr>
                <w:rFonts w:hint="eastAsia" w:ascii="宋体" w:hAnsi="宋体" w:cs="宋体"/>
                <w:bCs/>
                <w:szCs w:val="21"/>
              </w:rPr>
              <w:t>备</w:t>
            </w:r>
            <w:r>
              <w:rPr>
                <w:rFonts w:hint="eastAsia" w:ascii="宋体" w:hAnsi="宋体" w:cs="宋体"/>
                <w:kern w:val="0"/>
                <w:szCs w:val="21"/>
              </w:rPr>
              <w:t>有效的质量管理体系认证ISO9001证书，得 1 分，否则得 0分。</w:t>
            </w:r>
            <w:r>
              <w:rPr>
                <w:rFonts w:hint="eastAsia" w:ascii="宋体" w:hAnsi="宋体" w:cs="宋体"/>
                <w:bCs/>
                <w:kern w:val="0"/>
                <w:szCs w:val="21"/>
              </w:rPr>
              <w:t>（审核依据为投标文件中编制的证书扫描件加盖供应商公章，证书需要验证的，供应商需提供年检验证的证明并加盖供应商公章，否则不予认可）</w:t>
            </w:r>
          </w:p>
        </w:tc>
        <w:tc>
          <w:tcPr>
            <w:tcW w:w="678" w:type="dxa"/>
            <w:vAlign w:val="center"/>
          </w:tcPr>
          <w:p w14:paraId="7B3120C7">
            <w:pPr>
              <w:autoSpaceDE w:val="0"/>
              <w:autoSpaceDN w:val="0"/>
              <w:jc w:val="center"/>
              <w:rPr>
                <w:rFonts w:hint="eastAsia" w:ascii="宋体" w:hAnsi="宋体" w:cs="宋体"/>
                <w:kern w:val="0"/>
                <w:szCs w:val="21"/>
                <w:lang w:eastAsia="en-US"/>
              </w:rPr>
            </w:pPr>
            <w:r>
              <w:rPr>
                <w:rFonts w:hint="eastAsia" w:ascii="宋体" w:hAnsi="宋体" w:cs="宋体"/>
                <w:kern w:val="0"/>
                <w:szCs w:val="21"/>
              </w:rPr>
              <w:t>1</w:t>
            </w:r>
          </w:p>
        </w:tc>
        <w:tc>
          <w:tcPr>
            <w:tcW w:w="678" w:type="dxa"/>
            <w:vAlign w:val="center"/>
          </w:tcPr>
          <w:p w14:paraId="6A321ED2">
            <w:pPr>
              <w:autoSpaceDE w:val="0"/>
              <w:autoSpaceDN w:val="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客观</w:t>
            </w:r>
          </w:p>
        </w:tc>
      </w:tr>
      <w:tr w14:paraId="3A189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vMerge w:val="continue"/>
            <w:tcBorders>
              <w:top w:val="nil"/>
            </w:tcBorders>
            <w:vAlign w:val="center"/>
          </w:tcPr>
          <w:p w14:paraId="31C492A1">
            <w:pPr>
              <w:autoSpaceDE w:val="0"/>
              <w:autoSpaceDN w:val="0"/>
              <w:jc w:val="center"/>
              <w:rPr>
                <w:rFonts w:hint="eastAsia" w:ascii="宋体" w:hAnsi="宋体" w:cs="宋体"/>
                <w:kern w:val="0"/>
                <w:szCs w:val="21"/>
                <w:lang w:eastAsia="en-US"/>
              </w:rPr>
            </w:pPr>
          </w:p>
        </w:tc>
        <w:tc>
          <w:tcPr>
            <w:tcW w:w="900" w:type="dxa"/>
            <w:vMerge w:val="continue"/>
            <w:tcBorders>
              <w:top w:val="nil"/>
            </w:tcBorders>
            <w:vAlign w:val="center"/>
          </w:tcPr>
          <w:p w14:paraId="5D39EDEC">
            <w:pPr>
              <w:autoSpaceDE w:val="0"/>
              <w:autoSpaceDN w:val="0"/>
              <w:jc w:val="center"/>
              <w:rPr>
                <w:rFonts w:hint="eastAsia" w:ascii="宋体" w:hAnsi="宋体" w:cs="宋体"/>
                <w:kern w:val="0"/>
                <w:szCs w:val="21"/>
                <w:lang w:eastAsia="en-US"/>
              </w:rPr>
            </w:pPr>
          </w:p>
        </w:tc>
        <w:tc>
          <w:tcPr>
            <w:tcW w:w="833" w:type="dxa"/>
            <w:vMerge w:val="continue"/>
            <w:tcBorders>
              <w:top w:val="nil"/>
            </w:tcBorders>
            <w:vAlign w:val="center"/>
          </w:tcPr>
          <w:p w14:paraId="126962DC">
            <w:pPr>
              <w:autoSpaceDE w:val="0"/>
              <w:autoSpaceDN w:val="0"/>
              <w:jc w:val="center"/>
              <w:rPr>
                <w:rFonts w:hint="eastAsia" w:ascii="宋体" w:hAnsi="宋体" w:cs="宋体"/>
                <w:kern w:val="0"/>
                <w:szCs w:val="21"/>
                <w:lang w:eastAsia="en-US"/>
              </w:rPr>
            </w:pPr>
          </w:p>
        </w:tc>
        <w:tc>
          <w:tcPr>
            <w:tcW w:w="6300" w:type="dxa"/>
            <w:vAlign w:val="center"/>
          </w:tcPr>
          <w:p w14:paraId="70024984">
            <w:pPr>
              <w:autoSpaceDE w:val="0"/>
              <w:autoSpaceDN w:val="0"/>
              <w:jc w:val="left"/>
              <w:rPr>
                <w:rFonts w:hint="eastAsia" w:ascii="宋体" w:hAnsi="宋体" w:cs="宋体"/>
                <w:kern w:val="0"/>
                <w:szCs w:val="21"/>
              </w:rPr>
            </w:pPr>
            <w:r>
              <w:rPr>
                <w:rFonts w:hint="eastAsia" w:ascii="宋体" w:hAnsi="宋体" w:cs="宋体"/>
                <w:bCs/>
                <w:szCs w:val="21"/>
              </w:rPr>
              <w:t>具备有效的环境管理体系认证ISO14001证书</w:t>
            </w:r>
            <w:r>
              <w:rPr>
                <w:rFonts w:hint="eastAsia" w:ascii="宋体" w:hAnsi="宋体" w:cs="宋体"/>
                <w:kern w:val="0"/>
                <w:szCs w:val="21"/>
              </w:rPr>
              <w:t>，得 1 分，否则得 0分。</w:t>
            </w:r>
            <w:r>
              <w:rPr>
                <w:rFonts w:hint="eastAsia" w:ascii="宋体" w:hAnsi="宋体" w:cs="宋体"/>
                <w:bCs/>
                <w:kern w:val="0"/>
                <w:szCs w:val="21"/>
              </w:rPr>
              <w:t>（审核依据为投标文件中编制的证书扫描件加盖供应商公章，证书需要验证的，供应商需提供年检验证的证明并加盖供应商公章，否则不予认可）</w:t>
            </w:r>
          </w:p>
        </w:tc>
        <w:tc>
          <w:tcPr>
            <w:tcW w:w="678" w:type="dxa"/>
            <w:vAlign w:val="center"/>
          </w:tcPr>
          <w:p w14:paraId="22CB449E">
            <w:pPr>
              <w:autoSpaceDE w:val="0"/>
              <w:autoSpaceDN w:val="0"/>
              <w:jc w:val="center"/>
              <w:rPr>
                <w:rFonts w:hint="eastAsia" w:ascii="宋体" w:hAnsi="宋体" w:cs="宋体"/>
                <w:kern w:val="0"/>
                <w:szCs w:val="21"/>
              </w:rPr>
            </w:pPr>
            <w:r>
              <w:rPr>
                <w:rFonts w:hint="eastAsia" w:ascii="宋体" w:hAnsi="宋体" w:cs="宋体"/>
                <w:kern w:val="0"/>
                <w:szCs w:val="21"/>
              </w:rPr>
              <w:t>1</w:t>
            </w:r>
          </w:p>
        </w:tc>
        <w:tc>
          <w:tcPr>
            <w:tcW w:w="678" w:type="dxa"/>
            <w:vAlign w:val="center"/>
          </w:tcPr>
          <w:p w14:paraId="7A0DD4D3">
            <w:pPr>
              <w:autoSpaceDE w:val="0"/>
              <w:autoSpaceDN w:val="0"/>
              <w:jc w:val="center"/>
              <w:rPr>
                <w:rFonts w:hint="eastAsia" w:ascii="宋体" w:hAnsi="宋体" w:cs="宋体"/>
                <w:kern w:val="0"/>
                <w:szCs w:val="21"/>
              </w:rPr>
            </w:pPr>
            <w:r>
              <w:rPr>
                <w:rFonts w:hint="eastAsia" w:ascii="宋体" w:hAnsi="宋体" w:cs="宋体"/>
                <w:kern w:val="0"/>
                <w:szCs w:val="21"/>
                <w:lang w:val="en-US" w:eastAsia="zh-CN"/>
              </w:rPr>
              <w:t>客观</w:t>
            </w:r>
          </w:p>
        </w:tc>
      </w:tr>
      <w:tr w14:paraId="0DDCF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vMerge w:val="continue"/>
            <w:tcBorders>
              <w:top w:val="nil"/>
            </w:tcBorders>
            <w:vAlign w:val="center"/>
          </w:tcPr>
          <w:p w14:paraId="7CEA619D">
            <w:pPr>
              <w:autoSpaceDE w:val="0"/>
              <w:autoSpaceDN w:val="0"/>
              <w:jc w:val="center"/>
              <w:rPr>
                <w:rFonts w:hint="eastAsia" w:ascii="宋体" w:hAnsi="宋体" w:cs="宋体"/>
                <w:kern w:val="0"/>
                <w:szCs w:val="21"/>
                <w:lang w:eastAsia="en-US"/>
              </w:rPr>
            </w:pPr>
          </w:p>
        </w:tc>
        <w:tc>
          <w:tcPr>
            <w:tcW w:w="900" w:type="dxa"/>
            <w:vMerge w:val="continue"/>
            <w:tcBorders>
              <w:top w:val="nil"/>
            </w:tcBorders>
            <w:vAlign w:val="center"/>
          </w:tcPr>
          <w:p w14:paraId="46AFB028">
            <w:pPr>
              <w:autoSpaceDE w:val="0"/>
              <w:autoSpaceDN w:val="0"/>
              <w:jc w:val="center"/>
              <w:rPr>
                <w:rFonts w:hint="eastAsia" w:ascii="宋体" w:hAnsi="宋体" w:cs="宋体"/>
                <w:kern w:val="0"/>
                <w:szCs w:val="21"/>
                <w:lang w:eastAsia="en-US"/>
              </w:rPr>
            </w:pPr>
          </w:p>
        </w:tc>
        <w:tc>
          <w:tcPr>
            <w:tcW w:w="833" w:type="dxa"/>
            <w:vMerge w:val="continue"/>
            <w:tcBorders>
              <w:top w:val="nil"/>
            </w:tcBorders>
            <w:vAlign w:val="center"/>
          </w:tcPr>
          <w:p w14:paraId="5D05CC91">
            <w:pPr>
              <w:autoSpaceDE w:val="0"/>
              <w:autoSpaceDN w:val="0"/>
              <w:jc w:val="center"/>
              <w:rPr>
                <w:rFonts w:hint="eastAsia" w:ascii="宋体" w:hAnsi="宋体" w:cs="宋体"/>
                <w:kern w:val="0"/>
                <w:szCs w:val="21"/>
                <w:lang w:eastAsia="en-US"/>
              </w:rPr>
            </w:pPr>
          </w:p>
        </w:tc>
        <w:tc>
          <w:tcPr>
            <w:tcW w:w="6300" w:type="dxa"/>
            <w:vAlign w:val="center"/>
          </w:tcPr>
          <w:p w14:paraId="4285AEF1">
            <w:pPr>
              <w:autoSpaceDE w:val="0"/>
              <w:autoSpaceDN w:val="0"/>
              <w:jc w:val="left"/>
              <w:rPr>
                <w:rFonts w:hint="eastAsia" w:ascii="宋体" w:hAnsi="宋体" w:cs="宋体"/>
                <w:kern w:val="0"/>
                <w:szCs w:val="21"/>
              </w:rPr>
            </w:pPr>
            <w:r>
              <w:rPr>
                <w:rFonts w:hint="eastAsia" w:ascii="宋体" w:hAnsi="宋体" w:cs="宋体"/>
                <w:kern w:val="0"/>
                <w:szCs w:val="21"/>
              </w:rPr>
              <w:t>具备有效的职业健康安全管理体系认证ISO45001证书，得 1 分，否则得 0分。</w:t>
            </w:r>
            <w:r>
              <w:rPr>
                <w:rFonts w:hint="eastAsia" w:ascii="宋体" w:hAnsi="宋体" w:cs="宋体"/>
                <w:bCs/>
                <w:kern w:val="0"/>
                <w:szCs w:val="21"/>
              </w:rPr>
              <w:t>（审核依据为投标文件中编制的证书扫描件加盖供应商公章，证书需要验证的，供应商需提供年检验证的证明并加盖供应商公章，否则不予认可）</w:t>
            </w:r>
          </w:p>
        </w:tc>
        <w:tc>
          <w:tcPr>
            <w:tcW w:w="678" w:type="dxa"/>
            <w:vAlign w:val="center"/>
          </w:tcPr>
          <w:p w14:paraId="1D952C58">
            <w:pPr>
              <w:autoSpaceDE w:val="0"/>
              <w:autoSpaceDN w:val="0"/>
              <w:jc w:val="center"/>
              <w:rPr>
                <w:rFonts w:hint="eastAsia" w:ascii="宋体" w:hAnsi="宋体" w:cs="宋体"/>
                <w:kern w:val="0"/>
                <w:szCs w:val="21"/>
              </w:rPr>
            </w:pPr>
            <w:r>
              <w:rPr>
                <w:rFonts w:hint="eastAsia" w:ascii="宋体" w:hAnsi="宋体" w:cs="宋体"/>
                <w:kern w:val="0"/>
                <w:szCs w:val="21"/>
                <w:lang w:eastAsia="en-US"/>
              </w:rPr>
              <w:t>1</w:t>
            </w:r>
          </w:p>
        </w:tc>
        <w:tc>
          <w:tcPr>
            <w:tcW w:w="678" w:type="dxa"/>
            <w:vAlign w:val="center"/>
          </w:tcPr>
          <w:p w14:paraId="4B1A5681">
            <w:pPr>
              <w:autoSpaceDE w:val="0"/>
              <w:autoSpaceDN w:val="0"/>
              <w:jc w:val="center"/>
              <w:rPr>
                <w:rFonts w:hint="eastAsia" w:ascii="宋体" w:hAnsi="宋体" w:cs="宋体"/>
                <w:kern w:val="0"/>
                <w:szCs w:val="21"/>
                <w:lang w:eastAsia="en-US"/>
              </w:rPr>
            </w:pPr>
            <w:r>
              <w:rPr>
                <w:rFonts w:hint="eastAsia" w:ascii="宋体" w:hAnsi="宋体" w:cs="宋体"/>
                <w:kern w:val="0"/>
                <w:szCs w:val="21"/>
                <w:lang w:val="en-US" w:eastAsia="zh-CN"/>
              </w:rPr>
              <w:t>客观</w:t>
            </w:r>
          </w:p>
        </w:tc>
      </w:tr>
      <w:tr w14:paraId="1E978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vMerge w:val="continue"/>
            <w:tcBorders>
              <w:top w:val="nil"/>
            </w:tcBorders>
            <w:vAlign w:val="center"/>
          </w:tcPr>
          <w:p w14:paraId="7C3A39EB">
            <w:pPr>
              <w:autoSpaceDE w:val="0"/>
              <w:autoSpaceDN w:val="0"/>
              <w:jc w:val="center"/>
              <w:rPr>
                <w:rFonts w:hint="eastAsia" w:ascii="宋体" w:hAnsi="宋体" w:cs="宋体"/>
                <w:kern w:val="0"/>
                <w:szCs w:val="21"/>
                <w:lang w:eastAsia="en-US"/>
              </w:rPr>
            </w:pPr>
          </w:p>
        </w:tc>
        <w:tc>
          <w:tcPr>
            <w:tcW w:w="900" w:type="dxa"/>
            <w:vMerge w:val="continue"/>
            <w:tcBorders>
              <w:top w:val="nil"/>
            </w:tcBorders>
            <w:vAlign w:val="center"/>
          </w:tcPr>
          <w:p w14:paraId="60CCDBCA">
            <w:pPr>
              <w:autoSpaceDE w:val="0"/>
              <w:autoSpaceDN w:val="0"/>
              <w:jc w:val="center"/>
              <w:rPr>
                <w:rFonts w:hint="eastAsia" w:ascii="宋体" w:hAnsi="宋体" w:cs="宋体"/>
                <w:kern w:val="0"/>
                <w:szCs w:val="21"/>
                <w:lang w:eastAsia="en-US"/>
              </w:rPr>
            </w:pPr>
          </w:p>
        </w:tc>
        <w:tc>
          <w:tcPr>
            <w:tcW w:w="833" w:type="dxa"/>
            <w:vAlign w:val="center"/>
          </w:tcPr>
          <w:p w14:paraId="2E18B21F">
            <w:pPr>
              <w:autoSpaceDE w:val="0"/>
              <w:autoSpaceDN w:val="0"/>
              <w:jc w:val="center"/>
              <w:rPr>
                <w:rFonts w:hint="eastAsia" w:ascii="宋体" w:hAnsi="宋体" w:cs="宋体"/>
                <w:kern w:val="0"/>
                <w:szCs w:val="21"/>
                <w:lang w:eastAsia="en-US"/>
              </w:rPr>
            </w:pPr>
            <w:r>
              <w:rPr>
                <w:rFonts w:hint="eastAsia" w:ascii="宋体" w:hAnsi="宋体" w:cs="宋体"/>
                <w:kern w:val="0"/>
                <w:szCs w:val="21"/>
                <w:lang w:eastAsia="en-US"/>
              </w:rPr>
              <w:t>类似项目业绩</w:t>
            </w:r>
          </w:p>
        </w:tc>
        <w:tc>
          <w:tcPr>
            <w:tcW w:w="6300" w:type="dxa"/>
            <w:vAlign w:val="center"/>
          </w:tcPr>
          <w:p w14:paraId="04760BA8">
            <w:pPr>
              <w:autoSpaceDE w:val="0"/>
              <w:autoSpaceDN w:val="0"/>
              <w:jc w:val="left"/>
              <w:rPr>
                <w:rFonts w:hint="eastAsia" w:ascii="宋体" w:hAnsi="宋体" w:cs="宋体"/>
                <w:kern w:val="0"/>
                <w:szCs w:val="21"/>
              </w:rPr>
            </w:pPr>
            <w:r>
              <w:rPr>
                <w:rFonts w:hint="eastAsia" w:ascii="宋体" w:hAnsi="宋体" w:cs="宋体"/>
                <w:kern w:val="0"/>
                <w:szCs w:val="21"/>
              </w:rPr>
              <w:t>提供2021年 3 月 1 日</w:t>
            </w:r>
            <w:r>
              <w:rPr>
                <w:rFonts w:hint="eastAsia" w:ascii="宋体" w:hAnsi="宋体" w:cs="宋体"/>
                <w:bCs/>
                <w:kern w:val="0"/>
                <w:szCs w:val="21"/>
              </w:rPr>
              <w:t>起至投标截止之日止（以合同签订日期为准）</w:t>
            </w:r>
            <w:r>
              <w:rPr>
                <w:rFonts w:hint="eastAsia" w:ascii="宋体" w:hAnsi="宋体" w:cs="宋体"/>
                <w:kern w:val="0"/>
                <w:szCs w:val="21"/>
              </w:rPr>
              <w:t>完成一等水准测量相关工作合同业绩，每提供一个业绩得 4 分，最高得 16 分，没有不得分。</w:t>
            </w:r>
          </w:p>
          <w:p w14:paraId="3FA9EEF1">
            <w:pPr>
              <w:autoSpaceDE w:val="0"/>
              <w:autoSpaceDN w:val="0"/>
              <w:jc w:val="left"/>
              <w:rPr>
                <w:rFonts w:hint="eastAsia" w:ascii="宋体" w:hAnsi="宋体" w:cs="宋体"/>
                <w:kern w:val="0"/>
                <w:szCs w:val="21"/>
              </w:rPr>
            </w:pPr>
            <w:r>
              <w:rPr>
                <w:rFonts w:hint="eastAsia" w:ascii="宋体" w:hAnsi="宋体" w:cs="宋体"/>
                <w:kern w:val="0"/>
                <w:szCs w:val="21"/>
              </w:rPr>
              <w:t>注：投标人须提供合同扫描件作为有效业绩证明（必须包括合同首页、关键内容页、双方签单页）。</w:t>
            </w:r>
          </w:p>
        </w:tc>
        <w:tc>
          <w:tcPr>
            <w:tcW w:w="678" w:type="dxa"/>
            <w:vAlign w:val="center"/>
          </w:tcPr>
          <w:p w14:paraId="75407541">
            <w:pPr>
              <w:autoSpaceDE w:val="0"/>
              <w:autoSpaceDN w:val="0"/>
              <w:jc w:val="center"/>
              <w:rPr>
                <w:rFonts w:hint="eastAsia" w:ascii="宋体" w:hAnsi="宋体" w:cs="宋体"/>
                <w:kern w:val="0"/>
                <w:szCs w:val="21"/>
              </w:rPr>
            </w:pPr>
            <w:r>
              <w:rPr>
                <w:rFonts w:hint="eastAsia" w:ascii="宋体" w:hAnsi="宋体" w:cs="宋体"/>
                <w:kern w:val="0"/>
                <w:szCs w:val="21"/>
              </w:rPr>
              <w:t>16</w:t>
            </w:r>
          </w:p>
        </w:tc>
        <w:tc>
          <w:tcPr>
            <w:tcW w:w="678" w:type="dxa"/>
            <w:vAlign w:val="center"/>
          </w:tcPr>
          <w:p w14:paraId="3CE61ABC">
            <w:pPr>
              <w:autoSpaceDE w:val="0"/>
              <w:autoSpaceDN w:val="0"/>
              <w:jc w:val="center"/>
              <w:rPr>
                <w:rFonts w:hint="eastAsia" w:ascii="宋体" w:hAnsi="宋体" w:cs="宋体"/>
                <w:kern w:val="0"/>
                <w:szCs w:val="21"/>
              </w:rPr>
            </w:pPr>
            <w:r>
              <w:rPr>
                <w:rFonts w:hint="eastAsia" w:ascii="宋体" w:hAnsi="宋体" w:cs="宋体"/>
                <w:kern w:val="0"/>
                <w:szCs w:val="21"/>
                <w:lang w:val="en-US" w:eastAsia="zh-CN"/>
              </w:rPr>
              <w:t>客观</w:t>
            </w:r>
          </w:p>
        </w:tc>
      </w:tr>
      <w:tr w14:paraId="77A3D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vMerge w:val="restart"/>
            <w:vAlign w:val="center"/>
          </w:tcPr>
          <w:p w14:paraId="42AAB2FC">
            <w:pPr>
              <w:autoSpaceDE w:val="0"/>
              <w:autoSpaceDN w:val="0"/>
              <w:jc w:val="center"/>
              <w:rPr>
                <w:rFonts w:hint="eastAsia" w:ascii="宋体" w:hAnsi="宋体" w:cs="宋体"/>
                <w:kern w:val="0"/>
                <w:szCs w:val="21"/>
                <w:lang w:eastAsia="en-US"/>
              </w:rPr>
            </w:pPr>
            <w:r>
              <w:rPr>
                <w:rFonts w:hint="eastAsia" w:ascii="宋体" w:hAnsi="宋体" w:cs="宋体"/>
                <w:kern w:val="0"/>
                <w:szCs w:val="21"/>
                <w:lang w:eastAsia="en-US"/>
              </w:rPr>
              <w:t>2</w:t>
            </w:r>
          </w:p>
        </w:tc>
        <w:tc>
          <w:tcPr>
            <w:tcW w:w="900" w:type="dxa"/>
            <w:vMerge w:val="restart"/>
            <w:vAlign w:val="center"/>
          </w:tcPr>
          <w:p w14:paraId="29A143B7">
            <w:pPr>
              <w:autoSpaceDE w:val="0"/>
              <w:autoSpaceDN w:val="0"/>
              <w:jc w:val="center"/>
              <w:rPr>
                <w:rFonts w:hint="eastAsia" w:ascii="宋体" w:hAnsi="宋体" w:cs="宋体"/>
                <w:kern w:val="0"/>
                <w:szCs w:val="21"/>
              </w:rPr>
            </w:pPr>
            <w:r>
              <w:rPr>
                <w:rFonts w:hint="eastAsia" w:ascii="宋体" w:hAnsi="宋体" w:cs="宋体"/>
                <w:kern w:val="0"/>
                <w:szCs w:val="21"/>
              </w:rPr>
              <w:t>技术及服务部分（</w:t>
            </w:r>
            <w:r>
              <w:rPr>
                <w:rFonts w:hint="eastAsia" w:ascii="宋体" w:hAnsi="宋体" w:cs="宋体"/>
                <w:kern w:val="0"/>
                <w:szCs w:val="21"/>
                <w:lang w:val="en-US" w:eastAsia="zh-CN"/>
              </w:rPr>
              <w:t>71</w:t>
            </w:r>
            <w:r>
              <w:rPr>
                <w:rFonts w:hint="eastAsia" w:ascii="宋体" w:hAnsi="宋体" w:cs="宋体"/>
                <w:kern w:val="0"/>
                <w:szCs w:val="21"/>
              </w:rPr>
              <w:t>分）</w:t>
            </w:r>
          </w:p>
        </w:tc>
        <w:tc>
          <w:tcPr>
            <w:tcW w:w="833" w:type="dxa"/>
            <w:vMerge w:val="restart"/>
            <w:vAlign w:val="center"/>
          </w:tcPr>
          <w:p w14:paraId="2AAF98FA">
            <w:pPr>
              <w:autoSpaceDE w:val="0"/>
              <w:autoSpaceDN w:val="0"/>
              <w:jc w:val="center"/>
              <w:rPr>
                <w:rFonts w:hint="eastAsia" w:ascii="宋体" w:hAnsi="宋体" w:cs="宋体"/>
                <w:kern w:val="0"/>
                <w:szCs w:val="21"/>
                <w:lang w:eastAsia="en-US"/>
              </w:rPr>
            </w:pPr>
            <w:r>
              <w:rPr>
                <w:rFonts w:hint="eastAsia" w:ascii="宋体" w:hAnsi="宋体" w:cs="宋体"/>
                <w:kern w:val="0"/>
                <w:szCs w:val="21"/>
                <w:lang w:eastAsia="en-US"/>
              </w:rPr>
              <w:t>项目服务方案</w:t>
            </w:r>
          </w:p>
        </w:tc>
        <w:tc>
          <w:tcPr>
            <w:tcW w:w="6300" w:type="dxa"/>
            <w:vAlign w:val="center"/>
          </w:tcPr>
          <w:p w14:paraId="2D8C6BF7">
            <w:pPr>
              <w:autoSpaceDE w:val="0"/>
              <w:autoSpaceDN w:val="0"/>
              <w:jc w:val="left"/>
              <w:rPr>
                <w:rFonts w:hint="eastAsia" w:ascii="宋体" w:hAnsi="宋体" w:cs="宋体"/>
                <w:kern w:val="0"/>
                <w:szCs w:val="21"/>
              </w:rPr>
            </w:pPr>
            <w:r>
              <w:rPr>
                <w:rFonts w:hint="eastAsia" w:ascii="宋体" w:hAnsi="宋体" w:cs="宋体"/>
                <w:kern w:val="0"/>
                <w:szCs w:val="21"/>
              </w:rPr>
              <w:t>（1）方案内容完整性</w:t>
            </w:r>
          </w:p>
          <w:p w14:paraId="7F169E98">
            <w:pPr>
              <w:autoSpaceDE w:val="0"/>
              <w:autoSpaceDN w:val="0"/>
              <w:jc w:val="left"/>
              <w:rPr>
                <w:rFonts w:hint="eastAsia" w:ascii="宋体" w:hAnsi="宋体" w:cs="宋体"/>
                <w:kern w:val="0"/>
                <w:szCs w:val="21"/>
              </w:rPr>
            </w:pPr>
            <w:r>
              <w:rPr>
                <w:rFonts w:hint="eastAsia" w:ascii="宋体" w:hAnsi="宋体" w:cs="宋体"/>
                <w:kern w:val="0"/>
                <w:szCs w:val="21"/>
              </w:rPr>
              <w:t>方案内容完整、且描述翔实具体，得</w:t>
            </w:r>
            <w:r>
              <w:rPr>
                <w:rFonts w:hint="eastAsia" w:ascii="宋体" w:hAnsi="宋体" w:cs="宋体"/>
                <w:kern w:val="0"/>
                <w:szCs w:val="21"/>
                <w:lang w:val="en-US" w:eastAsia="zh-CN"/>
              </w:rPr>
              <w:t>11</w:t>
            </w:r>
            <w:r>
              <w:rPr>
                <w:rFonts w:hint="eastAsia" w:ascii="宋体" w:hAnsi="宋体" w:cs="宋体"/>
                <w:kern w:val="0"/>
                <w:szCs w:val="21"/>
              </w:rPr>
              <w:t>分；</w:t>
            </w:r>
          </w:p>
          <w:p w14:paraId="21CF3272">
            <w:pPr>
              <w:autoSpaceDE w:val="0"/>
              <w:autoSpaceDN w:val="0"/>
              <w:jc w:val="left"/>
              <w:rPr>
                <w:rFonts w:hint="eastAsia" w:ascii="宋体" w:hAnsi="宋体" w:cs="宋体"/>
                <w:kern w:val="0"/>
                <w:szCs w:val="21"/>
              </w:rPr>
            </w:pPr>
            <w:r>
              <w:rPr>
                <w:rFonts w:hint="eastAsia" w:ascii="宋体" w:hAnsi="宋体" w:cs="宋体"/>
                <w:kern w:val="0"/>
                <w:szCs w:val="21"/>
              </w:rPr>
              <w:t>方案内容不够完整或描述不够翔实具体，得</w:t>
            </w:r>
            <w:r>
              <w:rPr>
                <w:rFonts w:hint="eastAsia" w:ascii="宋体" w:hAnsi="宋体" w:cs="宋体"/>
                <w:kern w:val="0"/>
                <w:szCs w:val="21"/>
                <w:lang w:val="en-US" w:eastAsia="zh-CN"/>
              </w:rPr>
              <w:t>7</w:t>
            </w:r>
            <w:r>
              <w:rPr>
                <w:rFonts w:hint="eastAsia" w:ascii="宋体" w:hAnsi="宋体" w:cs="宋体"/>
                <w:kern w:val="0"/>
                <w:szCs w:val="21"/>
              </w:rPr>
              <w:t>分；</w:t>
            </w:r>
          </w:p>
          <w:p w14:paraId="24CEF165">
            <w:pPr>
              <w:autoSpaceDE w:val="0"/>
              <w:autoSpaceDN w:val="0"/>
              <w:jc w:val="left"/>
              <w:rPr>
                <w:rFonts w:hint="eastAsia" w:ascii="宋体" w:hAnsi="宋体" w:cs="宋体"/>
                <w:kern w:val="0"/>
                <w:szCs w:val="21"/>
                <w:lang w:eastAsia="en-US"/>
              </w:rPr>
            </w:pPr>
            <w:r>
              <w:rPr>
                <w:rFonts w:hint="eastAsia" w:ascii="宋体" w:hAnsi="宋体" w:cs="宋体"/>
                <w:kern w:val="0"/>
                <w:szCs w:val="21"/>
                <w:lang w:eastAsia="en-US"/>
              </w:rPr>
              <w:t>方案存在重大欠缺或描述欠佳，得2分。</w:t>
            </w:r>
          </w:p>
          <w:p w14:paraId="320F6916">
            <w:pPr>
              <w:autoSpaceDE w:val="0"/>
              <w:autoSpaceDN w:val="0"/>
              <w:jc w:val="left"/>
              <w:rPr>
                <w:rFonts w:hint="eastAsia" w:ascii="宋体" w:hAnsi="宋体" w:cs="宋体"/>
                <w:kern w:val="0"/>
                <w:szCs w:val="21"/>
                <w:lang w:eastAsia="en-US"/>
              </w:rPr>
            </w:pPr>
            <w:r>
              <w:rPr>
                <w:rFonts w:hint="eastAsia" w:ascii="宋体" w:hAnsi="宋体" w:cs="宋体"/>
                <w:kern w:val="0"/>
                <w:szCs w:val="21"/>
                <w:lang w:eastAsia="en-US"/>
              </w:rPr>
              <w:t>未提供方案得 0 分。</w:t>
            </w:r>
          </w:p>
        </w:tc>
        <w:tc>
          <w:tcPr>
            <w:tcW w:w="678" w:type="dxa"/>
            <w:vAlign w:val="center"/>
          </w:tcPr>
          <w:p w14:paraId="143F5014">
            <w:pPr>
              <w:autoSpaceDE w:val="0"/>
              <w:autoSpaceDN w:val="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11</w:t>
            </w:r>
          </w:p>
        </w:tc>
        <w:tc>
          <w:tcPr>
            <w:tcW w:w="678" w:type="dxa"/>
            <w:vAlign w:val="center"/>
          </w:tcPr>
          <w:p w14:paraId="0D6B7941">
            <w:pPr>
              <w:autoSpaceDE w:val="0"/>
              <w:autoSpaceDN w:val="0"/>
              <w:jc w:val="center"/>
              <w:rPr>
                <w:rFonts w:hint="default" w:ascii="宋体" w:hAnsi="宋体" w:cs="宋体"/>
                <w:kern w:val="0"/>
                <w:szCs w:val="21"/>
                <w:lang w:val="en-US" w:eastAsia="zh-CN"/>
              </w:rPr>
            </w:pPr>
            <w:r>
              <w:rPr>
                <w:rFonts w:hint="eastAsia" w:ascii="宋体" w:hAnsi="宋体" w:cs="宋体"/>
                <w:kern w:val="0"/>
                <w:szCs w:val="21"/>
                <w:lang w:val="en-US" w:eastAsia="zh-CN"/>
              </w:rPr>
              <w:t>主观</w:t>
            </w:r>
          </w:p>
        </w:tc>
      </w:tr>
      <w:tr w14:paraId="57AE4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vMerge w:val="continue"/>
            <w:vAlign w:val="center"/>
          </w:tcPr>
          <w:p w14:paraId="1AF18376">
            <w:pPr>
              <w:autoSpaceDE w:val="0"/>
              <w:autoSpaceDN w:val="0"/>
              <w:jc w:val="center"/>
              <w:rPr>
                <w:rFonts w:hint="eastAsia" w:ascii="宋体" w:hAnsi="宋体" w:cs="宋体"/>
                <w:kern w:val="0"/>
                <w:szCs w:val="21"/>
                <w:lang w:eastAsia="en-US"/>
              </w:rPr>
            </w:pPr>
          </w:p>
        </w:tc>
        <w:tc>
          <w:tcPr>
            <w:tcW w:w="900" w:type="dxa"/>
            <w:vMerge w:val="continue"/>
            <w:vAlign w:val="center"/>
          </w:tcPr>
          <w:p w14:paraId="3E4D07F4">
            <w:pPr>
              <w:autoSpaceDE w:val="0"/>
              <w:autoSpaceDN w:val="0"/>
              <w:jc w:val="center"/>
              <w:rPr>
                <w:rFonts w:hint="eastAsia" w:ascii="宋体" w:hAnsi="宋体" w:cs="宋体"/>
                <w:kern w:val="0"/>
                <w:szCs w:val="21"/>
                <w:lang w:eastAsia="en-US"/>
              </w:rPr>
            </w:pPr>
          </w:p>
        </w:tc>
        <w:tc>
          <w:tcPr>
            <w:tcW w:w="833" w:type="dxa"/>
            <w:vMerge w:val="continue"/>
            <w:tcBorders>
              <w:top w:val="nil"/>
            </w:tcBorders>
            <w:vAlign w:val="center"/>
          </w:tcPr>
          <w:p w14:paraId="2C36FD6C">
            <w:pPr>
              <w:autoSpaceDE w:val="0"/>
              <w:autoSpaceDN w:val="0"/>
              <w:jc w:val="center"/>
              <w:rPr>
                <w:rFonts w:hint="eastAsia" w:ascii="宋体" w:hAnsi="宋体" w:cs="宋体"/>
                <w:kern w:val="0"/>
                <w:szCs w:val="21"/>
                <w:lang w:eastAsia="en-US"/>
              </w:rPr>
            </w:pPr>
          </w:p>
        </w:tc>
        <w:tc>
          <w:tcPr>
            <w:tcW w:w="6300" w:type="dxa"/>
            <w:vAlign w:val="center"/>
          </w:tcPr>
          <w:p w14:paraId="54A4F3A5">
            <w:pPr>
              <w:autoSpaceDE w:val="0"/>
              <w:autoSpaceDN w:val="0"/>
              <w:jc w:val="left"/>
              <w:rPr>
                <w:rFonts w:hint="eastAsia" w:ascii="宋体" w:hAnsi="宋体" w:cs="宋体"/>
                <w:kern w:val="0"/>
                <w:szCs w:val="21"/>
              </w:rPr>
            </w:pPr>
            <w:r>
              <w:rPr>
                <w:rFonts w:hint="eastAsia" w:ascii="宋体" w:hAnsi="宋体" w:cs="宋体"/>
                <w:kern w:val="0"/>
                <w:szCs w:val="21"/>
              </w:rPr>
              <w:t>（2）方案可实施性</w:t>
            </w:r>
          </w:p>
          <w:p w14:paraId="5723F1DB">
            <w:pPr>
              <w:autoSpaceDE w:val="0"/>
              <w:autoSpaceDN w:val="0"/>
              <w:jc w:val="left"/>
              <w:rPr>
                <w:rFonts w:hint="eastAsia" w:ascii="宋体" w:hAnsi="宋体" w:cs="宋体"/>
                <w:kern w:val="0"/>
                <w:szCs w:val="21"/>
              </w:rPr>
            </w:pPr>
            <w:r>
              <w:rPr>
                <w:rFonts w:hint="eastAsia" w:ascii="宋体" w:hAnsi="宋体" w:cs="宋体"/>
                <w:kern w:val="0"/>
                <w:szCs w:val="21"/>
              </w:rPr>
              <w:t>方案合理、考虑周全，可实施性高，得</w:t>
            </w:r>
            <w:r>
              <w:rPr>
                <w:rFonts w:hint="eastAsia" w:ascii="宋体" w:hAnsi="宋体" w:cs="宋体"/>
                <w:kern w:val="0"/>
                <w:szCs w:val="21"/>
                <w:lang w:val="en-US" w:eastAsia="zh-CN"/>
              </w:rPr>
              <w:t>11</w:t>
            </w:r>
            <w:r>
              <w:rPr>
                <w:rFonts w:hint="eastAsia" w:ascii="宋体" w:hAnsi="宋体" w:cs="宋体"/>
                <w:kern w:val="0"/>
                <w:szCs w:val="21"/>
              </w:rPr>
              <w:t>分；</w:t>
            </w:r>
          </w:p>
          <w:p w14:paraId="19025480">
            <w:pPr>
              <w:autoSpaceDE w:val="0"/>
              <w:autoSpaceDN w:val="0"/>
              <w:jc w:val="left"/>
              <w:rPr>
                <w:rFonts w:hint="eastAsia" w:ascii="宋体" w:hAnsi="宋体" w:cs="宋体"/>
                <w:kern w:val="0"/>
                <w:szCs w:val="21"/>
              </w:rPr>
            </w:pPr>
            <w:r>
              <w:rPr>
                <w:rFonts w:hint="eastAsia" w:ascii="宋体" w:hAnsi="宋体" w:cs="宋体"/>
                <w:kern w:val="0"/>
                <w:szCs w:val="21"/>
              </w:rPr>
              <w:t>方案合理但考虑不够周全，可实施性欠佳，得</w:t>
            </w:r>
            <w:r>
              <w:rPr>
                <w:rFonts w:hint="eastAsia" w:ascii="宋体" w:hAnsi="宋体" w:cs="宋体"/>
                <w:kern w:val="0"/>
                <w:szCs w:val="21"/>
                <w:lang w:val="en-US" w:eastAsia="zh-CN"/>
              </w:rPr>
              <w:t>7</w:t>
            </w:r>
            <w:r>
              <w:rPr>
                <w:rFonts w:hint="eastAsia" w:ascii="宋体" w:hAnsi="宋体" w:cs="宋体"/>
                <w:kern w:val="0"/>
                <w:szCs w:val="21"/>
              </w:rPr>
              <w:t>分；</w:t>
            </w:r>
          </w:p>
          <w:p w14:paraId="0970623C">
            <w:pPr>
              <w:autoSpaceDE w:val="0"/>
              <w:autoSpaceDN w:val="0"/>
              <w:jc w:val="left"/>
              <w:rPr>
                <w:rFonts w:hint="eastAsia" w:ascii="宋体" w:hAnsi="宋体" w:cs="宋体"/>
                <w:kern w:val="0"/>
                <w:szCs w:val="21"/>
              </w:rPr>
            </w:pPr>
            <w:r>
              <w:rPr>
                <w:rFonts w:hint="eastAsia" w:ascii="宋体" w:hAnsi="宋体" w:cs="宋体"/>
                <w:kern w:val="0"/>
                <w:szCs w:val="21"/>
              </w:rPr>
              <w:t>方案可实施性存在重大缺陷，得2分。</w:t>
            </w:r>
          </w:p>
          <w:p w14:paraId="37753FF6">
            <w:pPr>
              <w:autoSpaceDE w:val="0"/>
              <w:autoSpaceDN w:val="0"/>
              <w:jc w:val="left"/>
              <w:rPr>
                <w:rFonts w:hint="eastAsia" w:ascii="宋体" w:hAnsi="宋体" w:cs="宋体"/>
                <w:kern w:val="0"/>
                <w:szCs w:val="21"/>
                <w:lang w:eastAsia="en-US"/>
              </w:rPr>
            </w:pPr>
            <w:r>
              <w:rPr>
                <w:rFonts w:hint="eastAsia" w:ascii="宋体" w:hAnsi="宋体" w:cs="宋体"/>
                <w:kern w:val="0"/>
                <w:szCs w:val="21"/>
                <w:lang w:eastAsia="en-US"/>
              </w:rPr>
              <w:t>未提供方案得 0 分。</w:t>
            </w:r>
          </w:p>
        </w:tc>
        <w:tc>
          <w:tcPr>
            <w:tcW w:w="678" w:type="dxa"/>
            <w:vAlign w:val="center"/>
          </w:tcPr>
          <w:p w14:paraId="282381A2">
            <w:pPr>
              <w:autoSpaceDE w:val="0"/>
              <w:autoSpaceDN w:val="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11</w:t>
            </w:r>
          </w:p>
        </w:tc>
        <w:tc>
          <w:tcPr>
            <w:tcW w:w="678" w:type="dxa"/>
            <w:vAlign w:val="center"/>
          </w:tcPr>
          <w:p w14:paraId="636D798E">
            <w:pPr>
              <w:autoSpaceDE w:val="0"/>
              <w:autoSpaceDN w:val="0"/>
              <w:jc w:val="center"/>
              <w:rPr>
                <w:rFonts w:hint="eastAsia" w:ascii="宋体" w:hAnsi="宋体" w:cs="宋体"/>
                <w:kern w:val="0"/>
                <w:szCs w:val="21"/>
                <w:lang w:val="en-US" w:eastAsia="zh-CN"/>
              </w:rPr>
            </w:pPr>
            <w:r>
              <w:rPr>
                <w:rFonts w:hint="eastAsia" w:ascii="宋体" w:hAnsi="宋体" w:cs="宋体"/>
                <w:kern w:val="0"/>
                <w:szCs w:val="21"/>
                <w:lang w:val="en-US" w:eastAsia="zh-CN"/>
              </w:rPr>
              <w:t>主观</w:t>
            </w:r>
          </w:p>
        </w:tc>
      </w:tr>
      <w:tr w14:paraId="4021D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vMerge w:val="continue"/>
            <w:vAlign w:val="center"/>
          </w:tcPr>
          <w:p w14:paraId="6EF51559">
            <w:pPr>
              <w:autoSpaceDE w:val="0"/>
              <w:autoSpaceDN w:val="0"/>
              <w:jc w:val="center"/>
              <w:rPr>
                <w:rFonts w:hint="eastAsia" w:ascii="宋体" w:hAnsi="宋体" w:cs="宋体"/>
                <w:kern w:val="0"/>
                <w:szCs w:val="21"/>
                <w:lang w:eastAsia="en-US"/>
              </w:rPr>
            </w:pPr>
          </w:p>
        </w:tc>
        <w:tc>
          <w:tcPr>
            <w:tcW w:w="900" w:type="dxa"/>
            <w:vMerge w:val="continue"/>
            <w:vAlign w:val="center"/>
          </w:tcPr>
          <w:p w14:paraId="4B40E434">
            <w:pPr>
              <w:autoSpaceDE w:val="0"/>
              <w:autoSpaceDN w:val="0"/>
              <w:jc w:val="center"/>
              <w:rPr>
                <w:rFonts w:hint="eastAsia" w:ascii="宋体" w:hAnsi="宋体" w:cs="宋体"/>
                <w:kern w:val="0"/>
                <w:szCs w:val="21"/>
                <w:lang w:eastAsia="en-US"/>
              </w:rPr>
            </w:pPr>
          </w:p>
        </w:tc>
        <w:tc>
          <w:tcPr>
            <w:tcW w:w="833" w:type="dxa"/>
            <w:vMerge w:val="continue"/>
            <w:tcBorders>
              <w:top w:val="nil"/>
            </w:tcBorders>
            <w:vAlign w:val="center"/>
          </w:tcPr>
          <w:p w14:paraId="137F75E3">
            <w:pPr>
              <w:autoSpaceDE w:val="0"/>
              <w:autoSpaceDN w:val="0"/>
              <w:jc w:val="center"/>
              <w:rPr>
                <w:rFonts w:hint="eastAsia" w:ascii="宋体" w:hAnsi="宋体" w:cs="宋体"/>
                <w:kern w:val="0"/>
                <w:szCs w:val="21"/>
                <w:lang w:eastAsia="en-US"/>
              </w:rPr>
            </w:pPr>
          </w:p>
        </w:tc>
        <w:tc>
          <w:tcPr>
            <w:tcW w:w="6300" w:type="dxa"/>
            <w:vAlign w:val="center"/>
          </w:tcPr>
          <w:p w14:paraId="1BDA3486">
            <w:pPr>
              <w:autoSpaceDE w:val="0"/>
              <w:autoSpaceDN w:val="0"/>
              <w:jc w:val="left"/>
              <w:rPr>
                <w:rFonts w:hint="eastAsia" w:ascii="宋体" w:hAnsi="宋体" w:cs="宋体"/>
                <w:kern w:val="0"/>
                <w:szCs w:val="21"/>
              </w:rPr>
            </w:pPr>
            <w:r>
              <w:rPr>
                <w:rFonts w:hint="eastAsia" w:ascii="宋体" w:hAnsi="宋体" w:cs="宋体"/>
                <w:kern w:val="0"/>
                <w:szCs w:val="21"/>
              </w:rPr>
              <w:t>（3）方案针对性</w:t>
            </w:r>
          </w:p>
          <w:p w14:paraId="1D1DAEDB">
            <w:pPr>
              <w:autoSpaceDE w:val="0"/>
              <w:autoSpaceDN w:val="0"/>
              <w:jc w:val="left"/>
              <w:rPr>
                <w:rFonts w:hint="eastAsia" w:ascii="宋体" w:hAnsi="宋体" w:cs="宋体"/>
                <w:kern w:val="0"/>
                <w:szCs w:val="21"/>
              </w:rPr>
            </w:pPr>
            <w:r>
              <w:rPr>
                <w:rFonts w:hint="eastAsia" w:ascii="宋体" w:hAnsi="宋体" w:cs="宋体"/>
                <w:kern w:val="0"/>
                <w:szCs w:val="21"/>
              </w:rPr>
              <w:t>方案考虑充分，针对性强，得</w:t>
            </w:r>
            <w:r>
              <w:rPr>
                <w:rFonts w:hint="eastAsia" w:ascii="宋体" w:hAnsi="宋体" w:cs="宋体"/>
                <w:kern w:val="0"/>
                <w:szCs w:val="21"/>
                <w:lang w:val="en-US" w:eastAsia="zh-CN"/>
              </w:rPr>
              <w:t>11</w:t>
            </w:r>
            <w:r>
              <w:rPr>
                <w:rFonts w:hint="eastAsia" w:ascii="宋体" w:hAnsi="宋体" w:cs="宋体"/>
                <w:kern w:val="0"/>
                <w:szCs w:val="21"/>
              </w:rPr>
              <w:t>分；</w:t>
            </w:r>
          </w:p>
          <w:p w14:paraId="16C9C78D">
            <w:pPr>
              <w:autoSpaceDE w:val="0"/>
              <w:autoSpaceDN w:val="0"/>
              <w:jc w:val="left"/>
              <w:rPr>
                <w:rFonts w:hint="eastAsia" w:ascii="宋体" w:hAnsi="宋体" w:cs="宋体"/>
                <w:kern w:val="0"/>
                <w:szCs w:val="21"/>
              </w:rPr>
            </w:pPr>
            <w:r>
              <w:rPr>
                <w:rFonts w:hint="eastAsia" w:ascii="宋体" w:hAnsi="宋体" w:cs="宋体"/>
                <w:kern w:val="0"/>
                <w:szCs w:val="21"/>
              </w:rPr>
              <w:t>方案考虑项目情况但针对性欠佳，得</w:t>
            </w:r>
            <w:r>
              <w:rPr>
                <w:rFonts w:hint="eastAsia" w:ascii="宋体" w:hAnsi="宋体" w:cs="宋体"/>
                <w:kern w:val="0"/>
                <w:szCs w:val="21"/>
                <w:lang w:val="en-US" w:eastAsia="zh-CN"/>
              </w:rPr>
              <w:t>7</w:t>
            </w:r>
            <w:r>
              <w:rPr>
                <w:rFonts w:hint="eastAsia" w:ascii="宋体" w:hAnsi="宋体" w:cs="宋体"/>
                <w:kern w:val="0"/>
                <w:szCs w:val="21"/>
              </w:rPr>
              <w:t>分；</w:t>
            </w:r>
          </w:p>
          <w:p w14:paraId="55F92458">
            <w:pPr>
              <w:autoSpaceDE w:val="0"/>
              <w:autoSpaceDN w:val="0"/>
              <w:jc w:val="left"/>
              <w:rPr>
                <w:rFonts w:hint="eastAsia" w:ascii="宋体" w:hAnsi="宋体" w:cs="宋体"/>
                <w:kern w:val="0"/>
                <w:szCs w:val="21"/>
              </w:rPr>
            </w:pPr>
            <w:r>
              <w:rPr>
                <w:rFonts w:hint="eastAsia" w:ascii="宋体" w:hAnsi="宋体" w:cs="宋体"/>
                <w:kern w:val="0"/>
                <w:szCs w:val="21"/>
              </w:rPr>
              <w:t>方案通用简单、针对性严重不足，得2分；</w:t>
            </w:r>
          </w:p>
          <w:p w14:paraId="51F41FAE">
            <w:pPr>
              <w:autoSpaceDE w:val="0"/>
              <w:autoSpaceDN w:val="0"/>
              <w:jc w:val="left"/>
              <w:rPr>
                <w:rFonts w:hint="eastAsia" w:ascii="宋体" w:hAnsi="宋体" w:cs="宋体"/>
                <w:kern w:val="0"/>
                <w:szCs w:val="21"/>
                <w:lang w:eastAsia="en-US"/>
              </w:rPr>
            </w:pPr>
            <w:r>
              <w:rPr>
                <w:rFonts w:hint="eastAsia" w:ascii="宋体" w:hAnsi="宋体" w:cs="宋体"/>
                <w:kern w:val="0"/>
                <w:szCs w:val="21"/>
                <w:lang w:eastAsia="en-US"/>
              </w:rPr>
              <w:t>未提供方案得 0 分。</w:t>
            </w:r>
          </w:p>
        </w:tc>
        <w:tc>
          <w:tcPr>
            <w:tcW w:w="678" w:type="dxa"/>
            <w:vAlign w:val="center"/>
          </w:tcPr>
          <w:p w14:paraId="1D703CA4">
            <w:pPr>
              <w:autoSpaceDE w:val="0"/>
              <w:autoSpaceDN w:val="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11</w:t>
            </w:r>
          </w:p>
        </w:tc>
        <w:tc>
          <w:tcPr>
            <w:tcW w:w="678" w:type="dxa"/>
            <w:vAlign w:val="center"/>
          </w:tcPr>
          <w:p w14:paraId="5ED55DEA">
            <w:pPr>
              <w:autoSpaceDE w:val="0"/>
              <w:autoSpaceDN w:val="0"/>
              <w:jc w:val="center"/>
              <w:rPr>
                <w:rFonts w:hint="eastAsia" w:ascii="宋体" w:hAnsi="宋体" w:cs="宋体"/>
                <w:kern w:val="0"/>
                <w:szCs w:val="21"/>
                <w:lang w:val="en-US" w:eastAsia="zh-CN"/>
              </w:rPr>
            </w:pPr>
            <w:r>
              <w:rPr>
                <w:rFonts w:hint="eastAsia" w:ascii="宋体" w:hAnsi="宋体" w:cs="宋体"/>
                <w:kern w:val="0"/>
                <w:szCs w:val="21"/>
                <w:lang w:val="en-US" w:eastAsia="zh-CN"/>
              </w:rPr>
              <w:t>主观</w:t>
            </w:r>
          </w:p>
        </w:tc>
      </w:tr>
      <w:tr w14:paraId="5DA3B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vMerge w:val="continue"/>
            <w:vAlign w:val="center"/>
          </w:tcPr>
          <w:p w14:paraId="3F4C5DB6">
            <w:pPr>
              <w:autoSpaceDE w:val="0"/>
              <w:autoSpaceDN w:val="0"/>
              <w:jc w:val="center"/>
              <w:rPr>
                <w:rFonts w:hint="eastAsia" w:ascii="宋体" w:hAnsi="宋体" w:cs="宋体"/>
                <w:kern w:val="0"/>
                <w:szCs w:val="21"/>
                <w:lang w:eastAsia="en-US"/>
              </w:rPr>
            </w:pPr>
          </w:p>
        </w:tc>
        <w:tc>
          <w:tcPr>
            <w:tcW w:w="900" w:type="dxa"/>
            <w:vMerge w:val="continue"/>
            <w:vAlign w:val="center"/>
          </w:tcPr>
          <w:p w14:paraId="6FB3F5FE">
            <w:pPr>
              <w:autoSpaceDE w:val="0"/>
              <w:autoSpaceDN w:val="0"/>
              <w:jc w:val="center"/>
              <w:rPr>
                <w:rFonts w:hint="eastAsia" w:ascii="宋体" w:hAnsi="宋体" w:cs="宋体"/>
                <w:kern w:val="0"/>
                <w:szCs w:val="21"/>
                <w:lang w:eastAsia="en-US"/>
              </w:rPr>
            </w:pPr>
          </w:p>
        </w:tc>
        <w:tc>
          <w:tcPr>
            <w:tcW w:w="833" w:type="dxa"/>
            <w:vMerge w:val="restart"/>
            <w:vAlign w:val="center"/>
          </w:tcPr>
          <w:p w14:paraId="65F0FA2C">
            <w:pPr>
              <w:autoSpaceDE w:val="0"/>
              <w:autoSpaceDN w:val="0"/>
              <w:jc w:val="center"/>
              <w:rPr>
                <w:rFonts w:hint="eastAsia" w:ascii="宋体" w:hAnsi="宋体" w:cs="宋体"/>
                <w:kern w:val="0"/>
                <w:szCs w:val="21"/>
                <w:lang w:eastAsia="en-US"/>
              </w:rPr>
            </w:pPr>
            <w:r>
              <w:rPr>
                <w:rFonts w:hint="eastAsia" w:ascii="宋体" w:hAnsi="宋体" w:cs="宋体"/>
                <w:kern w:val="0"/>
                <w:szCs w:val="21"/>
                <w:lang w:eastAsia="en-US"/>
              </w:rPr>
              <w:t>团队服务能力方案</w:t>
            </w:r>
          </w:p>
        </w:tc>
        <w:tc>
          <w:tcPr>
            <w:tcW w:w="6300" w:type="dxa"/>
            <w:vAlign w:val="center"/>
          </w:tcPr>
          <w:p w14:paraId="68BA4F36">
            <w:pPr>
              <w:autoSpaceDE w:val="0"/>
              <w:autoSpaceDN w:val="0"/>
              <w:jc w:val="left"/>
              <w:rPr>
                <w:rFonts w:hint="eastAsia" w:ascii="宋体" w:hAnsi="宋体" w:cs="宋体"/>
                <w:kern w:val="0"/>
                <w:szCs w:val="21"/>
              </w:rPr>
            </w:pPr>
            <w:r>
              <w:rPr>
                <w:rFonts w:hint="eastAsia" w:ascii="宋体" w:hAnsi="宋体" w:cs="宋体"/>
                <w:kern w:val="0"/>
                <w:szCs w:val="21"/>
                <w:lang w:eastAsia="zh-CN"/>
              </w:rPr>
              <w:t>（</w:t>
            </w:r>
            <w:r>
              <w:rPr>
                <w:rFonts w:hint="eastAsia" w:ascii="宋体" w:hAnsi="宋体" w:cs="宋体"/>
                <w:kern w:val="0"/>
                <w:szCs w:val="21"/>
                <w:lang w:val="en-US" w:eastAsia="zh-CN"/>
              </w:rPr>
              <w:t>1</w:t>
            </w:r>
            <w:r>
              <w:rPr>
                <w:rFonts w:hint="eastAsia" w:ascii="宋体" w:hAnsi="宋体" w:cs="宋体"/>
                <w:kern w:val="0"/>
                <w:szCs w:val="21"/>
                <w:lang w:eastAsia="zh-CN"/>
              </w:rPr>
              <w:t>）</w:t>
            </w:r>
            <w:r>
              <w:rPr>
                <w:rFonts w:hint="eastAsia" w:ascii="宋体" w:hAnsi="宋体" w:cs="宋体"/>
                <w:kern w:val="0"/>
                <w:szCs w:val="21"/>
              </w:rPr>
              <w:t>拟派项目负责人员具有测绘或地质相关专业学士以上学位及高级工程师以上职称，得1分（提供证明材料扫描件加盖公章）；</w:t>
            </w:r>
          </w:p>
          <w:p w14:paraId="4E7DB3AB">
            <w:pPr>
              <w:numPr>
                <w:ilvl w:val="-1"/>
                <w:numId w:val="0"/>
              </w:numPr>
              <w:autoSpaceDE w:val="0"/>
              <w:autoSpaceDN w:val="0"/>
              <w:jc w:val="left"/>
              <w:rPr>
                <w:rFonts w:hint="eastAsia" w:ascii="宋体" w:hAnsi="宋体" w:cs="宋体"/>
                <w:kern w:val="0"/>
                <w:szCs w:val="21"/>
              </w:rPr>
            </w:pPr>
            <w:r>
              <w:rPr>
                <w:rFonts w:hint="eastAsia" w:ascii="宋体" w:hAnsi="宋体" w:cs="宋体"/>
                <w:kern w:val="0"/>
                <w:szCs w:val="21"/>
                <w:lang w:eastAsia="zh-CN"/>
              </w:rPr>
              <w:t>（</w:t>
            </w:r>
            <w:r>
              <w:rPr>
                <w:rFonts w:hint="eastAsia" w:ascii="宋体" w:hAnsi="宋体" w:cs="宋体"/>
                <w:kern w:val="0"/>
                <w:szCs w:val="21"/>
                <w:lang w:val="en-US" w:eastAsia="zh-CN"/>
              </w:rPr>
              <w:t>2</w:t>
            </w:r>
            <w:r>
              <w:rPr>
                <w:rFonts w:hint="eastAsia" w:ascii="宋体" w:hAnsi="宋体" w:cs="宋体"/>
                <w:kern w:val="0"/>
                <w:szCs w:val="21"/>
                <w:lang w:eastAsia="zh-CN"/>
              </w:rPr>
              <w:t>）</w:t>
            </w:r>
            <w:r>
              <w:rPr>
                <w:rFonts w:hint="eastAsia" w:ascii="宋体" w:hAnsi="宋体" w:cs="宋体"/>
                <w:kern w:val="0"/>
                <w:szCs w:val="21"/>
              </w:rPr>
              <w:t>2021年3月 1 日</w:t>
            </w:r>
            <w:r>
              <w:rPr>
                <w:rFonts w:hint="eastAsia" w:ascii="宋体" w:hAnsi="宋体" w:cs="宋体"/>
                <w:bCs/>
                <w:kern w:val="0"/>
                <w:szCs w:val="21"/>
              </w:rPr>
              <w:t>起至投标截止之日止（以证明材料落款日期为准），</w:t>
            </w:r>
            <w:r>
              <w:rPr>
                <w:rFonts w:hint="eastAsia" w:ascii="宋体" w:hAnsi="宋体" w:cs="宋体"/>
                <w:kern w:val="0"/>
                <w:szCs w:val="21"/>
              </w:rPr>
              <w:t>作为项目负责参与一等水准测量工作，每参与1项得1分，最多得3分。（提供业绩证明材料扫描件加盖公章）。</w:t>
            </w:r>
          </w:p>
        </w:tc>
        <w:tc>
          <w:tcPr>
            <w:tcW w:w="678" w:type="dxa"/>
            <w:vAlign w:val="center"/>
          </w:tcPr>
          <w:p w14:paraId="476273EC">
            <w:pPr>
              <w:autoSpaceDE w:val="0"/>
              <w:autoSpaceDN w:val="0"/>
              <w:jc w:val="center"/>
              <w:rPr>
                <w:rFonts w:hint="eastAsia" w:ascii="宋体" w:hAnsi="宋体" w:cs="宋体"/>
                <w:kern w:val="0"/>
                <w:szCs w:val="21"/>
              </w:rPr>
            </w:pPr>
            <w:r>
              <w:rPr>
                <w:rFonts w:hint="eastAsia" w:ascii="宋体" w:hAnsi="宋体" w:cs="宋体"/>
                <w:kern w:val="0"/>
                <w:szCs w:val="21"/>
              </w:rPr>
              <w:t>4</w:t>
            </w:r>
          </w:p>
        </w:tc>
        <w:tc>
          <w:tcPr>
            <w:tcW w:w="678" w:type="dxa"/>
            <w:vAlign w:val="center"/>
          </w:tcPr>
          <w:p w14:paraId="59839FAC">
            <w:pPr>
              <w:autoSpaceDE w:val="0"/>
              <w:autoSpaceDN w:val="0"/>
              <w:jc w:val="center"/>
              <w:rPr>
                <w:rFonts w:hint="eastAsia" w:ascii="宋体" w:hAnsi="宋体" w:cs="宋体"/>
                <w:kern w:val="0"/>
                <w:szCs w:val="21"/>
              </w:rPr>
            </w:pPr>
            <w:r>
              <w:rPr>
                <w:rFonts w:hint="eastAsia" w:ascii="宋体" w:hAnsi="宋体" w:cs="宋体"/>
                <w:kern w:val="0"/>
                <w:szCs w:val="21"/>
                <w:lang w:val="en-US" w:eastAsia="zh-CN"/>
              </w:rPr>
              <w:t>客观</w:t>
            </w:r>
          </w:p>
        </w:tc>
      </w:tr>
      <w:tr w14:paraId="19264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vMerge w:val="continue"/>
            <w:vAlign w:val="center"/>
          </w:tcPr>
          <w:p w14:paraId="2D0F730C">
            <w:pPr>
              <w:autoSpaceDE w:val="0"/>
              <w:autoSpaceDN w:val="0"/>
              <w:jc w:val="center"/>
              <w:rPr>
                <w:rFonts w:hint="eastAsia" w:ascii="宋体" w:hAnsi="宋体" w:cs="宋体"/>
                <w:kern w:val="0"/>
                <w:szCs w:val="21"/>
                <w:lang w:eastAsia="en-US"/>
              </w:rPr>
            </w:pPr>
          </w:p>
        </w:tc>
        <w:tc>
          <w:tcPr>
            <w:tcW w:w="900" w:type="dxa"/>
            <w:vMerge w:val="continue"/>
            <w:vAlign w:val="center"/>
          </w:tcPr>
          <w:p w14:paraId="44BD6D20">
            <w:pPr>
              <w:autoSpaceDE w:val="0"/>
              <w:autoSpaceDN w:val="0"/>
              <w:jc w:val="center"/>
              <w:rPr>
                <w:rFonts w:hint="eastAsia" w:ascii="宋体" w:hAnsi="宋体" w:cs="宋体"/>
                <w:kern w:val="0"/>
                <w:szCs w:val="21"/>
                <w:lang w:eastAsia="en-US"/>
              </w:rPr>
            </w:pPr>
          </w:p>
        </w:tc>
        <w:tc>
          <w:tcPr>
            <w:tcW w:w="833" w:type="dxa"/>
            <w:vMerge w:val="continue"/>
            <w:tcBorders>
              <w:top w:val="nil"/>
            </w:tcBorders>
            <w:vAlign w:val="center"/>
          </w:tcPr>
          <w:p w14:paraId="32102F54">
            <w:pPr>
              <w:autoSpaceDE w:val="0"/>
              <w:autoSpaceDN w:val="0"/>
              <w:jc w:val="center"/>
              <w:rPr>
                <w:rFonts w:hint="eastAsia" w:ascii="宋体" w:hAnsi="宋体" w:cs="宋体"/>
                <w:kern w:val="0"/>
                <w:szCs w:val="21"/>
                <w:lang w:eastAsia="en-US"/>
              </w:rPr>
            </w:pPr>
          </w:p>
        </w:tc>
        <w:tc>
          <w:tcPr>
            <w:tcW w:w="6300" w:type="dxa"/>
            <w:vAlign w:val="center"/>
          </w:tcPr>
          <w:p w14:paraId="31F48707">
            <w:pPr>
              <w:autoSpaceDE w:val="0"/>
              <w:autoSpaceDN w:val="0"/>
              <w:jc w:val="left"/>
              <w:rPr>
                <w:rFonts w:hint="eastAsia" w:ascii="宋体" w:hAnsi="宋体" w:cs="宋体"/>
                <w:kern w:val="0"/>
                <w:szCs w:val="21"/>
              </w:rPr>
            </w:pPr>
            <w:r>
              <w:rPr>
                <w:rFonts w:hint="eastAsia" w:ascii="宋体" w:hAnsi="宋体" w:cs="宋体"/>
                <w:kern w:val="0"/>
                <w:szCs w:val="21"/>
              </w:rPr>
              <w:t xml:space="preserve">结合拟派团队人员专业、经验等情况进行阐述。 </w:t>
            </w:r>
          </w:p>
          <w:p w14:paraId="0CECE566">
            <w:pPr>
              <w:autoSpaceDE w:val="0"/>
              <w:autoSpaceDN w:val="0"/>
              <w:jc w:val="left"/>
              <w:rPr>
                <w:rFonts w:hint="eastAsia" w:ascii="宋体" w:hAnsi="宋体" w:cs="宋体"/>
                <w:kern w:val="0"/>
                <w:szCs w:val="21"/>
              </w:rPr>
            </w:pPr>
            <w:r>
              <w:rPr>
                <w:rFonts w:hint="eastAsia" w:ascii="宋体" w:hAnsi="宋体" w:cs="宋体"/>
                <w:kern w:val="0"/>
                <w:szCs w:val="21"/>
              </w:rPr>
              <w:t xml:space="preserve">进行了详细的阐述和团队人员组成的分析，能正确理解项目的需求，团队人员组成、分工合理，团队人员经验丰富，满足招标要求，得 </w:t>
            </w:r>
            <w:r>
              <w:rPr>
                <w:rFonts w:hint="eastAsia" w:ascii="宋体" w:hAnsi="宋体" w:cs="宋体"/>
                <w:kern w:val="0"/>
                <w:szCs w:val="21"/>
                <w:lang w:val="en-US" w:eastAsia="zh-CN"/>
              </w:rPr>
              <w:t>7</w:t>
            </w:r>
            <w:r>
              <w:rPr>
                <w:rFonts w:hint="eastAsia" w:ascii="宋体" w:hAnsi="宋体" w:cs="宋体"/>
                <w:kern w:val="0"/>
                <w:szCs w:val="21"/>
              </w:rPr>
              <w:t xml:space="preserve"> 分； </w:t>
            </w:r>
          </w:p>
          <w:p w14:paraId="772922F6">
            <w:pPr>
              <w:autoSpaceDE w:val="0"/>
              <w:autoSpaceDN w:val="0"/>
              <w:jc w:val="left"/>
              <w:rPr>
                <w:rFonts w:hint="eastAsia" w:ascii="宋体" w:hAnsi="宋体" w:cs="宋体"/>
                <w:kern w:val="0"/>
                <w:szCs w:val="21"/>
              </w:rPr>
            </w:pPr>
            <w:r>
              <w:rPr>
                <w:rFonts w:hint="eastAsia" w:ascii="宋体" w:hAnsi="宋体" w:cs="宋体"/>
                <w:kern w:val="0"/>
                <w:szCs w:val="21"/>
              </w:rPr>
              <w:t xml:space="preserve">虽进行了阐述但并未进行论述分析，团队人员组成符合要求，团队人员经验一般，得 4 分； </w:t>
            </w:r>
          </w:p>
          <w:p w14:paraId="002F3E51">
            <w:pPr>
              <w:autoSpaceDE w:val="0"/>
              <w:autoSpaceDN w:val="0"/>
              <w:jc w:val="left"/>
              <w:rPr>
                <w:rFonts w:hint="eastAsia" w:ascii="宋体" w:hAnsi="宋体" w:cs="宋体"/>
                <w:kern w:val="0"/>
                <w:szCs w:val="21"/>
              </w:rPr>
            </w:pPr>
            <w:r>
              <w:rPr>
                <w:rFonts w:hint="eastAsia" w:ascii="宋体" w:hAnsi="宋体" w:cs="宋体"/>
                <w:kern w:val="0"/>
                <w:szCs w:val="21"/>
              </w:rPr>
              <w:t xml:space="preserve">未对招标所需运维团队及人员要求进行阐述分析，团队人员仅部分满足招标要求，团队人员欠缺，得 2 分； </w:t>
            </w:r>
          </w:p>
          <w:p w14:paraId="2F766226">
            <w:pPr>
              <w:autoSpaceDE w:val="0"/>
              <w:autoSpaceDN w:val="0"/>
              <w:jc w:val="left"/>
              <w:rPr>
                <w:rFonts w:hint="eastAsia" w:ascii="宋体" w:hAnsi="宋体" w:cs="宋体"/>
                <w:kern w:val="0"/>
                <w:szCs w:val="21"/>
              </w:rPr>
            </w:pPr>
            <w:r>
              <w:rPr>
                <w:rFonts w:hint="eastAsia" w:ascii="宋体" w:hAnsi="宋体" w:cs="宋体"/>
                <w:kern w:val="0"/>
                <w:szCs w:val="21"/>
              </w:rPr>
              <w:t xml:space="preserve">未进行任何阐述或不满足招标要求，得 0 分。 </w:t>
            </w:r>
          </w:p>
          <w:p w14:paraId="6BA01289">
            <w:pPr>
              <w:autoSpaceDE w:val="0"/>
              <w:autoSpaceDN w:val="0"/>
              <w:jc w:val="left"/>
              <w:rPr>
                <w:rFonts w:hint="eastAsia" w:ascii="宋体" w:hAnsi="宋体" w:cs="宋体"/>
                <w:kern w:val="0"/>
                <w:szCs w:val="21"/>
              </w:rPr>
            </w:pPr>
            <w:r>
              <w:rPr>
                <w:rFonts w:hint="eastAsia" w:ascii="宋体" w:hAnsi="宋体" w:cs="宋体"/>
                <w:kern w:val="0"/>
                <w:szCs w:val="21"/>
              </w:rPr>
              <w:t>（审核依据为投标文件中编制的拟派团队人员列表、人员岗位分工及人员资格证书或技术水平证明扫描件以及人员专业履历，须加盖供应商公章）</w:t>
            </w:r>
          </w:p>
        </w:tc>
        <w:tc>
          <w:tcPr>
            <w:tcW w:w="678" w:type="dxa"/>
            <w:vAlign w:val="center"/>
          </w:tcPr>
          <w:p w14:paraId="76F40BF9">
            <w:pPr>
              <w:autoSpaceDE w:val="0"/>
              <w:autoSpaceDN w:val="0"/>
              <w:jc w:val="center"/>
              <w:rPr>
                <w:rFonts w:hint="eastAsia" w:ascii="宋体" w:hAnsi="宋体" w:eastAsia="宋体" w:cs="宋体"/>
                <w:kern w:val="0"/>
                <w:szCs w:val="21"/>
                <w:lang w:eastAsia="zh-CN"/>
              </w:rPr>
            </w:pPr>
            <w:r>
              <w:rPr>
                <w:rFonts w:hint="eastAsia" w:ascii="宋体" w:hAnsi="宋体" w:cs="宋体"/>
                <w:kern w:val="0"/>
                <w:szCs w:val="21"/>
                <w:lang w:val="en-US" w:eastAsia="zh-CN"/>
              </w:rPr>
              <w:t>7</w:t>
            </w:r>
          </w:p>
        </w:tc>
        <w:tc>
          <w:tcPr>
            <w:tcW w:w="678" w:type="dxa"/>
            <w:vAlign w:val="center"/>
          </w:tcPr>
          <w:p w14:paraId="778766E6">
            <w:pPr>
              <w:autoSpaceDE w:val="0"/>
              <w:autoSpaceDN w:val="0"/>
              <w:jc w:val="center"/>
              <w:rPr>
                <w:rFonts w:hint="eastAsia" w:ascii="宋体" w:hAnsi="宋体" w:cs="宋体"/>
                <w:kern w:val="0"/>
                <w:szCs w:val="21"/>
                <w:lang w:val="en-US" w:eastAsia="zh-CN"/>
              </w:rPr>
            </w:pPr>
            <w:r>
              <w:rPr>
                <w:rFonts w:hint="eastAsia" w:ascii="宋体" w:hAnsi="宋体" w:cs="宋体"/>
                <w:kern w:val="0"/>
                <w:szCs w:val="21"/>
                <w:lang w:val="en-US" w:eastAsia="zh-CN"/>
              </w:rPr>
              <w:t>主观</w:t>
            </w:r>
          </w:p>
        </w:tc>
      </w:tr>
      <w:tr w14:paraId="75A48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vMerge w:val="continue"/>
            <w:vAlign w:val="center"/>
          </w:tcPr>
          <w:p w14:paraId="3C844712">
            <w:pPr>
              <w:autoSpaceDE w:val="0"/>
              <w:autoSpaceDN w:val="0"/>
              <w:jc w:val="center"/>
              <w:rPr>
                <w:rFonts w:hint="eastAsia" w:ascii="宋体" w:hAnsi="宋体" w:cs="宋体"/>
                <w:kern w:val="0"/>
                <w:szCs w:val="21"/>
                <w:lang w:eastAsia="en-US"/>
              </w:rPr>
            </w:pPr>
          </w:p>
        </w:tc>
        <w:tc>
          <w:tcPr>
            <w:tcW w:w="900" w:type="dxa"/>
            <w:vMerge w:val="continue"/>
            <w:vAlign w:val="center"/>
          </w:tcPr>
          <w:p w14:paraId="39A75701">
            <w:pPr>
              <w:autoSpaceDE w:val="0"/>
              <w:autoSpaceDN w:val="0"/>
              <w:jc w:val="center"/>
              <w:rPr>
                <w:rFonts w:hint="eastAsia" w:ascii="宋体" w:hAnsi="宋体" w:cs="宋体"/>
                <w:kern w:val="0"/>
                <w:szCs w:val="21"/>
                <w:lang w:eastAsia="en-US"/>
              </w:rPr>
            </w:pPr>
          </w:p>
        </w:tc>
        <w:tc>
          <w:tcPr>
            <w:tcW w:w="833" w:type="dxa"/>
            <w:vAlign w:val="center"/>
          </w:tcPr>
          <w:p w14:paraId="63C1968E">
            <w:pPr>
              <w:autoSpaceDE w:val="0"/>
              <w:autoSpaceDN w:val="0"/>
              <w:jc w:val="center"/>
              <w:rPr>
                <w:rFonts w:hint="eastAsia" w:ascii="宋体" w:hAnsi="宋体" w:cs="宋体"/>
                <w:kern w:val="0"/>
                <w:szCs w:val="21"/>
                <w:lang w:eastAsia="en-US"/>
              </w:rPr>
            </w:pPr>
            <w:r>
              <w:rPr>
                <w:rFonts w:hint="eastAsia" w:ascii="宋体" w:hAnsi="宋体" w:cs="宋体"/>
                <w:kern w:val="0"/>
                <w:szCs w:val="21"/>
                <w:lang w:eastAsia="en-US"/>
              </w:rPr>
              <w:t>项目质量管理方案</w:t>
            </w:r>
          </w:p>
        </w:tc>
        <w:tc>
          <w:tcPr>
            <w:tcW w:w="6300" w:type="dxa"/>
            <w:vAlign w:val="center"/>
          </w:tcPr>
          <w:p w14:paraId="14B9B395">
            <w:pPr>
              <w:autoSpaceDE w:val="0"/>
              <w:autoSpaceDN w:val="0"/>
              <w:jc w:val="left"/>
              <w:rPr>
                <w:rFonts w:hint="eastAsia" w:ascii="宋体" w:hAnsi="宋体" w:cs="宋体"/>
                <w:kern w:val="0"/>
                <w:szCs w:val="21"/>
              </w:rPr>
            </w:pPr>
            <w:r>
              <w:rPr>
                <w:rFonts w:hint="eastAsia" w:ascii="宋体" w:hAnsi="宋体" w:cs="宋体"/>
                <w:kern w:val="0"/>
                <w:szCs w:val="21"/>
              </w:rPr>
              <w:t>根据项目质量管理方案进行综合评判。</w:t>
            </w:r>
          </w:p>
          <w:p w14:paraId="332B277B">
            <w:pPr>
              <w:autoSpaceDE w:val="0"/>
              <w:autoSpaceDN w:val="0"/>
              <w:jc w:val="left"/>
              <w:rPr>
                <w:rFonts w:hint="eastAsia" w:ascii="宋体" w:hAnsi="宋体" w:cs="宋体"/>
                <w:kern w:val="0"/>
                <w:szCs w:val="21"/>
              </w:rPr>
            </w:pPr>
            <w:r>
              <w:rPr>
                <w:rFonts w:hint="eastAsia" w:ascii="宋体" w:hAnsi="宋体" w:cs="宋体"/>
                <w:kern w:val="0"/>
                <w:szCs w:val="21"/>
              </w:rPr>
              <w:t>方案内容完整、描述翔实具体、考虑周全合理可行、针对性强，得6分；</w:t>
            </w:r>
          </w:p>
          <w:p w14:paraId="1996770C">
            <w:pPr>
              <w:autoSpaceDE w:val="0"/>
              <w:autoSpaceDN w:val="0"/>
              <w:jc w:val="left"/>
              <w:rPr>
                <w:rFonts w:hint="eastAsia" w:ascii="宋体" w:hAnsi="宋体" w:cs="宋体"/>
                <w:kern w:val="0"/>
                <w:szCs w:val="21"/>
              </w:rPr>
            </w:pPr>
            <w:r>
              <w:rPr>
                <w:rFonts w:hint="eastAsia" w:ascii="宋体" w:hAnsi="宋体" w:cs="宋体"/>
                <w:kern w:val="0"/>
                <w:szCs w:val="21"/>
              </w:rPr>
              <w:t>方案通用、简单，考虑欠佳或针对性欠佳，得4分；</w:t>
            </w:r>
          </w:p>
          <w:p w14:paraId="3C61C746">
            <w:pPr>
              <w:autoSpaceDE w:val="0"/>
              <w:autoSpaceDN w:val="0"/>
              <w:jc w:val="left"/>
              <w:rPr>
                <w:rFonts w:hint="eastAsia" w:ascii="宋体" w:hAnsi="宋体" w:cs="宋体"/>
                <w:kern w:val="0"/>
                <w:szCs w:val="21"/>
              </w:rPr>
            </w:pPr>
            <w:r>
              <w:rPr>
                <w:rFonts w:hint="eastAsia" w:ascii="宋体" w:hAnsi="宋体" w:cs="宋体"/>
                <w:kern w:val="0"/>
                <w:szCs w:val="21"/>
              </w:rPr>
              <w:t>方案内容不全或存在明显欠缺，得2分；</w:t>
            </w:r>
          </w:p>
          <w:p w14:paraId="0E269FF3">
            <w:pPr>
              <w:autoSpaceDE w:val="0"/>
              <w:autoSpaceDN w:val="0"/>
              <w:jc w:val="left"/>
              <w:rPr>
                <w:rFonts w:hint="eastAsia" w:ascii="宋体" w:hAnsi="宋体" w:cs="宋体"/>
                <w:kern w:val="0"/>
                <w:szCs w:val="21"/>
                <w:lang w:eastAsia="en-US"/>
              </w:rPr>
            </w:pPr>
            <w:r>
              <w:rPr>
                <w:rFonts w:hint="eastAsia" w:ascii="宋体" w:hAnsi="宋体" w:cs="宋体"/>
                <w:kern w:val="0"/>
                <w:szCs w:val="21"/>
                <w:lang w:eastAsia="en-US"/>
              </w:rPr>
              <w:t>未提供方案得 0 分。</w:t>
            </w:r>
          </w:p>
        </w:tc>
        <w:tc>
          <w:tcPr>
            <w:tcW w:w="678" w:type="dxa"/>
            <w:vAlign w:val="center"/>
          </w:tcPr>
          <w:p w14:paraId="7AD2E6BE">
            <w:pPr>
              <w:autoSpaceDE w:val="0"/>
              <w:autoSpaceDN w:val="0"/>
              <w:jc w:val="center"/>
              <w:rPr>
                <w:rFonts w:hint="eastAsia" w:ascii="宋体" w:hAnsi="宋体" w:cs="宋体"/>
                <w:kern w:val="0"/>
                <w:szCs w:val="21"/>
                <w:lang w:eastAsia="en-US"/>
              </w:rPr>
            </w:pPr>
            <w:r>
              <w:rPr>
                <w:rFonts w:hint="eastAsia" w:ascii="宋体" w:hAnsi="宋体" w:cs="宋体"/>
                <w:kern w:val="0"/>
                <w:szCs w:val="21"/>
                <w:lang w:eastAsia="en-US"/>
              </w:rPr>
              <w:t>6</w:t>
            </w:r>
          </w:p>
        </w:tc>
        <w:tc>
          <w:tcPr>
            <w:tcW w:w="678" w:type="dxa"/>
            <w:vAlign w:val="center"/>
          </w:tcPr>
          <w:p w14:paraId="1F2A3F5D">
            <w:pPr>
              <w:autoSpaceDE w:val="0"/>
              <w:autoSpaceDN w:val="0"/>
              <w:jc w:val="center"/>
              <w:rPr>
                <w:rFonts w:hint="eastAsia" w:ascii="宋体" w:hAnsi="宋体" w:cs="宋体"/>
                <w:kern w:val="0"/>
                <w:szCs w:val="21"/>
                <w:lang w:eastAsia="en-US"/>
              </w:rPr>
            </w:pPr>
            <w:r>
              <w:rPr>
                <w:rFonts w:hint="eastAsia" w:ascii="宋体" w:hAnsi="宋体" w:cs="宋体"/>
                <w:kern w:val="0"/>
                <w:szCs w:val="21"/>
                <w:lang w:val="en-US" w:eastAsia="zh-CN"/>
              </w:rPr>
              <w:t>主观</w:t>
            </w:r>
          </w:p>
        </w:tc>
      </w:tr>
      <w:tr w14:paraId="14F68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vMerge w:val="continue"/>
            <w:vAlign w:val="center"/>
          </w:tcPr>
          <w:p w14:paraId="605598CF">
            <w:pPr>
              <w:autoSpaceDE w:val="0"/>
              <w:autoSpaceDN w:val="0"/>
              <w:jc w:val="center"/>
              <w:rPr>
                <w:rFonts w:hint="eastAsia" w:ascii="宋体" w:hAnsi="宋体" w:cs="宋体"/>
                <w:kern w:val="0"/>
                <w:szCs w:val="21"/>
                <w:lang w:eastAsia="en-US"/>
              </w:rPr>
            </w:pPr>
          </w:p>
        </w:tc>
        <w:tc>
          <w:tcPr>
            <w:tcW w:w="900" w:type="dxa"/>
            <w:vMerge w:val="continue"/>
            <w:vAlign w:val="center"/>
          </w:tcPr>
          <w:p w14:paraId="4ED43755">
            <w:pPr>
              <w:autoSpaceDE w:val="0"/>
              <w:autoSpaceDN w:val="0"/>
              <w:jc w:val="center"/>
              <w:rPr>
                <w:rFonts w:hint="eastAsia" w:ascii="宋体" w:hAnsi="宋体" w:cs="宋体"/>
                <w:kern w:val="0"/>
                <w:szCs w:val="21"/>
                <w:lang w:eastAsia="en-US"/>
              </w:rPr>
            </w:pPr>
          </w:p>
        </w:tc>
        <w:tc>
          <w:tcPr>
            <w:tcW w:w="833" w:type="dxa"/>
            <w:vAlign w:val="center"/>
          </w:tcPr>
          <w:p w14:paraId="3E5B9491">
            <w:pPr>
              <w:autoSpaceDE w:val="0"/>
              <w:autoSpaceDN w:val="0"/>
              <w:jc w:val="center"/>
              <w:rPr>
                <w:rFonts w:hint="eastAsia" w:ascii="宋体" w:hAnsi="宋体" w:cs="宋体"/>
                <w:kern w:val="0"/>
                <w:szCs w:val="21"/>
                <w:lang w:eastAsia="en-US"/>
              </w:rPr>
            </w:pPr>
            <w:r>
              <w:rPr>
                <w:rFonts w:hint="eastAsia" w:ascii="宋体" w:hAnsi="宋体" w:cs="宋体"/>
                <w:kern w:val="0"/>
                <w:szCs w:val="21"/>
                <w:lang w:eastAsia="en-US"/>
              </w:rPr>
              <w:t>保密措施方案</w:t>
            </w:r>
          </w:p>
        </w:tc>
        <w:tc>
          <w:tcPr>
            <w:tcW w:w="6300" w:type="dxa"/>
            <w:vAlign w:val="center"/>
          </w:tcPr>
          <w:p w14:paraId="5A5F4C9A">
            <w:pPr>
              <w:autoSpaceDE w:val="0"/>
              <w:autoSpaceDN w:val="0"/>
              <w:jc w:val="left"/>
              <w:rPr>
                <w:rFonts w:hint="eastAsia" w:ascii="宋体" w:hAnsi="宋体" w:cs="宋体"/>
                <w:kern w:val="0"/>
                <w:szCs w:val="21"/>
              </w:rPr>
            </w:pPr>
            <w:r>
              <w:rPr>
                <w:rFonts w:hint="eastAsia" w:ascii="宋体" w:hAnsi="宋体" w:cs="宋体"/>
                <w:kern w:val="0"/>
                <w:szCs w:val="21"/>
              </w:rPr>
              <w:t>根据保密措施方案进行综合评判。</w:t>
            </w:r>
          </w:p>
          <w:p w14:paraId="150A8631">
            <w:pPr>
              <w:autoSpaceDE w:val="0"/>
              <w:autoSpaceDN w:val="0"/>
              <w:jc w:val="left"/>
              <w:rPr>
                <w:rFonts w:hint="eastAsia" w:ascii="宋体" w:hAnsi="宋体" w:cs="宋体"/>
                <w:kern w:val="0"/>
                <w:szCs w:val="21"/>
              </w:rPr>
            </w:pPr>
            <w:r>
              <w:rPr>
                <w:rFonts w:hint="eastAsia" w:ascii="宋体" w:hAnsi="宋体" w:cs="宋体"/>
                <w:kern w:val="0"/>
                <w:szCs w:val="21"/>
              </w:rPr>
              <w:t>方案内容完整、描述翔实具体、考虑周全合理可行、针对性强，得6分；</w:t>
            </w:r>
          </w:p>
          <w:p w14:paraId="4FCABBE6">
            <w:pPr>
              <w:autoSpaceDE w:val="0"/>
              <w:autoSpaceDN w:val="0"/>
              <w:jc w:val="left"/>
              <w:rPr>
                <w:rFonts w:hint="eastAsia" w:ascii="宋体" w:hAnsi="宋体" w:cs="宋体"/>
                <w:kern w:val="0"/>
                <w:szCs w:val="21"/>
              </w:rPr>
            </w:pPr>
            <w:r>
              <w:rPr>
                <w:rFonts w:hint="eastAsia" w:ascii="宋体" w:hAnsi="宋体" w:cs="宋体"/>
                <w:kern w:val="0"/>
                <w:szCs w:val="21"/>
              </w:rPr>
              <w:t>方案通用、简单，考虑欠佳或针对性欠佳，得4分；</w:t>
            </w:r>
          </w:p>
          <w:p w14:paraId="2F9745F1">
            <w:pPr>
              <w:autoSpaceDE w:val="0"/>
              <w:autoSpaceDN w:val="0"/>
              <w:jc w:val="left"/>
              <w:rPr>
                <w:rFonts w:hint="eastAsia" w:ascii="宋体" w:hAnsi="宋体" w:cs="宋体"/>
                <w:kern w:val="0"/>
                <w:szCs w:val="21"/>
              </w:rPr>
            </w:pPr>
            <w:r>
              <w:rPr>
                <w:rFonts w:hint="eastAsia" w:ascii="宋体" w:hAnsi="宋体" w:cs="宋体"/>
                <w:kern w:val="0"/>
                <w:szCs w:val="21"/>
              </w:rPr>
              <w:t>方案内容不全或存在明显欠缺，得2分；</w:t>
            </w:r>
          </w:p>
          <w:p w14:paraId="5962EACB">
            <w:pPr>
              <w:autoSpaceDE w:val="0"/>
              <w:autoSpaceDN w:val="0"/>
              <w:jc w:val="left"/>
              <w:rPr>
                <w:rFonts w:hint="eastAsia" w:ascii="宋体" w:hAnsi="宋体" w:cs="宋体"/>
                <w:kern w:val="0"/>
                <w:szCs w:val="21"/>
                <w:lang w:eastAsia="en-US"/>
              </w:rPr>
            </w:pPr>
            <w:r>
              <w:rPr>
                <w:rFonts w:hint="eastAsia" w:ascii="宋体" w:hAnsi="宋体" w:cs="宋体"/>
                <w:kern w:val="0"/>
                <w:szCs w:val="21"/>
                <w:lang w:eastAsia="en-US"/>
              </w:rPr>
              <w:t>未提供方案得 0 分。</w:t>
            </w:r>
          </w:p>
        </w:tc>
        <w:tc>
          <w:tcPr>
            <w:tcW w:w="678" w:type="dxa"/>
            <w:vAlign w:val="center"/>
          </w:tcPr>
          <w:p w14:paraId="42D64915">
            <w:pPr>
              <w:autoSpaceDE w:val="0"/>
              <w:autoSpaceDN w:val="0"/>
              <w:jc w:val="center"/>
              <w:rPr>
                <w:rFonts w:hint="eastAsia" w:ascii="宋体" w:hAnsi="宋体" w:cs="宋体"/>
                <w:kern w:val="0"/>
                <w:szCs w:val="21"/>
                <w:lang w:eastAsia="en-US"/>
              </w:rPr>
            </w:pPr>
            <w:r>
              <w:rPr>
                <w:rFonts w:hint="eastAsia" w:ascii="宋体" w:hAnsi="宋体" w:cs="宋体"/>
                <w:kern w:val="0"/>
                <w:szCs w:val="21"/>
                <w:lang w:eastAsia="en-US"/>
              </w:rPr>
              <w:t>6</w:t>
            </w:r>
          </w:p>
        </w:tc>
        <w:tc>
          <w:tcPr>
            <w:tcW w:w="678" w:type="dxa"/>
            <w:vAlign w:val="center"/>
          </w:tcPr>
          <w:p w14:paraId="40732AE1">
            <w:pPr>
              <w:autoSpaceDE w:val="0"/>
              <w:autoSpaceDN w:val="0"/>
              <w:jc w:val="center"/>
              <w:rPr>
                <w:rFonts w:hint="eastAsia" w:ascii="宋体" w:hAnsi="宋体" w:cs="宋体"/>
                <w:kern w:val="0"/>
                <w:szCs w:val="21"/>
                <w:lang w:eastAsia="en-US"/>
              </w:rPr>
            </w:pPr>
            <w:r>
              <w:rPr>
                <w:rFonts w:hint="eastAsia" w:ascii="宋体" w:hAnsi="宋体" w:cs="宋体"/>
                <w:kern w:val="0"/>
                <w:szCs w:val="21"/>
                <w:lang w:val="en-US" w:eastAsia="zh-CN"/>
              </w:rPr>
              <w:t>主观</w:t>
            </w:r>
          </w:p>
        </w:tc>
      </w:tr>
      <w:tr w14:paraId="7D49B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vMerge w:val="continue"/>
            <w:vAlign w:val="center"/>
          </w:tcPr>
          <w:p w14:paraId="7756C575">
            <w:pPr>
              <w:autoSpaceDE w:val="0"/>
              <w:autoSpaceDN w:val="0"/>
              <w:jc w:val="center"/>
              <w:rPr>
                <w:rFonts w:hint="eastAsia" w:ascii="宋体" w:hAnsi="宋体" w:cs="宋体"/>
                <w:kern w:val="0"/>
                <w:szCs w:val="21"/>
                <w:lang w:eastAsia="en-US"/>
              </w:rPr>
            </w:pPr>
          </w:p>
        </w:tc>
        <w:tc>
          <w:tcPr>
            <w:tcW w:w="900" w:type="dxa"/>
            <w:vMerge w:val="continue"/>
            <w:vAlign w:val="center"/>
          </w:tcPr>
          <w:p w14:paraId="56E21596">
            <w:pPr>
              <w:autoSpaceDE w:val="0"/>
              <w:autoSpaceDN w:val="0"/>
              <w:jc w:val="center"/>
              <w:rPr>
                <w:rFonts w:hint="eastAsia" w:ascii="宋体" w:hAnsi="宋体" w:cs="宋体"/>
                <w:kern w:val="0"/>
                <w:szCs w:val="21"/>
                <w:lang w:eastAsia="en-US"/>
              </w:rPr>
            </w:pPr>
          </w:p>
        </w:tc>
        <w:tc>
          <w:tcPr>
            <w:tcW w:w="833" w:type="dxa"/>
            <w:vAlign w:val="center"/>
          </w:tcPr>
          <w:p w14:paraId="3A62ED8A">
            <w:pPr>
              <w:autoSpaceDE w:val="0"/>
              <w:autoSpaceDN w:val="0"/>
              <w:jc w:val="center"/>
              <w:rPr>
                <w:rFonts w:hint="eastAsia" w:ascii="宋体" w:hAnsi="宋体" w:cs="宋体"/>
                <w:kern w:val="0"/>
                <w:szCs w:val="21"/>
                <w:lang w:eastAsia="en-US"/>
              </w:rPr>
            </w:pPr>
            <w:r>
              <w:rPr>
                <w:rFonts w:hint="eastAsia" w:ascii="宋体" w:hAnsi="宋体" w:cs="宋体"/>
                <w:kern w:val="0"/>
                <w:szCs w:val="21"/>
                <w:lang w:eastAsia="en-US"/>
              </w:rPr>
              <w:t>风险规避措施方案</w:t>
            </w:r>
          </w:p>
        </w:tc>
        <w:tc>
          <w:tcPr>
            <w:tcW w:w="6300" w:type="dxa"/>
            <w:vAlign w:val="center"/>
          </w:tcPr>
          <w:p w14:paraId="003F9D01">
            <w:pPr>
              <w:autoSpaceDE w:val="0"/>
              <w:autoSpaceDN w:val="0"/>
              <w:jc w:val="left"/>
              <w:rPr>
                <w:rFonts w:hint="eastAsia" w:ascii="宋体" w:hAnsi="宋体" w:cs="宋体"/>
                <w:kern w:val="0"/>
                <w:szCs w:val="21"/>
              </w:rPr>
            </w:pPr>
            <w:r>
              <w:rPr>
                <w:rFonts w:hint="eastAsia" w:ascii="宋体" w:hAnsi="宋体" w:cs="宋体"/>
                <w:kern w:val="0"/>
                <w:szCs w:val="21"/>
              </w:rPr>
              <w:t>根据风险规避措施方案进行综合评判。</w:t>
            </w:r>
          </w:p>
          <w:p w14:paraId="2376E8FC">
            <w:pPr>
              <w:autoSpaceDE w:val="0"/>
              <w:autoSpaceDN w:val="0"/>
              <w:jc w:val="left"/>
              <w:rPr>
                <w:rFonts w:hint="eastAsia" w:ascii="宋体" w:hAnsi="宋体" w:cs="宋体"/>
                <w:kern w:val="0"/>
                <w:szCs w:val="21"/>
              </w:rPr>
            </w:pPr>
            <w:r>
              <w:rPr>
                <w:rFonts w:hint="eastAsia" w:ascii="宋体" w:hAnsi="宋体" w:cs="宋体"/>
                <w:kern w:val="0"/>
                <w:szCs w:val="21"/>
              </w:rPr>
              <w:t>方案内容完整、描述翔实具体、考虑周全合理可行、针对性强，得6分；</w:t>
            </w:r>
          </w:p>
          <w:p w14:paraId="23D4D92D">
            <w:pPr>
              <w:autoSpaceDE w:val="0"/>
              <w:autoSpaceDN w:val="0"/>
              <w:jc w:val="left"/>
              <w:rPr>
                <w:rFonts w:hint="eastAsia" w:ascii="宋体" w:hAnsi="宋体" w:cs="宋体"/>
                <w:kern w:val="0"/>
                <w:szCs w:val="21"/>
              </w:rPr>
            </w:pPr>
            <w:r>
              <w:rPr>
                <w:rFonts w:hint="eastAsia" w:ascii="宋体" w:hAnsi="宋体" w:cs="宋体"/>
                <w:kern w:val="0"/>
                <w:szCs w:val="21"/>
              </w:rPr>
              <w:t>方案通用、简单，考虑欠佳或针对性欠佳，得4分；</w:t>
            </w:r>
          </w:p>
          <w:p w14:paraId="379C5C1B">
            <w:pPr>
              <w:autoSpaceDE w:val="0"/>
              <w:autoSpaceDN w:val="0"/>
              <w:jc w:val="left"/>
              <w:rPr>
                <w:rFonts w:hint="eastAsia" w:ascii="宋体" w:hAnsi="宋体" w:cs="宋体"/>
                <w:kern w:val="0"/>
                <w:szCs w:val="21"/>
              </w:rPr>
            </w:pPr>
            <w:r>
              <w:rPr>
                <w:rFonts w:hint="eastAsia" w:ascii="宋体" w:hAnsi="宋体" w:cs="宋体"/>
                <w:kern w:val="0"/>
                <w:szCs w:val="21"/>
              </w:rPr>
              <w:t>方案内容不全或存在明显欠缺，得2分；</w:t>
            </w:r>
          </w:p>
          <w:p w14:paraId="04863999">
            <w:pPr>
              <w:autoSpaceDE w:val="0"/>
              <w:autoSpaceDN w:val="0"/>
              <w:jc w:val="left"/>
              <w:rPr>
                <w:rFonts w:hint="eastAsia" w:ascii="宋体" w:hAnsi="宋体" w:cs="宋体"/>
                <w:kern w:val="0"/>
                <w:szCs w:val="21"/>
                <w:lang w:eastAsia="en-US"/>
              </w:rPr>
            </w:pPr>
            <w:r>
              <w:rPr>
                <w:rFonts w:hint="eastAsia" w:ascii="宋体" w:hAnsi="宋体" w:cs="宋体"/>
                <w:kern w:val="0"/>
                <w:szCs w:val="21"/>
                <w:lang w:eastAsia="en-US"/>
              </w:rPr>
              <w:t>未提供方案得 0 分。</w:t>
            </w:r>
          </w:p>
        </w:tc>
        <w:tc>
          <w:tcPr>
            <w:tcW w:w="678" w:type="dxa"/>
            <w:vAlign w:val="center"/>
          </w:tcPr>
          <w:p w14:paraId="2C5C687E">
            <w:pPr>
              <w:autoSpaceDE w:val="0"/>
              <w:autoSpaceDN w:val="0"/>
              <w:jc w:val="center"/>
              <w:rPr>
                <w:rFonts w:hint="eastAsia" w:ascii="宋体" w:hAnsi="宋体" w:cs="宋体"/>
                <w:kern w:val="0"/>
                <w:szCs w:val="21"/>
                <w:lang w:eastAsia="en-US"/>
              </w:rPr>
            </w:pPr>
            <w:r>
              <w:rPr>
                <w:rFonts w:hint="eastAsia" w:ascii="宋体" w:hAnsi="宋体" w:cs="宋体"/>
                <w:kern w:val="0"/>
                <w:szCs w:val="21"/>
                <w:lang w:eastAsia="en-US"/>
              </w:rPr>
              <w:t>6</w:t>
            </w:r>
          </w:p>
        </w:tc>
        <w:tc>
          <w:tcPr>
            <w:tcW w:w="678" w:type="dxa"/>
            <w:vAlign w:val="center"/>
          </w:tcPr>
          <w:p w14:paraId="56EE8CC0">
            <w:pPr>
              <w:autoSpaceDE w:val="0"/>
              <w:autoSpaceDN w:val="0"/>
              <w:jc w:val="center"/>
              <w:rPr>
                <w:rFonts w:hint="eastAsia" w:ascii="宋体" w:hAnsi="宋体" w:cs="宋体"/>
                <w:kern w:val="0"/>
                <w:szCs w:val="21"/>
                <w:lang w:eastAsia="en-US"/>
              </w:rPr>
            </w:pPr>
            <w:r>
              <w:rPr>
                <w:rFonts w:hint="eastAsia" w:ascii="宋体" w:hAnsi="宋体" w:cs="宋体"/>
                <w:kern w:val="0"/>
                <w:szCs w:val="21"/>
                <w:lang w:val="en-US" w:eastAsia="zh-CN"/>
              </w:rPr>
              <w:t>主观</w:t>
            </w:r>
          </w:p>
        </w:tc>
      </w:tr>
      <w:tr w14:paraId="5CD00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vMerge w:val="continue"/>
            <w:vAlign w:val="center"/>
          </w:tcPr>
          <w:p w14:paraId="4DB7F2C1">
            <w:pPr>
              <w:autoSpaceDE w:val="0"/>
              <w:autoSpaceDN w:val="0"/>
              <w:jc w:val="center"/>
              <w:rPr>
                <w:rFonts w:hint="eastAsia" w:ascii="宋体" w:hAnsi="宋体" w:cs="宋体"/>
                <w:kern w:val="0"/>
                <w:szCs w:val="21"/>
                <w:lang w:eastAsia="en-US"/>
              </w:rPr>
            </w:pPr>
          </w:p>
        </w:tc>
        <w:tc>
          <w:tcPr>
            <w:tcW w:w="900" w:type="dxa"/>
            <w:vMerge w:val="continue"/>
            <w:vAlign w:val="center"/>
          </w:tcPr>
          <w:p w14:paraId="24E8B3DA">
            <w:pPr>
              <w:autoSpaceDE w:val="0"/>
              <w:autoSpaceDN w:val="0"/>
              <w:jc w:val="center"/>
              <w:rPr>
                <w:rFonts w:hint="eastAsia" w:ascii="宋体" w:hAnsi="宋体" w:cs="宋体"/>
                <w:kern w:val="0"/>
                <w:szCs w:val="21"/>
                <w:lang w:eastAsia="en-US"/>
              </w:rPr>
            </w:pPr>
          </w:p>
        </w:tc>
        <w:tc>
          <w:tcPr>
            <w:tcW w:w="833" w:type="dxa"/>
            <w:vAlign w:val="center"/>
          </w:tcPr>
          <w:p w14:paraId="0E486E97">
            <w:pPr>
              <w:autoSpaceDE w:val="0"/>
              <w:autoSpaceDN w:val="0"/>
              <w:jc w:val="center"/>
              <w:rPr>
                <w:rFonts w:hint="eastAsia" w:ascii="宋体" w:hAnsi="宋体" w:cs="宋体"/>
                <w:kern w:val="0"/>
                <w:szCs w:val="21"/>
                <w:lang w:eastAsia="en-US"/>
              </w:rPr>
            </w:pPr>
            <w:r>
              <w:rPr>
                <w:rFonts w:hint="eastAsia" w:ascii="宋体" w:hAnsi="宋体" w:cs="宋体"/>
                <w:kern w:val="0"/>
                <w:szCs w:val="21"/>
                <w:lang w:eastAsia="en-US"/>
              </w:rPr>
              <w:t>售后服务方案</w:t>
            </w:r>
          </w:p>
        </w:tc>
        <w:tc>
          <w:tcPr>
            <w:tcW w:w="6300" w:type="dxa"/>
            <w:vAlign w:val="center"/>
          </w:tcPr>
          <w:p w14:paraId="0BC759C5">
            <w:pPr>
              <w:autoSpaceDE w:val="0"/>
              <w:autoSpaceDN w:val="0"/>
              <w:jc w:val="left"/>
              <w:rPr>
                <w:rFonts w:hint="eastAsia" w:ascii="宋体" w:hAnsi="宋体" w:cs="宋体"/>
                <w:kern w:val="0"/>
                <w:szCs w:val="21"/>
              </w:rPr>
            </w:pPr>
            <w:r>
              <w:rPr>
                <w:rFonts w:hint="eastAsia" w:ascii="宋体" w:hAnsi="宋体" w:cs="宋体"/>
                <w:kern w:val="0"/>
                <w:szCs w:val="21"/>
              </w:rPr>
              <w:t>根据售后服务方案进行综合评判。</w:t>
            </w:r>
          </w:p>
          <w:p w14:paraId="79CB95E8">
            <w:pPr>
              <w:autoSpaceDE w:val="0"/>
              <w:autoSpaceDN w:val="0"/>
              <w:jc w:val="left"/>
              <w:rPr>
                <w:rFonts w:hint="eastAsia" w:ascii="宋体" w:hAnsi="宋体" w:cs="宋体"/>
                <w:kern w:val="0"/>
                <w:szCs w:val="21"/>
              </w:rPr>
            </w:pPr>
            <w:r>
              <w:rPr>
                <w:rFonts w:hint="eastAsia" w:ascii="宋体" w:hAnsi="宋体" w:cs="宋体"/>
                <w:kern w:val="0"/>
                <w:szCs w:val="21"/>
              </w:rPr>
              <w:t>方案内容完整、描述翔实具体、考虑周全合理可行、针对性强，得 5 分；</w:t>
            </w:r>
          </w:p>
          <w:p w14:paraId="1242E018">
            <w:pPr>
              <w:autoSpaceDE w:val="0"/>
              <w:autoSpaceDN w:val="0"/>
              <w:jc w:val="left"/>
              <w:rPr>
                <w:rFonts w:hint="eastAsia" w:ascii="宋体" w:hAnsi="宋体" w:cs="宋体"/>
                <w:kern w:val="0"/>
                <w:szCs w:val="21"/>
              </w:rPr>
            </w:pPr>
            <w:r>
              <w:rPr>
                <w:rFonts w:hint="eastAsia" w:ascii="宋体" w:hAnsi="宋体" w:cs="宋体"/>
                <w:kern w:val="0"/>
                <w:szCs w:val="21"/>
              </w:rPr>
              <w:t>方案通用、简单，考虑欠佳或针对性欠佳，得4分；</w:t>
            </w:r>
          </w:p>
          <w:p w14:paraId="2A9BA11B">
            <w:pPr>
              <w:autoSpaceDE w:val="0"/>
              <w:autoSpaceDN w:val="0"/>
              <w:jc w:val="left"/>
              <w:rPr>
                <w:rFonts w:hint="eastAsia" w:ascii="宋体" w:hAnsi="宋体" w:cs="宋体"/>
                <w:kern w:val="0"/>
                <w:szCs w:val="21"/>
              </w:rPr>
            </w:pPr>
            <w:r>
              <w:rPr>
                <w:rFonts w:hint="eastAsia" w:ascii="宋体" w:hAnsi="宋体" w:cs="宋体"/>
                <w:kern w:val="0"/>
                <w:szCs w:val="21"/>
              </w:rPr>
              <w:t>方案内容不全或存在明显欠缺，得2分；</w:t>
            </w:r>
          </w:p>
          <w:p w14:paraId="2F805EFA">
            <w:pPr>
              <w:autoSpaceDE w:val="0"/>
              <w:autoSpaceDN w:val="0"/>
              <w:jc w:val="left"/>
              <w:rPr>
                <w:rFonts w:hint="eastAsia" w:ascii="宋体" w:hAnsi="宋体" w:cs="宋体"/>
                <w:kern w:val="0"/>
                <w:szCs w:val="21"/>
                <w:lang w:eastAsia="en-US"/>
              </w:rPr>
            </w:pPr>
            <w:r>
              <w:rPr>
                <w:rFonts w:hint="eastAsia" w:ascii="宋体" w:hAnsi="宋体" w:cs="宋体"/>
                <w:kern w:val="0"/>
                <w:szCs w:val="21"/>
                <w:lang w:eastAsia="en-US"/>
              </w:rPr>
              <w:t>未提供方案得 0 分。</w:t>
            </w:r>
          </w:p>
        </w:tc>
        <w:tc>
          <w:tcPr>
            <w:tcW w:w="678" w:type="dxa"/>
            <w:vAlign w:val="center"/>
          </w:tcPr>
          <w:p w14:paraId="6AC87250">
            <w:pPr>
              <w:autoSpaceDE w:val="0"/>
              <w:autoSpaceDN w:val="0"/>
              <w:jc w:val="center"/>
              <w:rPr>
                <w:rFonts w:hint="eastAsia" w:ascii="宋体" w:hAnsi="宋体" w:cs="宋体"/>
                <w:kern w:val="0"/>
                <w:szCs w:val="21"/>
                <w:lang w:eastAsia="en-US"/>
              </w:rPr>
            </w:pPr>
            <w:r>
              <w:rPr>
                <w:rFonts w:hint="eastAsia" w:ascii="宋体" w:hAnsi="宋体" w:cs="宋体"/>
                <w:kern w:val="0"/>
                <w:szCs w:val="21"/>
                <w:lang w:eastAsia="en-US"/>
              </w:rPr>
              <w:t>5</w:t>
            </w:r>
          </w:p>
        </w:tc>
        <w:tc>
          <w:tcPr>
            <w:tcW w:w="678" w:type="dxa"/>
            <w:vAlign w:val="center"/>
          </w:tcPr>
          <w:p w14:paraId="470D39B5">
            <w:pPr>
              <w:autoSpaceDE w:val="0"/>
              <w:autoSpaceDN w:val="0"/>
              <w:jc w:val="center"/>
              <w:rPr>
                <w:rFonts w:hint="eastAsia" w:ascii="宋体" w:hAnsi="宋体" w:cs="宋体"/>
                <w:kern w:val="0"/>
                <w:szCs w:val="21"/>
                <w:lang w:eastAsia="en-US"/>
              </w:rPr>
            </w:pPr>
            <w:r>
              <w:rPr>
                <w:rFonts w:hint="eastAsia" w:ascii="宋体" w:hAnsi="宋体" w:cs="宋体"/>
                <w:kern w:val="0"/>
                <w:szCs w:val="21"/>
                <w:lang w:val="en-US" w:eastAsia="zh-CN"/>
              </w:rPr>
              <w:t>主观</w:t>
            </w:r>
          </w:p>
        </w:tc>
      </w:tr>
      <w:tr w14:paraId="31CA9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vMerge w:val="continue"/>
            <w:tcBorders>
              <w:bottom w:val="single" w:color="auto" w:sz="4" w:space="0"/>
            </w:tcBorders>
            <w:vAlign w:val="center"/>
          </w:tcPr>
          <w:p w14:paraId="05F77EE9">
            <w:pPr>
              <w:autoSpaceDE w:val="0"/>
              <w:autoSpaceDN w:val="0"/>
              <w:jc w:val="center"/>
              <w:rPr>
                <w:rFonts w:hint="eastAsia" w:ascii="宋体" w:hAnsi="宋体" w:cs="宋体"/>
                <w:kern w:val="0"/>
                <w:szCs w:val="21"/>
                <w:lang w:eastAsia="en-US"/>
              </w:rPr>
            </w:pPr>
          </w:p>
        </w:tc>
        <w:tc>
          <w:tcPr>
            <w:tcW w:w="900" w:type="dxa"/>
            <w:vMerge w:val="continue"/>
            <w:tcBorders>
              <w:bottom w:val="single" w:color="auto" w:sz="4" w:space="0"/>
            </w:tcBorders>
            <w:vAlign w:val="center"/>
          </w:tcPr>
          <w:p w14:paraId="02CC6925">
            <w:pPr>
              <w:autoSpaceDE w:val="0"/>
              <w:autoSpaceDN w:val="0"/>
              <w:jc w:val="center"/>
              <w:rPr>
                <w:rFonts w:hint="eastAsia" w:ascii="宋体" w:hAnsi="宋体" w:cs="宋体"/>
                <w:kern w:val="0"/>
                <w:szCs w:val="21"/>
                <w:lang w:eastAsia="en-US"/>
              </w:rPr>
            </w:pPr>
          </w:p>
        </w:tc>
        <w:tc>
          <w:tcPr>
            <w:tcW w:w="833" w:type="dxa"/>
            <w:tcBorders>
              <w:bottom w:val="single" w:color="auto" w:sz="4" w:space="0"/>
            </w:tcBorders>
            <w:vAlign w:val="center"/>
          </w:tcPr>
          <w:p w14:paraId="76EA6244">
            <w:pPr>
              <w:autoSpaceDE w:val="0"/>
              <w:autoSpaceDN w:val="0"/>
              <w:jc w:val="center"/>
              <w:rPr>
                <w:rFonts w:hint="eastAsia" w:ascii="宋体" w:hAnsi="宋体" w:cs="宋体"/>
                <w:kern w:val="0"/>
                <w:szCs w:val="21"/>
                <w:lang w:eastAsia="en-US"/>
              </w:rPr>
            </w:pPr>
            <w:r>
              <w:rPr>
                <w:rFonts w:hint="eastAsia" w:ascii="宋体" w:hAnsi="宋体" w:cs="宋体"/>
                <w:kern w:val="0"/>
                <w:szCs w:val="21"/>
                <w:lang w:eastAsia="en-US"/>
              </w:rPr>
              <w:t>文档管理方案</w:t>
            </w:r>
          </w:p>
        </w:tc>
        <w:tc>
          <w:tcPr>
            <w:tcW w:w="6300" w:type="dxa"/>
            <w:vAlign w:val="center"/>
          </w:tcPr>
          <w:p w14:paraId="18C8C2E5">
            <w:pPr>
              <w:autoSpaceDE w:val="0"/>
              <w:autoSpaceDN w:val="0"/>
              <w:jc w:val="left"/>
              <w:rPr>
                <w:rFonts w:hint="eastAsia" w:ascii="宋体" w:hAnsi="宋体" w:cs="宋体"/>
                <w:kern w:val="0"/>
                <w:szCs w:val="21"/>
              </w:rPr>
            </w:pPr>
            <w:r>
              <w:rPr>
                <w:rFonts w:hint="eastAsia" w:ascii="宋体" w:hAnsi="宋体" w:cs="宋体"/>
                <w:kern w:val="0"/>
                <w:szCs w:val="21"/>
              </w:rPr>
              <w:t>根据文档管理方案进行综合评判。</w:t>
            </w:r>
          </w:p>
          <w:p w14:paraId="68E97CDE">
            <w:pPr>
              <w:autoSpaceDE w:val="0"/>
              <w:autoSpaceDN w:val="0"/>
              <w:jc w:val="left"/>
              <w:rPr>
                <w:rFonts w:hint="eastAsia" w:ascii="宋体" w:hAnsi="宋体" w:cs="宋体"/>
                <w:kern w:val="0"/>
                <w:szCs w:val="21"/>
              </w:rPr>
            </w:pPr>
            <w:r>
              <w:rPr>
                <w:rFonts w:hint="eastAsia" w:ascii="宋体" w:hAnsi="宋体" w:cs="宋体"/>
                <w:kern w:val="0"/>
                <w:szCs w:val="21"/>
              </w:rPr>
              <w:t>方案内容完整、描述翔实具体、考虑周全合理可行、针对性强，得 4 分；</w:t>
            </w:r>
          </w:p>
          <w:p w14:paraId="60683AE5">
            <w:pPr>
              <w:autoSpaceDE w:val="0"/>
              <w:autoSpaceDN w:val="0"/>
              <w:jc w:val="left"/>
              <w:rPr>
                <w:rFonts w:hint="eastAsia" w:ascii="宋体" w:hAnsi="宋体" w:cs="宋体"/>
                <w:kern w:val="0"/>
                <w:szCs w:val="21"/>
              </w:rPr>
            </w:pPr>
            <w:r>
              <w:rPr>
                <w:rFonts w:hint="eastAsia" w:ascii="宋体" w:hAnsi="宋体" w:cs="宋体"/>
                <w:kern w:val="0"/>
                <w:szCs w:val="21"/>
              </w:rPr>
              <w:t>方案通用、简单，考虑欠佳或针对性欠佳，得 3 分；</w:t>
            </w:r>
          </w:p>
          <w:p w14:paraId="19A852C3">
            <w:pPr>
              <w:autoSpaceDE w:val="0"/>
              <w:autoSpaceDN w:val="0"/>
              <w:jc w:val="left"/>
              <w:rPr>
                <w:rFonts w:hint="eastAsia" w:ascii="宋体" w:hAnsi="宋体" w:cs="宋体"/>
                <w:kern w:val="0"/>
                <w:szCs w:val="21"/>
              </w:rPr>
            </w:pPr>
            <w:r>
              <w:rPr>
                <w:rFonts w:hint="eastAsia" w:ascii="宋体" w:hAnsi="宋体" w:cs="宋体"/>
                <w:kern w:val="0"/>
                <w:szCs w:val="21"/>
              </w:rPr>
              <w:t>方案内容不全或存在明显欠缺，得 2 分；</w:t>
            </w:r>
          </w:p>
          <w:p w14:paraId="697BC812">
            <w:pPr>
              <w:autoSpaceDE w:val="0"/>
              <w:autoSpaceDN w:val="0"/>
              <w:jc w:val="left"/>
              <w:rPr>
                <w:rFonts w:hint="eastAsia" w:ascii="宋体" w:hAnsi="宋体" w:cs="宋体"/>
                <w:kern w:val="0"/>
                <w:szCs w:val="21"/>
                <w:lang w:eastAsia="en-US"/>
              </w:rPr>
            </w:pPr>
            <w:r>
              <w:rPr>
                <w:rFonts w:hint="eastAsia" w:ascii="宋体" w:hAnsi="宋体" w:cs="宋体"/>
                <w:kern w:val="0"/>
                <w:szCs w:val="21"/>
                <w:lang w:eastAsia="en-US"/>
              </w:rPr>
              <w:t>未提供方案得 0 分。</w:t>
            </w:r>
          </w:p>
        </w:tc>
        <w:tc>
          <w:tcPr>
            <w:tcW w:w="678" w:type="dxa"/>
            <w:vAlign w:val="center"/>
          </w:tcPr>
          <w:p w14:paraId="4CB75472">
            <w:pPr>
              <w:autoSpaceDE w:val="0"/>
              <w:autoSpaceDN w:val="0"/>
              <w:jc w:val="center"/>
              <w:rPr>
                <w:rFonts w:hint="eastAsia" w:ascii="宋体" w:hAnsi="宋体" w:cs="宋体"/>
                <w:kern w:val="0"/>
                <w:szCs w:val="21"/>
                <w:lang w:eastAsia="en-US"/>
              </w:rPr>
            </w:pPr>
            <w:r>
              <w:rPr>
                <w:rFonts w:hint="eastAsia" w:ascii="宋体" w:hAnsi="宋体" w:cs="宋体"/>
                <w:kern w:val="0"/>
                <w:szCs w:val="21"/>
                <w:lang w:eastAsia="en-US"/>
              </w:rPr>
              <w:t>4</w:t>
            </w:r>
          </w:p>
        </w:tc>
        <w:tc>
          <w:tcPr>
            <w:tcW w:w="678" w:type="dxa"/>
            <w:vAlign w:val="center"/>
          </w:tcPr>
          <w:p w14:paraId="4580B014">
            <w:pPr>
              <w:autoSpaceDE w:val="0"/>
              <w:autoSpaceDN w:val="0"/>
              <w:jc w:val="center"/>
              <w:rPr>
                <w:rFonts w:hint="eastAsia" w:ascii="宋体" w:hAnsi="宋体" w:cs="宋体"/>
                <w:kern w:val="0"/>
                <w:szCs w:val="21"/>
                <w:lang w:eastAsia="en-US"/>
              </w:rPr>
            </w:pPr>
            <w:r>
              <w:rPr>
                <w:rFonts w:hint="eastAsia" w:ascii="宋体" w:hAnsi="宋体" w:cs="宋体"/>
                <w:kern w:val="0"/>
                <w:szCs w:val="21"/>
                <w:lang w:val="en-US" w:eastAsia="zh-CN"/>
              </w:rPr>
              <w:t>主观</w:t>
            </w:r>
          </w:p>
        </w:tc>
      </w:tr>
      <w:tr w14:paraId="3BD4A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14:paraId="2A70533D">
            <w:pPr>
              <w:autoSpaceDE w:val="0"/>
              <w:autoSpaceDN w:val="0"/>
              <w:jc w:val="center"/>
              <w:rPr>
                <w:rFonts w:hint="eastAsia" w:ascii="宋体" w:hAnsi="宋体" w:cs="宋体"/>
                <w:kern w:val="0"/>
                <w:szCs w:val="21"/>
                <w:lang w:eastAsia="en-US"/>
              </w:rPr>
            </w:pPr>
            <w:r>
              <w:rPr>
                <w:rFonts w:hint="eastAsia" w:ascii="宋体" w:hAnsi="宋体" w:cs="宋体"/>
                <w:kern w:val="0"/>
                <w:szCs w:val="21"/>
                <w:lang w:eastAsia="en-US"/>
              </w:rPr>
              <w:t>3</w:t>
            </w:r>
          </w:p>
        </w:tc>
        <w:tc>
          <w:tcPr>
            <w:tcW w:w="1733" w:type="dxa"/>
            <w:gridSpan w:val="2"/>
            <w:tcBorders>
              <w:top w:val="single" w:color="auto" w:sz="4" w:space="0"/>
              <w:left w:val="single" w:color="auto" w:sz="4" w:space="0"/>
              <w:bottom w:val="single" w:color="auto" w:sz="4" w:space="0"/>
              <w:right w:val="single" w:color="auto" w:sz="4" w:space="0"/>
            </w:tcBorders>
            <w:vAlign w:val="center"/>
          </w:tcPr>
          <w:p w14:paraId="32362048">
            <w:pPr>
              <w:autoSpaceDE w:val="0"/>
              <w:autoSpaceDN w:val="0"/>
              <w:jc w:val="center"/>
              <w:rPr>
                <w:rFonts w:hint="eastAsia" w:ascii="宋体" w:hAnsi="宋体" w:cs="宋体"/>
                <w:kern w:val="0"/>
                <w:szCs w:val="21"/>
                <w:lang w:eastAsia="en-US"/>
              </w:rPr>
            </w:pPr>
            <w:r>
              <w:rPr>
                <w:rFonts w:hint="eastAsia" w:ascii="宋体" w:hAnsi="宋体" w:cs="宋体"/>
                <w:kern w:val="0"/>
                <w:szCs w:val="21"/>
                <w:lang w:eastAsia="en-US"/>
              </w:rPr>
              <w:t>价格部分（</w:t>
            </w:r>
            <w:r>
              <w:rPr>
                <w:rFonts w:hint="eastAsia" w:ascii="宋体" w:hAnsi="宋体" w:cs="宋体"/>
                <w:kern w:val="0"/>
                <w:szCs w:val="21"/>
                <w:lang w:val="en-US" w:eastAsia="zh-CN"/>
              </w:rPr>
              <w:t>1</w:t>
            </w:r>
            <w:r>
              <w:rPr>
                <w:rFonts w:hint="eastAsia" w:ascii="宋体" w:hAnsi="宋体" w:cs="宋体"/>
                <w:kern w:val="0"/>
                <w:szCs w:val="21"/>
                <w:lang w:eastAsia="en-US"/>
              </w:rPr>
              <w:t>0分）</w:t>
            </w:r>
          </w:p>
        </w:tc>
        <w:tc>
          <w:tcPr>
            <w:tcW w:w="6300" w:type="dxa"/>
            <w:tcBorders>
              <w:left w:val="single" w:color="auto" w:sz="4" w:space="0"/>
            </w:tcBorders>
            <w:vAlign w:val="center"/>
          </w:tcPr>
          <w:p w14:paraId="61812AD1">
            <w:pPr>
              <w:autoSpaceDE w:val="0"/>
              <w:autoSpaceDN w:val="0"/>
              <w:jc w:val="left"/>
              <w:rPr>
                <w:rFonts w:hint="eastAsia" w:ascii="宋体" w:hAnsi="宋体" w:cs="宋体"/>
                <w:kern w:val="0"/>
                <w:szCs w:val="21"/>
              </w:rPr>
            </w:pPr>
            <w:r>
              <w:rPr>
                <w:rFonts w:hint="eastAsia" w:ascii="宋体" w:hAnsi="宋体" w:cs="宋体"/>
                <w:kern w:val="0"/>
                <w:szCs w:val="21"/>
              </w:rPr>
              <w:t>满足招标文件要求且投标价格最低的投标报价为评标基准价，其价格分为满分。其他投标人的价格分统一按照下列公式计算： 投标报价得分＝（评标基准价/投标报价）×</w:t>
            </w:r>
            <w:r>
              <w:rPr>
                <w:rFonts w:hint="eastAsia" w:ascii="宋体" w:hAnsi="宋体" w:cs="宋体"/>
                <w:kern w:val="0"/>
                <w:szCs w:val="21"/>
                <w:lang w:val="en-US" w:eastAsia="zh-CN"/>
              </w:rPr>
              <w:t>1</w:t>
            </w:r>
            <w:r>
              <w:rPr>
                <w:rFonts w:hint="eastAsia" w:ascii="宋体" w:hAnsi="宋体" w:cs="宋体"/>
                <w:kern w:val="0"/>
                <w:szCs w:val="21"/>
              </w:rPr>
              <w:t>0。</w:t>
            </w:r>
          </w:p>
        </w:tc>
        <w:tc>
          <w:tcPr>
            <w:tcW w:w="678" w:type="dxa"/>
            <w:vAlign w:val="center"/>
          </w:tcPr>
          <w:p w14:paraId="33548AC3">
            <w:pPr>
              <w:autoSpaceDE w:val="0"/>
              <w:autoSpaceDN w:val="0"/>
              <w:jc w:val="center"/>
              <w:rPr>
                <w:rFonts w:hint="eastAsia" w:ascii="宋体" w:hAnsi="宋体" w:cs="宋体"/>
                <w:kern w:val="0"/>
                <w:szCs w:val="21"/>
                <w:lang w:eastAsia="en-US"/>
              </w:rPr>
            </w:pPr>
            <w:r>
              <w:rPr>
                <w:rFonts w:hint="eastAsia" w:ascii="宋体" w:hAnsi="宋体" w:cs="宋体"/>
                <w:kern w:val="0"/>
                <w:szCs w:val="21"/>
                <w:lang w:val="en-US" w:eastAsia="zh-CN"/>
              </w:rPr>
              <w:t>1</w:t>
            </w:r>
            <w:r>
              <w:rPr>
                <w:rFonts w:hint="eastAsia" w:ascii="宋体" w:hAnsi="宋体" w:cs="宋体"/>
                <w:kern w:val="0"/>
                <w:szCs w:val="21"/>
                <w:lang w:eastAsia="en-US"/>
              </w:rPr>
              <w:t>0</w:t>
            </w:r>
          </w:p>
        </w:tc>
        <w:tc>
          <w:tcPr>
            <w:tcW w:w="678" w:type="dxa"/>
            <w:vAlign w:val="center"/>
          </w:tcPr>
          <w:p w14:paraId="0733026B">
            <w:pPr>
              <w:autoSpaceDE w:val="0"/>
              <w:autoSpaceDN w:val="0"/>
              <w:jc w:val="center"/>
              <w:rPr>
                <w:rFonts w:hint="eastAsia" w:ascii="宋体" w:hAnsi="宋体" w:cs="宋体"/>
                <w:kern w:val="0"/>
                <w:szCs w:val="21"/>
                <w:lang w:val="en-US" w:eastAsia="zh-CN"/>
              </w:rPr>
            </w:pPr>
            <w:r>
              <w:rPr>
                <w:rFonts w:hint="eastAsia" w:ascii="宋体" w:hAnsi="宋体" w:cs="宋体"/>
                <w:kern w:val="0"/>
                <w:szCs w:val="21"/>
                <w:lang w:val="en-US" w:eastAsia="zh-CN"/>
              </w:rPr>
              <w:t>客观</w:t>
            </w:r>
          </w:p>
        </w:tc>
      </w:tr>
      <w:tr w14:paraId="4D8ED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14:paraId="65D68373">
            <w:pPr>
              <w:autoSpaceDE w:val="0"/>
              <w:autoSpaceDN w:val="0"/>
              <w:jc w:val="center"/>
              <w:rPr>
                <w:rFonts w:hint="eastAsia" w:ascii="宋体" w:hAnsi="宋体" w:cs="宋体"/>
                <w:kern w:val="0"/>
                <w:szCs w:val="21"/>
                <w:lang w:eastAsia="en-US"/>
              </w:rPr>
            </w:pPr>
            <w:r>
              <w:rPr>
                <w:rFonts w:hint="eastAsia" w:ascii="宋体" w:hAnsi="宋体" w:cs="宋体"/>
                <w:kern w:val="0"/>
                <w:szCs w:val="21"/>
                <w:lang w:eastAsia="en-US"/>
              </w:rPr>
              <w:t>4</w:t>
            </w:r>
          </w:p>
        </w:tc>
        <w:tc>
          <w:tcPr>
            <w:tcW w:w="1733" w:type="dxa"/>
            <w:gridSpan w:val="2"/>
            <w:tcBorders>
              <w:top w:val="single" w:color="auto" w:sz="4" w:space="0"/>
              <w:left w:val="single" w:color="auto" w:sz="4" w:space="0"/>
              <w:bottom w:val="single" w:color="auto" w:sz="4" w:space="0"/>
              <w:right w:val="single" w:color="auto" w:sz="4" w:space="0"/>
            </w:tcBorders>
            <w:vAlign w:val="center"/>
          </w:tcPr>
          <w:p w14:paraId="717DBEE5">
            <w:pPr>
              <w:autoSpaceDE w:val="0"/>
              <w:autoSpaceDN w:val="0"/>
              <w:jc w:val="center"/>
              <w:rPr>
                <w:rFonts w:hint="eastAsia" w:ascii="宋体" w:hAnsi="宋体" w:cs="宋体"/>
                <w:kern w:val="0"/>
                <w:szCs w:val="21"/>
                <w:lang w:eastAsia="en-US"/>
              </w:rPr>
            </w:pPr>
            <w:r>
              <w:rPr>
                <w:rFonts w:hint="eastAsia" w:ascii="宋体" w:hAnsi="宋体" w:cs="宋体"/>
                <w:kern w:val="0"/>
                <w:szCs w:val="21"/>
                <w:lang w:eastAsia="en-US"/>
              </w:rPr>
              <w:t>综合评审得分</w:t>
            </w:r>
          </w:p>
        </w:tc>
        <w:tc>
          <w:tcPr>
            <w:tcW w:w="6300" w:type="dxa"/>
            <w:tcBorders>
              <w:left w:val="single" w:color="auto" w:sz="4" w:space="0"/>
            </w:tcBorders>
            <w:vAlign w:val="center"/>
          </w:tcPr>
          <w:p w14:paraId="00115B85">
            <w:pPr>
              <w:autoSpaceDE w:val="0"/>
              <w:autoSpaceDN w:val="0"/>
              <w:jc w:val="left"/>
              <w:rPr>
                <w:rFonts w:hint="eastAsia" w:ascii="宋体" w:hAnsi="宋体" w:cs="宋体"/>
                <w:kern w:val="0"/>
                <w:szCs w:val="21"/>
              </w:rPr>
            </w:pPr>
            <w:r>
              <w:rPr>
                <w:rFonts w:hint="eastAsia" w:ascii="宋体" w:hAnsi="宋体" w:cs="宋体"/>
                <w:kern w:val="0"/>
                <w:szCs w:val="21"/>
              </w:rPr>
              <w:t>1-3 项得分之和，即为投标人的综合评审得分。</w:t>
            </w:r>
          </w:p>
        </w:tc>
        <w:tc>
          <w:tcPr>
            <w:tcW w:w="1356" w:type="dxa"/>
            <w:gridSpan w:val="2"/>
            <w:vAlign w:val="center"/>
          </w:tcPr>
          <w:p w14:paraId="6B20EDDC">
            <w:pPr>
              <w:autoSpaceDE w:val="0"/>
              <w:autoSpaceDN w:val="0"/>
              <w:jc w:val="center"/>
              <w:rPr>
                <w:rFonts w:hint="eastAsia" w:ascii="宋体" w:hAnsi="宋体" w:cs="宋体"/>
                <w:kern w:val="0"/>
                <w:szCs w:val="21"/>
                <w:lang w:eastAsia="en-US"/>
              </w:rPr>
            </w:pPr>
            <w:r>
              <w:rPr>
                <w:rFonts w:hint="eastAsia" w:ascii="宋体" w:hAnsi="宋体" w:cs="宋体"/>
                <w:kern w:val="0"/>
                <w:szCs w:val="21"/>
                <w:lang w:eastAsia="en-US"/>
              </w:rPr>
              <w:t>100</w:t>
            </w:r>
          </w:p>
        </w:tc>
      </w:tr>
    </w:tbl>
    <w:p w14:paraId="799AC993">
      <w:pPr>
        <w:spacing w:line="360" w:lineRule="auto"/>
        <w:jc w:val="left"/>
        <w:outlineLvl w:val="2"/>
        <w:rPr>
          <w:b/>
          <w:sz w:val="36"/>
          <w:szCs w:val="36"/>
        </w:rPr>
        <w:sectPr>
          <w:pgSz w:w="11907" w:h="16840"/>
          <w:pgMar w:top="1418" w:right="1134" w:bottom="1418" w:left="1701" w:header="851" w:footer="851" w:gutter="0"/>
          <w:cols w:space="720" w:num="1"/>
          <w:docGrid w:linePitch="462" w:charSpace="0"/>
        </w:sectPr>
      </w:pPr>
    </w:p>
    <w:p w14:paraId="34F85952">
      <w:pPr>
        <w:spacing w:line="360" w:lineRule="auto"/>
        <w:jc w:val="left"/>
        <w:outlineLvl w:val="2"/>
        <w:rPr>
          <w:b/>
          <w:sz w:val="36"/>
          <w:szCs w:val="36"/>
        </w:rPr>
      </w:pPr>
      <w:r>
        <w:rPr>
          <w:rFonts w:hint="eastAsia"/>
          <w:sz w:val="24"/>
        </w:rPr>
        <w:t>08包：</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941"/>
        <w:gridCol w:w="1416"/>
        <w:gridCol w:w="5359"/>
        <w:gridCol w:w="524"/>
        <w:gridCol w:w="550"/>
      </w:tblGrid>
      <w:tr w14:paraId="0ABA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14:paraId="36876034">
            <w:pPr>
              <w:rPr>
                <w:rFonts w:hint="eastAsia" w:ascii="宋体" w:hAnsi="宋体" w:cs="宋体"/>
                <w:b/>
                <w:bCs/>
                <w:szCs w:val="21"/>
              </w:rPr>
            </w:pPr>
            <w:r>
              <w:rPr>
                <w:rFonts w:hint="eastAsia" w:ascii="宋体" w:hAnsi="宋体" w:cs="宋体"/>
                <w:b/>
                <w:bCs/>
                <w:szCs w:val="21"/>
              </w:rPr>
              <w:t>序号</w:t>
            </w:r>
          </w:p>
        </w:tc>
        <w:tc>
          <w:tcPr>
            <w:tcW w:w="506" w:type="pct"/>
            <w:tcBorders>
              <w:top w:val="single" w:color="auto" w:sz="4" w:space="0"/>
              <w:left w:val="single" w:color="auto" w:sz="4" w:space="0"/>
              <w:bottom w:val="single" w:color="auto" w:sz="4" w:space="0"/>
              <w:right w:val="single" w:color="auto" w:sz="4" w:space="0"/>
            </w:tcBorders>
            <w:vAlign w:val="center"/>
          </w:tcPr>
          <w:p w14:paraId="02827453">
            <w:pPr>
              <w:rPr>
                <w:rFonts w:hint="eastAsia" w:ascii="宋体" w:hAnsi="宋体" w:cs="宋体"/>
                <w:szCs w:val="21"/>
              </w:rPr>
            </w:pPr>
            <w:r>
              <w:rPr>
                <w:rFonts w:hint="eastAsia" w:ascii="宋体" w:hAnsi="宋体" w:cs="宋体"/>
                <w:b/>
                <w:bCs/>
                <w:szCs w:val="21"/>
              </w:rPr>
              <w:t>评分部分</w:t>
            </w:r>
          </w:p>
        </w:tc>
        <w:tc>
          <w:tcPr>
            <w:tcW w:w="762" w:type="pct"/>
            <w:tcBorders>
              <w:top w:val="single" w:color="auto" w:sz="4" w:space="0"/>
              <w:left w:val="single" w:color="auto" w:sz="4" w:space="0"/>
              <w:bottom w:val="single" w:color="auto" w:sz="4" w:space="0"/>
              <w:right w:val="single" w:color="auto" w:sz="4" w:space="0"/>
            </w:tcBorders>
            <w:vAlign w:val="center"/>
          </w:tcPr>
          <w:p w14:paraId="61B547ED">
            <w:pPr>
              <w:rPr>
                <w:rFonts w:hint="eastAsia" w:ascii="宋体" w:hAnsi="宋体" w:cs="宋体"/>
                <w:szCs w:val="21"/>
              </w:rPr>
            </w:pPr>
            <w:r>
              <w:rPr>
                <w:rFonts w:hint="eastAsia" w:ascii="宋体" w:hAnsi="宋体" w:cs="宋体"/>
                <w:b/>
                <w:w w:val="99"/>
                <w:szCs w:val="21"/>
              </w:rPr>
              <w:t>评分因素</w:t>
            </w:r>
          </w:p>
        </w:tc>
        <w:tc>
          <w:tcPr>
            <w:tcW w:w="2883" w:type="pct"/>
            <w:tcBorders>
              <w:top w:val="single" w:color="auto" w:sz="4" w:space="0"/>
              <w:left w:val="single" w:color="auto" w:sz="4" w:space="0"/>
              <w:bottom w:val="single" w:color="auto" w:sz="4" w:space="0"/>
              <w:right w:val="single" w:color="auto" w:sz="4" w:space="0"/>
            </w:tcBorders>
            <w:vAlign w:val="center"/>
          </w:tcPr>
          <w:p w14:paraId="02953CA6">
            <w:pPr>
              <w:rPr>
                <w:rFonts w:hint="eastAsia" w:ascii="宋体" w:hAnsi="宋体" w:cs="宋体"/>
                <w:szCs w:val="21"/>
              </w:rPr>
            </w:pPr>
            <w:r>
              <w:rPr>
                <w:rFonts w:hint="eastAsia" w:ascii="宋体" w:hAnsi="宋体" w:cs="宋体"/>
                <w:b/>
                <w:bCs/>
                <w:szCs w:val="21"/>
              </w:rPr>
              <w:t>评分标准</w:t>
            </w:r>
          </w:p>
        </w:tc>
        <w:tc>
          <w:tcPr>
            <w:tcW w:w="282" w:type="pct"/>
            <w:tcBorders>
              <w:top w:val="single" w:color="auto" w:sz="4" w:space="0"/>
              <w:left w:val="single" w:color="auto" w:sz="4" w:space="0"/>
              <w:bottom w:val="single" w:color="auto" w:sz="4" w:space="0"/>
              <w:right w:val="single" w:color="auto" w:sz="4" w:space="0"/>
            </w:tcBorders>
            <w:vAlign w:val="center"/>
          </w:tcPr>
          <w:p w14:paraId="324465DA">
            <w:pPr>
              <w:rPr>
                <w:rFonts w:hint="eastAsia" w:ascii="宋体" w:hAnsi="宋体" w:cs="宋体"/>
                <w:szCs w:val="21"/>
              </w:rPr>
            </w:pPr>
            <w:r>
              <w:rPr>
                <w:rFonts w:hint="eastAsia" w:ascii="宋体" w:hAnsi="宋体" w:cs="宋体"/>
                <w:b/>
                <w:w w:val="99"/>
                <w:szCs w:val="21"/>
              </w:rPr>
              <w:t>分值</w:t>
            </w:r>
          </w:p>
        </w:tc>
        <w:tc>
          <w:tcPr>
            <w:tcW w:w="296" w:type="pct"/>
            <w:tcBorders>
              <w:top w:val="single" w:color="auto" w:sz="4" w:space="0"/>
              <w:left w:val="single" w:color="auto" w:sz="4" w:space="0"/>
              <w:bottom w:val="single" w:color="auto" w:sz="4" w:space="0"/>
              <w:right w:val="single" w:color="auto" w:sz="4" w:space="0"/>
            </w:tcBorders>
            <w:vAlign w:val="center"/>
          </w:tcPr>
          <w:p w14:paraId="050422DC">
            <w:pPr>
              <w:rPr>
                <w:rFonts w:hint="eastAsia" w:ascii="宋体" w:hAnsi="宋体" w:cs="宋体"/>
                <w:b/>
                <w:w w:val="99"/>
                <w:szCs w:val="21"/>
              </w:rPr>
            </w:pPr>
            <w:r>
              <w:rPr>
                <w:rFonts w:hint="eastAsia" w:ascii="宋体" w:hAnsi="宋体" w:cs="宋体"/>
                <w:b/>
                <w:w w:val="99"/>
                <w:szCs w:val="21"/>
              </w:rPr>
              <w:t>分属性</w:t>
            </w:r>
          </w:p>
        </w:tc>
      </w:tr>
      <w:tr w14:paraId="1526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8" w:type="pct"/>
            <w:tcBorders>
              <w:left w:val="single" w:color="auto" w:sz="4" w:space="0"/>
              <w:right w:val="single" w:color="auto" w:sz="4" w:space="0"/>
            </w:tcBorders>
            <w:vAlign w:val="center"/>
          </w:tcPr>
          <w:p w14:paraId="1CC7333B">
            <w:pPr>
              <w:jc w:val="center"/>
              <w:rPr>
                <w:rFonts w:hint="eastAsia" w:ascii="宋体" w:hAnsi="宋体" w:cs="宋体"/>
                <w:szCs w:val="21"/>
              </w:rPr>
            </w:pPr>
            <w:r>
              <w:rPr>
                <w:rFonts w:hint="eastAsia" w:ascii="宋体" w:hAnsi="宋体" w:cs="宋体"/>
                <w:szCs w:val="21"/>
              </w:rPr>
              <w:t>1</w:t>
            </w:r>
          </w:p>
        </w:tc>
        <w:tc>
          <w:tcPr>
            <w:tcW w:w="506" w:type="pct"/>
            <w:tcBorders>
              <w:left w:val="single" w:color="auto" w:sz="4" w:space="0"/>
              <w:right w:val="single" w:color="auto" w:sz="4" w:space="0"/>
            </w:tcBorders>
            <w:vAlign w:val="center"/>
          </w:tcPr>
          <w:p w14:paraId="21051A4E">
            <w:pPr>
              <w:jc w:val="center"/>
              <w:rPr>
                <w:rFonts w:hint="eastAsia" w:ascii="宋体" w:hAnsi="宋体" w:cs="宋体"/>
                <w:szCs w:val="21"/>
              </w:rPr>
            </w:pPr>
            <w:r>
              <w:rPr>
                <w:rFonts w:hint="eastAsia" w:ascii="宋体" w:hAnsi="宋体" w:cs="宋体"/>
                <w:szCs w:val="21"/>
              </w:rPr>
              <w:t>价格</w:t>
            </w:r>
          </w:p>
          <w:p w14:paraId="5BCEDAD5">
            <w:pPr>
              <w:jc w:val="center"/>
              <w:rPr>
                <w:rFonts w:hint="eastAsia" w:ascii="宋体" w:hAnsi="宋体" w:cs="宋体"/>
                <w:szCs w:val="21"/>
              </w:rPr>
            </w:pPr>
            <w:r>
              <w:rPr>
                <w:rFonts w:hint="eastAsia" w:ascii="宋体" w:hAnsi="宋体" w:cs="宋体"/>
                <w:szCs w:val="21"/>
              </w:rPr>
              <w:t>部分</w:t>
            </w:r>
          </w:p>
          <w:p w14:paraId="29ADF592">
            <w:pPr>
              <w:jc w:val="center"/>
              <w:rPr>
                <w:rFonts w:hint="eastAsia" w:ascii="宋体" w:hAnsi="宋体" w:cs="宋体"/>
                <w:szCs w:val="21"/>
              </w:rPr>
            </w:pPr>
            <w:r>
              <w:rPr>
                <w:rFonts w:hint="eastAsia" w:ascii="宋体" w:hAnsi="宋体" w:cs="宋体"/>
                <w:szCs w:val="21"/>
              </w:rPr>
              <w:t>（10分）</w:t>
            </w:r>
          </w:p>
        </w:tc>
        <w:tc>
          <w:tcPr>
            <w:tcW w:w="762" w:type="pct"/>
            <w:tcBorders>
              <w:top w:val="single" w:color="auto" w:sz="4" w:space="0"/>
              <w:left w:val="single" w:color="auto" w:sz="4" w:space="0"/>
              <w:right w:val="single" w:color="auto" w:sz="4" w:space="0"/>
            </w:tcBorders>
            <w:vAlign w:val="center"/>
          </w:tcPr>
          <w:p w14:paraId="11B2B3DD">
            <w:pPr>
              <w:widowControl/>
              <w:rPr>
                <w:rFonts w:hint="eastAsia" w:ascii="宋体" w:hAnsi="宋体" w:cs="宋体"/>
                <w:szCs w:val="21"/>
              </w:rPr>
            </w:pPr>
            <w:r>
              <w:rPr>
                <w:rFonts w:hint="eastAsia" w:ascii="宋体" w:hAnsi="宋体" w:cs="宋体"/>
                <w:szCs w:val="21"/>
              </w:rPr>
              <w:t>价格</w:t>
            </w:r>
          </w:p>
        </w:tc>
        <w:tc>
          <w:tcPr>
            <w:tcW w:w="2883" w:type="pct"/>
            <w:tcBorders>
              <w:top w:val="single" w:color="auto" w:sz="4" w:space="0"/>
              <w:left w:val="single" w:color="auto" w:sz="4" w:space="0"/>
              <w:bottom w:val="single" w:color="auto" w:sz="4" w:space="0"/>
              <w:right w:val="single" w:color="auto" w:sz="4" w:space="0"/>
            </w:tcBorders>
            <w:vAlign w:val="center"/>
          </w:tcPr>
          <w:p w14:paraId="0FAAE640">
            <w:pPr>
              <w:rPr>
                <w:rFonts w:hint="eastAsia" w:ascii="宋体" w:hAnsi="宋体" w:cs="宋体"/>
                <w:szCs w:val="21"/>
              </w:rPr>
            </w:pPr>
            <w:r>
              <w:rPr>
                <w:rFonts w:hint="eastAsia" w:ascii="宋体" w:hAnsi="宋体" w:cs="宋体"/>
                <w:szCs w:val="21"/>
              </w:rPr>
              <w:t>满足招标文件要求且投标价格最低的投标报价为评标基准价，其价格分为满分。其他投标人的价格分统一按照下列公式计算：</w:t>
            </w:r>
          </w:p>
          <w:p w14:paraId="2A4FEB3C">
            <w:pPr>
              <w:rPr>
                <w:rFonts w:hint="eastAsia" w:ascii="宋体" w:hAnsi="宋体" w:cs="宋体"/>
                <w:szCs w:val="21"/>
              </w:rPr>
            </w:pPr>
            <w:r>
              <w:rPr>
                <w:rFonts w:hint="eastAsia" w:ascii="宋体" w:hAnsi="宋体" w:cs="宋体"/>
                <w:szCs w:val="21"/>
              </w:rPr>
              <w:t>投标报价得分＝（评标基准价/投标报价）×分值。</w:t>
            </w:r>
          </w:p>
          <w:p w14:paraId="5700294C">
            <w:pPr>
              <w:rPr>
                <w:rFonts w:hint="eastAsia" w:ascii="宋体" w:hAnsi="宋体" w:cs="宋体"/>
                <w:szCs w:val="21"/>
              </w:rPr>
            </w:pPr>
            <w:r>
              <w:rPr>
                <w:rFonts w:hint="eastAsia" w:ascii="宋体" w:hAnsi="宋体" w:cs="宋体"/>
                <w:szCs w:val="21"/>
              </w:rPr>
              <w:t>此处投标报价指经过报价修正，及因落实政府采购政策进行价格调整后的报价，详见第四章《评标程客观序、评标方法和评标标准》2.4及2.5。</w:t>
            </w:r>
          </w:p>
        </w:tc>
        <w:tc>
          <w:tcPr>
            <w:tcW w:w="282" w:type="pct"/>
            <w:tcBorders>
              <w:top w:val="single" w:color="auto" w:sz="4" w:space="0"/>
              <w:left w:val="single" w:color="auto" w:sz="4" w:space="0"/>
              <w:bottom w:val="single" w:color="auto" w:sz="4" w:space="0"/>
              <w:right w:val="single" w:color="auto" w:sz="4" w:space="0"/>
            </w:tcBorders>
            <w:vAlign w:val="center"/>
          </w:tcPr>
          <w:p w14:paraId="3C3D33E8">
            <w:pPr>
              <w:widowControl/>
              <w:jc w:val="center"/>
              <w:rPr>
                <w:rFonts w:hint="eastAsia" w:ascii="宋体" w:hAnsi="宋体" w:cs="宋体"/>
                <w:szCs w:val="21"/>
              </w:rPr>
            </w:pPr>
            <w:r>
              <w:rPr>
                <w:rFonts w:hint="eastAsia" w:ascii="宋体" w:hAnsi="宋体" w:cs="宋体"/>
                <w:szCs w:val="21"/>
              </w:rPr>
              <w:t>10</w:t>
            </w:r>
          </w:p>
        </w:tc>
        <w:tc>
          <w:tcPr>
            <w:tcW w:w="296" w:type="pct"/>
            <w:tcBorders>
              <w:top w:val="single" w:color="auto" w:sz="4" w:space="0"/>
              <w:left w:val="single" w:color="auto" w:sz="4" w:space="0"/>
              <w:bottom w:val="single" w:color="auto" w:sz="4" w:space="0"/>
              <w:right w:val="single" w:color="auto" w:sz="4" w:space="0"/>
            </w:tcBorders>
            <w:vAlign w:val="center"/>
          </w:tcPr>
          <w:p w14:paraId="12FD2952">
            <w:pPr>
              <w:widowControl/>
              <w:jc w:val="center"/>
              <w:rPr>
                <w:rFonts w:hint="eastAsia" w:ascii="宋体" w:hAnsi="宋体" w:cs="宋体"/>
                <w:szCs w:val="21"/>
              </w:rPr>
            </w:pPr>
            <w:r>
              <w:rPr>
                <w:rFonts w:hint="eastAsia" w:ascii="宋体" w:hAnsi="宋体" w:cs="宋体"/>
                <w:szCs w:val="21"/>
              </w:rPr>
              <w:t>客观</w:t>
            </w:r>
          </w:p>
        </w:tc>
      </w:tr>
      <w:tr w14:paraId="375A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8" w:type="pct"/>
            <w:tcBorders>
              <w:left w:val="single" w:color="auto" w:sz="4" w:space="0"/>
              <w:right w:val="single" w:color="auto" w:sz="4" w:space="0"/>
            </w:tcBorders>
            <w:vAlign w:val="center"/>
          </w:tcPr>
          <w:p w14:paraId="0F86BF18">
            <w:pPr>
              <w:jc w:val="center"/>
              <w:rPr>
                <w:rFonts w:hint="eastAsia" w:ascii="宋体" w:hAnsi="宋体" w:cs="宋体"/>
                <w:szCs w:val="21"/>
              </w:rPr>
            </w:pPr>
            <w:r>
              <w:rPr>
                <w:rFonts w:hint="eastAsia" w:ascii="宋体" w:hAnsi="宋体" w:cs="宋体"/>
                <w:szCs w:val="21"/>
              </w:rPr>
              <w:t>2</w:t>
            </w:r>
          </w:p>
        </w:tc>
        <w:tc>
          <w:tcPr>
            <w:tcW w:w="506" w:type="pct"/>
            <w:vMerge w:val="restart"/>
            <w:tcBorders>
              <w:left w:val="single" w:color="auto" w:sz="4" w:space="0"/>
              <w:right w:val="single" w:color="auto" w:sz="4" w:space="0"/>
            </w:tcBorders>
            <w:vAlign w:val="center"/>
          </w:tcPr>
          <w:p w14:paraId="3F5DB890">
            <w:pPr>
              <w:jc w:val="center"/>
              <w:rPr>
                <w:rFonts w:hint="eastAsia" w:ascii="宋体" w:hAnsi="宋体" w:cs="宋体"/>
                <w:szCs w:val="21"/>
              </w:rPr>
            </w:pPr>
            <w:r>
              <w:rPr>
                <w:rFonts w:hint="eastAsia" w:ascii="宋体" w:hAnsi="宋体" w:cs="宋体"/>
                <w:szCs w:val="21"/>
              </w:rPr>
              <w:t>商务</w:t>
            </w:r>
          </w:p>
          <w:p w14:paraId="097E32AC">
            <w:pPr>
              <w:jc w:val="center"/>
              <w:rPr>
                <w:rFonts w:hint="eastAsia" w:ascii="宋体" w:hAnsi="宋体" w:cs="宋体"/>
                <w:szCs w:val="21"/>
              </w:rPr>
            </w:pPr>
            <w:r>
              <w:rPr>
                <w:rFonts w:hint="eastAsia" w:ascii="宋体" w:hAnsi="宋体" w:cs="宋体"/>
                <w:szCs w:val="21"/>
              </w:rPr>
              <w:t>部分</w:t>
            </w:r>
          </w:p>
          <w:p w14:paraId="496AB977">
            <w:pPr>
              <w:jc w:val="center"/>
              <w:rPr>
                <w:rFonts w:hint="eastAsia" w:ascii="宋体" w:hAnsi="宋体" w:cs="宋体"/>
                <w:szCs w:val="21"/>
              </w:rPr>
            </w:pPr>
            <w:r>
              <w:rPr>
                <w:rFonts w:hint="eastAsia" w:ascii="宋体" w:hAnsi="宋体" w:cs="宋体"/>
                <w:szCs w:val="21"/>
              </w:rPr>
              <w:t>（19分）</w:t>
            </w:r>
          </w:p>
        </w:tc>
        <w:tc>
          <w:tcPr>
            <w:tcW w:w="762" w:type="pct"/>
            <w:tcBorders>
              <w:top w:val="single" w:color="auto" w:sz="4" w:space="0"/>
              <w:left w:val="single" w:color="auto" w:sz="4" w:space="0"/>
              <w:right w:val="single" w:color="auto" w:sz="4" w:space="0"/>
            </w:tcBorders>
            <w:vAlign w:val="center"/>
          </w:tcPr>
          <w:p w14:paraId="1E59E0ED">
            <w:pPr>
              <w:rPr>
                <w:rFonts w:hint="eastAsia" w:ascii="宋体" w:hAnsi="宋体" w:cs="宋体"/>
                <w:szCs w:val="21"/>
              </w:rPr>
            </w:pPr>
            <w:r>
              <w:rPr>
                <w:rFonts w:hint="eastAsia" w:ascii="宋体" w:hAnsi="宋体" w:cs="宋体"/>
                <w:szCs w:val="21"/>
              </w:rPr>
              <w:t>管理体系和测评</w:t>
            </w:r>
          </w:p>
        </w:tc>
        <w:tc>
          <w:tcPr>
            <w:tcW w:w="2883" w:type="pct"/>
            <w:tcBorders>
              <w:top w:val="single" w:color="auto" w:sz="4" w:space="0"/>
              <w:left w:val="single" w:color="auto" w:sz="4" w:space="0"/>
              <w:bottom w:val="single" w:color="auto" w:sz="4" w:space="0"/>
              <w:right w:val="single" w:color="auto" w:sz="4" w:space="0"/>
            </w:tcBorders>
            <w:vAlign w:val="center"/>
          </w:tcPr>
          <w:p w14:paraId="79169DA4">
            <w:pPr>
              <w:rPr>
                <w:rFonts w:hint="eastAsia" w:ascii="宋体" w:hAnsi="宋体" w:cs="宋体"/>
                <w:szCs w:val="21"/>
              </w:rPr>
            </w:pPr>
            <w:r>
              <w:rPr>
                <w:rFonts w:hint="eastAsia" w:ascii="宋体" w:hAnsi="宋体" w:cs="宋体"/>
                <w:szCs w:val="21"/>
              </w:rPr>
              <w:t>投标人具有有效的信息安全管理体系认证证书、信息技术服务管理体系认证证书、质量管理体系认证证书。提供有效期内的证书扫描件和证书年度监督审核通过的相关证明材料(新办证书不用提供年度监督审核证明)。每提供1个证书得3分，最高得9分。</w:t>
            </w:r>
          </w:p>
        </w:tc>
        <w:tc>
          <w:tcPr>
            <w:tcW w:w="282" w:type="pct"/>
            <w:tcBorders>
              <w:top w:val="single" w:color="auto" w:sz="4" w:space="0"/>
              <w:left w:val="single" w:color="auto" w:sz="4" w:space="0"/>
              <w:bottom w:val="single" w:color="auto" w:sz="4" w:space="0"/>
              <w:right w:val="single" w:color="auto" w:sz="4" w:space="0"/>
            </w:tcBorders>
            <w:vAlign w:val="center"/>
          </w:tcPr>
          <w:p w14:paraId="73AA8999">
            <w:pPr>
              <w:jc w:val="center"/>
              <w:rPr>
                <w:rFonts w:hint="eastAsia" w:ascii="宋体" w:hAnsi="宋体" w:cs="宋体"/>
                <w:szCs w:val="21"/>
              </w:rPr>
            </w:pPr>
            <w:r>
              <w:rPr>
                <w:rFonts w:hint="eastAsia" w:ascii="宋体" w:hAnsi="宋体" w:cs="宋体"/>
                <w:szCs w:val="21"/>
              </w:rPr>
              <w:t>9</w:t>
            </w:r>
          </w:p>
        </w:tc>
        <w:tc>
          <w:tcPr>
            <w:tcW w:w="296" w:type="pct"/>
            <w:tcBorders>
              <w:top w:val="single" w:color="auto" w:sz="4" w:space="0"/>
              <w:left w:val="single" w:color="auto" w:sz="4" w:space="0"/>
              <w:bottom w:val="single" w:color="auto" w:sz="4" w:space="0"/>
              <w:right w:val="single" w:color="auto" w:sz="4" w:space="0"/>
            </w:tcBorders>
            <w:vAlign w:val="center"/>
          </w:tcPr>
          <w:p w14:paraId="706D9782">
            <w:pPr>
              <w:jc w:val="center"/>
              <w:rPr>
                <w:rFonts w:hint="eastAsia" w:ascii="宋体" w:hAnsi="宋体" w:cs="宋体"/>
                <w:szCs w:val="21"/>
              </w:rPr>
            </w:pPr>
            <w:r>
              <w:rPr>
                <w:rFonts w:hint="eastAsia" w:ascii="宋体" w:hAnsi="宋体" w:cs="宋体"/>
                <w:szCs w:val="21"/>
              </w:rPr>
              <w:t>客观</w:t>
            </w:r>
          </w:p>
        </w:tc>
      </w:tr>
      <w:tr w14:paraId="231E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8" w:type="pct"/>
            <w:tcBorders>
              <w:left w:val="single" w:color="auto" w:sz="4" w:space="0"/>
              <w:bottom w:val="single" w:color="auto" w:sz="4" w:space="0"/>
              <w:right w:val="single" w:color="auto" w:sz="4" w:space="0"/>
            </w:tcBorders>
            <w:vAlign w:val="center"/>
          </w:tcPr>
          <w:p w14:paraId="1DCFA170">
            <w:pPr>
              <w:jc w:val="center"/>
              <w:rPr>
                <w:rFonts w:hint="eastAsia" w:ascii="宋体" w:hAnsi="宋体" w:cs="宋体"/>
                <w:szCs w:val="21"/>
              </w:rPr>
            </w:pPr>
            <w:r>
              <w:rPr>
                <w:rFonts w:hint="eastAsia" w:ascii="宋体" w:hAnsi="宋体" w:cs="宋体"/>
                <w:szCs w:val="21"/>
              </w:rPr>
              <w:t>3</w:t>
            </w:r>
          </w:p>
        </w:tc>
        <w:tc>
          <w:tcPr>
            <w:tcW w:w="506" w:type="pct"/>
            <w:vMerge w:val="continue"/>
            <w:tcBorders>
              <w:left w:val="single" w:color="auto" w:sz="4" w:space="0"/>
              <w:bottom w:val="single" w:color="auto" w:sz="4" w:space="0"/>
              <w:right w:val="single" w:color="auto" w:sz="4" w:space="0"/>
            </w:tcBorders>
            <w:vAlign w:val="center"/>
          </w:tcPr>
          <w:p w14:paraId="4171017B">
            <w:pPr>
              <w:jc w:val="center"/>
              <w:rPr>
                <w:rFonts w:hint="eastAsia" w:ascii="宋体" w:hAnsi="宋体" w:cs="宋体"/>
                <w:szCs w:val="21"/>
              </w:rPr>
            </w:pPr>
          </w:p>
        </w:tc>
        <w:tc>
          <w:tcPr>
            <w:tcW w:w="762" w:type="pct"/>
            <w:tcBorders>
              <w:top w:val="single" w:color="auto" w:sz="4" w:space="0"/>
              <w:left w:val="single" w:color="auto" w:sz="4" w:space="0"/>
              <w:bottom w:val="single" w:color="auto" w:sz="4" w:space="0"/>
              <w:right w:val="single" w:color="auto" w:sz="4" w:space="0"/>
            </w:tcBorders>
            <w:vAlign w:val="center"/>
          </w:tcPr>
          <w:p w14:paraId="2752A394">
            <w:pPr>
              <w:rPr>
                <w:rFonts w:hint="eastAsia" w:ascii="宋体" w:hAnsi="宋体" w:cs="宋体"/>
                <w:szCs w:val="21"/>
              </w:rPr>
            </w:pPr>
            <w:r>
              <w:rPr>
                <w:rFonts w:hint="eastAsia" w:ascii="宋体" w:hAnsi="宋体" w:cs="宋体"/>
                <w:szCs w:val="21"/>
              </w:rPr>
              <w:t>业绩</w:t>
            </w:r>
          </w:p>
        </w:tc>
        <w:tc>
          <w:tcPr>
            <w:tcW w:w="2883" w:type="pct"/>
            <w:tcBorders>
              <w:top w:val="single" w:color="auto" w:sz="4" w:space="0"/>
              <w:left w:val="single" w:color="auto" w:sz="4" w:space="0"/>
              <w:bottom w:val="single" w:color="auto" w:sz="4" w:space="0"/>
              <w:right w:val="single" w:color="auto" w:sz="4" w:space="0"/>
            </w:tcBorders>
            <w:vAlign w:val="center"/>
          </w:tcPr>
          <w:p w14:paraId="285A1AB7">
            <w:pPr>
              <w:rPr>
                <w:rFonts w:hint="eastAsia" w:ascii="宋体" w:hAnsi="宋体" w:cs="宋体"/>
                <w:szCs w:val="21"/>
              </w:rPr>
            </w:pPr>
            <w:r>
              <w:rPr>
                <w:rFonts w:hint="eastAsia" w:ascii="宋体" w:hAnsi="宋体" w:cs="宋体"/>
                <w:szCs w:val="21"/>
              </w:rPr>
              <w:t>投标人须提供自2023年4月1日至投标文件递交截止</w:t>
            </w:r>
            <w:r>
              <w:rPr>
                <w:rFonts w:hint="eastAsia" w:ascii="宋体" w:hAnsi="宋体" w:cs="宋体"/>
                <w:szCs w:val="21"/>
                <w:lang w:eastAsia="zh-CN"/>
              </w:rPr>
              <w:t>（</w:t>
            </w:r>
            <w:r>
              <w:rPr>
                <w:rFonts w:hint="eastAsia" w:ascii="宋体" w:hAnsi="宋体" w:cs="宋体"/>
                <w:szCs w:val="21"/>
                <w:lang w:val="en-US" w:eastAsia="zh-CN"/>
              </w:rPr>
              <w:t>以合同签订日期为准</w:t>
            </w:r>
            <w:r>
              <w:rPr>
                <w:rFonts w:hint="eastAsia" w:ascii="宋体" w:hAnsi="宋体" w:cs="宋体"/>
                <w:szCs w:val="21"/>
                <w:lang w:eastAsia="zh-CN"/>
              </w:rPr>
              <w:t>）</w:t>
            </w:r>
            <w:r>
              <w:rPr>
                <w:rFonts w:hint="eastAsia" w:ascii="宋体" w:hAnsi="宋体" w:cs="宋体"/>
                <w:szCs w:val="21"/>
              </w:rPr>
              <w:t>的类似项目</w:t>
            </w:r>
            <w:r>
              <w:rPr>
                <w:rFonts w:hint="eastAsia" w:ascii="宋体" w:hAnsi="宋体" w:cs="宋体"/>
                <w:szCs w:val="21"/>
                <w:lang w:eastAsia="zh-CN"/>
              </w:rPr>
              <w:t>（安全服务</w:t>
            </w:r>
            <w:r>
              <w:rPr>
                <w:rFonts w:hint="eastAsia" w:ascii="宋体" w:hAnsi="宋体" w:cs="宋体"/>
                <w:szCs w:val="21"/>
                <w:lang w:val="en-US" w:eastAsia="zh-CN"/>
              </w:rPr>
              <w:t>或</w:t>
            </w:r>
            <w:r>
              <w:rPr>
                <w:rFonts w:hint="eastAsia" w:ascii="宋体" w:hAnsi="宋体" w:cs="宋体"/>
                <w:szCs w:val="21"/>
                <w:lang w:eastAsia="zh-CN"/>
              </w:rPr>
              <w:t>安全检测监测</w:t>
            </w:r>
            <w:r>
              <w:rPr>
                <w:rFonts w:hint="eastAsia" w:ascii="宋体" w:hAnsi="宋体" w:cs="宋体"/>
                <w:szCs w:val="21"/>
                <w:lang w:val="en-US" w:eastAsia="zh-CN"/>
              </w:rPr>
              <w:t>或</w:t>
            </w:r>
            <w:r>
              <w:rPr>
                <w:rFonts w:hint="eastAsia" w:ascii="宋体" w:hAnsi="宋体" w:cs="宋体"/>
                <w:szCs w:val="21"/>
                <w:lang w:eastAsia="zh-CN"/>
              </w:rPr>
              <w:t>审计服务</w:t>
            </w:r>
            <w:r>
              <w:rPr>
                <w:rFonts w:hint="eastAsia" w:ascii="宋体" w:hAnsi="宋体" w:cs="宋体"/>
                <w:szCs w:val="21"/>
                <w:lang w:val="en-US" w:eastAsia="zh-CN"/>
              </w:rPr>
              <w:t>或</w:t>
            </w:r>
            <w:r>
              <w:rPr>
                <w:rFonts w:hint="eastAsia" w:ascii="宋体" w:hAnsi="宋体" w:cs="宋体"/>
                <w:szCs w:val="21"/>
                <w:lang w:eastAsia="zh-CN"/>
              </w:rPr>
              <w:t>密码服务等</w:t>
            </w:r>
            <w:r>
              <w:rPr>
                <w:rFonts w:hint="eastAsia" w:ascii="宋体" w:hAnsi="宋体" w:cs="宋体"/>
                <w:szCs w:val="21"/>
                <w:lang w:val="en-US" w:eastAsia="zh-CN"/>
              </w:rPr>
              <w:t>一项或多项相关服务</w:t>
            </w:r>
            <w:r>
              <w:rPr>
                <w:rFonts w:hint="eastAsia" w:ascii="宋体" w:hAnsi="宋体" w:cs="宋体"/>
                <w:szCs w:val="21"/>
                <w:lang w:eastAsia="zh-CN"/>
              </w:rPr>
              <w:t>）</w:t>
            </w:r>
            <w:r>
              <w:rPr>
                <w:rFonts w:hint="eastAsia" w:ascii="宋体" w:hAnsi="宋体" w:cs="宋体"/>
                <w:szCs w:val="21"/>
              </w:rPr>
              <w:t>案例。</w:t>
            </w:r>
          </w:p>
          <w:p w14:paraId="23BFAFEE">
            <w:pPr>
              <w:rPr>
                <w:rFonts w:hint="eastAsia" w:ascii="宋体" w:hAnsi="宋体" w:cs="宋体"/>
                <w:szCs w:val="21"/>
              </w:rPr>
            </w:pPr>
            <w:r>
              <w:rPr>
                <w:rFonts w:hint="eastAsia" w:ascii="宋体" w:hAnsi="宋体" w:cs="宋体"/>
                <w:szCs w:val="21"/>
              </w:rPr>
              <w:t>须提供合同首页、合同服务内容页、合同金额页、盖章页的扫描件。每个得1分，最多得10分。</w:t>
            </w:r>
          </w:p>
        </w:tc>
        <w:tc>
          <w:tcPr>
            <w:tcW w:w="282" w:type="pct"/>
            <w:tcBorders>
              <w:top w:val="single" w:color="auto" w:sz="4" w:space="0"/>
              <w:left w:val="single" w:color="auto" w:sz="4" w:space="0"/>
              <w:bottom w:val="single" w:color="auto" w:sz="4" w:space="0"/>
              <w:right w:val="single" w:color="auto" w:sz="4" w:space="0"/>
            </w:tcBorders>
            <w:vAlign w:val="center"/>
          </w:tcPr>
          <w:p w14:paraId="0BCD01F3">
            <w:pPr>
              <w:jc w:val="center"/>
              <w:rPr>
                <w:rFonts w:hint="eastAsia" w:ascii="宋体" w:hAnsi="宋体" w:cs="宋体"/>
                <w:szCs w:val="21"/>
              </w:rPr>
            </w:pPr>
            <w:r>
              <w:rPr>
                <w:rFonts w:hint="eastAsia" w:ascii="宋体" w:hAnsi="宋体" w:cs="宋体"/>
                <w:szCs w:val="21"/>
              </w:rPr>
              <w:t>10</w:t>
            </w:r>
          </w:p>
        </w:tc>
        <w:tc>
          <w:tcPr>
            <w:tcW w:w="296" w:type="pct"/>
            <w:tcBorders>
              <w:top w:val="single" w:color="auto" w:sz="4" w:space="0"/>
              <w:left w:val="single" w:color="auto" w:sz="4" w:space="0"/>
              <w:bottom w:val="single" w:color="auto" w:sz="4" w:space="0"/>
              <w:right w:val="single" w:color="auto" w:sz="4" w:space="0"/>
            </w:tcBorders>
            <w:vAlign w:val="center"/>
          </w:tcPr>
          <w:p w14:paraId="52D07B80">
            <w:pPr>
              <w:jc w:val="center"/>
              <w:rPr>
                <w:rFonts w:hint="eastAsia" w:ascii="宋体" w:hAnsi="宋体" w:cs="宋体"/>
                <w:szCs w:val="21"/>
              </w:rPr>
            </w:pPr>
            <w:r>
              <w:rPr>
                <w:rFonts w:hint="eastAsia" w:ascii="宋体" w:hAnsi="宋体" w:cs="宋体"/>
                <w:szCs w:val="21"/>
              </w:rPr>
              <w:t>客观</w:t>
            </w:r>
          </w:p>
        </w:tc>
      </w:tr>
      <w:tr w14:paraId="3B4F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8" w:type="pct"/>
            <w:tcBorders>
              <w:left w:val="single" w:color="auto" w:sz="4" w:space="0"/>
              <w:bottom w:val="single" w:color="auto" w:sz="4" w:space="0"/>
              <w:right w:val="single" w:color="auto" w:sz="4" w:space="0"/>
            </w:tcBorders>
            <w:vAlign w:val="center"/>
          </w:tcPr>
          <w:p w14:paraId="6FE48E50">
            <w:pPr>
              <w:jc w:val="center"/>
              <w:rPr>
                <w:rFonts w:hint="eastAsia" w:ascii="宋体" w:hAnsi="宋体" w:cs="宋体"/>
                <w:szCs w:val="21"/>
              </w:rPr>
            </w:pPr>
            <w:r>
              <w:rPr>
                <w:rFonts w:hint="eastAsia" w:ascii="宋体" w:hAnsi="宋体" w:cs="宋体"/>
                <w:szCs w:val="21"/>
              </w:rPr>
              <w:t>4</w:t>
            </w:r>
          </w:p>
        </w:tc>
        <w:tc>
          <w:tcPr>
            <w:tcW w:w="506" w:type="pct"/>
            <w:vMerge w:val="restart"/>
            <w:tcBorders>
              <w:left w:val="single" w:color="auto" w:sz="4" w:space="0"/>
              <w:right w:val="single" w:color="auto" w:sz="4" w:space="0"/>
            </w:tcBorders>
            <w:vAlign w:val="center"/>
          </w:tcPr>
          <w:p w14:paraId="2E348B66">
            <w:pPr>
              <w:jc w:val="center"/>
              <w:rPr>
                <w:rFonts w:hint="eastAsia" w:ascii="宋体" w:hAnsi="宋体" w:cs="宋体"/>
                <w:szCs w:val="21"/>
              </w:rPr>
            </w:pPr>
          </w:p>
          <w:p w14:paraId="30D4971B">
            <w:pPr>
              <w:jc w:val="center"/>
              <w:rPr>
                <w:rFonts w:hint="eastAsia" w:ascii="宋体" w:hAnsi="宋体" w:cs="宋体"/>
                <w:szCs w:val="21"/>
              </w:rPr>
            </w:pPr>
          </w:p>
          <w:p w14:paraId="66B5B27C">
            <w:pPr>
              <w:jc w:val="center"/>
              <w:rPr>
                <w:rFonts w:hint="eastAsia" w:ascii="宋体" w:hAnsi="宋体" w:cs="宋体"/>
                <w:szCs w:val="21"/>
              </w:rPr>
            </w:pPr>
          </w:p>
          <w:p w14:paraId="638D2A6B">
            <w:pPr>
              <w:jc w:val="center"/>
              <w:rPr>
                <w:rFonts w:hint="eastAsia" w:ascii="宋体" w:hAnsi="宋体" w:cs="宋体"/>
                <w:szCs w:val="21"/>
              </w:rPr>
            </w:pPr>
          </w:p>
          <w:p w14:paraId="39A12FE0">
            <w:pPr>
              <w:jc w:val="center"/>
              <w:rPr>
                <w:rFonts w:hint="eastAsia" w:ascii="宋体" w:hAnsi="宋体" w:cs="宋体"/>
                <w:szCs w:val="21"/>
              </w:rPr>
            </w:pPr>
          </w:p>
          <w:p w14:paraId="77B67884">
            <w:pPr>
              <w:jc w:val="center"/>
              <w:rPr>
                <w:rFonts w:hint="eastAsia" w:ascii="宋体" w:hAnsi="宋体" w:cs="宋体"/>
                <w:szCs w:val="21"/>
              </w:rPr>
            </w:pPr>
          </w:p>
          <w:p w14:paraId="2E3A5F7C">
            <w:pPr>
              <w:jc w:val="center"/>
              <w:rPr>
                <w:rFonts w:hint="eastAsia" w:ascii="宋体" w:hAnsi="宋体" w:cs="宋体"/>
                <w:szCs w:val="21"/>
              </w:rPr>
            </w:pPr>
            <w:r>
              <w:rPr>
                <w:rFonts w:hint="eastAsia" w:ascii="宋体" w:hAnsi="宋体" w:cs="宋体"/>
                <w:szCs w:val="21"/>
              </w:rPr>
              <w:t>技术部分（71分）</w:t>
            </w:r>
          </w:p>
        </w:tc>
        <w:tc>
          <w:tcPr>
            <w:tcW w:w="762" w:type="pct"/>
            <w:tcBorders>
              <w:top w:val="single" w:color="auto" w:sz="4" w:space="0"/>
              <w:left w:val="single" w:color="auto" w:sz="4" w:space="0"/>
              <w:bottom w:val="single" w:color="auto" w:sz="4" w:space="0"/>
              <w:right w:val="single" w:color="auto" w:sz="4" w:space="0"/>
            </w:tcBorders>
            <w:vAlign w:val="center"/>
          </w:tcPr>
          <w:p w14:paraId="106DD185">
            <w:pPr>
              <w:rPr>
                <w:rFonts w:hint="eastAsia" w:ascii="宋体" w:hAnsi="宋体" w:cs="宋体"/>
                <w:szCs w:val="21"/>
              </w:rPr>
            </w:pPr>
            <w:r>
              <w:rPr>
                <w:rFonts w:hint="eastAsia" w:ascii="宋体" w:hAnsi="宋体" w:cs="宋体"/>
                <w:szCs w:val="21"/>
              </w:rPr>
              <w:t>项目理解和重难点分析</w:t>
            </w:r>
          </w:p>
        </w:tc>
        <w:tc>
          <w:tcPr>
            <w:tcW w:w="2883" w:type="pct"/>
            <w:tcBorders>
              <w:top w:val="single" w:color="auto" w:sz="4" w:space="0"/>
              <w:left w:val="single" w:color="auto" w:sz="4" w:space="0"/>
              <w:bottom w:val="single" w:color="auto" w:sz="4" w:space="0"/>
              <w:right w:val="single" w:color="auto" w:sz="4" w:space="0"/>
            </w:tcBorders>
            <w:vAlign w:val="center"/>
          </w:tcPr>
          <w:p w14:paraId="600B9B01">
            <w:pPr>
              <w:rPr>
                <w:rFonts w:hint="eastAsia" w:ascii="宋体" w:hAnsi="宋体" w:cs="宋体"/>
                <w:szCs w:val="21"/>
              </w:rPr>
            </w:pPr>
            <w:r>
              <w:rPr>
                <w:rFonts w:hint="eastAsia" w:ascii="宋体" w:hAnsi="宋体" w:cs="宋体"/>
                <w:szCs w:val="21"/>
              </w:rPr>
              <w:t>投标人对采购需求应有充分、准确、全面的理解，对本项目实施过程中难点有明确的认识和合理的应对方案。包括但不限于以下内容：</w:t>
            </w:r>
          </w:p>
          <w:p w14:paraId="38465E57">
            <w:pPr>
              <w:rPr>
                <w:rFonts w:hint="eastAsia" w:ascii="宋体" w:hAnsi="宋体" w:cs="宋体"/>
                <w:szCs w:val="21"/>
              </w:rPr>
            </w:pPr>
            <w:r>
              <w:rPr>
                <w:rFonts w:hint="eastAsia" w:ascii="宋体" w:hAnsi="宋体" w:cs="宋体"/>
                <w:szCs w:val="21"/>
              </w:rPr>
              <w:t>（1）项目需求理解；</w:t>
            </w:r>
          </w:p>
          <w:p w14:paraId="7E9DF56F">
            <w:pPr>
              <w:rPr>
                <w:rFonts w:hint="eastAsia" w:ascii="宋体" w:hAnsi="宋体" w:cs="宋体"/>
                <w:szCs w:val="21"/>
              </w:rPr>
            </w:pPr>
            <w:r>
              <w:rPr>
                <w:rFonts w:hint="eastAsia" w:ascii="宋体" w:hAnsi="宋体" w:cs="宋体"/>
                <w:szCs w:val="21"/>
              </w:rPr>
              <w:t>（2）对本项目实施过程中的难点分析；</w:t>
            </w:r>
          </w:p>
          <w:p w14:paraId="0CDDAE9F">
            <w:pPr>
              <w:tabs>
                <w:tab w:val="left" w:pos="567"/>
              </w:tabs>
              <w:rPr>
                <w:rFonts w:hint="eastAsia" w:ascii="宋体" w:hAnsi="宋体" w:cs="宋体"/>
                <w:szCs w:val="21"/>
              </w:rPr>
            </w:pPr>
            <w:r>
              <w:rPr>
                <w:rFonts w:hint="eastAsia" w:ascii="宋体" w:hAnsi="宋体" w:cs="宋体"/>
                <w:szCs w:val="21"/>
              </w:rPr>
              <w:t>内容详细，专门针对本项目，符合采购需求视为符合；</w:t>
            </w:r>
          </w:p>
          <w:p w14:paraId="2F80B0A7">
            <w:pPr>
              <w:tabs>
                <w:tab w:val="left" w:pos="567"/>
              </w:tabs>
              <w:rPr>
                <w:rFonts w:hint="eastAsia" w:ascii="宋体" w:hAnsi="宋体" w:cs="宋体"/>
                <w:szCs w:val="21"/>
              </w:rPr>
            </w:pPr>
            <w:r>
              <w:rPr>
                <w:rFonts w:hint="eastAsia" w:ascii="宋体" w:hAnsi="宋体" w:cs="宋体"/>
                <w:szCs w:val="21"/>
              </w:rPr>
              <w:t>内容属于通用类，非专门针对本项目，部分符合采购需求视为部分符合；</w:t>
            </w:r>
          </w:p>
          <w:p w14:paraId="7705B48E">
            <w:pPr>
              <w:tabs>
                <w:tab w:val="left" w:pos="567"/>
              </w:tabs>
              <w:rPr>
                <w:rFonts w:hint="eastAsia" w:ascii="宋体" w:hAnsi="宋体" w:cs="宋体"/>
                <w:szCs w:val="21"/>
              </w:rPr>
            </w:pPr>
            <w:r>
              <w:rPr>
                <w:rFonts w:hint="eastAsia" w:ascii="宋体" w:hAnsi="宋体" w:cs="宋体"/>
                <w:szCs w:val="21"/>
              </w:rPr>
              <w:t>内容复制粘贴采购需求，非专门针对本项目，或未提供视为不符合。</w:t>
            </w:r>
          </w:p>
          <w:p w14:paraId="30ECAD23">
            <w:pPr>
              <w:rPr>
                <w:rFonts w:hint="eastAsia" w:ascii="宋体" w:hAnsi="宋体" w:cs="宋体"/>
                <w:szCs w:val="21"/>
              </w:rPr>
            </w:pPr>
            <w:r>
              <w:rPr>
                <w:rFonts w:hint="eastAsia" w:ascii="宋体" w:hAnsi="宋体" w:cs="宋体"/>
                <w:szCs w:val="21"/>
              </w:rPr>
              <w:t>每一项符合得3分，部分符合得1分，不符合得0分；此项最高得6分</w:t>
            </w:r>
          </w:p>
        </w:tc>
        <w:tc>
          <w:tcPr>
            <w:tcW w:w="282" w:type="pct"/>
            <w:tcBorders>
              <w:top w:val="single" w:color="auto" w:sz="4" w:space="0"/>
              <w:left w:val="single" w:color="auto" w:sz="4" w:space="0"/>
              <w:bottom w:val="single" w:color="auto" w:sz="4" w:space="0"/>
              <w:right w:val="single" w:color="auto" w:sz="4" w:space="0"/>
            </w:tcBorders>
            <w:vAlign w:val="center"/>
          </w:tcPr>
          <w:p w14:paraId="02BAF3CE">
            <w:pPr>
              <w:jc w:val="center"/>
              <w:rPr>
                <w:rFonts w:hint="eastAsia" w:ascii="宋体" w:hAnsi="宋体" w:cs="宋体"/>
                <w:szCs w:val="21"/>
              </w:rPr>
            </w:pPr>
            <w:r>
              <w:rPr>
                <w:rFonts w:hint="eastAsia" w:ascii="宋体" w:hAnsi="宋体" w:cs="宋体"/>
                <w:szCs w:val="21"/>
              </w:rPr>
              <w:t>6</w:t>
            </w:r>
          </w:p>
        </w:tc>
        <w:tc>
          <w:tcPr>
            <w:tcW w:w="296" w:type="pct"/>
            <w:tcBorders>
              <w:top w:val="single" w:color="auto" w:sz="4" w:space="0"/>
              <w:left w:val="single" w:color="auto" w:sz="4" w:space="0"/>
              <w:bottom w:val="single" w:color="auto" w:sz="4" w:space="0"/>
              <w:right w:val="single" w:color="auto" w:sz="4" w:space="0"/>
            </w:tcBorders>
            <w:vAlign w:val="center"/>
          </w:tcPr>
          <w:p w14:paraId="5927E260">
            <w:pPr>
              <w:jc w:val="center"/>
              <w:rPr>
                <w:rFonts w:hint="eastAsia" w:ascii="宋体" w:hAnsi="宋体" w:cs="宋体"/>
                <w:szCs w:val="21"/>
              </w:rPr>
            </w:pPr>
          </w:p>
          <w:p w14:paraId="6A247416">
            <w:pPr>
              <w:jc w:val="center"/>
              <w:rPr>
                <w:rFonts w:hint="eastAsia" w:ascii="宋体" w:hAnsi="宋体" w:cs="宋体"/>
                <w:szCs w:val="21"/>
              </w:rPr>
            </w:pPr>
          </w:p>
          <w:p w14:paraId="13866076">
            <w:pPr>
              <w:jc w:val="center"/>
              <w:rPr>
                <w:rFonts w:hint="eastAsia" w:ascii="宋体" w:hAnsi="宋体" w:cs="宋体"/>
                <w:szCs w:val="21"/>
              </w:rPr>
            </w:pPr>
          </w:p>
          <w:p w14:paraId="252F5AFF">
            <w:pPr>
              <w:jc w:val="center"/>
              <w:rPr>
                <w:rFonts w:hint="eastAsia" w:ascii="宋体" w:hAnsi="宋体" w:cs="宋体"/>
                <w:szCs w:val="21"/>
              </w:rPr>
            </w:pPr>
          </w:p>
          <w:p w14:paraId="24C2B118">
            <w:pPr>
              <w:jc w:val="center"/>
              <w:rPr>
                <w:rFonts w:hint="eastAsia" w:ascii="宋体" w:hAnsi="宋体" w:cs="宋体"/>
                <w:szCs w:val="21"/>
              </w:rPr>
            </w:pPr>
          </w:p>
          <w:p w14:paraId="5C10B1FF">
            <w:pPr>
              <w:jc w:val="center"/>
              <w:rPr>
                <w:rFonts w:hint="eastAsia" w:ascii="宋体" w:hAnsi="宋体" w:cs="宋体"/>
                <w:szCs w:val="21"/>
              </w:rPr>
            </w:pPr>
            <w:r>
              <w:rPr>
                <w:rFonts w:hint="eastAsia" w:ascii="宋体" w:hAnsi="宋体" w:cs="宋体"/>
                <w:szCs w:val="21"/>
              </w:rPr>
              <w:t>主观</w:t>
            </w:r>
          </w:p>
          <w:p w14:paraId="07895A08">
            <w:pPr>
              <w:jc w:val="center"/>
              <w:rPr>
                <w:rFonts w:hint="eastAsia" w:ascii="宋体" w:hAnsi="宋体" w:cs="宋体"/>
                <w:szCs w:val="21"/>
              </w:rPr>
            </w:pPr>
          </w:p>
        </w:tc>
      </w:tr>
      <w:tr w14:paraId="2EE6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8" w:type="pct"/>
            <w:tcBorders>
              <w:left w:val="single" w:color="auto" w:sz="4" w:space="0"/>
              <w:right w:val="single" w:color="auto" w:sz="4" w:space="0"/>
            </w:tcBorders>
            <w:vAlign w:val="center"/>
          </w:tcPr>
          <w:p w14:paraId="7A10FCB0">
            <w:pPr>
              <w:jc w:val="center"/>
              <w:rPr>
                <w:rFonts w:hint="eastAsia" w:ascii="宋体" w:hAnsi="宋体" w:cs="宋体"/>
                <w:szCs w:val="21"/>
              </w:rPr>
            </w:pPr>
            <w:r>
              <w:rPr>
                <w:rFonts w:hint="eastAsia" w:ascii="宋体" w:hAnsi="宋体" w:cs="宋体"/>
                <w:szCs w:val="21"/>
              </w:rPr>
              <w:t>5</w:t>
            </w:r>
          </w:p>
        </w:tc>
        <w:tc>
          <w:tcPr>
            <w:tcW w:w="506" w:type="pct"/>
            <w:vMerge w:val="continue"/>
            <w:tcBorders>
              <w:left w:val="single" w:color="auto" w:sz="4" w:space="0"/>
              <w:right w:val="single" w:color="auto" w:sz="4" w:space="0"/>
            </w:tcBorders>
            <w:vAlign w:val="center"/>
          </w:tcPr>
          <w:p w14:paraId="78BAF5A7">
            <w:pPr>
              <w:jc w:val="center"/>
              <w:rPr>
                <w:rFonts w:hint="eastAsia" w:ascii="宋体" w:hAnsi="宋体" w:cs="宋体"/>
                <w:szCs w:val="21"/>
              </w:rPr>
            </w:pPr>
          </w:p>
        </w:tc>
        <w:tc>
          <w:tcPr>
            <w:tcW w:w="762" w:type="pct"/>
            <w:tcBorders>
              <w:top w:val="single" w:color="auto" w:sz="4" w:space="0"/>
              <w:left w:val="single" w:color="auto" w:sz="4" w:space="0"/>
              <w:bottom w:val="single" w:color="auto" w:sz="4" w:space="0"/>
              <w:right w:val="single" w:color="auto" w:sz="4" w:space="0"/>
            </w:tcBorders>
            <w:vAlign w:val="center"/>
          </w:tcPr>
          <w:p w14:paraId="376F027A">
            <w:pPr>
              <w:rPr>
                <w:rFonts w:hint="eastAsia" w:ascii="宋体" w:hAnsi="宋体" w:cs="宋体"/>
                <w:szCs w:val="21"/>
              </w:rPr>
            </w:pPr>
            <w:r>
              <w:rPr>
                <w:rFonts w:hint="eastAsia" w:ascii="宋体" w:hAnsi="宋体" w:cs="宋体"/>
                <w:szCs w:val="21"/>
              </w:rPr>
              <w:t>扩展服务方案</w:t>
            </w:r>
          </w:p>
        </w:tc>
        <w:tc>
          <w:tcPr>
            <w:tcW w:w="2883" w:type="pct"/>
            <w:tcBorders>
              <w:top w:val="single" w:color="auto" w:sz="4" w:space="0"/>
              <w:left w:val="single" w:color="auto" w:sz="4" w:space="0"/>
              <w:bottom w:val="single" w:color="auto" w:sz="4" w:space="0"/>
              <w:right w:val="single" w:color="auto" w:sz="4" w:space="0"/>
            </w:tcBorders>
            <w:vAlign w:val="center"/>
          </w:tcPr>
          <w:p w14:paraId="38BED112">
            <w:pPr>
              <w:rPr>
                <w:rFonts w:hint="eastAsia" w:ascii="宋体" w:hAnsi="宋体" w:cs="宋体"/>
                <w:szCs w:val="21"/>
              </w:rPr>
            </w:pPr>
            <w:r>
              <w:rPr>
                <w:rFonts w:hint="eastAsia" w:ascii="宋体" w:hAnsi="宋体" w:cs="宋体"/>
                <w:szCs w:val="21"/>
              </w:rPr>
              <w:t>投标人应结合业务系统特点阐述对采购人提供的总体服务方案，包含但不限于以下内容：</w:t>
            </w:r>
          </w:p>
          <w:p w14:paraId="0B6775B6">
            <w:pPr>
              <w:rPr>
                <w:rFonts w:hint="eastAsia" w:ascii="宋体" w:hAnsi="宋体" w:cs="宋体"/>
                <w:szCs w:val="21"/>
              </w:rPr>
            </w:pPr>
            <w:r>
              <w:rPr>
                <w:rFonts w:hint="eastAsia" w:ascii="宋体" w:hAnsi="宋体" w:cs="宋体"/>
                <w:szCs w:val="21"/>
              </w:rPr>
              <w:t>（1）提供安全服务方案；</w:t>
            </w:r>
          </w:p>
          <w:p w14:paraId="1B1B7640">
            <w:pPr>
              <w:suppressAutoHyphens/>
              <w:rPr>
                <w:rFonts w:hint="eastAsia" w:ascii="宋体" w:hAnsi="宋体" w:cs="宋体"/>
                <w:szCs w:val="21"/>
              </w:rPr>
            </w:pPr>
            <w:r>
              <w:rPr>
                <w:rFonts w:hint="eastAsia" w:ascii="宋体" w:hAnsi="宋体" w:cs="宋体"/>
                <w:szCs w:val="21"/>
              </w:rPr>
              <w:t>（2）提供安全检测监测和审计服务方案；</w:t>
            </w:r>
          </w:p>
          <w:p w14:paraId="07943265">
            <w:pPr>
              <w:rPr>
                <w:rFonts w:hint="eastAsia" w:ascii="宋体" w:hAnsi="宋体" w:cs="宋体"/>
                <w:szCs w:val="21"/>
              </w:rPr>
            </w:pPr>
            <w:r>
              <w:rPr>
                <w:rFonts w:hint="eastAsia" w:ascii="宋体" w:hAnsi="宋体" w:cs="宋体"/>
                <w:szCs w:val="21"/>
              </w:rPr>
              <w:t>（3）提供密码服务方案；</w:t>
            </w:r>
          </w:p>
          <w:p w14:paraId="5B5E088F">
            <w:pPr>
              <w:rPr>
                <w:rFonts w:hint="eastAsia" w:ascii="宋体" w:hAnsi="宋体" w:cs="宋体"/>
                <w:szCs w:val="21"/>
              </w:rPr>
            </w:pPr>
            <w:r>
              <w:rPr>
                <w:rFonts w:hint="eastAsia" w:ascii="宋体" w:hAnsi="宋体" w:cs="宋体"/>
                <w:szCs w:val="21"/>
              </w:rPr>
              <w:t>每一项符合得4分，部分符合得1分，不符合得0分；此项最高得</w:t>
            </w:r>
            <w:r>
              <w:rPr>
                <w:rFonts w:hint="eastAsia" w:ascii="宋体" w:hAnsi="宋体" w:cs="宋体"/>
                <w:szCs w:val="21"/>
                <w:lang w:val="en-US" w:eastAsia="zh-CN"/>
              </w:rPr>
              <w:t>12</w:t>
            </w:r>
            <w:r>
              <w:rPr>
                <w:rFonts w:hint="eastAsia" w:ascii="宋体" w:hAnsi="宋体" w:cs="宋体"/>
                <w:szCs w:val="21"/>
              </w:rPr>
              <w:t>分。</w:t>
            </w:r>
          </w:p>
          <w:p w14:paraId="417B34CF">
            <w:pPr>
              <w:tabs>
                <w:tab w:val="left" w:pos="567"/>
              </w:tabs>
              <w:rPr>
                <w:rFonts w:hint="eastAsia" w:ascii="宋体" w:hAnsi="宋体" w:cs="宋体"/>
                <w:szCs w:val="21"/>
              </w:rPr>
            </w:pPr>
            <w:r>
              <w:rPr>
                <w:rFonts w:hint="eastAsia" w:ascii="宋体" w:hAnsi="宋体" w:cs="宋体"/>
                <w:szCs w:val="21"/>
              </w:rPr>
              <w:t>方案内容详细，专门针对本项目，符合采购需求视为符合；</w:t>
            </w:r>
          </w:p>
          <w:p w14:paraId="2EA5C164">
            <w:pPr>
              <w:tabs>
                <w:tab w:val="left" w:pos="567"/>
              </w:tabs>
              <w:rPr>
                <w:rFonts w:hint="eastAsia" w:ascii="宋体" w:hAnsi="宋体" w:cs="宋体"/>
                <w:szCs w:val="21"/>
              </w:rPr>
            </w:pPr>
            <w:r>
              <w:rPr>
                <w:rFonts w:hint="eastAsia" w:ascii="宋体" w:hAnsi="宋体" w:cs="宋体"/>
                <w:szCs w:val="21"/>
              </w:rPr>
              <w:t>方案内容属于通用类，非专门针对本项目，部分符合采购需求视为部分符合；</w:t>
            </w:r>
          </w:p>
          <w:p w14:paraId="27F8EB27">
            <w:pPr>
              <w:tabs>
                <w:tab w:val="left" w:pos="567"/>
              </w:tabs>
              <w:rPr>
                <w:rFonts w:hint="eastAsia" w:ascii="宋体" w:hAnsi="宋体" w:cs="宋体"/>
                <w:szCs w:val="21"/>
              </w:rPr>
            </w:pPr>
            <w:r>
              <w:rPr>
                <w:rFonts w:hint="eastAsia" w:ascii="宋体" w:hAnsi="宋体" w:cs="宋体"/>
                <w:szCs w:val="21"/>
              </w:rPr>
              <w:t>方案内容复制粘贴采购需求，非专门针对本项目，或未提供视为不符合。</w:t>
            </w:r>
          </w:p>
        </w:tc>
        <w:tc>
          <w:tcPr>
            <w:tcW w:w="282" w:type="pct"/>
            <w:tcBorders>
              <w:top w:val="single" w:color="auto" w:sz="4" w:space="0"/>
              <w:left w:val="single" w:color="auto" w:sz="4" w:space="0"/>
              <w:bottom w:val="single" w:color="auto" w:sz="4" w:space="0"/>
              <w:right w:val="single" w:color="auto" w:sz="4" w:space="0"/>
            </w:tcBorders>
            <w:vAlign w:val="center"/>
          </w:tcPr>
          <w:p w14:paraId="3078F656">
            <w:pPr>
              <w:jc w:val="center"/>
              <w:rPr>
                <w:rFonts w:hint="eastAsia" w:ascii="宋体" w:hAnsi="宋体" w:cs="宋体"/>
                <w:szCs w:val="21"/>
              </w:rPr>
            </w:pPr>
            <w:r>
              <w:rPr>
                <w:rFonts w:hint="eastAsia" w:ascii="宋体" w:hAnsi="宋体" w:cs="宋体"/>
                <w:szCs w:val="21"/>
              </w:rPr>
              <w:t>12</w:t>
            </w:r>
          </w:p>
        </w:tc>
        <w:tc>
          <w:tcPr>
            <w:tcW w:w="296" w:type="pct"/>
            <w:tcBorders>
              <w:top w:val="single" w:color="auto" w:sz="4" w:space="0"/>
              <w:left w:val="single" w:color="auto" w:sz="4" w:space="0"/>
              <w:bottom w:val="single" w:color="auto" w:sz="4" w:space="0"/>
              <w:right w:val="single" w:color="auto" w:sz="4" w:space="0"/>
            </w:tcBorders>
            <w:vAlign w:val="center"/>
          </w:tcPr>
          <w:p w14:paraId="2B8F0DBF">
            <w:pPr>
              <w:jc w:val="center"/>
              <w:rPr>
                <w:rFonts w:hint="eastAsia" w:ascii="宋体" w:hAnsi="宋体" w:cs="宋体"/>
                <w:szCs w:val="21"/>
              </w:rPr>
            </w:pPr>
          </w:p>
          <w:p w14:paraId="2A0F1D53">
            <w:pPr>
              <w:jc w:val="center"/>
              <w:rPr>
                <w:rFonts w:hint="eastAsia" w:ascii="宋体" w:hAnsi="宋体" w:cs="宋体"/>
                <w:szCs w:val="21"/>
              </w:rPr>
            </w:pPr>
            <w:r>
              <w:rPr>
                <w:rFonts w:hint="eastAsia" w:ascii="宋体" w:hAnsi="宋体" w:cs="宋体"/>
                <w:szCs w:val="21"/>
              </w:rPr>
              <w:t>主观</w:t>
            </w:r>
          </w:p>
          <w:p w14:paraId="20E4B0D4">
            <w:pPr>
              <w:jc w:val="center"/>
              <w:rPr>
                <w:rFonts w:hint="eastAsia" w:ascii="宋体" w:hAnsi="宋体" w:cs="宋体"/>
                <w:szCs w:val="21"/>
              </w:rPr>
            </w:pPr>
          </w:p>
          <w:p w14:paraId="006066EC">
            <w:pPr>
              <w:jc w:val="center"/>
              <w:rPr>
                <w:rFonts w:hint="eastAsia" w:ascii="宋体" w:hAnsi="宋体" w:cs="宋体"/>
                <w:szCs w:val="21"/>
              </w:rPr>
            </w:pPr>
          </w:p>
          <w:p w14:paraId="0D591E2A">
            <w:pPr>
              <w:jc w:val="center"/>
              <w:rPr>
                <w:rFonts w:hint="eastAsia" w:ascii="宋体" w:hAnsi="宋体" w:cs="宋体"/>
                <w:szCs w:val="21"/>
              </w:rPr>
            </w:pPr>
          </w:p>
        </w:tc>
      </w:tr>
      <w:tr w14:paraId="33F5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8" w:type="pct"/>
            <w:tcBorders>
              <w:left w:val="single" w:color="auto" w:sz="4" w:space="0"/>
              <w:right w:val="single" w:color="auto" w:sz="4" w:space="0"/>
            </w:tcBorders>
            <w:vAlign w:val="center"/>
          </w:tcPr>
          <w:p w14:paraId="6C49302B">
            <w:pPr>
              <w:jc w:val="center"/>
              <w:rPr>
                <w:rFonts w:hint="eastAsia" w:ascii="宋体" w:hAnsi="宋体" w:cs="宋体"/>
                <w:szCs w:val="21"/>
              </w:rPr>
            </w:pPr>
            <w:r>
              <w:rPr>
                <w:rFonts w:hint="eastAsia" w:ascii="宋体" w:hAnsi="宋体" w:cs="宋体"/>
                <w:szCs w:val="21"/>
              </w:rPr>
              <w:t>6</w:t>
            </w:r>
          </w:p>
        </w:tc>
        <w:tc>
          <w:tcPr>
            <w:tcW w:w="506" w:type="pct"/>
            <w:vMerge w:val="continue"/>
            <w:tcBorders>
              <w:left w:val="single" w:color="auto" w:sz="4" w:space="0"/>
              <w:right w:val="single" w:color="auto" w:sz="4" w:space="0"/>
            </w:tcBorders>
            <w:vAlign w:val="center"/>
          </w:tcPr>
          <w:p w14:paraId="4EC9D409">
            <w:pPr>
              <w:jc w:val="center"/>
              <w:rPr>
                <w:rFonts w:hint="eastAsia" w:ascii="宋体" w:hAnsi="宋体" w:cs="宋体"/>
                <w:szCs w:val="21"/>
              </w:rPr>
            </w:pPr>
          </w:p>
        </w:tc>
        <w:tc>
          <w:tcPr>
            <w:tcW w:w="762" w:type="pct"/>
            <w:tcBorders>
              <w:top w:val="single" w:color="auto" w:sz="4" w:space="0"/>
              <w:left w:val="single" w:color="auto" w:sz="4" w:space="0"/>
              <w:right w:val="single" w:color="auto" w:sz="4" w:space="0"/>
            </w:tcBorders>
            <w:vAlign w:val="center"/>
          </w:tcPr>
          <w:p w14:paraId="2FD84532">
            <w:pPr>
              <w:rPr>
                <w:rFonts w:hint="eastAsia" w:ascii="宋体" w:hAnsi="宋体" w:cs="宋体"/>
                <w:szCs w:val="21"/>
              </w:rPr>
            </w:pPr>
            <w:r>
              <w:rPr>
                <w:rFonts w:hint="eastAsia" w:ascii="宋体" w:hAnsi="宋体" w:cs="宋体"/>
                <w:szCs w:val="21"/>
              </w:rPr>
              <w:t>安全服务方案</w:t>
            </w:r>
          </w:p>
        </w:tc>
        <w:tc>
          <w:tcPr>
            <w:tcW w:w="2883" w:type="pct"/>
            <w:tcBorders>
              <w:top w:val="single" w:color="auto" w:sz="4" w:space="0"/>
              <w:left w:val="single" w:color="auto" w:sz="4" w:space="0"/>
              <w:bottom w:val="single" w:color="auto" w:sz="4" w:space="0"/>
              <w:right w:val="single" w:color="auto" w:sz="4" w:space="0"/>
            </w:tcBorders>
            <w:vAlign w:val="center"/>
          </w:tcPr>
          <w:p w14:paraId="16E36689">
            <w:pPr>
              <w:rPr>
                <w:rFonts w:hint="eastAsia" w:ascii="宋体" w:hAnsi="宋体" w:cs="宋体"/>
                <w:szCs w:val="21"/>
              </w:rPr>
            </w:pPr>
            <w:r>
              <w:rPr>
                <w:rFonts w:hint="eastAsia" w:ascii="宋体" w:hAnsi="宋体" w:cs="宋体"/>
                <w:szCs w:val="21"/>
              </w:rPr>
              <w:t>阐述对采购人提供的安全服务方案，包含但不限于以下内容：</w:t>
            </w:r>
          </w:p>
          <w:p w14:paraId="2CE1414E">
            <w:pPr>
              <w:rPr>
                <w:rFonts w:hint="eastAsia" w:ascii="宋体" w:hAnsi="宋体" w:cs="宋体"/>
                <w:szCs w:val="21"/>
              </w:rPr>
            </w:pPr>
            <w:r>
              <w:rPr>
                <w:rFonts w:hint="eastAsia" w:ascii="宋体" w:hAnsi="宋体" w:cs="宋体"/>
                <w:szCs w:val="21"/>
              </w:rPr>
              <w:t>（1）云服务安全防护体系；</w:t>
            </w:r>
          </w:p>
          <w:p w14:paraId="58931544">
            <w:pPr>
              <w:rPr>
                <w:rFonts w:hint="eastAsia" w:ascii="宋体" w:hAnsi="宋体" w:cs="宋体"/>
                <w:szCs w:val="21"/>
              </w:rPr>
            </w:pPr>
            <w:r>
              <w:rPr>
                <w:rFonts w:hint="eastAsia" w:ascii="宋体" w:hAnsi="宋体" w:cs="宋体"/>
                <w:szCs w:val="21"/>
              </w:rPr>
              <w:t>（2）政务云安全设计方案；</w:t>
            </w:r>
          </w:p>
          <w:p w14:paraId="1DA3B9EE">
            <w:pPr>
              <w:rPr>
                <w:rFonts w:hint="eastAsia" w:ascii="宋体" w:hAnsi="宋体" w:cs="宋体"/>
                <w:szCs w:val="21"/>
              </w:rPr>
            </w:pPr>
            <w:r>
              <w:rPr>
                <w:rFonts w:hint="eastAsia" w:ascii="宋体" w:hAnsi="宋体" w:cs="宋体"/>
                <w:szCs w:val="21"/>
              </w:rPr>
              <w:t>（3）安全技术保障措施；</w:t>
            </w:r>
          </w:p>
          <w:p w14:paraId="2D20AC57">
            <w:pPr>
              <w:rPr>
                <w:rFonts w:hint="eastAsia" w:ascii="宋体" w:hAnsi="宋体" w:cs="宋体"/>
                <w:szCs w:val="21"/>
              </w:rPr>
            </w:pPr>
            <w:r>
              <w:rPr>
                <w:rFonts w:hint="eastAsia" w:ascii="宋体" w:hAnsi="宋体" w:cs="宋体"/>
                <w:szCs w:val="21"/>
              </w:rPr>
              <w:t>内容详细，专门针对本项目，符合采购需求视为符合；</w:t>
            </w:r>
          </w:p>
          <w:p w14:paraId="59804704">
            <w:pPr>
              <w:rPr>
                <w:rFonts w:hint="eastAsia" w:ascii="宋体" w:hAnsi="宋体" w:cs="宋体"/>
                <w:szCs w:val="21"/>
              </w:rPr>
            </w:pPr>
            <w:r>
              <w:rPr>
                <w:rFonts w:hint="eastAsia" w:ascii="宋体" w:hAnsi="宋体" w:cs="宋体"/>
                <w:szCs w:val="21"/>
              </w:rPr>
              <w:t>内容属于通用类，非专门针对本项目，部分符合采购需求视为部分符合；</w:t>
            </w:r>
          </w:p>
          <w:p w14:paraId="2931543F">
            <w:pPr>
              <w:rPr>
                <w:rFonts w:hint="eastAsia" w:ascii="宋体" w:hAnsi="宋体" w:cs="宋体"/>
                <w:szCs w:val="21"/>
              </w:rPr>
            </w:pPr>
            <w:r>
              <w:rPr>
                <w:rFonts w:hint="eastAsia" w:ascii="宋体" w:hAnsi="宋体" w:cs="宋体"/>
                <w:szCs w:val="21"/>
              </w:rPr>
              <w:t>内容复制粘贴采购需求，非专门针对本项目，或未提供视为不符合。</w:t>
            </w:r>
          </w:p>
          <w:p w14:paraId="6479CF06">
            <w:pPr>
              <w:rPr>
                <w:rFonts w:hint="eastAsia" w:ascii="宋体" w:hAnsi="宋体" w:cs="宋体"/>
                <w:szCs w:val="21"/>
              </w:rPr>
            </w:pPr>
            <w:r>
              <w:rPr>
                <w:rFonts w:hint="eastAsia" w:ascii="宋体" w:hAnsi="宋体" w:cs="宋体"/>
                <w:szCs w:val="21"/>
              </w:rPr>
              <w:t>每一项符合得3分，部分符合得1分，不符合得0分；此项最高得9分</w:t>
            </w:r>
          </w:p>
        </w:tc>
        <w:tc>
          <w:tcPr>
            <w:tcW w:w="282" w:type="pct"/>
            <w:tcBorders>
              <w:top w:val="single" w:color="auto" w:sz="4" w:space="0"/>
              <w:left w:val="single" w:color="auto" w:sz="4" w:space="0"/>
              <w:bottom w:val="single" w:color="auto" w:sz="4" w:space="0"/>
              <w:right w:val="single" w:color="auto" w:sz="4" w:space="0"/>
            </w:tcBorders>
            <w:vAlign w:val="center"/>
          </w:tcPr>
          <w:p w14:paraId="300806BA">
            <w:pPr>
              <w:jc w:val="center"/>
              <w:rPr>
                <w:rFonts w:hint="eastAsia" w:ascii="宋体" w:hAnsi="宋体" w:cs="宋体"/>
                <w:szCs w:val="21"/>
              </w:rPr>
            </w:pPr>
            <w:r>
              <w:rPr>
                <w:rFonts w:hint="eastAsia" w:ascii="宋体" w:hAnsi="宋体" w:cs="宋体"/>
                <w:szCs w:val="21"/>
              </w:rPr>
              <w:t>9</w:t>
            </w:r>
          </w:p>
        </w:tc>
        <w:tc>
          <w:tcPr>
            <w:tcW w:w="296" w:type="pct"/>
            <w:tcBorders>
              <w:top w:val="single" w:color="auto" w:sz="4" w:space="0"/>
              <w:left w:val="single" w:color="auto" w:sz="4" w:space="0"/>
              <w:bottom w:val="single" w:color="auto" w:sz="4" w:space="0"/>
              <w:right w:val="single" w:color="auto" w:sz="4" w:space="0"/>
            </w:tcBorders>
            <w:vAlign w:val="center"/>
          </w:tcPr>
          <w:p w14:paraId="3EF6D67A">
            <w:pPr>
              <w:jc w:val="center"/>
              <w:rPr>
                <w:rFonts w:hint="eastAsia" w:ascii="宋体" w:hAnsi="宋体" w:cs="宋体"/>
                <w:szCs w:val="21"/>
              </w:rPr>
            </w:pPr>
          </w:p>
          <w:p w14:paraId="1E8ED60C">
            <w:pPr>
              <w:jc w:val="center"/>
              <w:rPr>
                <w:rFonts w:hint="eastAsia" w:ascii="宋体" w:hAnsi="宋体" w:cs="宋体"/>
                <w:szCs w:val="21"/>
              </w:rPr>
            </w:pPr>
            <w:r>
              <w:rPr>
                <w:rFonts w:hint="eastAsia" w:ascii="宋体" w:hAnsi="宋体" w:cs="宋体"/>
                <w:szCs w:val="21"/>
              </w:rPr>
              <w:t>主观</w:t>
            </w:r>
          </w:p>
          <w:p w14:paraId="68B64806">
            <w:pPr>
              <w:jc w:val="center"/>
              <w:rPr>
                <w:rFonts w:hint="eastAsia" w:ascii="宋体" w:hAnsi="宋体" w:cs="宋体"/>
                <w:szCs w:val="21"/>
              </w:rPr>
            </w:pPr>
          </w:p>
        </w:tc>
      </w:tr>
      <w:tr w14:paraId="50DB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8" w:type="pct"/>
            <w:tcBorders>
              <w:left w:val="single" w:color="auto" w:sz="4" w:space="0"/>
              <w:right w:val="single" w:color="auto" w:sz="4" w:space="0"/>
            </w:tcBorders>
            <w:vAlign w:val="center"/>
          </w:tcPr>
          <w:p w14:paraId="7EA45906">
            <w:pPr>
              <w:jc w:val="center"/>
              <w:rPr>
                <w:rFonts w:hint="eastAsia" w:ascii="宋体" w:hAnsi="宋体" w:cs="宋体"/>
                <w:szCs w:val="21"/>
              </w:rPr>
            </w:pPr>
            <w:r>
              <w:rPr>
                <w:rFonts w:hint="eastAsia" w:ascii="宋体" w:hAnsi="宋体" w:cs="宋体"/>
                <w:szCs w:val="21"/>
              </w:rPr>
              <w:t>7</w:t>
            </w:r>
          </w:p>
        </w:tc>
        <w:tc>
          <w:tcPr>
            <w:tcW w:w="506" w:type="pct"/>
            <w:vMerge w:val="continue"/>
            <w:tcBorders>
              <w:left w:val="single" w:color="auto" w:sz="4" w:space="0"/>
              <w:right w:val="single" w:color="auto" w:sz="4" w:space="0"/>
            </w:tcBorders>
            <w:vAlign w:val="center"/>
          </w:tcPr>
          <w:p w14:paraId="01F83C5C">
            <w:pPr>
              <w:jc w:val="center"/>
              <w:rPr>
                <w:rFonts w:hint="eastAsia" w:ascii="宋体" w:hAnsi="宋体" w:cs="宋体"/>
                <w:szCs w:val="21"/>
              </w:rPr>
            </w:pPr>
          </w:p>
        </w:tc>
        <w:tc>
          <w:tcPr>
            <w:tcW w:w="762" w:type="pct"/>
            <w:vMerge w:val="restart"/>
            <w:tcBorders>
              <w:top w:val="single" w:color="auto" w:sz="4" w:space="0"/>
              <w:left w:val="single" w:color="auto" w:sz="4" w:space="0"/>
              <w:right w:val="single" w:color="auto" w:sz="4" w:space="0"/>
            </w:tcBorders>
            <w:vAlign w:val="center"/>
          </w:tcPr>
          <w:p w14:paraId="2B304E98">
            <w:pPr>
              <w:rPr>
                <w:rFonts w:hint="eastAsia" w:ascii="宋体" w:hAnsi="宋体" w:cs="宋体"/>
                <w:szCs w:val="21"/>
              </w:rPr>
            </w:pPr>
            <w:r>
              <w:rPr>
                <w:rFonts w:hint="eastAsia" w:ascii="宋体" w:hAnsi="宋体" w:cs="宋体"/>
                <w:szCs w:val="21"/>
              </w:rPr>
              <w:t>业务连续性服务方案及时间</w:t>
            </w:r>
          </w:p>
        </w:tc>
        <w:tc>
          <w:tcPr>
            <w:tcW w:w="2883" w:type="pct"/>
            <w:tcBorders>
              <w:top w:val="single" w:color="auto" w:sz="4" w:space="0"/>
              <w:left w:val="single" w:color="auto" w:sz="4" w:space="0"/>
              <w:bottom w:val="single" w:color="auto" w:sz="4" w:space="0"/>
              <w:right w:val="single" w:color="auto" w:sz="4" w:space="0"/>
            </w:tcBorders>
            <w:vAlign w:val="center"/>
          </w:tcPr>
          <w:p w14:paraId="7743E766">
            <w:pPr>
              <w:widowControl/>
              <w:rPr>
                <w:rFonts w:hint="eastAsia" w:ascii="宋体" w:hAnsi="宋体" w:cs="宋体"/>
                <w:szCs w:val="21"/>
              </w:rPr>
            </w:pPr>
            <w:r>
              <w:rPr>
                <w:rFonts w:hint="eastAsia" w:ascii="宋体" w:hAnsi="宋体" w:cs="宋体"/>
                <w:color w:val="000000"/>
                <w:kern w:val="0"/>
                <w:szCs w:val="21"/>
                <w:lang w:bidi="ar"/>
              </w:rPr>
              <w:t>业务连续性服务方案：</w:t>
            </w:r>
          </w:p>
          <w:p w14:paraId="03111E28">
            <w:pPr>
              <w:widowControl/>
              <w:rPr>
                <w:rFonts w:hint="eastAsia" w:ascii="宋体" w:hAnsi="宋体" w:cs="宋体"/>
                <w:szCs w:val="21"/>
              </w:rPr>
            </w:pPr>
            <w:r>
              <w:rPr>
                <w:rFonts w:hint="eastAsia" w:ascii="宋体" w:hAnsi="宋体" w:cs="宋体"/>
                <w:color w:val="000000"/>
                <w:kern w:val="0"/>
                <w:szCs w:val="21"/>
                <w:lang w:bidi="ar"/>
              </w:rPr>
              <w:t>方案完整合理、内容详细，专门针对本项目，符合采购需求视为符合；内容属于通用类，非专门针对本项目，部分符合采购需求视为部分符合；内容对采购需求进行简单复制、非专门针对本项目，或未提供视为不符合。</w:t>
            </w:r>
          </w:p>
          <w:p w14:paraId="42BE9FCD">
            <w:pPr>
              <w:widowControl/>
              <w:rPr>
                <w:rFonts w:hint="eastAsia" w:ascii="宋体" w:hAnsi="宋体" w:cs="宋体"/>
                <w:color w:val="000000"/>
                <w:kern w:val="0"/>
                <w:szCs w:val="21"/>
                <w:lang w:bidi="ar"/>
              </w:rPr>
            </w:pPr>
            <w:r>
              <w:rPr>
                <w:rFonts w:hint="eastAsia" w:ascii="宋体" w:hAnsi="宋体" w:cs="宋体"/>
                <w:color w:val="000000"/>
                <w:kern w:val="0"/>
                <w:szCs w:val="21"/>
                <w:lang w:bidi="ar"/>
              </w:rPr>
              <w:t xml:space="preserve">符合得 </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分，部分符合得 1分，不符合不得分。</w:t>
            </w:r>
          </w:p>
        </w:tc>
        <w:tc>
          <w:tcPr>
            <w:tcW w:w="282" w:type="pct"/>
            <w:tcBorders>
              <w:top w:val="single" w:color="auto" w:sz="4" w:space="0"/>
              <w:left w:val="single" w:color="auto" w:sz="4" w:space="0"/>
              <w:bottom w:val="single" w:color="auto" w:sz="4" w:space="0"/>
              <w:right w:val="single" w:color="auto" w:sz="4" w:space="0"/>
            </w:tcBorders>
            <w:vAlign w:val="center"/>
          </w:tcPr>
          <w:p w14:paraId="260548F4">
            <w:pPr>
              <w:widowControl/>
              <w:snapToGrid w:val="0"/>
              <w:jc w:val="center"/>
              <w:rPr>
                <w:rFonts w:hint="eastAsia" w:ascii="宋体" w:hAnsi="宋体" w:cs="宋体"/>
                <w:szCs w:val="21"/>
              </w:rPr>
            </w:pPr>
            <w:r>
              <w:rPr>
                <w:rFonts w:hint="eastAsia" w:ascii="宋体" w:hAnsi="宋体" w:cs="宋体"/>
                <w:szCs w:val="21"/>
              </w:rPr>
              <w:t>5</w:t>
            </w:r>
          </w:p>
        </w:tc>
        <w:tc>
          <w:tcPr>
            <w:tcW w:w="296" w:type="pct"/>
            <w:tcBorders>
              <w:top w:val="single" w:color="auto" w:sz="4" w:space="0"/>
              <w:left w:val="single" w:color="auto" w:sz="4" w:space="0"/>
              <w:bottom w:val="single" w:color="auto" w:sz="4" w:space="0"/>
              <w:right w:val="single" w:color="auto" w:sz="4" w:space="0"/>
            </w:tcBorders>
            <w:vAlign w:val="center"/>
          </w:tcPr>
          <w:p w14:paraId="33CC7C14">
            <w:pPr>
              <w:jc w:val="center"/>
              <w:rPr>
                <w:rFonts w:hint="eastAsia" w:ascii="宋体" w:hAnsi="宋体" w:cs="宋体"/>
                <w:szCs w:val="21"/>
              </w:rPr>
            </w:pPr>
          </w:p>
          <w:p w14:paraId="46C0D106">
            <w:pPr>
              <w:jc w:val="center"/>
              <w:rPr>
                <w:rFonts w:hint="eastAsia" w:ascii="宋体" w:hAnsi="宋体" w:cs="宋体"/>
                <w:szCs w:val="21"/>
              </w:rPr>
            </w:pPr>
            <w:r>
              <w:rPr>
                <w:rFonts w:hint="eastAsia" w:ascii="宋体" w:hAnsi="宋体" w:cs="宋体"/>
                <w:szCs w:val="21"/>
              </w:rPr>
              <w:t>主观</w:t>
            </w:r>
          </w:p>
          <w:p w14:paraId="6E1FB123">
            <w:pPr>
              <w:widowControl/>
              <w:snapToGrid w:val="0"/>
              <w:jc w:val="center"/>
              <w:rPr>
                <w:rFonts w:hint="eastAsia" w:ascii="宋体" w:hAnsi="宋体" w:cs="宋体"/>
                <w:szCs w:val="21"/>
              </w:rPr>
            </w:pPr>
          </w:p>
        </w:tc>
      </w:tr>
      <w:tr w14:paraId="0FA7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8" w:type="pct"/>
            <w:tcBorders>
              <w:left w:val="single" w:color="auto" w:sz="4" w:space="0"/>
              <w:right w:val="single" w:color="auto" w:sz="4" w:space="0"/>
            </w:tcBorders>
            <w:vAlign w:val="center"/>
          </w:tcPr>
          <w:p w14:paraId="104BD6DD">
            <w:pPr>
              <w:jc w:val="center"/>
              <w:rPr>
                <w:rFonts w:hint="eastAsia" w:ascii="宋体" w:hAnsi="宋体" w:cs="宋体"/>
                <w:szCs w:val="21"/>
              </w:rPr>
            </w:pPr>
            <w:r>
              <w:rPr>
                <w:rFonts w:hint="eastAsia" w:ascii="宋体" w:hAnsi="宋体" w:cs="宋体"/>
                <w:szCs w:val="21"/>
              </w:rPr>
              <w:t>8</w:t>
            </w:r>
          </w:p>
        </w:tc>
        <w:tc>
          <w:tcPr>
            <w:tcW w:w="506" w:type="pct"/>
            <w:vMerge w:val="continue"/>
            <w:tcBorders>
              <w:left w:val="single" w:color="auto" w:sz="4" w:space="0"/>
              <w:right w:val="single" w:color="auto" w:sz="4" w:space="0"/>
            </w:tcBorders>
            <w:vAlign w:val="center"/>
          </w:tcPr>
          <w:p w14:paraId="487E9FB8">
            <w:pPr>
              <w:jc w:val="center"/>
              <w:rPr>
                <w:rFonts w:hint="eastAsia" w:ascii="宋体" w:hAnsi="宋体" w:cs="宋体"/>
                <w:szCs w:val="21"/>
              </w:rPr>
            </w:pPr>
          </w:p>
        </w:tc>
        <w:tc>
          <w:tcPr>
            <w:tcW w:w="762" w:type="pct"/>
            <w:vMerge w:val="continue"/>
            <w:tcBorders>
              <w:left w:val="single" w:color="auto" w:sz="4" w:space="0"/>
              <w:right w:val="single" w:color="auto" w:sz="4" w:space="0"/>
            </w:tcBorders>
            <w:vAlign w:val="center"/>
          </w:tcPr>
          <w:p w14:paraId="3CC241F7">
            <w:pPr>
              <w:rPr>
                <w:rFonts w:hint="eastAsia" w:ascii="宋体" w:hAnsi="宋体" w:cs="宋体"/>
                <w:szCs w:val="21"/>
              </w:rPr>
            </w:pPr>
          </w:p>
        </w:tc>
        <w:tc>
          <w:tcPr>
            <w:tcW w:w="2883" w:type="pct"/>
            <w:tcBorders>
              <w:top w:val="single" w:color="auto" w:sz="4" w:space="0"/>
              <w:left w:val="single" w:color="auto" w:sz="4" w:space="0"/>
              <w:right w:val="single" w:color="auto" w:sz="4" w:space="0"/>
            </w:tcBorders>
            <w:vAlign w:val="center"/>
          </w:tcPr>
          <w:p w14:paraId="03697EB2">
            <w:pPr>
              <w:widowControl/>
              <w:rPr>
                <w:rFonts w:hint="eastAsia" w:ascii="宋体" w:hAnsi="宋体" w:cs="宋体"/>
                <w:szCs w:val="21"/>
              </w:rPr>
            </w:pPr>
            <w:r>
              <w:rPr>
                <w:rFonts w:hint="eastAsia" w:ascii="宋体" w:hAnsi="宋体" w:cs="宋体"/>
                <w:szCs w:val="21"/>
              </w:rPr>
              <w:t>投标人明确服务部署/迁移所需时间，并针对所需时间提供承诺函（加盖投标人公章）:</w:t>
            </w:r>
          </w:p>
          <w:p w14:paraId="012E1D9A">
            <w:pPr>
              <w:rPr>
                <w:rFonts w:hint="eastAsia" w:ascii="宋体" w:hAnsi="宋体" w:cs="宋体"/>
                <w:szCs w:val="21"/>
              </w:rPr>
            </w:pPr>
            <w:r>
              <w:rPr>
                <w:rFonts w:hint="eastAsia" w:ascii="宋体" w:hAnsi="宋体" w:cs="宋体"/>
                <w:szCs w:val="21"/>
              </w:rPr>
              <w:t>（1）确保系统迁移部署上线时间在7个工作日（含）以内的，得8分；</w:t>
            </w:r>
          </w:p>
          <w:p w14:paraId="6132537E">
            <w:pPr>
              <w:rPr>
                <w:rFonts w:hint="eastAsia" w:ascii="宋体" w:hAnsi="宋体" w:cs="宋体"/>
                <w:szCs w:val="21"/>
              </w:rPr>
            </w:pPr>
            <w:r>
              <w:rPr>
                <w:rFonts w:hint="eastAsia" w:ascii="宋体" w:hAnsi="宋体" w:cs="宋体"/>
                <w:szCs w:val="21"/>
              </w:rPr>
              <w:t>（2）确保系统迁移过程中，迁移部署上线时间在8-10个工作日以内（含），得6分；</w:t>
            </w:r>
          </w:p>
          <w:p w14:paraId="62B9EB9A">
            <w:pPr>
              <w:rPr>
                <w:rFonts w:hint="eastAsia" w:ascii="宋体" w:hAnsi="宋体" w:cs="宋体"/>
                <w:szCs w:val="21"/>
              </w:rPr>
            </w:pPr>
            <w:r>
              <w:rPr>
                <w:rFonts w:hint="eastAsia" w:ascii="宋体" w:hAnsi="宋体" w:cs="宋体"/>
                <w:szCs w:val="21"/>
              </w:rPr>
              <w:t>（3）确保在系统迁移过程中，迁移部署上线时间在11-12个工作日以内（含），得4分；</w:t>
            </w:r>
          </w:p>
          <w:p w14:paraId="11906EA8">
            <w:pPr>
              <w:rPr>
                <w:rFonts w:hint="eastAsia" w:ascii="宋体" w:hAnsi="宋体" w:cs="宋体"/>
                <w:szCs w:val="21"/>
              </w:rPr>
            </w:pPr>
            <w:r>
              <w:rPr>
                <w:rFonts w:hint="eastAsia" w:ascii="宋体" w:hAnsi="宋体" w:cs="宋体"/>
                <w:szCs w:val="21"/>
              </w:rPr>
              <w:t>（4）确保在系统迁移过程中，迁移部署上线时间在13-14个工作日以内（含），得2分；</w:t>
            </w:r>
          </w:p>
          <w:p w14:paraId="6CF1D23C">
            <w:pPr>
              <w:widowControl/>
              <w:rPr>
                <w:rFonts w:hint="eastAsia" w:ascii="宋体" w:hAnsi="宋体" w:cs="宋体"/>
                <w:color w:val="000000"/>
                <w:kern w:val="0"/>
                <w:szCs w:val="21"/>
                <w:lang w:bidi="ar"/>
              </w:rPr>
            </w:pPr>
            <w:r>
              <w:rPr>
                <w:rFonts w:hint="eastAsia" w:ascii="宋体" w:hAnsi="宋体" w:cs="宋体"/>
                <w:szCs w:val="21"/>
              </w:rPr>
              <w:t>（5）投标人在系统迁移过程中迁移部署上线时间超过15个工作日，得0分。</w:t>
            </w:r>
          </w:p>
        </w:tc>
        <w:tc>
          <w:tcPr>
            <w:tcW w:w="282" w:type="pct"/>
            <w:tcBorders>
              <w:top w:val="single" w:color="auto" w:sz="4" w:space="0"/>
              <w:left w:val="single" w:color="auto" w:sz="4" w:space="0"/>
              <w:right w:val="single" w:color="auto" w:sz="4" w:space="0"/>
            </w:tcBorders>
            <w:vAlign w:val="center"/>
          </w:tcPr>
          <w:p w14:paraId="141B3246">
            <w:pPr>
              <w:widowControl/>
              <w:snapToGrid w:val="0"/>
              <w:jc w:val="center"/>
              <w:rPr>
                <w:rFonts w:hint="eastAsia" w:ascii="宋体" w:hAnsi="宋体" w:cs="宋体"/>
                <w:szCs w:val="21"/>
              </w:rPr>
            </w:pPr>
            <w:r>
              <w:rPr>
                <w:rFonts w:hint="eastAsia" w:ascii="宋体" w:hAnsi="宋体" w:cs="宋体"/>
                <w:szCs w:val="21"/>
              </w:rPr>
              <w:t>8</w:t>
            </w:r>
          </w:p>
        </w:tc>
        <w:tc>
          <w:tcPr>
            <w:tcW w:w="296" w:type="pct"/>
            <w:tcBorders>
              <w:top w:val="single" w:color="auto" w:sz="4" w:space="0"/>
              <w:left w:val="single" w:color="auto" w:sz="4" w:space="0"/>
              <w:bottom w:val="single" w:color="auto" w:sz="4" w:space="0"/>
              <w:right w:val="single" w:color="auto" w:sz="4" w:space="0"/>
            </w:tcBorders>
            <w:vAlign w:val="center"/>
          </w:tcPr>
          <w:p w14:paraId="72645F40">
            <w:pPr>
              <w:widowControl/>
              <w:snapToGrid w:val="0"/>
              <w:jc w:val="center"/>
              <w:rPr>
                <w:rFonts w:hint="eastAsia" w:ascii="宋体" w:hAnsi="宋体" w:cs="宋体"/>
                <w:szCs w:val="21"/>
              </w:rPr>
            </w:pPr>
            <w:r>
              <w:rPr>
                <w:rFonts w:hint="eastAsia" w:ascii="宋体" w:hAnsi="宋体" w:cs="宋体"/>
                <w:szCs w:val="21"/>
              </w:rPr>
              <w:t>客观</w:t>
            </w:r>
          </w:p>
        </w:tc>
      </w:tr>
      <w:tr w14:paraId="6527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8" w:type="pct"/>
            <w:tcBorders>
              <w:left w:val="single" w:color="auto" w:sz="4" w:space="0"/>
              <w:right w:val="single" w:color="auto" w:sz="4" w:space="0"/>
            </w:tcBorders>
            <w:vAlign w:val="center"/>
          </w:tcPr>
          <w:p w14:paraId="14C932B1">
            <w:pPr>
              <w:widowControl/>
              <w:jc w:val="center"/>
              <w:rPr>
                <w:rFonts w:hint="eastAsia" w:ascii="宋体" w:hAnsi="宋体" w:cs="宋体"/>
                <w:szCs w:val="21"/>
              </w:rPr>
            </w:pPr>
            <w:r>
              <w:rPr>
                <w:rFonts w:hint="eastAsia" w:ascii="宋体" w:hAnsi="宋体" w:cs="宋体"/>
                <w:szCs w:val="21"/>
              </w:rPr>
              <w:t>9</w:t>
            </w:r>
          </w:p>
        </w:tc>
        <w:tc>
          <w:tcPr>
            <w:tcW w:w="506" w:type="pct"/>
            <w:vMerge w:val="continue"/>
            <w:tcBorders>
              <w:left w:val="single" w:color="auto" w:sz="4" w:space="0"/>
              <w:right w:val="single" w:color="auto" w:sz="4" w:space="0"/>
            </w:tcBorders>
            <w:vAlign w:val="center"/>
          </w:tcPr>
          <w:p w14:paraId="05AA6DE5">
            <w:pPr>
              <w:widowControl/>
              <w:jc w:val="center"/>
              <w:rPr>
                <w:rFonts w:hint="eastAsia" w:ascii="宋体" w:hAnsi="宋体" w:cs="宋体"/>
                <w:szCs w:val="21"/>
              </w:rPr>
            </w:pPr>
          </w:p>
        </w:tc>
        <w:tc>
          <w:tcPr>
            <w:tcW w:w="762" w:type="pct"/>
            <w:tcBorders>
              <w:left w:val="single" w:color="auto" w:sz="4" w:space="0"/>
              <w:right w:val="single" w:color="auto" w:sz="4" w:space="0"/>
            </w:tcBorders>
            <w:vAlign w:val="center"/>
          </w:tcPr>
          <w:p w14:paraId="7646A981">
            <w:pPr>
              <w:rPr>
                <w:rFonts w:hint="eastAsia" w:ascii="宋体" w:hAnsi="宋体" w:cs="宋体"/>
                <w:szCs w:val="21"/>
              </w:rPr>
            </w:pPr>
            <w:r>
              <w:rPr>
                <w:rFonts w:hint="eastAsia" w:ascii="宋体" w:hAnsi="宋体" w:cs="宋体"/>
                <w:szCs w:val="21"/>
              </w:rPr>
              <w:t>质量保障方案</w:t>
            </w:r>
          </w:p>
        </w:tc>
        <w:tc>
          <w:tcPr>
            <w:tcW w:w="2883" w:type="pct"/>
            <w:tcBorders>
              <w:top w:val="single" w:color="auto" w:sz="4" w:space="0"/>
              <w:left w:val="single" w:color="auto" w:sz="4" w:space="0"/>
              <w:bottom w:val="single" w:color="auto" w:sz="4" w:space="0"/>
              <w:right w:val="single" w:color="auto" w:sz="4" w:space="0"/>
            </w:tcBorders>
            <w:vAlign w:val="center"/>
          </w:tcPr>
          <w:p w14:paraId="0FE1A65D">
            <w:pPr>
              <w:adjustRightInd w:val="0"/>
              <w:snapToGrid w:val="0"/>
              <w:spacing w:line="288" w:lineRule="auto"/>
              <w:textAlignment w:val="baseline"/>
              <w:rPr>
                <w:rFonts w:hint="eastAsia" w:ascii="宋体" w:hAnsi="宋体" w:cs="宋体"/>
                <w:szCs w:val="21"/>
              </w:rPr>
            </w:pPr>
            <w:r>
              <w:rPr>
                <w:rFonts w:hint="eastAsia" w:ascii="宋体" w:hAnsi="宋体" w:cs="宋体"/>
                <w:szCs w:val="21"/>
              </w:rPr>
              <w:t>阐述对采购人提供的质量保障方案应包括：</w:t>
            </w:r>
          </w:p>
          <w:p w14:paraId="5EB7F1DC">
            <w:pPr>
              <w:adjustRightInd w:val="0"/>
              <w:snapToGrid w:val="0"/>
              <w:spacing w:line="288" w:lineRule="auto"/>
              <w:textAlignment w:val="baseline"/>
              <w:rPr>
                <w:rFonts w:hint="eastAsia" w:ascii="宋体" w:hAnsi="宋体" w:cs="宋体"/>
                <w:szCs w:val="21"/>
              </w:rPr>
            </w:pPr>
            <w:r>
              <w:rPr>
                <w:rFonts w:hint="eastAsia" w:ascii="宋体" w:hAnsi="宋体" w:cs="宋体"/>
                <w:szCs w:val="21"/>
              </w:rPr>
              <w:t>（1）质量保障计划；</w:t>
            </w:r>
          </w:p>
          <w:p w14:paraId="51C667FA">
            <w:pPr>
              <w:adjustRightInd w:val="0"/>
              <w:snapToGrid w:val="0"/>
              <w:spacing w:line="288" w:lineRule="auto"/>
              <w:textAlignment w:val="baseline"/>
              <w:rPr>
                <w:rFonts w:hint="eastAsia" w:ascii="宋体" w:hAnsi="宋体" w:cs="宋体"/>
                <w:szCs w:val="21"/>
              </w:rPr>
            </w:pPr>
            <w:r>
              <w:rPr>
                <w:rFonts w:hint="eastAsia" w:ascii="宋体" w:hAnsi="宋体" w:cs="宋体"/>
                <w:szCs w:val="21"/>
              </w:rPr>
              <w:t>（2）质量保障措施；</w:t>
            </w:r>
          </w:p>
          <w:p w14:paraId="438FC09B">
            <w:pPr>
              <w:adjustRightInd w:val="0"/>
              <w:snapToGrid w:val="0"/>
              <w:spacing w:line="288" w:lineRule="auto"/>
              <w:textAlignment w:val="baseline"/>
              <w:rPr>
                <w:rFonts w:hint="eastAsia" w:ascii="宋体" w:hAnsi="宋体" w:cs="宋体"/>
                <w:szCs w:val="21"/>
              </w:rPr>
            </w:pPr>
            <w:r>
              <w:rPr>
                <w:rFonts w:hint="eastAsia" w:ascii="宋体" w:hAnsi="宋体" w:cs="宋体"/>
                <w:szCs w:val="21"/>
              </w:rPr>
              <w:t>（3）质量实施保证。</w:t>
            </w:r>
          </w:p>
          <w:p w14:paraId="7CDCCB87">
            <w:pPr>
              <w:rPr>
                <w:rFonts w:hint="eastAsia" w:ascii="宋体" w:hAnsi="宋体" w:cs="宋体"/>
                <w:szCs w:val="21"/>
              </w:rPr>
            </w:pPr>
            <w:r>
              <w:rPr>
                <w:rFonts w:hint="eastAsia" w:ascii="宋体" w:hAnsi="宋体" w:cs="宋体"/>
                <w:szCs w:val="21"/>
              </w:rPr>
              <w:t>内容详细，专门针对本项目，符合采购需求视为符合；</w:t>
            </w:r>
          </w:p>
          <w:p w14:paraId="3D78F659">
            <w:pPr>
              <w:rPr>
                <w:rFonts w:hint="eastAsia" w:ascii="宋体" w:hAnsi="宋体" w:cs="宋体"/>
                <w:szCs w:val="21"/>
              </w:rPr>
            </w:pPr>
            <w:r>
              <w:rPr>
                <w:rFonts w:hint="eastAsia" w:ascii="宋体" w:hAnsi="宋体" w:cs="宋体"/>
                <w:szCs w:val="21"/>
              </w:rPr>
              <w:t>内容属于通用类，非专门针对本项目，部分符合采购需求视为部分符合；</w:t>
            </w:r>
          </w:p>
          <w:p w14:paraId="648F9B5B">
            <w:pPr>
              <w:rPr>
                <w:rFonts w:hint="eastAsia" w:ascii="宋体" w:hAnsi="宋体" w:cs="宋体"/>
                <w:szCs w:val="21"/>
              </w:rPr>
            </w:pPr>
            <w:r>
              <w:rPr>
                <w:rFonts w:hint="eastAsia" w:ascii="宋体" w:hAnsi="宋体" w:cs="宋体"/>
                <w:szCs w:val="21"/>
              </w:rPr>
              <w:t>内容复制粘贴采购需求，非专门针对本项目，或未提供视为不符合。</w:t>
            </w:r>
          </w:p>
          <w:p w14:paraId="7447E8E4">
            <w:pPr>
              <w:rPr>
                <w:rFonts w:hint="eastAsia" w:ascii="宋体" w:hAnsi="宋体" w:cs="宋体"/>
                <w:szCs w:val="21"/>
              </w:rPr>
            </w:pPr>
            <w:r>
              <w:rPr>
                <w:rFonts w:hint="eastAsia" w:ascii="宋体" w:hAnsi="宋体" w:cs="宋体"/>
                <w:szCs w:val="21"/>
              </w:rPr>
              <w:t>每一项符合得3分，部分符合得1分，不符合得0分；此项最高得9分</w:t>
            </w:r>
          </w:p>
        </w:tc>
        <w:tc>
          <w:tcPr>
            <w:tcW w:w="282" w:type="pct"/>
            <w:tcBorders>
              <w:top w:val="single" w:color="auto" w:sz="4" w:space="0"/>
              <w:left w:val="single" w:color="auto" w:sz="4" w:space="0"/>
              <w:bottom w:val="single" w:color="auto" w:sz="4" w:space="0"/>
              <w:right w:val="single" w:color="auto" w:sz="4" w:space="0"/>
            </w:tcBorders>
            <w:vAlign w:val="center"/>
          </w:tcPr>
          <w:p w14:paraId="05BE762E">
            <w:pPr>
              <w:widowControl/>
              <w:snapToGrid w:val="0"/>
              <w:jc w:val="center"/>
              <w:rPr>
                <w:rFonts w:hint="eastAsia" w:ascii="宋体" w:hAnsi="宋体" w:cs="宋体"/>
                <w:szCs w:val="21"/>
              </w:rPr>
            </w:pPr>
            <w:r>
              <w:rPr>
                <w:rFonts w:hint="eastAsia" w:ascii="宋体" w:hAnsi="宋体" w:cs="宋体"/>
                <w:szCs w:val="21"/>
              </w:rPr>
              <w:t>9</w:t>
            </w:r>
          </w:p>
        </w:tc>
        <w:tc>
          <w:tcPr>
            <w:tcW w:w="296" w:type="pct"/>
            <w:tcBorders>
              <w:top w:val="single" w:color="auto" w:sz="4" w:space="0"/>
              <w:left w:val="single" w:color="auto" w:sz="4" w:space="0"/>
              <w:bottom w:val="single" w:color="auto" w:sz="4" w:space="0"/>
              <w:right w:val="single" w:color="auto" w:sz="4" w:space="0"/>
            </w:tcBorders>
            <w:vAlign w:val="center"/>
          </w:tcPr>
          <w:p w14:paraId="76C88638">
            <w:pPr>
              <w:jc w:val="center"/>
              <w:rPr>
                <w:rFonts w:hint="eastAsia" w:ascii="宋体" w:hAnsi="宋体" w:cs="宋体"/>
                <w:szCs w:val="21"/>
              </w:rPr>
            </w:pPr>
            <w:r>
              <w:rPr>
                <w:rFonts w:hint="eastAsia" w:ascii="宋体" w:hAnsi="宋体" w:cs="宋体"/>
                <w:szCs w:val="21"/>
              </w:rPr>
              <w:t>主观</w:t>
            </w:r>
          </w:p>
          <w:p w14:paraId="05D20570">
            <w:pPr>
              <w:widowControl/>
              <w:snapToGrid w:val="0"/>
              <w:jc w:val="center"/>
              <w:rPr>
                <w:rFonts w:hint="eastAsia" w:ascii="宋体" w:hAnsi="宋体" w:cs="宋体"/>
                <w:szCs w:val="21"/>
              </w:rPr>
            </w:pPr>
          </w:p>
        </w:tc>
      </w:tr>
      <w:tr w14:paraId="1D2C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8" w:type="pct"/>
            <w:tcBorders>
              <w:left w:val="single" w:color="auto" w:sz="4" w:space="0"/>
              <w:right w:val="single" w:color="auto" w:sz="4" w:space="0"/>
            </w:tcBorders>
            <w:vAlign w:val="center"/>
          </w:tcPr>
          <w:p w14:paraId="2FC815EE">
            <w:pPr>
              <w:widowControl/>
              <w:jc w:val="center"/>
              <w:rPr>
                <w:rFonts w:hint="eastAsia" w:ascii="宋体" w:hAnsi="宋体" w:cs="宋体"/>
                <w:szCs w:val="21"/>
              </w:rPr>
            </w:pPr>
            <w:r>
              <w:rPr>
                <w:rFonts w:hint="eastAsia" w:ascii="宋体" w:hAnsi="宋体" w:cs="宋体"/>
                <w:szCs w:val="21"/>
              </w:rPr>
              <w:t>10</w:t>
            </w:r>
          </w:p>
        </w:tc>
        <w:tc>
          <w:tcPr>
            <w:tcW w:w="506" w:type="pct"/>
            <w:vMerge w:val="continue"/>
            <w:tcBorders>
              <w:left w:val="single" w:color="auto" w:sz="4" w:space="0"/>
              <w:right w:val="single" w:color="auto" w:sz="4" w:space="0"/>
            </w:tcBorders>
            <w:vAlign w:val="center"/>
          </w:tcPr>
          <w:p w14:paraId="29FE24DA">
            <w:pPr>
              <w:widowControl/>
              <w:jc w:val="center"/>
              <w:rPr>
                <w:rFonts w:hint="eastAsia" w:ascii="宋体" w:hAnsi="宋体" w:cs="宋体"/>
                <w:szCs w:val="21"/>
              </w:rPr>
            </w:pPr>
          </w:p>
        </w:tc>
        <w:tc>
          <w:tcPr>
            <w:tcW w:w="762" w:type="pct"/>
            <w:tcBorders>
              <w:left w:val="single" w:color="auto" w:sz="4" w:space="0"/>
              <w:right w:val="single" w:color="auto" w:sz="4" w:space="0"/>
            </w:tcBorders>
            <w:vAlign w:val="center"/>
          </w:tcPr>
          <w:p w14:paraId="15D88D6C">
            <w:pPr>
              <w:rPr>
                <w:rFonts w:hint="eastAsia" w:ascii="宋体" w:hAnsi="宋体" w:cs="宋体"/>
                <w:szCs w:val="21"/>
              </w:rPr>
            </w:pPr>
            <w:r>
              <w:rPr>
                <w:rFonts w:hint="eastAsia" w:ascii="宋体" w:hAnsi="宋体" w:cs="宋体"/>
                <w:szCs w:val="21"/>
              </w:rPr>
              <w:t>应急管理方案</w:t>
            </w:r>
          </w:p>
        </w:tc>
        <w:tc>
          <w:tcPr>
            <w:tcW w:w="2883" w:type="pct"/>
            <w:tcBorders>
              <w:top w:val="single" w:color="auto" w:sz="4" w:space="0"/>
              <w:left w:val="single" w:color="auto" w:sz="4" w:space="0"/>
              <w:bottom w:val="single" w:color="auto" w:sz="4" w:space="0"/>
              <w:right w:val="single" w:color="auto" w:sz="4" w:space="0"/>
            </w:tcBorders>
            <w:vAlign w:val="center"/>
          </w:tcPr>
          <w:p w14:paraId="2FB633FD">
            <w:pPr>
              <w:rPr>
                <w:rFonts w:hint="eastAsia" w:ascii="宋体" w:hAnsi="宋体" w:cs="宋体"/>
                <w:szCs w:val="21"/>
              </w:rPr>
            </w:pPr>
            <w:r>
              <w:rPr>
                <w:rFonts w:hint="eastAsia" w:ascii="宋体" w:hAnsi="宋体" w:cs="宋体"/>
                <w:szCs w:val="21"/>
              </w:rPr>
              <w:t>阐述对采购人提供的应急保障方案应包括：</w:t>
            </w:r>
          </w:p>
          <w:p w14:paraId="7BF53CE2">
            <w:pPr>
              <w:rPr>
                <w:rFonts w:hint="eastAsia" w:ascii="宋体" w:hAnsi="宋体" w:cs="宋体"/>
                <w:szCs w:val="21"/>
              </w:rPr>
            </w:pPr>
            <w:r>
              <w:rPr>
                <w:rFonts w:hint="eastAsia" w:ascii="宋体" w:hAnsi="宋体" w:cs="宋体"/>
                <w:szCs w:val="21"/>
              </w:rPr>
              <w:t>（1）应急管理目标；</w:t>
            </w:r>
          </w:p>
          <w:p w14:paraId="0A2DB15A">
            <w:pPr>
              <w:rPr>
                <w:rFonts w:hint="eastAsia" w:ascii="宋体" w:hAnsi="宋体" w:cs="宋体"/>
                <w:szCs w:val="21"/>
              </w:rPr>
            </w:pPr>
            <w:r>
              <w:rPr>
                <w:rFonts w:hint="eastAsia" w:ascii="宋体" w:hAnsi="宋体" w:cs="宋体"/>
                <w:szCs w:val="21"/>
              </w:rPr>
              <w:t>（2）应急响应流程；</w:t>
            </w:r>
          </w:p>
          <w:p w14:paraId="15F977EE">
            <w:pPr>
              <w:rPr>
                <w:rFonts w:hint="eastAsia" w:ascii="宋体" w:hAnsi="宋体" w:cs="宋体"/>
                <w:szCs w:val="21"/>
              </w:rPr>
            </w:pPr>
            <w:r>
              <w:rPr>
                <w:rFonts w:hint="eastAsia" w:ascii="宋体" w:hAnsi="宋体" w:cs="宋体"/>
                <w:szCs w:val="21"/>
              </w:rPr>
              <w:t>（3）应急管理措施。</w:t>
            </w:r>
          </w:p>
          <w:p w14:paraId="1E7A9BB6">
            <w:pPr>
              <w:rPr>
                <w:rFonts w:hint="eastAsia" w:ascii="宋体" w:hAnsi="宋体" w:cs="宋体"/>
                <w:szCs w:val="21"/>
              </w:rPr>
            </w:pPr>
            <w:r>
              <w:rPr>
                <w:rFonts w:hint="eastAsia" w:ascii="宋体" w:hAnsi="宋体" w:cs="宋体"/>
                <w:szCs w:val="21"/>
              </w:rPr>
              <w:t>内容详细，专门针对本项目，符合采购需求视为符合；</w:t>
            </w:r>
          </w:p>
          <w:p w14:paraId="60B45C13">
            <w:pPr>
              <w:rPr>
                <w:rFonts w:hint="eastAsia" w:ascii="宋体" w:hAnsi="宋体" w:cs="宋体"/>
                <w:szCs w:val="21"/>
              </w:rPr>
            </w:pPr>
            <w:r>
              <w:rPr>
                <w:rFonts w:hint="eastAsia" w:ascii="宋体" w:hAnsi="宋体" w:cs="宋体"/>
                <w:szCs w:val="21"/>
              </w:rPr>
              <w:t>内容属于通用类，非专门针对本项目，部分符合采购需求视为部分符合；</w:t>
            </w:r>
          </w:p>
          <w:p w14:paraId="023D1F45">
            <w:pPr>
              <w:rPr>
                <w:rFonts w:hint="eastAsia" w:ascii="宋体" w:hAnsi="宋体" w:cs="宋体"/>
                <w:szCs w:val="21"/>
              </w:rPr>
            </w:pPr>
            <w:r>
              <w:rPr>
                <w:rFonts w:hint="eastAsia" w:ascii="宋体" w:hAnsi="宋体" w:cs="宋体"/>
                <w:szCs w:val="21"/>
              </w:rPr>
              <w:t>内容复制粘贴采购需求，非专门针对本项目，或未提供视为不符合。</w:t>
            </w:r>
          </w:p>
          <w:p w14:paraId="7DE54FC9">
            <w:pPr>
              <w:rPr>
                <w:rFonts w:hint="eastAsia" w:ascii="宋体" w:hAnsi="宋体" w:cs="宋体"/>
                <w:szCs w:val="21"/>
              </w:rPr>
            </w:pPr>
            <w:r>
              <w:rPr>
                <w:rFonts w:hint="eastAsia" w:ascii="宋体" w:hAnsi="宋体" w:cs="宋体"/>
                <w:szCs w:val="21"/>
              </w:rPr>
              <w:t>每一项符合得3分，部分符合得1分，不符合得0分；此项最高得9分</w:t>
            </w:r>
          </w:p>
        </w:tc>
        <w:tc>
          <w:tcPr>
            <w:tcW w:w="282" w:type="pct"/>
            <w:tcBorders>
              <w:top w:val="single" w:color="auto" w:sz="4" w:space="0"/>
              <w:left w:val="single" w:color="auto" w:sz="4" w:space="0"/>
              <w:bottom w:val="single" w:color="auto" w:sz="4" w:space="0"/>
              <w:right w:val="single" w:color="auto" w:sz="4" w:space="0"/>
            </w:tcBorders>
            <w:vAlign w:val="center"/>
          </w:tcPr>
          <w:p w14:paraId="6132DB4A">
            <w:pPr>
              <w:widowControl/>
              <w:snapToGrid w:val="0"/>
              <w:jc w:val="center"/>
              <w:rPr>
                <w:rFonts w:hint="eastAsia" w:ascii="宋体" w:hAnsi="宋体" w:cs="宋体"/>
                <w:szCs w:val="21"/>
              </w:rPr>
            </w:pPr>
            <w:r>
              <w:rPr>
                <w:rFonts w:hint="eastAsia" w:ascii="宋体" w:hAnsi="宋体" w:cs="宋体"/>
                <w:szCs w:val="21"/>
              </w:rPr>
              <w:t>9</w:t>
            </w:r>
          </w:p>
        </w:tc>
        <w:tc>
          <w:tcPr>
            <w:tcW w:w="296" w:type="pct"/>
            <w:tcBorders>
              <w:top w:val="single" w:color="auto" w:sz="4" w:space="0"/>
              <w:left w:val="single" w:color="auto" w:sz="4" w:space="0"/>
              <w:bottom w:val="single" w:color="auto" w:sz="4" w:space="0"/>
              <w:right w:val="single" w:color="auto" w:sz="4" w:space="0"/>
            </w:tcBorders>
            <w:vAlign w:val="center"/>
          </w:tcPr>
          <w:p w14:paraId="77138DCE">
            <w:pPr>
              <w:jc w:val="center"/>
              <w:rPr>
                <w:rFonts w:hint="eastAsia" w:ascii="宋体" w:hAnsi="宋体" w:cs="宋体"/>
                <w:szCs w:val="21"/>
              </w:rPr>
            </w:pPr>
            <w:r>
              <w:rPr>
                <w:rFonts w:hint="eastAsia" w:ascii="宋体" w:hAnsi="宋体" w:cs="宋体"/>
                <w:szCs w:val="21"/>
              </w:rPr>
              <w:t>主观</w:t>
            </w:r>
          </w:p>
          <w:p w14:paraId="44341591">
            <w:pPr>
              <w:widowControl/>
              <w:snapToGrid w:val="0"/>
              <w:jc w:val="center"/>
              <w:rPr>
                <w:rFonts w:hint="eastAsia" w:ascii="宋体" w:hAnsi="宋体" w:cs="宋体"/>
                <w:szCs w:val="21"/>
              </w:rPr>
            </w:pPr>
          </w:p>
        </w:tc>
      </w:tr>
      <w:tr w14:paraId="6EDB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8" w:type="pct"/>
            <w:tcBorders>
              <w:left w:val="single" w:color="auto" w:sz="4" w:space="0"/>
              <w:right w:val="single" w:color="auto" w:sz="4" w:space="0"/>
            </w:tcBorders>
            <w:vAlign w:val="center"/>
          </w:tcPr>
          <w:p w14:paraId="42E2E813">
            <w:pPr>
              <w:widowControl/>
              <w:jc w:val="center"/>
              <w:rPr>
                <w:rFonts w:hint="eastAsia" w:ascii="宋体" w:hAnsi="宋体" w:cs="宋体"/>
                <w:szCs w:val="21"/>
              </w:rPr>
            </w:pPr>
            <w:r>
              <w:rPr>
                <w:rFonts w:hint="eastAsia" w:ascii="宋体" w:hAnsi="宋体" w:cs="宋体"/>
                <w:szCs w:val="21"/>
              </w:rPr>
              <w:t>11</w:t>
            </w:r>
          </w:p>
        </w:tc>
        <w:tc>
          <w:tcPr>
            <w:tcW w:w="506" w:type="pct"/>
            <w:vMerge w:val="continue"/>
            <w:tcBorders>
              <w:left w:val="single" w:color="auto" w:sz="4" w:space="0"/>
              <w:right w:val="single" w:color="auto" w:sz="4" w:space="0"/>
            </w:tcBorders>
            <w:vAlign w:val="center"/>
          </w:tcPr>
          <w:p w14:paraId="15EE00E3">
            <w:pPr>
              <w:widowControl/>
              <w:jc w:val="center"/>
              <w:rPr>
                <w:rFonts w:hint="eastAsia" w:ascii="宋体" w:hAnsi="宋体" w:cs="宋体"/>
                <w:szCs w:val="21"/>
              </w:rPr>
            </w:pPr>
          </w:p>
        </w:tc>
        <w:tc>
          <w:tcPr>
            <w:tcW w:w="762" w:type="pct"/>
            <w:vMerge w:val="restart"/>
            <w:tcBorders>
              <w:left w:val="single" w:color="auto" w:sz="4" w:space="0"/>
              <w:right w:val="single" w:color="auto" w:sz="4" w:space="0"/>
            </w:tcBorders>
            <w:vAlign w:val="center"/>
          </w:tcPr>
          <w:p w14:paraId="66A4D217">
            <w:pPr>
              <w:rPr>
                <w:rFonts w:hint="eastAsia" w:ascii="宋体" w:hAnsi="宋体" w:cs="宋体"/>
                <w:szCs w:val="21"/>
              </w:rPr>
            </w:pPr>
            <w:r>
              <w:rPr>
                <w:rFonts w:hint="eastAsia" w:ascii="宋体" w:hAnsi="宋体" w:cs="宋体"/>
                <w:szCs w:val="21"/>
              </w:rPr>
              <w:t>服务团队</w:t>
            </w:r>
          </w:p>
        </w:tc>
        <w:tc>
          <w:tcPr>
            <w:tcW w:w="2883" w:type="pct"/>
            <w:tcBorders>
              <w:top w:val="single" w:color="auto" w:sz="4" w:space="0"/>
              <w:left w:val="single" w:color="auto" w:sz="4" w:space="0"/>
              <w:bottom w:val="single" w:color="auto" w:sz="4" w:space="0"/>
              <w:right w:val="single" w:color="auto" w:sz="4" w:space="0"/>
            </w:tcBorders>
            <w:vAlign w:val="center"/>
          </w:tcPr>
          <w:p w14:paraId="0D191DED">
            <w:pPr>
              <w:rPr>
                <w:rFonts w:hint="eastAsia" w:ascii="宋体" w:hAnsi="宋体" w:cs="宋体"/>
                <w:szCs w:val="21"/>
              </w:rPr>
            </w:pPr>
            <w:r>
              <w:rPr>
                <w:rFonts w:hint="eastAsia" w:ascii="宋体" w:hAnsi="宋体" w:cs="宋体"/>
                <w:szCs w:val="21"/>
              </w:rPr>
              <w:t>（1）项目经理具有信息系统项目管理师证书，提供证书扫描件，得2分，不提供不得分。</w:t>
            </w:r>
          </w:p>
          <w:p w14:paraId="38E8F580">
            <w:pPr>
              <w:rPr>
                <w:rFonts w:hint="eastAsia" w:ascii="宋体" w:hAnsi="宋体" w:cs="宋体"/>
                <w:szCs w:val="21"/>
              </w:rPr>
            </w:pPr>
            <w:r>
              <w:rPr>
                <w:rFonts w:hint="eastAsia" w:ascii="宋体" w:hAnsi="宋体" w:cs="宋体"/>
                <w:szCs w:val="21"/>
              </w:rPr>
              <w:t>（2）技术负责人具有信息系统项目管理师证书和CISAW证书(信息安全保障人员认证），提供证书扫描件得3分，不提供不得分。</w:t>
            </w:r>
          </w:p>
          <w:p w14:paraId="6DC57212">
            <w:pPr>
              <w:rPr>
                <w:rFonts w:hint="eastAsia" w:ascii="宋体" w:hAnsi="宋体" w:cs="宋体"/>
                <w:szCs w:val="21"/>
              </w:rPr>
            </w:pPr>
            <w:r>
              <w:rPr>
                <w:rFonts w:hint="eastAsia" w:ascii="宋体" w:hAnsi="宋体" w:cs="宋体"/>
                <w:szCs w:val="21"/>
              </w:rPr>
              <w:t>（3）项目组人员（除项目经理和技术负责人之外）具有网络管理、安全或数据库管理等相关证书中的任意一项，每提供一个证书扫描件得1分，最多3分，不提供不得分。</w:t>
            </w:r>
          </w:p>
        </w:tc>
        <w:tc>
          <w:tcPr>
            <w:tcW w:w="282" w:type="pct"/>
            <w:tcBorders>
              <w:top w:val="single" w:color="auto" w:sz="4" w:space="0"/>
              <w:left w:val="single" w:color="auto" w:sz="4" w:space="0"/>
              <w:bottom w:val="single" w:color="auto" w:sz="4" w:space="0"/>
              <w:right w:val="single" w:color="auto" w:sz="4" w:space="0"/>
            </w:tcBorders>
            <w:vAlign w:val="center"/>
          </w:tcPr>
          <w:p w14:paraId="4AB60D3B">
            <w:pPr>
              <w:jc w:val="center"/>
              <w:rPr>
                <w:rFonts w:hint="eastAsia" w:ascii="宋体" w:hAnsi="宋体" w:cs="宋体"/>
                <w:szCs w:val="21"/>
              </w:rPr>
            </w:pPr>
            <w:r>
              <w:rPr>
                <w:rFonts w:hint="eastAsia" w:ascii="宋体" w:hAnsi="宋体" w:cs="宋体"/>
                <w:szCs w:val="21"/>
              </w:rPr>
              <w:t>8</w:t>
            </w:r>
          </w:p>
        </w:tc>
        <w:tc>
          <w:tcPr>
            <w:tcW w:w="296" w:type="pct"/>
            <w:tcBorders>
              <w:top w:val="single" w:color="auto" w:sz="4" w:space="0"/>
              <w:left w:val="single" w:color="auto" w:sz="4" w:space="0"/>
              <w:bottom w:val="single" w:color="auto" w:sz="4" w:space="0"/>
              <w:right w:val="single" w:color="auto" w:sz="4" w:space="0"/>
            </w:tcBorders>
            <w:vAlign w:val="center"/>
          </w:tcPr>
          <w:p w14:paraId="45267177">
            <w:pPr>
              <w:jc w:val="center"/>
              <w:rPr>
                <w:rFonts w:hint="eastAsia" w:ascii="宋体" w:hAnsi="宋体" w:cs="宋体"/>
                <w:szCs w:val="21"/>
              </w:rPr>
            </w:pPr>
            <w:r>
              <w:rPr>
                <w:rFonts w:hint="eastAsia" w:ascii="宋体" w:hAnsi="宋体" w:cs="宋体"/>
                <w:szCs w:val="21"/>
              </w:rPr>
              <w:t>客观</w:t>
            </w:r>
          </w:p>
        </w:tc>
      </w:tr>
      <w:tr w14:paraId="13F1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jc w:val="center"/>
        </w:trPr>
        <w:tc>
          <w:tcPr>
            <w:tcW w:w="268" w:type="pct"/>
            <w:tcBorders>
              <w:left w:val="single" w:color="auto" w:sz="4" w:space="0"/>
              <w:right w:val="single" w:color="auto" w:sz="4" w:space="0"/>
            </w:tcBorders>
            <w:vAlign w:val="center"/>
          </w:tcPr>
          <w:p w14:paraId="00156158">
            <w:pPr>
              <w:widowControl/>
              <w:jc w:val="center"/>
              <w:rPr>
                <w:rFonts w:hint="eastAsia" w:ascii="宋体" w:hAnsi="宋体" w:cs="宋体"/>
                <w:szCs w:val="21"/>
              </w:rPr>
            </w:pPr>
            <w:r>
              <w:rPr>
                <w:rFonts w:hint="eastAsia" w:ascii="宋体" w:hAnsi="宋体" w:cs="宋体"/>
                <w:szCs w:val="21"/>
              </w:rPr>
              <w:t>12</w:t>
            </w:r>
          </w:p>
        </w:tc>
        <w:tc>
          <w:tcPr>
            <w:tcW w:w="506" w:type="pct"/>
            <w:vMerge w:val="continue"/>
            <w:tcBorders>
              <w:left w:val="single" w:color="auto" w:sz="4" w:space="0"/>
              <w:right w:val="single" w:color="auto" w:sz="4" w:space="0"/>
            </w:tcBorders>
            <w:vAlign w:val="center"/>
          </w:tcPr>
          <w:p w14:paraId="4F441282">
            <w:pPr>
              <w:widowControl/>
              <w:jc w:val="center"/>
              <w:rPr>
                <w:rFonts w:hint="eastAsia" w:ascii="宋体" w:hAnsi="宋体" w:cs="宋体"/>
                <w:szCs w:val="21"/>
              </w:rPr>
            </w:pPr>
          </w:p>
        </w:tc>
        <w:tc>
          <w:tcPr>
            <w:tcW w:w="762" w:type="pct"/>
            <w:vMerge w:val="continue"/>
            <w:tcBorders>
              <w:left w:val="single" w:color="auto" w:sz="4" w:space="0"/>
              <w:right w:val="single" w:color="auto" w:sz="4" w:space="0"/>
            </w:tcBorders>
            <w:vAlign w:val="center"/>
          </w:tcPr>
          <w:p w14:paraId="0186DF25">
            <w:pPr>
              <w:rPr>
                <w:rFonts w:hint="eastAsia" w:ascii="宋体" w:hAnsi="宋体" w:cs="宋体"/>
                <w:szCs w:val="21"/>
              </w:rPr>
            </w:pPr>
          </w:p>
        </w:tc>
        <w:tc>
          <w:tcPr>
            <w:tcW w:w="2883" w:type="pct"/>
            <w:vAlign w:val="center"/>
          </w:tcPr>
          <w:p w14:paraId="2E2B4E5B">
            <w:pPr>
              <w:autoSpaceDE w:val="0"/>
              <w:autoSpaceDN w:val="0"/>
              <w:adjustRightInd w:val="0"/>
              <w:rPr>
                <w:rFonts w:hint="eastAsia" w:ascii="宋体" w:hAnsi="宋体" w:cs="宋体"/>
                <w:szCs w:val="21"/>
              </w:rPr>
            </w:pPr>
            <w:r>
              <w:rPr>
                <w:rFonts w:hint="eastAsia" w:ascii="宋体" w:hAnsi="宋体" w:cs="宋体"/>
                <w:szCs w:val="21"/>
              </w:rPr>
              <w:t>服务团队总体情况（5分）：</w:t>
            </w:r>
          </w:p>
          <w:p w14:paraId="4E69D093">
            <w:pPr>
              <w:autoSpaceDE w:val="0"/>
              <w:autoSpaceDN w:val="0"/>
              <w:adjustRightInd w:val="0"/>
              <w:ind w:firstLine="420" w:firstLineChars="200"/>
              <w:rPr>
                <w:rFonts w:hint="eastAsia" w:ascii="宋体" w:hAnsi="宋体" w:cs="宋体"/>
                <w:bCs/>
                <w:szCs w:val="21"/>
              </w:rPr>
            </w:pPr>
            <w:r>
              <w:rPr>
                <w:rFonts w:hint="eastAsia" w:ascii="宋体" w:hAnsi="宋体" w:cs="宋体"/>
                <w:bCs/>
                <w:szCs w:val="21"/>
              </w:rPr>
              <w:t>项目实施团队人员（不含项目经理和技术负责人）的配备情况，投标人需提供服务团队人员名单：</w:t>
            </w:r>
          </w:p>
          <w:p w14:paraId="4C7382BD">
            <w:pPr>
              <w:autoSpaceDE w:val="0"/>
              <w:autoSpaceDN w:val="0"/>
              <w:adjustRightInd w:val="0"/>
              <w:rPr>
                <w:rFonts w:hint="eastAsia" w:ascii="宋体" w:hAnsi="宋体" w:cs="宋体"/>
                <w:bCs/>
                <w:szCs w:val="21"/>
              </w:rPr>
            </w:pPr>
            <w:r>
              <w:rPr>
                <w:rFonts w:hint="eastAsia" w:ascii="宋体" w:hAnsi="宋体" w:cs="宋体"/>
                <w:bCs/>
                <w:szCs w:val="21"/>
              </w:rPr>
              <w:t>（1）人员配备10人及以上，得5分；</w:t>
            </w:r>
          </w:p>
          <w:p w14:paraId="066B5B0A">
            <w:pPr>
              <w:autoSpaceDE w:val="0"/>
              <w:autoSpaceDN w:val="0"/>
              <w:adjustRightInd w:val="0"/>
              <w:rPr>
                <w:rFonts w:hint="eastAsia" w:ascii="宋体" w:hAnsi="宋体" w:cs="宋体"/>
                <w:bCs/>
                <w:szCs w:val="21"/>
              </w:rPr>
            </w:pPr>
            <w:r>
              <w:rPr>
                <w:rFonts w:hint="eastAsia" w:ascii="宋体" w:hAnsi="宋体" w:cs="宋体"/>
                <w:bCs/>
                <w:szCs w:val="21"/>
              </w:rPr>
              <w:t>（2）人员配备6-9人，得3分；</w:t>
            </w:r>
          </w:p>
          <w:p w14:paraId="5F9041F5">
            <w:pPr>
              <w:autoSpaceDE w:val="0"/>
              <w:autoSpaceDN w:val="0"/>
              <w:adjustRightInd w:val="0"/>
              <w:rPr>
                <w:rFonts w:hint="eastAsia" w:ascii="宋体" w:hAnsi="宋体" w:cs="宋体"/>
                <w:bCs/>
                <w:szCs w:val="21"/>
              </w:rPr>
            </w:pPr>
            <w:r>
              <w:rPr>
                <w:rFonts w:hint="eastAsia" w:ascii="宋体" w:hAnsi="宋体" w:cs="宋体"/>
                <w:bCs/>
                <w:szCs w:val="21"/>
              </w:rPr>
              <w:t>（3）人员配备1-5人，得1分；</w:t>
            </w:r>
          </w:p>
          <w:p w14:paraId="3C3F3E1A">
            <w:pPr>
              <w:tabs>
                <w:tab w:val="left" w:pos="567"/>
              </w:tabs>
              <w:rPr>
                <w:rFonts w:hint="eastAsia" w:ascii="宋体" w:hAnsi="宋体" w:cs="宋体"/>
                <w:szCs w:val="21"/>
              </w:rPr>
            </w:pPr>
            <w:r>
              <w:rPr>
                <w:rFonts w:hint="eastAsia" w:ascii="宋体" w:hAnsi="宋体" w:cs="宋体"/>
                <w:bCs/>
                <w:szCs w:val="21"/>
              </w:rPr>
              <w:t>（4）无人员配备得0分。</w:t>
            </w:r>
          </w:p>
        </w:tc>
        <w:tc>
          <w:tcPr>
            <w:tcW w:w="282" w:type="pct"/>
            <w:vAlign w:val="center"/>
          </w:tcPr>
          <w:p w14:paraId="613E4D13">
            <w:pPr>
              <w:jc w:val="center"/>
              <w:rPr>
                <w:rFonts w:hint="eastAsia" w:ascii="宋体" w:hAnsi="宋体" w:cs="宋体"/>
                <w:szCs w:val="21"/>
              </w:rPr>
            </w:pPr>
            <w:r>
              <w:rPr>
                <w:rFonts w:hint="eastAsia" w:ascii="宋体" w:hAnsi="宋体" w:cs="宋体"/>
                <w:szCs w:val="21"/>
              </w:rPr>
              <w:t>5</w:t>
            </w:r>
          </w:p>
        </w:tc>
        <w:tc>
          <w:tcPr>
            <w:tcW w:w="296" w:type="pct"/>
            <w:vAlign w:val="center"/>
          </w:tcPr>
          <w:p w14:paraId="2E1FC5BE">
            <w:pPr>
              <w:jc w:val="center"/>
              <w:rPr>
                <w:rFonts w:hint="eastAsia" w:ascii="宋体" w:hAnsi="宋体" w:cs="宋体"/>
                <w:szCs w:val="21"/>
              </w:rPr>
            </w:pPr>
            <w:r>
              <w:rPr>
                <w:rFonts w:hint="eastAsia" w:ascii="宋体" w:hAnsi="宋体" w:cs="宋体"/>
                <w:szCs w:val="21"/>
              </w:rPr>
              <w:t>客观</w:t>
            </w:r>
          </w:p>
        </w:tc>
      </w:tr>
    </w:tbl>
    <w:p w14:paraId="40B1331D">
      <w:pPr>
        <w:spacing w:line="360" w:lineRule="auto"/>
        <w:jc w:val="center"/>
        <w:outlineLvl w:val="0"/>
        <w:rPr>
          <w:b/>
          <w:sz w:val="36"/>
          <w:szCs w:val="36"/>
        </w:rPr>
      </w:pPr>
      <w:r>
        <w:rPr>
          <w:b/>
          <w:sz w:val="36"/>
          <w:szCs w:val="36"/>
        </w:rPr>
        <w:br w:type="page"/>
      </w:r>
      <w:bookmarkStart w:id="825" w:name="_Toc99301424"/>
      <w:r>
        <w:rPr>
          <w:b/>
          <w:sz w:val="36"/>
          <w:szCs w:val="36"/>
        </w:rPr>
        <w:t>第五章   采购需求</w:t>
      </w:r>
      <w:bookmarkEnd w:id="825"/>
    </w:p>
    <w:p w14:paraId="6902BCAB">
      <w:pPr>
        <w:spacing w:line="360" w:lineRule="auto"/>
        <w:jc w:val="left"/>
        <w:outlineLvl w:val="2"/>
        <w:rPr>
          <w:rFonts w:hint="eastAsia" w:ascii="宋体" w:hAnsi="宋体" w:cs="宋体"/>
          <w:b/>
          <w:color w:val="000000"/>
          <w:sz w:val="24"/>
        </w:rPr>
      </w:pPr>
      <w:r>
        <w:rPr>
          <w:rFonts w:hint="eastAsia" w:ascii="宋体" w:hAnsi="宋体" w:cs="宋体"/>
          <w:b/>
          <w:color w:val="000000"/>
          <w:sz w:val="24"/>
        </w:rPr>
        <w:t>第一包~第三包：</w:t>
      </w:r>
    </w:p>
    <w:p w14:paraId="290CE3DC">
      <w:pPr>
        <w:spacing w:line="360" w:lineRule="auto"/>
        <w:rPr>
          <w:rFonts w:ascii="Calibri" w:hAnsi="Calibri"/>
          <w:b/>
          <w:color w:val="000000"/>
          <w:sz w:val="24"/>
        </w:rPr>
      </w:pPr>
      <w:r>
        <w:rPr>
          <w:rFonts w:hint="eastAsia" w:ascii="Calibri" w:hAnsi="Calibri"/>
          <w:b/>
          <w:color w:val="000000"/>
          <w:sz w:val="24"/>
        </w:rPr>
        <w:t>一、项目概述</w:t>
      </w:r>
    </w:p>
    <w:p w14:paraId="6E8E2C6F">
      <w:pPr>
        <w:spacing w:line="360" w:lineRule="auto"/>
        <w:ind w:left="720"/>
        <w:rPr>
          <w:rFonts w:ascii="Calibri" w:hAnsi="Calibri"/>
          <w:b/>
          <w:color w:val="000000"/>
          <w:sz w:val="24"/>
        </w:rPr>
      </w:pPr>
      <w:r>
        <w:rPr>
          <w:rFonts w:hint="eastAsia" w:ascii="Calibri" w:hAnsi="Calibri"/>
          <w:b/>
          <w:color w:val="000000"/>
          <w:sz w:val="24"/>
        </w:rPr>
        <w:t>1.</w:t>
      </w:r>
      <w:r>
        <w:rPr>
          <w:rFonts w:hint="eastAsia" w:ascii="宋体" w:hAnsi="宋体"/>
          <w:color w:val="000000"/>
          <w:sz w:val="24"/>
        </w:rPr>
        <w:t xml:space="preserve"> </w:t>
      </w:r>
      <w:r>
        <w:rPr>
          <w:rFonts w:hint="eastAsia" w:ascii="Calibri" w:hAnsi="Calibri"/>
          <w:b/>
          <w:color w:val="000000"/>
          <w:sz w:val="24"/>
        </w:rPr>
        <w:t>项目背景</w:t>
      </w:r>
    </w:p>
    <w:p w14:paraId="5F4BA365">
      <w:pPr>
        <w:spacing w:line="360" w:lineRule="auto"/>
        <w:ind w:firstLine="540"/>
        <w:rPr>
          <w:color w:val="000000"/>
          <w:sz w:val="24"/>
        </w:rPr>
      </w:pPr>
      <w:r>
        <w:rPr>
          <w:rFonts w:hint="eastAsia" w:ascii="宋体" w:hAnsi="宋体"/>
          <w:sz w:val="24"/>
        </w:rPr>
        <w:t>本项目是</w:t>
      </w:r>
      <w:r>
        <w:rPr>
          <w:rFonts w:hint="eastAsia"/>
          <w:color w:val="000000"/>
          <w:sz w:val="24"/>
        </w:rPr>
        <w:t>“</w:t>
      </w:r>
      <w:r>
        <w:rPr>
          <w:color w:val="000000"/>
          <w:sz w:val="24"/>
        </w:rPr>
        <w:t>北京市突发地质灾害监测预警系统（一期）工程运行</w:t>
      </w:r>
      <w:r>
        <w:rPr>
          <w:rFonts w:hint="eastAsia"/>
          <w:color w:val="000000"/>
          <w:sz w:val="24"/>
        </w:rPr>
        <w:t>”和“二期工程”合并运行的项目，一二期工程针对4</w:t>
      </w:r>
      <w:r>
        <w:rPr>
          <w:color w:val="000000"/>
          <w:sz w:val="24"/>
        </w:rPr>
        <w:t>77</w:t>
      </w:r>
      <w:r>
        <w:rPr>
          <w:rFonts w:hint="eastAsia"/>
          <w:color w:val="000000"/>
          <w:sz w:val="24"/>
        </w:rPr>
        <w:t>处地灾隐患点，安装了1</w:t>
      </w:r>
      <w:r>
        <w:rPr>
          <w:color w:val="000000"/>
          <w:sz w:val="24"/>
        </w:rPr>
        <w:t>889</w:t>
      </w:r>
      <w:r>
        <w:rPr>
          <w:rFonts w:hint="eastAsia"/>
          <w:color w:val="000000"/>
          <w:sz w:val="24"/>
        </w:rPr>
        <w:t>台（套）野外监测设备、建设了4个监测站、1个数据中心和1套监测预警信息系统，监测预警系统稳定运行，及时</w:t>
      </w:r>
      <w:r>
        <w:rPr>
          <w:color w:val="000000"/>
          <w:sz w:val="24"/>
        </w:rPr>
        <w:t>获取</w:t>
      </w:r>
      <w:r>
        <w:rPr>
          <w:rFonts w:hint="eastAsia"/>
          <w:color w:val="000000"/>
          <w:sz w:val="24"/>
        </w:rPr>
        <w:t>灾害隐患</w:t>
      </w:r>
      <w:r>
        <w:rPr>
          <w:color w:val="000000"/>
          <w:sz w:val="24"/>
        </w:rPr>
        <w:t>的动态变化特征，</w:t>
      </w:r>
      <w:r>
        <w:rPr>
          <w:rFonts w:hint="eastAsia"/>
          <w:color w:val="000000"/>
          <w:sz w:val="24"/>
        </w:rPr>
        <w:t>是</w:t>
      </w:r>
      <w:r>
        <w:rPr>
          <w:color w:val="000000"/>
          <w:sz w:val="24"/>
        </w:rPr>
        <w:t>突发地质灾害预警预报</w:t>
      </w:r>
      <w:r>
        <w:rPr>
          <w:rFonts w:hint="eastAsia"/>
          <w:color w:val="000000"/>
          <w:sz w:val="24"/>
        </w:rPr>
        <w:t>重要的</w:t>
      </w:r>
      <w:r>
        <w:rPr>
          <w:color w:val="000000"/>
          <w:sz w:val="24"/>
        </w:rPr>
        <w:t>数据支撑。</w:t>
      </w:r>
    </w:p>
    <w:p w14:paraId="73C84A4E">
      <w:pPr>
        <w:spacing w:line="360" w:lineRule="auto"/>
        <w:ind w:left="720"/>
        <w:rPr>
          <w:rFonts w:ascii="Calibri" w:hAnsi="Calibri"/>
          <w:b/>
          <w:color w:val="000000"/>
          <w:sz w:val="24"/>
        </w:rPr>
      </w:pPr>
      <w:r>
        <w:rPr>
          <w:rFonts w:hint="eastAsia" w:ascii="Calibri" w:hAnsi="Calibri"/>
          <w:b/>
          <w:color w:val="000000"/>
          <w:sz w:val="24"/>
        </w:rPr>
        <w:t>2.</w:t>
      </w:r>
      <w:r>
        <w:rPr>
          <w:rFonts w:hint="eastAsia" w:ascii="宋体" w:hAnsi="宋体"/>
          <w:color w:val="000000"/>
          <w:sz w:val="24"/>
        </w:rPr>
        <w:t xml:space="preserve"> </w:t>
      </w:r>
      <w:r>
        <w:rPr>
          <w:rFonts w:hint="eastAsia" w:ascii="Calibri" w:hAnsi="Calibri"/>
          <w:b/>
          <w:color w:val="000000"/>
          <w:sz w:val="24"/>
        </w:rPr>
        <w:t>项目目标</w:t>
      </w:r>
    </w:p>
    <w:p w14:paraId="65D792C3">
      <w:pPr>
        <w:spacing w:line="360" w:lineRule="auto"/>
        <w:ind w:firstLine="480" w:firstLineChars="200"/>
        <w:jc w:val="left"/>
        <w:rPr>
          <w:rFonts w:hint="eastAsia" w:ascii="宋体" w:hAnsi="宋体" w:cs="宋体"/>
          <w:color w:val="000000"/>
          <w:sz w:val="24"/>
        </w:rPr>
      </w:pPr>
      <w:r>
        <w:rPr>
          <w:rFonts w:ascii="宋体" w:hAnsi="宋体" w:cs="宋体"/>
          <w:color w:val="000000"/>
          <w:sz w:val="24"/>
        </w:rPr>
        <w:t>在北京市突发地质灾害监测预警系统工程野外监测仪器和信息系统运行维护的基础上，开展监测区内泥石流、滑坡、崩塌和采空塌陷的遥感监测、自动监测和人工监测，及时提供监测信息，实时掌握 隐患点变化趋势，为北京市政府及地质灾害防治部门地灾防治工作提供技术支持。</w:t>
      </w:r>
    </w:p>
    <w:p w14:paraId="1A262992">
      <w:pPr>
        <w:spacing w:line="360" w:lineRule="auto"/>
        <w:ind w:left="720"/>
        <w:rPr>
          <w:rFonts w:ascii="Calibri" w:hAnsi="Calibri"/>
          <w:b/>
          <w:color w:val="000000"/>
          <w:sz w:val="24"/>
        </w:rPr>
      </w:pPr>
      <w:r>
        <w:rPr>
          <w:rFonts w:hint="eastAsia" w:ascii="Calibri" w:hAnsi="Calibri"/>
          <w:b/>
          <w:color w:val="000000"/>
          <w:sz w:val="24"/>
        </w:rPr>
        <w:t>3.分包内容</w:t>
      </w:r>
    </w:p>
    <w:tbl>
      <w:tblPr>
        <w:tblStyle w:val="42"/>
        <w:tblW w:w="5000" w:type="pct"/>
        <w:tblInd w:w="0" w:type="dxa"/>
        <w:tblLayout w:type="autofit"/>
        <w:tblCellMar>
          <w:top w:w="0" w:type="dxa"/>
          <w:left w:w="108" w:type="dxa"/>
          <w:bottom w:w="0" w:type="dxa"/>
          <w:right w:w="108" w:type="dxa"/>
        </w:tblCellMar>
      </w:tblPr>
      <w:tblGrid>
        <w:gridCol w:w="4811"/>
        <w:gridCol w:w="1556"/>
        <w:gridCol w:w="1556"/>
        <w:gridCol w:w="1365"/>
      </w:tblGrid>
      <w:tr w14:paraId="4DAAD703">
        <w:tblPrEx>
          <w:tblCellMar>
            <w:top w:w="0" w:type="dxa"/>
            <w:left w:w="108" w:type="dxa"/>
            <w:bottom w:w="0" w:type="dxa"/>
            <w:right w:w="108" w:type="dxa"/>
          </w:tblCellMar>
        </w:tblPrEx>
        <w:trPr>
          <w:trHeight w:val="402" w:hRule="atLeast"/>
        </w:trPr>
        <w:tc>
          <w:tcPr>
            <w:tcW w:w="2589" w:type="pct"/>
            <w:tcBorders>
              <w:top w:val="single" w:color="auto" w:sz="4" w:space="0"/>
              <w:left w:val="single" w:color="auto" w:sz="4" w:space="0"/>
              <w:bottom w:val="single" w:color="auto" w:sz="4" w:space="0"/>
              <w:right w:val="single" w:color="auto" w:sz="4" w:space="0"/>
            </w:tcBorders>
            <w:noWrap/>
            <w:vAlign w:val="center"/>
          </w:tcPr>
          <w:p w14:paraId="45157AA4">
            <w:pPr>
              <w:widowControl/>
              <w:jc w:val="center"/>
              <w:rPr>
                <w:rFonts w:hint="eastAsia" w:ascii="宋体" w:hAnsi="宋体" w:cs="宋体"/>
                <w:color w:val="000000"/>
                <w:kern w:val="0"/>
                <w:sz w:val="24"/>
              </w:rPr>
            </w:pPr>
            <w:r>
              <w:rPr>
                <w:rFonts w:hint="eastAsia" w:ascii="宋体" w:hAnsi="宋体" w:cs="宋体"/>
                <w:color w:val="000000"/>
                <w:kern w:val="0"/>
                <w:sz w:val="24"/>
              </w:rPr>
              <w:t>分包　</w:t>
            </w:r>
          </w:p>
        </w:tc>
        <w:tc>
          <w:tcPr>
            <w:tcW w:w="837" w:type="pct"/>
            <w:tcBorders>
              <w:top w:val="single" w:color="auto" w:sz="4" w:space="0"/>
              <w:left w:val="nil"/>
              <w:bottom w:val="single" w:color="auto" w:sz="4" w:space="0"/>
              <w:right w:val="single" w:color="auto" w:sz="4" w:space="0"/>
            </w:tcBorders>
            <w:noWrap/>
            <w:vAlign w:val="center"/>
          </w:tcPr>
          <w:p w14:paraId="640EACAF">
            <w:pPr>
              <w:widowControl/>
              <w:jc w:val="center"/>
              <w:rPr>
                <w:rFonts w:hint="eastAsia" w:ascii="宋体" w:hAnsi="宋体" w:cs="宋体"/>
                <w:color w:val="000000"/>
                <w:kern w:val="0"/>
                <w:sz w:val="24"/>
              </w:rPr>
            </w:pPr>
            <w:r>
              <w:rPr>
                <w:rFonts w:hint="eastAsia" w:ascii="宋体" w:hAnsi="宋体" w:cs="宋体"/>
                <w:color w:val="000000"/>
                <w:kern w:val="0"/>
                <w:sz w:val="24"/>
              </w:rPr>
              <w:t>维护费最高限价</w:t>
            </w:r>
          </w:p>
          <w:p w14:paraId="22039DE0">
            <w:pPr>
              <w:widowControl/>
              <w:jc w:val="center"/>
              <w:rPr>
                <w:rFonts w:hint="eastAsia" w:ascii="宋体" w:hAnsi="宋体" w:cs="宋体"/>
                <w:color w:val="000000"/>
                <w:kern w:val="0"/>
                <w:sz w:val="24"/>
              </w:rPr>
            </w:pPr>
            <w:r>
              <w:rPr>
                <w:rFonts w:hint="eastAsia" w:ascii="宋体" w:hAnsi="宋体" w:cs="宋体"/>
                <w:color w:val="000000"/>
                <w:kern w:val="0"/>
                <w:sz w:val="24"/>
              </w:rPr>
              <w:t>（万元）</w:t>
            </w:r>
          </w:p>
        </w:tc>
        <w:tc>
          <w:tcPr>
            <w:tcW w:w="837" w:type="pct"/>
            <w:tcBorders>
              <w:top w:val="single" w:color="auto" w:sz="4" w:space="0"/>
              <w:left w:val="nil"/>
              <w:bottom w:val="single" w:color="auto" w:sz="4" w:space="0"/>
              <w:right w:val="single" w:color="auto" w:sz="4" w:space="0"/>
            </w:tcBorders>
            <w:noWrap/>
            <w:vAlign w:val="center"/>
          </w:tcPr>
          <w:p w14:paraId="7FCC6E37">
            <w:pPr>
              <w:widowControl/>
              <w:jc w:val="center"/>
              <w:rPr>
                <w:rFonts w:hint="eastAsia" w:ascii="宋体" w:hAnsi="宋体" w:cs="宋体"/>
                <w:color w:val="000000"/>
                <w:kern w:val="0"/>
                <w:sz w:val="24"/>
              </w:rPr>
            </w:pPr>
            <w:r>
              <w:rPr>
                <w:rFonts w:hint="eastAsia" w:ascii="宋体" w:hAnsi="宋体" w:cs="宋体"/>
                <w:color w:val="000000"/>
                <w:kern w:val="0"/>
                <w:sz w:val="24"/>
              </w:rPr>
              <w:t>维修费最高限价</w:t>
            </w:r>
          </w:p>
          <w:p w14:paraId="60AD3DFF">
            <w:pPr>
              <w:widowControl/>
              <w:jc w:val="center"/>
              <w:rPr>
                <w:rFonts w:hint="eastAsia" w:ascii="宋体" w:hAnsi="宋体" w:cs="宋体"/>
                <w:color w:val="000000"/>
                <w:kern w:val="0"/>
                <w:sz w:val="24"/>
              </w:rPr>
            </w:pPr>
            <w:r>
              <w:rPr>
                <w:rFonts w:hint="eastAsia" w:ascii="宋体" w:hAnsi="宋体" w:cs="宋体"/>
                <w:color w:val="000000"/>
                <w:kern w:val="0"/>
                <w:sz w:val="24"/>
              </w:rPr>
              <w:t>（万元）</w:t>
            </w:r>
          </w:p>
        </w:tc>
        <w:tc>
          <w:tcPr>
            <w:tcW w:w="734" w:type="pct"/>
            <w:tcBorders>
              <w:top w:val="single" w:color="auto" w:sz="4" w:space="0"/>
              <w:left w:val="nil"/>
              <w:bottom w:val="single" w:color="auto" w:sz="4" w:space="0"/>
              <w:right w:val="single" w:color="auto" w:sz="4" w:space="0"/>
            </w:tcBorders>
            <w:noWrap/>
            <w:vAlign w:val="center"/>
          </w:tcPr>
          <w:p w14:paraId="71304FF4">
            <w:pPr>
              <w:widowControl/>
              <w:jc w:val="center"/>
              <w:rPr>
                <w:rFonts w:hint="eastAsia" w:ascii="宋体" w:hAnsi="宋体" w:cs="宋体"/>
                <w:color w:val="000000"/>
                <w:kern w:val="0"/>
                <w:sz w:val="24"/>
              </w:rPr>
            </w:pPr>
            <w:r>
              <w:rPr>
                <w:rFonts w:hint="eastAsia" w:ascii="宋体" w:hAnsi="宋体" w:cs="宋体"/>
                <w:color w:val="000000"/>
                <w:kern w:val="0"/>
                <w:sz w:val="24"/>
              </w:rPr>
              <w:t>总价最高限价</w:t>
            </w:r>
          </w:p>
          <w:p w14:paraId="65782831">
            <w:pPr>
              <w:widowControl/>
              <w:jc w:val="center"/>
              <w:rPr>
                <w:rFonts w:hint="eastAsia" w:ascii="宋体" w:hAnsi="宋体" w:cs="宋体"/>
                <w:color w:val="000000"/>
                <w:kern w:val="0"/>
                <w:sz w:val="24"/>
              </w:rPr>
            </w:pPr>
            <w:r>
              <w:rPr>
                <w:rFonts w:hint="eastAsia" w:ascii="宋体" w:hAnsi="宋体" w:cs="宋体"/>
                <w:color w:val="000000"/>
                <w:kern w:val="0"/>
                <w:sz w:val="24"/>
              </w:rPr>
              <w:t>（万元）</w:t>
            </w:r>
          </w:p>
        </w:tc>
      </w:tr>
      <w:tr w14:paraId="52CCB53B">
        <w:tblPrEx>
          <w:tblCellMar>
            <w:top w:w="0" w:type="dxa"/>
            <w:left w:w="108" w:type="dxa"/>
            <w:bottom w:w="0" w:type="dxa"/>
            <w:right w:w="108" w:type="dxa"/>
          </w:tblCellMar>
        </w:tblPrEx>
        <w:trPr>
          <w:trHeight w:val="402" w:hRule="atLeast"/>
        </w:trPr>
        <w:tc>
          <w:tcPr>
            <w:tcW w:w="2589" w:type="pct"/>
            <w:tcBorders>
              <w:top w:val="nil"/>
              <w:left w:val="single" w:color="auto" w:sz="4" w:space="0"/>
              <w:bottom w:val="single" w:color="auto" w:sz="4" w:space="0"/>
              <w:right w:val="single" w:color="auto" w:sz="4" w:space="0"/>
            </w:tcBorders>
            <w:noWrap/>
            <w:vAlign w:val="center"/>
          </w:tcPr>
          <w:p w14:paraId="2E07678E">
            <w:pPr>
              <w:widowControl/>
              <w:jc w:val="center"/>
              <w:rPr>
                <w:rFonts w:hint="eastAsia" w:ascii="宋体" w:hAnsi="宋体" w:cs="宋体"/>
                <w:color w:val="000000"/>
                <w:kern w:val="0"/>
                <w:sz w:val="24"/>
              </w:rPr>
            </w:pPr>
            <w:r>
              <w:rPr>
                <w:rFonts w:hint="eastAsia" w:ascii="宋体" w:hAnsi="宋体" w:cs="宋体"/>
                <w:color w:val="000000"/>
                <w:kern w:val="0"/>
                <w:sz w:val="24"/>
              </w:rPr>
              <w:t>第1包：密云、怀柔等区1090台套监测仪器维护服务</w:t>
            </w:r>
          </w:p>
        </w:tc>
        <w:tc>
          <w:tcPr>
            <w:tcW w:w="837" w:type="pct"/>
            <w:tcBorders>
              <w:top w:val="nil"/>
              <w:left w:val="nil"/>
              <w:bottom w:val="single" w:color="auto" w:sz="4" w:space="0"/>
              <w:right w:val="single" w:color="auto" w:sz="4" w:space="0"/>
            </w:tcBorders>
            <w:noWrap/>
            <w:vAlign w:val="center"/>
          </w:tcPr>
          <w:p w14:paraId="6D1C87C7">
            <w:pPr>
              <w:widowControl/>
              <w:jc w:val="center"/>
              <w:rPr>
                <w:rFonts w:hint="eastAsia" w:ascii="宋体" w:hAnsi="宋体" w:cs="宋体"/>
                <w:color w:val="000000"/>
                <w:kern w:val="0"/>
                <w:sz w:val="24"/>
              </w:rPr>
            </w:pPr>
            <w:r>
              <w:rPr>
                <w:rFonts w:hint="eastAsia" w:ascii="宋体" w:hAnsi="宋体" w:cs="宋体"/>
                <w:color w:val="000000"/>
                <w:kern w:val="0"/>
                <w:sz w:val="24"/>
              </w:rPr>
              <w:t>201.76</w:t>
            </w:r>
          </w:p>
        </w:tc>
        <w:tc>
          <w:tcPr>
            <w:tcW w:w="837" w:type="pct"/>
            <w:tcBorders>
              <w:top w:val="nil"/>
              <w:left w:val="nil"/>
              <w:bottom w:val="single" w:color="auto" w:sz="4" w:space="0"/>
              <w:right w:val="single" w:color="auto" w:sz="4" w:space="0"/>
            </w:tcBorders>
            <w:noWrap/>
            <w:vAlign w:val="center"/>
          </w:tcPr>
          <w:p w14:paraId="7A91CB49">
            <w:pPr>
              <w:widowControl/>
              <w:jc w:val="center"/>
              <w:rPr>
                <w:rFonts w:hint="eastAsia" w:ascii="宋体" w:hAnsi="宋体" w:cs="宋体"/>
                <w:color w:val="000000"/>
                <w:kern w:val="0"/>
                <w:sz w:val="24"/>
              </w:rPr>
            </w:pPr>
            <w:r>
              <w:rPr>
                <w:rFonts w:hint="eastAsia" w:ascii="宋体" w:hAnsi="宋体" w:cs="宋体"/>
                <w:color w:val="000000"/>
                <w:kern w:val="0"/>
                <w:sz w:val="24"/>
              </w:rPr>
              <w:t>20.266</w:t>
            </w:r>
          </w:p>
        </w:tc>
        <w:tc>
          <w:tcPr>
            <w:tcW w:w="734" w:type="pct"/>
            <w:tcBorders>
              <w:top w:val="nil"/>
              <w:left w:val="nil"/>
              <w:bottom w:val="single" w:color="auto" w:sz="4" w:space="0"/>
              <w:right w:val="single" w:color="auto" w:sz="4" w:space="0"/>
            </w:tcBorders>
            <w:noWrap/>
            <w:vAlign w:val="center"/>
          </w:tcPr>
          <w:p w14:paraId="4630A23C">
            <w:pPr>
              <w:widowControl/>
              <w:jc w:val="center"/>
              <w:rPr>
                <w:rFonts w:hint="eastAsia" w:ascii="宋体" w:hAnsi="宋体" w:cs="宋体"/>
                <w:color w:val="000000"/>
                <w:kern w:val="0"/>
                <w:sz w:val="24"/>
              </w:rPr>
            </w:pPr>
            <w:r>
              <w:rPr>
                <w:rFonts w:hint="eastAsia" w:ascii="宋体" w:hAnsi="宋体" w:cs="宋体"/>
                <w:color w:val="000000"/>
                <w:kern w:val="0"/>
                <w:sz w:val="24"/>
              </w:rPr>
              <w:t>222.026</w:t>
            </w:r>
          </w:p>
        </w:tc>
      </w:tr>
      <w:tr w14:paraId="0A46A86B">
        <w:tblPrEx>
          <w:tblCellMar>
            <w:top w:w="0" w:type="dxa"/>
            <w:left w:w="108" w:type="dxa"/>
            <w:bottom w:w="0" w:type="dxa"/>
            <w:right w:w="108" w:type="dxa"/>
          </w:tblCellMar>
        </w:tblPrEx>
        <w:trPr>
          <w:trHeight w:val="402" w:hRule="atLeast"/>
        </w:trPr>
        <w:tc>
          <w:tcPr>
            <w:tcW w:w="2589" w:type="pct"/>
            <w:tcBorders>
              <w:top w:val="nil"/>
              <w:left w:val="single" w:color="auto" w:sz="4" w:space="0"/>
              <w:bottom w:val="single" w:color="auto" w:sz="4" w:space="0"/>
              <w:right w:val="single" w:color="auto" w:sz="4" w:space="0"/>
            </w:tcBorders>
            <w:noWrap/>
            <w:vAlign w:val="center"/>
          </w:tcPr>
          <w:p w14:paraId="125185AF">
            <w:pPr>
              <w:widowControl/>
              <w:jc w:val="center"/>
              <w:rPr>
                <w:rFonts w:hint="eastAsia" w:ascii="宋体" w:hAnsi="宋体" w:cs="宋体"/>
                <w:color w:val="000000"/>
                <w:kern w:val="0"/>
                <w:sz w:val="24"/>
              </w:rPr>
            </w:pPr>
            <w:r>
              <w:rPr>
                <w:rFonts w:hint="eastAsia" w:ascii="宋体" w:hAnsi="宋体" w:cs="宋体"/>
                <w:color w:val="000000"/>
                <w:kern w:val="0"/>
                <w:sz w:val="24"/>
              </w:rPr>
              <w:t>第2包：门头沟、延庆等区512台套监测仪器维护服务</w:t>
            </w:r>
          </w:p>
        </w:tc>
        <w:tc>
          <w:tcPr>
            <w:tcW w:w="837" w:type="pct"/>
            <w:tcBorders>
              <w:top w:val="nil"/>
              <w:left w:val="nil"/>
              <w:bottom w:val="single" w:color="auto" w:sz="4" w:space="0"/>
              <w:right w:val="single" w:color="auto" w:sz="4" w:space="0"/>
            </w:tcBorders>
            <w:noWrap/>
            <w:vAlign w:val="center"/>
          </w:tcPr>
          <w:p w14:paraId="5C82379B">
            <w:pPr>
              <w:widowControl/>
              <w:jc w:val="center"/>
              <w:rPr>
                <w:rFonts w:hint="eastAsia" w:ascii="宋体" w:hAnsi="宋体" w:cs="宋体"/>
                <w:color w:val="000000"/>
                <w:kern w:val="0"/>
                <w:sz w:val="24"/>
              </w:rPr>
            </w:pPr>
            <w:r>
              <w:rPr>
                <w:rFonts w:hint="eastAsia" w:ascii="宋体" w:hAnsi="宋体" w:cs="宋体"/>
                <w:color w:val="000000"/>
                <w:kern w:val="0"/>
                <w:sz w:val="24"/>
              </w:rPr>
              <w:t>94.48</w:t>
            </w:r>
          </w:p>
        </w:tc>
        <w:tc>
          <w:tcPr>
            <w:tcW w:w="837" w:type="pct"/>
            <w:tcBorders>
              <w:top w:val="nil"/>
              <w:left w:val="nil"/>
              <w:bottom w:val="single" w:color="auto" w:sz="4" w:space="0"/>
              <w:right w:val="single" w:color="auto" w:sz="4" w:space="0"/>
            </w:tcBorders>
            <w:noWrap/>
            <w:vAlign w:val="center"/>
          </w:tcPr>
          <w:p w14:paraId="0A9C1585">
            <w:pPr>
              <w:widowControl/>
              <w:jc w:val="center"/>
              <w:rPr>
                <w:rFonts w:hint="eastAsia" w:ascii="宋体" w:hAnsi="宋体" w:cs="宋体"/>
                <w:color w:val="000000"/>
                <w:kern w:val="0"/>
                <w:sz w:val="24"/>
              </w:rPr>
            </w:pPr>
            <w:r>
              <w:rPr>
                <w:rFonts w:hint="eastAsia" w:ascii="宋体" w:hAnsi="宋体" w:cs="宋体"/>
                <w:color w:val="000000"/>
                <w:kern w:val="0"/>
                <w:sz w:val="24"/>
              </w:rPr>
              <w:t>36.568</w:t>
            </w:r>
          </w:p>
        </w:tc>
        <w:tc>
          <w:tcPr>
            <w:tcW w:w="734" w:type="pct"/>
            <w:tcBorders>
              <w:top w:val="nil"/>
              <w:left w:val="nil"/>
              <w:bottom w:val="single" w:color="auto" w:sz="4" w:space="0"/>
              <w:right w:val="single" w:color="auto" w:sz="4" w:space="0"/>
            </w:tcBorders>
            <w:noWrap/>
            <w:vAlign w:val="center"/>
          </w:tcPr>
          <w:p w14:paraId="20F24B7C">
            <w:pPr>
              <w:widowControl/>
              <w:jc w:val="center"/>
              <w:rPr>
                <w:rFonts w:hint="eastAsia" w:ascii="宋体" w:hAnsi="宋体" w:cs="宋体"/>
                <w:color w:val="000000"/>
                <w:kern w:val="0"/>
                <w:sz w:val="24"/>
              </w:rPr>
            </w:pPr>
            <w:r>
              <w:rPr>
                <w:rFonts w:hint="eastAsia" w:ascii="宋体" w:hAnsi="宋体" w:cs="宋体"/>
                <w:color w:val="000000"/>
                <w:kern w:val="0"/>
                <w:sz w:val="24"/>
              </w:rPr>
              <w:t>131.048</w:t>
            </w:r>
          </w:p>
        </w:tc>
      </w:tr>
      <w:tr w14:paraId="769E8FFC">
        <w:tblPrEx>
          <w:tblCellMar>
            <w:top w:w="0" w:type="dxa"/>
            <w:left w:w="108" w:type="dxa"/>
            <w:bottom w:w="0" w:type="dxa"/>
            <w:right w:w="108" w:type="dxa"/>
          </w:tblCellMar>
        </w:tblPrEx>
        <w:trPr>
          <w:trHeight w:val="402" w:hRule="atLeast"/>
        </w:trPr>
        <w:tc>
          <w:tcPr>
            <w:tcW w:w="2589" w:type="pct"/>
            <w:tcBorders>
              <w:top w:val="nil"/>
              <w:left w:val="single" w:color="auto" w:sz="4" w:space="0"/>
              <w:bottom w:val="single" w:color="auto" w:sz="4" w:space="0"/>
              <w:right w:val="single" w:color="auto" w:sz="4" w:space="0"/>
            </w:tcBorders>
            <w:noWrap/>
            <w:vAlign w:val="center"/>
          </w:tcPr>
          <w:p w14:paraId="53B7D894">
            <w:pPr>
              <w:widowControl/>
              <w:jc w:val="center"/>
              <w:rPr>
                <w:rFonts w:hint="eastAsia" w:ascii="宋体" w:hAnsi="宋体" w:cs="宋体"/>
                <w:color w:val="000000"/>
                <w:kern w:val="0"/>
                <w:sz w:val="24"/>
              </w:rPr>
            </w:pPr>
            <w:r>
              <w:rPr>
                <w:rFonts w:hint="eastAsia" w:ascii="宋体" w:hAnsi="宋体" w:cs="宋体"/>
                <w:color w:val="000000"/>
                <w:kern w:val="0"/>
                <w:sz w:val="24"/>
              </w:rPr>
              <w:t>第3包：昌平、平谷等区210台套监测仪器维护服务</w:t>
            </w:r>
          </w:p>
        </w:tc>
        <w:tc>
          <w:tcPr>
            <w:tcW w:w="837" w:type="pct"/>
            <w:tcBorders>
              <w:top w:val="nil"/>
              <w:left w:val="nil"/>
              <w:bottom w:val="single" w:color="auto" w:sz="4" w:space="0"/>
              <w:right w:val="single" w:color="auto" w:sz="4" w:space="0"/>
            </w:tcBorders>
            <w:noWrap/>
            <w:vAlign w:val="center"/>
          </w:tcPr>
          <w:p w14:paraId="4EFC7916">
            <w:pPr>
              <w:widowControl/>
              <w:jc w:val="center"/>
              <w:rPr>
                <w:rFonts w:hint="eastAsia" w:ascii="宋体" w:hAnsi="宋体" w:cs="宋体"/>
                <w:color w:val="000000"/>
                <w:kern w:val="0"/>
                <w:sz w:val="24"/>
              </w:rPr>
            </w:pPr>
            <w:r>
              <w:rPr>
                <w:rFonts w:hint="eastAsia" w:ascii="宋体" w:hAnsi="宋体" w:cs="宋体"/>
                <w:color w:val="000000"/>
                <w:kern w:val="0"/>
                <w:sz w:val="24"/>
              </w:rPr>
              <w:t>39.52</w:t>
            </w:r>
          </w:p>
        </w:tc>
        <w:tc>
          <w:tcPr>
            <w:tcW w:w="837" w:type="pct"/>
            <w:tcBorders>
              <w:top w:val="nil"/>
              <w:left w:val="nil"/>
              <w:bottom w:val="single" w:color="auto" w:sz="4" w:space="0"/>
              <w:right w:val="single" w:color="auto" w:sz="4" w:space="0"/>
            </w:tcBorders>
            <w:noWrap/>
            <w:vAlign w:val="center"/>
          </w:tcPr>
          <w:p w14:paraId="46BE1A3B">
            <w:pPr>
              <w:widowControl/>
              <w:jc w:val="center"/>
              <w:rPr>
                <w:rFonts w:hint="eastAsia" w:ascii="宋体" w:hAnsi="宋体" w:cs="宋体"/>
                <w:color w:val="000000"/>
                <w:kern w:val="0"/>
                <w:sz w:val="24"/>
              </w:rPr>
            </w:pPr>
            <w:r>
              <w:rPr>
                <w:rFonts w:hint="eastAsia" w:ascii="宋体" w:hAnsi="宋体" w:cs="宋体"/>
                <w:color w:val="000000"/>
                <w:kern w:val="0"/>
                <w:sz w:val="24"/>
              </w:rPr>
              <w:t>30.582</w:t>
            </w:r>
          </w:p>
        </w:tc>
        <w:tc>
          <w:tcPr>
            <w:tcW w:w="734" w:type="pct"/>
            <w:tcBorders>
              <w:top w:val="nil"/>
              <w:left w:val="nil"/>
              <w:bottom w:val="single" w:color="auto" w:sz="4" w:space="0"/>
              <w:right w:val="single" w:color="auto" w:sz="4" w:space="0"/>
            </w:tcBorders>
            <w:noWrap/>
            <w:vAlign w:val="center"/>
          </w:tcPr>
          <w:p w14:paraId="06013017">
            <w:pPr>
              <w:widowControl/>
              <w:jc w:val="center"/>
              <w:rPr>
                <w:rFonts w:hint="eastAsia" w:ascii="宋体" w:hAnsi="宋体" w:cs="宋体"/>
                <w:color w:val="000000"/>
                <w:kern w:val="0"/>
                <w:sz w:val="24"/>
              </w:rPr>
            </w:pPr>
            <w:r>
              <w:rPr>
                <w:rFonts w:hint="eastAsia" w:ascii="宋体" w:hAnsi="宋体" w:cs="宋体"/>
                <w:color w:val="000000"/>
                <w:kern w:val="0"/>
                <w:sz w:val="24"/>
              </w:rPr>
              <w:t>70.102</w:t>
            </w:r>
          </w:p>
        </w:tc>
      </w:tr>
    </w:tbl>
    <w:p w14:paraId="3C06A824">
      <w:pPr>
        <w:spacing w:line="360" w:lineRule="auto"/>
        <w:ind w:left="720"/>
        <w:rPr>
          <w:rFonts w:ascii="Calibri" w:hAnsi="Calibri"/>
          <w:b/>
          <w:color w:val="000000"/>
          <w:sz w:val="24"/>
        </w:rPr>
      </w:pPr>
      <w:r>
        <w:rPr>
          <w:rFonts w:hint="eastAsia" w:ascii="Calibri" w:hAnsi="Calibri"/>
          <w:b/>
          <w:color w:val="000000"/>
          <w:sz w:val="24"/>
        </w:rPr>
        <w:t>注：</w:t>
      </w:r>
      <w:r>
        <w:rPr>
          <w:rFonts w:hint="eastAsia" w:ascii="宋体" w:hAnsi="宋体" w:cs="宋体"/>
          <w:b/>
          <w:color w:val="000000"/>
          <w:sz w:val="24"/>
        </w:rPr>
        <w:t>第一包~第三包分为</w:t>
      </w:r>
      <w:r>
        <w:rPr>
          <w:rFonts w:hint="eastAsia" w:ascii="Calibri" w:hAnsi="Calibri"/>
          <w:b/>
          <w:color w:val="000000"/>
          <w:sz w:val="24"/>
        </w:rPr>
        <w:t>维护价和维修价，各投标单位的分项报价不得超过维护价和维修价最高限价。</w:t>
      </w:r>
    </w:p>
    <w:p w14:paraId="666D2EA3">
      <w:pPr>
        <w:spacing w:line="360" w:lineRule="auto"/>
        <w:ind w:left="720"/>
        <w:rPr>
          <w:rFonts w:ascii="Calibri" w:hAnsi="Calibri"/>
          <w:b/>
          <w:color w:val="000000"/>
          <w:sz w:val="24"/>
        </w:rPr>
      </w:pPr>
      <w:r>
        <w:rPr>
          <w:rFonts w:hint="eastAsia" w:ascii="Calibri" w:hAnsi="Calibri"/>
          <w:b/>
          <w:color w:val="000000"/>
          <w:sz w:val="24"/>
        </w:rPr>
        <w:t>4.总体要求</w:t>
      </w:r>
    </w:p>
    <w:p w14:paraId="05A320F3">
      <w:pPr>
        <w:spacing w:line="360" w:lineRule="auto"/>
        <w:ind w:firstLine="480" w:firstLineChars="200"/>
        <w:rPr>
          <w:rFonts w:hint="eastAsia" w:ascii="宋体" w:hAnsi="宋体" w:cs="宋体"/>
          <w:sz w:val="24"/>
        </w:rPr>
      </w:pPr>
      <w:r>
        <w:rPr>
          <w:rFonts w:hint="eastAsia" w:ascii="宋体" w:hAnsi="宋体" w:cs="宋体"/>
          <w:sz w:val="24"/>
        </w:rPr>
        <w:t>1、仪器维护目的是保证所有野外专业监测仪器和后台接收软件的正常运行，确保传输稳定，监测数据满足精度和误差要求，整体工作参照</w:t>
      </w:r>
      <w:r>
        <w:rPr>
          <w:rFonts w:hint="eastAsia" w:ascii="宋体" w:hAnsi="宋体" w:cs="宋体"/>
          <w:b/>
          <w:bCs/>
          <w:sz w:val="24"/>
        </w:rPr>
        <w:t>附件8 突发性地质灾害监测站点运行规程规范执行</w:t>
      </w:r>
      <w:r>
        <w:rPr>
          <w:rFonts w:hint="eastAsia" w:ascii="宋体" w:hAnsi="宋体" w:cs="宋体"/>
          <w:sz w:val="24"/>
        </w:rPr>
        <w:t>；</w:t>
      </w:r>
    </w:p>
    <w:p w14:paraId="5E33B5CF">
      <w:pPr>
        <w:spacing w:line="360" w:lineRule="auto"/>
        <w:ind w:firstLine="480" w:firstLineChars="200"/>
        <w:rPr>
          <w:rFonts w:hint="eastAsia" w:ascii="宋体" w:hAnsi="宋体" w:cs="宋体"/>
          <w:sz w:val="24"/>
        </w:rPr>
      </w:pPr>
      <w:r>
        <w:rPr>
          <w:rFonts w:hint="eastAsia" w:ascii="宋体" w:hAnsi="宋体" w:cs="宋体"/>
          <w:sz w:val="24"/>
        </w:rPr>
        <w:t>2、仪器维护内容见</w:t>
      </w:r>
      <w:r>
        <w:rPr>
          <w:rFonts w:hint="eastAsia" w:ascii="宋体" w:hAnsi="宋体" w:cs="宋体"/>
          <w:b/>
          <w:bCs/>
          <w:sz w:val="24"/>
        </w:rPr>
        <w:t>附件1 监测仪器设施信息列表</w:t>
      </w:r>
      <w:r>
        <w:rPr>
          <w:rFonts w:hint="eastAsia" w:ascii="宋体" w:hAnsi="宋体" w:cs="宋体"/>
          <w:sz w:val="24"/>
        </w:rPr>
        <w:t>；汛前和汛后维护须在规定时间内对本包所涉及的所有监测仪器进行清理、检测、维修和校准；汛前还需对GNSS基准点进行两个不同时段数据接收并校准；</w:t>
      </w:r>
      <w:bookmarkStart w:id="826" w:name="_Hlk97812866"/>
      <w:r>
        <w:rPr>
          <w:rFonts w:hint="eastAsia" w:ascii="宋体" w:hAnsi="宋体" w:cs="宋体"/>
          <w:sz w:val="24"/>
        </w:rPr>
        <w:t>汛期需通过系统检查监测仪器的健康状况，发现异常后在24小时内进行维修（</w:t>
      </w:r>
      <w:r>
        <w:rPr>
          <w:rFonts w:hint="eastAsia" w:ascii="宋体" w:hAnsi="宋体" w:cs="宋体"/>
          <w:b/>
          <w:bCs/>
          <w:sz w:val="24"/>
        </w:rPr>
        <w:t>见附件5监测仪器配件技术参数及维修要求、附件7突发地质灾害监测仪器维护技术要求</w:t>
      </w:r>
      <w:r>
        <w:rPr>
          <w:rFonts w:hint="eastAsia" w:ascii="宋体" w:hAnsi="宋体" w:cs="宋体"/>
          <w:sz w:val="24"/>
        </w:rPr>
        <w:t xml:space="preserve">）； </w:t>
      </w:r>
    </w:p>
    <w:p w14:paraId="00D2B47F">
      <w:pPr>
        <w:spacing w:line="360" w:lineRule="auto"/>
        <w:ind w:firstLine="480" w:firstLineChars="200"/>
        <w:rPr>
          <w:rFonts w:hint="eastAsia" w:ascii="宋体" w:hAnsi="宋体" w:cs="宋体"/>
          <w:sz w:val="24"/>
        </w:rPr>
      </w:pPr>
      <w:r>
        <w:rPr>
          <w:rFonts w:hint="eastAsia" w:ascii="宋体" w:hAnsi="宋体" w:cs="宋体"/>
          <w:sz w:val="24"/>
        </w:rPr>
        <w:t>3、仪器维护工作分为三个阶段：汛前（合同签订之日起-5月31日）、汛期（6月1日-9月15日）及汛后（9月16日-10月31日）；</w:t>
      </w:r>
    </w:p>
    <w:bookmarkEnd w:id="826"/>
    <w:p w14:paraId="2E632E00">
      <w:pPr>
        <w:spacing w:line="360" w:lineRule="auto"/>
        <w:ind w:firstLine="480" w:firstLineChars="200"/>
        <w:rPr>
          <w:rFonts w:hint="eastAsia" w:ascii="宋体" w:hAnsi="宋体" w:cs="宋体"/>
          <w:sz w:val="24"/>
        </w:rPr>
      </w:pPr>
      <w:r>
        <w:rPr>
          <w:rFonts w:hint="eastAsia" w:ascii="宋体" w:hAnsi="宋体" w:cs="宋体"/>
          <w:sz w:val="24"/>
        </w:rPr>
        <w:t>4、所更换配件（RTU或DTU）须符合采购人现使用的数据传输通讯协议（</w:t>
      </w:r>
      <w:r>
        <w:rPr>
          <w:rFonts w:hint="eastAsia" w:ascii="宋体" w:hAnsi="宋体" w:cs="宋体"/>
          <w:b/>
          <w:bCs/>
          <w:sz w:val="24"/>
        </w:rPr>
        <w:t>见附件6北京市突发地质灾害监测数据传输通信规范</w:t>
      </w:r>
      <w:r>
        <w:rPr>
          <w:rFonts w:hint="eastAsia" w:ascii="宋体" w:hAnsi="宋体" w:cs="宋体"/>
          <w:sz w:val="24"/>
        </w:rPr>
        <w:t>）；</w:t>
      </w:r>
    </w:p>
    <w:p w14:paraId="2DE882E1">
      <w:pPr>
        <w:spacing w:line="360" w:lineRule="auto"/>
        <w:ind w:firstLine="480" w:firstLineChars="200"/>
        <w:rPr>
          <w:rFonts w:hint="eastAsia" w:ascii="宋体" w:hAnsi="宋体" w:cs="宋体"/>
          <w:sz w:val="24"/>
        </w:rPr>
      </w:pPr>
      <w:r>
        <w:rPr>
          <w:rFonts w:hint="eastAsia" w:ascii="宋体" w:hAnsi="宋体" w:cs="宋体"/>
          <w:sz w:val="24"/>
        </w:rPr>
        <w:t>5、仪器维护工作考核合格依据为野外专业监测仪器正常运行、监测数据正常传输至采购人数据平台；汛期雨量站平均在线率不低于98%，其他仪器平均在线率不低于95%且累计故障率低于5%；监测数据满足精度和误差要求；</w:t>
      </w:r>
    </w:p>
    <w:p w14:paraId="4BF1BEA7">
      <w:pPr>
        <w:spacing w:line="360" w:lineRule="auto"/>
        <w:ind w:firstLine="480" w:firstLineChars="200"/>
        <w:rPr>
          <w:rFonts w:hint="eastAsia" w:ascii="宋体" w:hAnsi="宋体" w:cs="宋体"/>
          <w:sz w:val="24"/>
        </w:rPr>
      </w:pPr>
      <w:r>
        <w:rPr>
          <w:rFonts w:hint="eastAsia" w:ascii="宋体" w:hAnsi="宋体" w:cs="宋体"/>
          <w:sz w:val="24"/>
        </w:rPr>
        <w:t>6、每台套监测仪器均须提交仪器维护路线轨迹；维护完成后，需拍摄仪器照片，并按仪器位置名称命名分类存档；</w:t>
      </w:r>
    </w:p>
    <w:p w14:paraId="142BE4C0">
      <w:pPr>
        <w:spacing w:line="360" w:lineRule="auto"/>
        <w:ind w:firstLine="480" w:firstLineChars="200"/>
        <w:rPr>
          <w:rFonts w:hint="eastAsia" w:ascii="宋体" w:hAnsi="宋体" w:cs="宋体"/>
          <w:sz w:val="24"/>
        </w:rPr>
      </w:pPr>
      <w:r>
        <w:rPr>
          <w:rFonts w:hint="eastAsia" w:ascii="宋体" w:hAnsi="宋体" w:cs="宋体"/>
          <w:sz w:val="24"/>
        </w:rPr>
        <w:t>7、汛前对含有泥水位监测设备沟道进行断面测量，并于5月3</w:t>
      </w:r>
      <w:r>
        <w:rPr>
          <w:rFonts w:ascii="宋体" w:hAnsi="宋体" w:cs="宋体"/>
          <w:sz w:val="24"/>
        </w:rPr>
        <w:t>1</w:t>
      </w:r>
      <w:r>
        <w:rPr>
          <w:rFonts w:hint="eastAsia" w:ascii="宋体" w:hAnsi="宋体" w:cs="宋体"/>
          <w:sz w:val="24"/>
        </w:rPr>
        <w:t>日前汇交测量成果；</w:t>
      </w:r>
    </w:p>
    <w:p w14:paraId="72F34DE6">
      <w:pPr>
        <w:spacing w:line="360" w:lineRule="auto"/>
        <w:ind w:firstLine="480" w:firstLineChars="200"/>
        <w:rPr>
          <w:rFonts w:hint="eastAsia" w:ascii="宋体" w:hAnsi="宋体" w:cs="宋体"/>
          <w:sz w:val="24"/>
        </w:rPr>
      </w:pPr>
      <w:r>
        <w:rPr>
          <w:rFonts w:hint="eastAsia" w:ascii="宋体" w:hAnsi="宋体" w:cs="宋体"/>
          <w:sz w:val="24"/>
        </w:rPr>
        <w:t>8、仪器更换配件的使用寿命须达到质保期要求，并满足各类型仪器基本功能参数要求（</w:t>
      </w:r>
      <w:r>
        <w:rPr>
          <w:rFonts w:hint="eastAsia" w:ascii="宋体" w:hAnsi="宋体" w:cs="宋体"/>
          <w:b/>
          <w:bCs/>
          <w:sz w:val="24"/>
        </w:rPr>
        <w:t>见附件5监测仪器配件技术参数及维修要求</w:t>
      </w:r>
      <w:r>
        <w:rPr>
          <w:rFonts w:hint="eastAsia" w:ascii="宋体" w:hAnsi="宋体" w:cs="宋体"/>
          <w:sz w:val="24"/>
        </w:rPr>
        <w:t xml:space="preserve">）； </w:t>
      </w:r>
    </w:p>
    <w:p w14:paraId="7B005A93">
      <w:pPr>
        <w:spacing w:line="360" w:lineRule="auto"/>
        <w:ind w:firstLine="480" w:firstLineChars="200"/>
        <w:rPr>
          <w:rFonts w:hint="eastAsia" w:ascii="宋体" w:hAnsi="宋体" w:cs="宋体"/>
          <w:sz w:val="24"/>
        </w:rPr>
      </w:pPr>
      <w:r>
        <w:rPr>
          <w:rFonts w:hint="eastAsia" w:ascii="宋体" w:hAnsi="宋体" w:cs="宋体"/>
          <w:sz w:val="24"/>
        </w:rPr>
        <w:t>9、中标人应存储一定数量的备品备件，类型主要为各种监测仪器的传感器、RTU、太阳能板及其它易损件，数量一般为仪器总数的5%～10%，功能应满足野外仪器正常运行；损坏配件应妥善保存并在</w:t>
      </w:r>
      <w:r>
        <w:rPr>
          <w:rFonts w:hint="eastAsia" w:ascii="宋体" w:hAnsi="宋体" w:cs="宋体"/>
          <w:sz w:val="24"/>
          <w:u w:val="single"/>
        </w:rPr>
        <w:t>11月1日-11月30日</w:t>
      </w:r>
      <w:r>
        <w:rPr>
          <w:rFonts w:hint="eastAsia" w:ascii="宋体" w:hAnsi="宋体" w:cs="宋体"/>
          <w:sz w:val="24"/>
        </w:rPr>
        <w:t>按照仪器、配件名称、更换时间等做好登记（二维码等），完成分区配件更换登记表（</w:t>
      </w:r>
      <w:r>
        <w:rPr>
          <w:rFonts w:hint="eastAsia" w:ascii="宋体" w:hAnsi="宋体" w:cs="宋体"/>
          <w:b/>
          <w:bCs/>
          <w:sz w:val="24"/>
        </w:rPr>
        <w:t>见附件4监测仪器设施配件更换登记表</w:t>
      </w:r>
      <w:r>
        <w:rPr>
          <w:rFonts w:hint="eastAsia" w:ascii="宋体" w:hAnsi="宋体" w:cs="宋体"/>
          <w:sz w:val="24"/>
        </w:rPr>
        <w:t>）并统一交还采购人；</w:t>
      </w:r>
    </w:p>
    <w:p w14:paraId="579FBA81">
      <w:pPr>
        <w:spacing w:line="360" w:lineRule="auto"/>
        <w:ind w:firstLine="480" w:firstLineChars="200"/>
        <w:rPr>
          <w:rFonts w:hint="eastAsia" w:ascii="宋体" w:hAnsi="宋体" w:cs="宋体"/>
          <w:sz w:val="24"/>
        </w:rPr>
      </w:pPr>
      <w:r>
        <w:rPr>
          <w:rFonts w:hint="eastAsia" w:ascii="宋体" w:hAnsi="宋体" w:cs="宋体"/>
          <w:sz w:val="24"/>
        </w:rPr>
        <w:t>10、上述维护工作须按照 “北京地灾” APP中维护任务的下发列表完成，并形成符合采购人要求的维护记录，维护后按工作阶段提交月报（</w:t>
      </w:r>
      <w:r>
        <w:rPr>
          <w:rFonts w:hint="eastAsia" w:ascii="宋体" w:hAnsi="宋体" w:cs="宋体"/>
          <w:b/>
          <w:bCs/>
          <w:sz w:val="24"/>
        </w:rPr>
        <w:t>见附件9 汛期监测仪器维护服务工作月报</w:t>
      </w:r>
      <w:r>
        <w:rPr>
          <w:rFonts w:hint="eastAsia" w:ascii="宋体" w:hAnsi="宋体" w:cs="宋体"/>
          <w:sz w:val="24"/>
        </w:rPr>
        <w:t>），重点阐述数据传输质量、仪器状态、存在问题及解决方案；</w:t>
      </w:r>
    </w:p>
    <w:p w14:paraId="25C2BF81">
      <w:pPr>
        <w:spacing w:line="360" w:lineRule="auto"/>
        <w:ind w:firstLine="480" w:firstLineChars="200"/>
        <w:rPr>
          <w:rFonts w:hint="eastAsia" w:ascii="宋体" w:hAnsi="宋体" w:cs="宋体"/>
          <w:sz w:val="24"/>
        </w:rPr>
      </w:pPr>
      <w:r>
        <w:rPr>
          <w:rFonts w:hint="eastAsia" w:ascii="宋体" w:hAnsi="宋体" w:cs="宋体"/>
          <w:sz w:val="24"/>
        </w:rPr>
        <w:t>11、投标报价中须包含参考更换配件的采购、安装、人工、利润、税金等全部费用；质保期内中标人应免费更换故障配件；</w:t>
      </w:r>
    </w:p>
    <w:p w14:paraId="3B398D22">
      <w:pPr>
        <w:spacing w:line="360" w:lineRule="auto"/>
        <w:ind w:firstLine="480" w:firstLineChars="200"/>
        <w:rPr>
          <w:rFonts w:hint="eastAsia" w:ascii="宋体" w:hAnsi="宋体" w:cs="宋体"/>
          <w:sz w:val="24"/>
        </w:rPr>
      </w:pPr>
      <w:r>
        <w:rPr>
          <w:rFonts w:hint="eastAsia" w:ascii="宋体" w:hAnsi="宋体" w:cs="宋体"/>
          <w:sz w:val="24"/>
        </w:rPr>
        <w:t>12、投标时供应商应按本项目服务要求编制项目服务承诺书，在中标后10个工作日内提交详细的项目《实施组织方案》，《实施组织方案》通过招标方组织的审查后方可实施。</w:t>
      </w:r>
    </w:p>
    <w:p w14:paraId="29E81FF4">
      <w:pPr>
        <w:spacing w:line="360" w:lineRule="auto"/>
        <w:rPr>
          <w:rFonts w:ascii="Calibri" w:hAnsi="Calibri"/>
          <w:b/>
          <w:color w:val="000000"/>
          <w:sz w:val="24"/>
        </w:rPr>
      </w:pPr>
      <w:r>
        <w:rPr>
          <w:rFonts w:hint="eastAsia" w:ascii="Calibri" w:hAnsi="Calibri"/>
          <w:b/>
          <w:color w:val="000000"/>
          <w:sz w:val="24"/>
        </w:rPr>
        <w:t>二、其他服务要求</w:t>
      </w:r>
    </w:p>
    <w:p w14:paraId="491E9BDF">
      <w:pPr>
        <w:spacing w:line="360" w:lineRule="auto"/>
        <w:ind w:firstLine="480" w:firstLineChars="200"/>
        <w:rPr>
          <w:rFonts w:hint="eastAsia" w:ascii="宋体" w:hAnsi="宋体" w:cs="宋体"/>
          <w:sz w:val="24"/>
        </w:rPr>
      </w:pPr>
      <w:r>
        <w:rPr>
          <w:rFonts w:hint="eastAsia" w:ascii="宋体" w:hAnsi="宋体" w:cs="宋体"/>
          <w:sz w:val="24"/>
        </w:rPr>
        <w:t>1、投标供应商应规划整体工作方案，结合项目的实际情况，对旧件的整理和交付方案，对重难点有完善的解决方案等。并有针对性的做好质量保证、安全保证、进度保证等措施。</w:t>
      </w:r>
    </w:p>
    <w:p w14:paraId="364E97BF">
      <w:pPr>
        <w:spacing w:line="360" w:lineRule="auto"/>
        <w:ind w:firstLine="480" w:firstLineChars="200"/>
        <w:rPr>
          <w:rFonts w:hint="eastAsia" w:ascii="宋体" w:hAnsi="宋体" w:cs="宋体"/>
          <w:sz w:val="24"/>
        </w:rPr>
      </w:pPr>
      <w:r>
        <w:rPr>
          <w:rFonts w:hint="eastAsia" w:ascii="宋体" w:hAnsi="宋体" w:cs="宋体"/>
          <w:sz w:val="24"/>
        </w:rPr>
        <w:t>2、投标供应商应具有承接本项目的能力和相关经验，具备规范化的企业管理体系认证，有严格的内部管理制度。</w:t>
      </w:r>
    </w:p>
    <w:p w14:paraId="00205D25">
      <w:pPr>
        <w:spacing w:line="360" w:lineRule="auto"/>
        <w:ind w:firstLine="480" w:firstLineChars="200"/>
        <w:rPr>
          <w:rFonts w:hint="eastAsia" w:ascii="宋体" w:hAnsi="宋体" w:cs="宋体"/>
          <w:sz w:val="24"/>
        </w:rPr>
      </w:pPr>
      <w:r>
        <w:rPr>
          <w:rFonts w:hint="eastAsia" w:ascii="宋体" w:hAnsi="宋体" w:cs="宋体"/>
          <w:sz w:val="24"/>
        </w:rPr>
        <w:t>3、中标人应具有履行合同的必备设备设施，并根据采购人所提供仪器信息（</w:t>
      </w:r>
      <w:r>
        <w:rPr>
          <w:rFonts w:hint="eastAsia" w:ascii="宋体" w:hAnsi="宋体" w:cs="宋体"/>
          <w:b/>
          <w:bCs/>
          <w:sz w:val="24"/>
        </w:rPr>
        <w:t>见附件1监测仪器设施信息列表</w:t>
      </w:r>
      <w:r>
        <w:rPr>
          <w:rFonts w:hint="eastAsia" w:ascii="宋体" w:hAnsi="宋体" w:cs="宋体"/>
          <w:sz w:val="24"/>
        </w:rPr>
        <w:t>）开展维护工作，并保证仪器信息的安全、维修时保持监测仪器以及监测数据的原始性和真实性；</w:t>
      </w:r>
    </w:p>
    <w:p w14:paraId="74A21759">
      <w:pPr>
        <w:spacing w:line="360" w:lineRule="auto"/>
        <w:ind w:firstLine="480" w:firstLineChars="200"/>
        <w:rPr>
          <w:rFonts w:hint="eastAsia" w:ascii="宋体" w:hAnsi="宋体" w:cs="宋体"/>
          <w:sz w:val="24"/>
        </w:rPr>
      </w:pPr>
      <w:r>
        <w:rPr>
          <w:rFonts w:hint="eastAsia" w:ascii="宋体" w:hAnsi="宋体" w:cs="宋体"/>
          <w:sz w:val="24"/>
        </w:rPr>
        <w:t>4、中标人须安排1名专职工作人员负责定时检查监测系统仪器运行情况，并形成纸质记录；安排不低于9名具备熟练掌握系统运行原理、仪器维修、配件更换及参数配置的专业技术人员参与野外专业监测仪器维护工作；还需配备相应的掌上移动设备（用于安装“北京地灾” APP）、车辆和维修装备；</w:t>
      </w:r>
    </w:p>
    <w:p w14:paraId="0966B968">
      <w:pPr>
        <w:spacing w:line="360" w:lineRule="auto"/>
        <w:ind w:firstLine="480" w:firstLineChars="200"/>
        <w:rPr>
          <w:rFonts w:hint="eastAsia" w:ascii="宋体" w:hAnsi="宋体" w:cs="宋体"/>
          <w:sz w:val="24"/>
        </w:rPr>
      </w:pPr>
      <w:r>
        <w:rPr>
          <w:rFonts w:hint="eastAsia" w:ascii="宋体" w:hAnsi="宋体" w:cs="宋体"/>
          <w:sz w:val="24"/>
        </w:rPr>
        <w:t>5、中标人应配合采购人完成与本包工作相关任务，并有义务对采购人所提出的仪器相关问题进行解答。</w:t>
      </w:r>
    </w:p>
    <w:p w14:paraId="44E38740">
      <w:pPr>
        <w:spacing w:line="360" w:lineRule="auto"/>
        <w:rPr>
          <w:rFonts w:ascii="Calibri" w:hAnsi="Calibri"/>
          <w:b/>
          <w:color w:val="000000"/>
          <w:sz w:val="24"/>
        </w:rPr>
      </w:pPr>
      <w:r>
        <w:rPr>
          <w:rFonts w:hint="eastAsia" w:ascii="Calibri" w:hAnsi="Calibri"/>
          <w:b/>
          <w:color w:val="000000"/>
          <w:sz w:val="24"/>
        </w:rPr>
        <w:t>三、成果要求</w:t>
      </w:r>
    </w:p>
    <w:p w14:paraId="67C86C21">
      <w:pPr>
        <w:spacing w:line="360" w:lineRule="auto"/>
        <w:ind w:firstLine="480" w:firstLineChars="200"/>
        <w:rPr>
          <w:rFonts w:hint="eastAsia" w:ascii="宋体" w:hAnsi="宋体" w:cs="宋体"/>
          <w:sz w:val="24"/>
        </w:rPr>
      </w:pPr>
      <w:bookmarkStart w:id="827" w:name="_Hlk99011975"/>
      <w:bookmarkStart w:id="828" w:name="_Hlk98777410"/>
      <w:r>
        <w:rPr>
          <w:rFonts w:hint="eastAsia" w:ascii="宋体" w:hAnsi="宋体" w:cs="宋体"/>
          <w:sz w:val="24"/>
        </w:rPr>
        <w:t>1、汛</w:t>
      </w:r>
      <w:bookmarkStart w:id="829" w:name="_Hlk99006797"/>
      <w:r>
        <w:rPr>
          <w:rFonts w:hint="eastAsia" w:ascii="宋体" w:hAnsi="宋体" w:cs="宋体"/>
          <w:sz w:val="24"/>
        </w:rPr>
        <w:t>前、汛后维护结束后须按采购人规定时间及格式提交经相关专家评审通过后的汛前维护报告、汛后维护报告、维修报告和维护总报告；</w:t>
      </w:r>
    </w:p>
    <w:p w14:paraId="0EE90B94">
      <w:pPr>
        <w:spacing w:line="360" w:lineRule="auto"/>
        <w:ind w:firstLine="480" w:firstLineChars="200"/>
        <w:rPr>
          <w:rFonts w:hint="eastAsia" w:ascii="宋体" w:hAnsi="宋体" w:cs="宋体"/>
          <w:sz w:val="24"/>
        </w:rPr>
      </w:pPr>
      <w:r>
        <w:rPr>
          <w:rFonts w:hint="eastAsia" w:ascii="宋体" w:hAnsi="宋体" w:cs="宋体"/>
          <w:sz w:val="24"/>
        </w:rPr>
        <w:t>2、汛前、汛后开展维护工作应填写仪器维护记录表和仪器维修记录表（</w:t>
      </w:r>
      <w:r>
        <w:rPr>
          <w:rFonts w:hint="eastAsia" w:ascii="宋体" w:hAnsi="宋体" w:cs="宋体"/>
          <w:b/>
          <w:bCs/>
          <w:sz w:val="24"/>
        </w:rPr>
        <w:t>见附件2监测仪器设施维护记录表和附件3监测仪器设施维修记录表</w:t>
      </w:r>
      <w:r>
        <w:rPr>
          <w:rFonts w:hint="eastAsia" w:ascii="宋体" w:hAnsi="宋体" w:cs="宋体"/>
          <w:sz w:val="24"/>
        </w:rPr>
        <w:t>）；汛期开展维修工作时应填写仪器维修记录表（</w:t>
      </w:r>
      <w:r>
        <w:rPr>
          <w:rFonts w:hint="eastAsia" w:ascii="宋体" w:hAnsi="宋体" w:cs="宋体"/>
          <w:b/>
          <w:bCs/>
          <w:sz w:val="24"/>
        </w:rPr>
        <w:t>见附件3监测仪器设施维修记录表</w:t>
      </w:r>
      <w:r>
        <w:rPr>
          <w:rFonts w:hint="eastAsia" w:ascii="宋体" w:hAnsi="宋体" w:cs="宋体"/>
          <w:sz w:val="24"/>
        </w:rPr>
        <w:t>）；</w:t>
      </w:r>
    </w:p>
    <w:bookmarkEnd w:id="827"/>
    <w:bookmarkEnd w:id="828"/>
    <w:bookmarkEnd w:id="829"/>
    <w:p w14:paraId="1D6DDB39">
      <w:pPr>
        <w:spacing w:line="360" w:lineRule="auto"/>
        <w:ind w:firstLine="480" w:firstLineChars="200"/>
        <w:rPr>
          <w:rFonts w:hint="eastAsia" w:ascii="宋体" w:hAnsi="宋体" w:cs="宋体"/>
          <w:sz w:val="24"/>
        </w:rPr>
      </w:pPr>
      <w:r>
        <w:rPr>
          <w:rFonts w:hint="eastAsia" w:ascii="宋体" w:hAnsi="宋体" w:cs="宋体"/>
          <w:sz w:val="24"/>
        </w:rPr>
        <w:t>3、仪器维护阶段性工作完成后，中标人需填写配件更换台账（</w:t>
      </w:r>
      <w:r>
        <w:rPr>
          <w:rFonts w:hint="eastAsia" w:ascii="宋体" w:hAnsi="宋体" w:cs="宋体"/>
          <w:b/>
          <w:bCs/>
          <w:sz w:val="24"/>
        </w:rPr>
        <w:t>见附件4监测仪器设施配件更换登记表</w:t>
      </w:r>
      <w:r>
        <w:rPr>
          <w:rFonts w:hint="eastAsia" w:ascii="宋体" w:hAnsi="宋体" w:cs="宋体"/>
          <w:sz w:val="24"/>
        </w:rPr>
        <w:t>）；</w:t>
      </w:r>
    </w:p>
    <w:p w14:paraId="1A7FE4DD">
      <w:pPr>
        <w:spacing w:line="360" w:lineRule="auto"/>
        <w:ind w:firstLine="480" w:firstLineChars="200"/>
        <w:rPr>
          <w:rFonts w:hint="eastAsia" w:ascii="宋体" w:hAnsi="宋体" w:cs="宋体"/>
          <w:sz w:val="24"/>
        </w:rPr>
      </w:pPr>
      <w:r>
        <w:rPr>
          <w:rFonts w:hint="eastAsia" w:ascii="宋体" w:hAnsi="宋体" w:cs="宋体"/>
          <w:sz w:val="24"/>
        </w:rPr>
        <w:t>4、GNSS基准点校准后需提交相应报告；</w:t>
      </w:r>
    </w:p>
    <w:p w14:paraId="377BACE1">
      <w:pPr>
        <w:spacing w:line="360" w:lineRule="auto"/>
        <w:ind w:firstLine="480" w:firstLineChars="200"/>
        <w:rPr>
          <w:rFonts w:hint="eastAsia" w:ascii="宋体" w:hAnsi="宋体" w:cs="宋体"/>
          <w:sz w:val="24"/>
        </w:rPr>
      </w:pPr>
      <w:r>
        <w:rPr>
          <w:rFonts w:hint="eastAsia" w:ascii="宋体" w:hAnsi="宋体" w:cs="宋体"/>
          <w:sz w:val="24"/>
        </w:rPr>
        <w:t>5、以上成果形式分为纸质和电子化两种。</w:t>
      </w:r>
    </w:p>
    <w:p w14:paraId="1EA40F3A">
      <w:pPr>
        <w:spacing w:line="360" w:lineRule="auto"/>
        <w:rPr>
          <w:rFonts w:ascii="Calibri" w:hAnsi="Calibri"/>
          <w:b/>
          <w:color w:val="000000"/>
          <w:sz w:val="24"/>
        </w:rPr>
      </w:pPr>
      <w:r>
        <w:rPr>
          <w:rFonts w:hint="eastAsia" w:ascii="Calibri" w:hAnsi="Calibri"/>
          <w:b/>
          <w:color w:val="000000"/>
          <w:sz w:val="24"/>
        </w:rPr>
        <w:t>四、质量保证期要求</w:t>
      </w:r>
    </w:p>
    <w:p w14:paraId="16E8F598">
      <w:pPr>
        <w:spacing w:line="360" w:lineRule="auto"/>
        <w:ind w:firstLine="417" w:firstLineChars="174"/>
        <w:rPr>
          <w:rFonts w:hint="eastAsia" w:ascii="宋体" w:hAnsi="宋体" w:cs="宋体"/>
          <w:sz w:val="24"/>
        </w:rPr>
      </w:pPr>
      <w:r>
        <w:rPr>
          <w:rFonts w:hint="eastAsia" w:ascii="宋体" w:hAnsi="宋体" w:cs="宋体"/>
          <w:sz w:val="24"/>
        </w:rPr>
        <w:t>详见“</w:t>
      </w:r>
      <w:r>
        <w:rPr>
          <w:rFonts w:hint="eastAsia" w:ascii="宋体" w:hAnsi="宋体" w:cs="宋体"/>
          <w:b/>
          <w:bCs/>
          <w:sz w:val="24"/>
        </w:rPr>
        <w:t>附件5仪器配件技术参数及维修要求</w:t>
      </w:r>
      <w:r>
        <w:rPr>
          <w:rFonts w:hint="eastAsia" w:ascii="宋体" w:hAnsi="宋体" w:cs="宋体"/>
          <w:sz w:val="24"/>
        </w:rPr>
        <w:t>”。</w:t>
      </w:r>
    </w:p>
    <w:p w14:paraId="022293AD">
      <w:pPr>
        <w:spacing w:after="240" w:afterLines="100" w:line="360" w:lineRule="auto"/>
        <w:outlineLvl w:val="2"/>
        <w:rPr>
          <w:rFonts w:hint="eastAsia" w:ascii="宋体" w:hAnsi="宋体" w:cs="宋体"/>
          <w:b/>
          <w:color w:val="000000"/>
          <w:sz w:val="24"/>
        </w:rPr>
      </w:pPr>
      <w:r>
        <w:rPr>
          <w:rFonts w:hint="eastAsia" w:ascii="宋体" w:hAnsi="宋体" w:cs="宋体"/>
          <w:sz w:val="24"/>
        </w:rPr>
        <w:br w:type="page"/>
      </w:r>
      <w:r>
        <w:rPr>
          <w:rFonts w:hint="eastAsia" w:ascii="宋体" w:hAnsi="宋体" w:cs="宋体"/>
          <w:b/>
          <w:color w:val="000000"/>
          <w:sz w:val="24"/>
        </w:rPr>
        <w:t>第四包：</w:t>
      </w:r>
    </w:p>
    <w:p w14:paraId="038803F5">
      <w:pPr>
        <w:spacing w:line="360" w:lineRule="auto"/>
        <w:rPr>
          <w:rFonts w:hint="eastAsia" w:ascii="宋体" w:hAnsi="宋体" w:cs="宋体"/>
          <w:b/>
          <w:sz w:val="24"/>
        </w:rPr>
      </w:pPr>
      <w:r>
        <w:rPr>
          <w:rFonts w:hint="eastAsia" w:ascii="宋体" w:hAnsi="宋体" w:cs="宋体"/>
          <w:b/>
          <w:sz w:val="24"/>
        </w:rPr>
        <w:t>一、项目背景</w:t>
      </w:r>
    </w:p>
    <w:p w14:paraId="140C72A6">
      <w:pPr>
        <w:spacing w:line="360" w:lineRule="auto"/>
        <w:ind w:firstLine="480" w:firstLineChars="200"/>
        <w:rPr>
          <w:rFonts w:hint="eastAsia" w:ascii="宋体" w:hAnsi="宋体" w:cs="宋体"/>
          <w:sz w:val="24"/>
        </w:rPr>
      </w:pPr>
      <w:r>
        <w:rPr>
          <w:rFonts w:hint="eastAsia" w:ascii="宋体" w:hAnsi="宋体" w:cs="宋体"/>
          <w:sz w:val="24"/>
        </w:rPr>
        <w:t>北京市突发地质灾害监测预警系统工程项目已建成2个数据中心、4个监测站数据中心，根据任务书要求本次招标仅对北京市地质灾害防治研究所数据中心及门头沟、密云监测站数据中心进行运行维护工作，包括但不限于机房环境运行维护、硬件设备运行维护、网络设备运行维护以及安全设备的运行维护工作，确保数据中心各设备正常运行，招标人对北京市地质灾害防治研究所数据中心及门头沟、密云监测站数据中心运行维护进行2026年的招标工作。</w:t>
      </w:r>
    </w:p>
    <w:p w14:paraId="3C970DF5">
      <w:pPr>
        <w:spacing w:line="360" w:lineRule="auto"/>
        <w:rPr>
          <w:rFonts w:hint="eastAsia" w:ascii="宋体" w:hAnsi="宋体" w:cs="宋体"/>
          <w:b/>
          <w:sz w:val="24"/>
        </w:rPr>
      </w:pPr>
      <w:r>
        <w:rPr>
          <w:rFonts w:hint="eastAsia" w:ascii="宋体" w:hAnsi="宋体" w:cs="宋体"/>
          <w:b/>
          <w:sz w:val="24"/>
        </w:rPr>
        <w:t>二、运行维护要求</w:t>
      </w:r>
    </w:p>
    <w:p w14:paraId="09FF3B6C">
      <w:pPr>
        <w:autoSpaceDE w:val="0"/>
        <w:autoSpaceDN w:val="0"/>
        <w:adjustRightInd w:val="0"/>
        <w:spacing w:line="360" w:lineRule="auto"/>
        <w:ind w:firstLine="420"/>
        <w:jc w:val="left"/>
        <w:rPr>
          <w:rFonts w:hint="eastAsia" w:ascii="宋体" w:hAnsi="宋体" w:cs="宋体"/>
          <w:sz w:val="24"/>
        </w:rPr>
      </w:pPr>
      <w:r>
        <w:rPr>
          <w:rFonts w:hint="eastAsia" w:ascii="宋体" w:hAnsi="宋体" w:cs="宋体"/>
          <w:sz w:val="24"/>
        </w:rPr>
        <w:t>（一）运行维护范围</w:t>
      </w:r>
    </w:p>
    <w:p w14:paraId="1F975E13">
      <w:pPr>
        <w:autoSpaceDE w:val="0"/>
        <w:autoSpaceDN w:val="0"/>
        <w:adjustRightInd w:val="0"/>
        <w:spacing w:line="360" w:lineRule="auto"/>
        <w:ind w:firstLine="420"/>
        <w:jc w:val="left"/>
        <w:rPr>
          <w:rFonts w:hint="eastAsia" w:ascii="宋体" w:hAnsi="宋体" w:cs="宋体"/>
          <w:sz w:val="24"/>
        </w:rPr>
      </w:pPr>
      <w:r>
        <w:rPr>
          <w:rFonts w:hint="eastAsia" w:ascii="宋体" w:hAnsi="宋体" w:cs="宋体"/>
          <w:sz w:val="24"/>
        </w:rPr>
        <w:t>数据中心运行维护服务包含机房基础设施（机房环境、UPS、空调、消防、新风等设备）运行维护服务、服务器（含磁盘存储）设备运行维护服务、网络设备运行维护服务、安全设备运行维护服务。</w:t>
      </w:r>
    </w:p>
    <w:p w14:paraId="0D00CF74">
      <w:pPr>
        <w:autoSpaceDE w:val="0"/>
        <w:autoSpaceDN w:val="0"/>
        <w:adjustRightInd w:val="0"/>
        <w:spacing w:line="360" w:lineRule="auto"/>
        <w:ind w:firstLine="420"/>
        <w:jc w:val="left"/>
        <w:rPr>
          <w:rFonts w:hint="eastAsia" w:ascii="宋体" w:hAnsi="宋体" w:cs="宋体"/>
          <w:sz w:val="24"/>
        </w:rPr>
      </w:pPr>
      <w:r>
        <w:rPr>
          <w:rFonts w:hint="eastAsia" w:ascii="宋体" w:hAnsi="宋体" w:cs="宋体"/>
          <w:sz w:val="24"/>
        </w:rPr>
        <w:t>（二）总体要求</w:t>
      </w:r>
    </w:p>
    <w:p w14:paraId="732352BB">
      <w:pPr>
        <w:spacing w:line="360" w:lineRule="auto"/>
        <w:ind w:firstLine="480" w:firstLineChars="200"/>
        <w:rPr>
          <w:rFonts w:hint="eastAsia" w:ascii="宋体" w:hAnsi="宋体" w:cs="宋体"/>
          <w:sz w:val="24"/>
        </w:rPr>
      </w:pPr>
      <w:r>
        <w:rPr>
          <w:rFonts w:hint="eastAsia" w:ascii="宋体" w:hAnsi="宋体" w:cs="宋体"/>
          <w:sz w:val="24"/>
        </w:rPr>
        <w:t>1.制定运维方案。包括硬件备件准备方案，日常运维工作内容、日常运维岗位职责、系统日常维护操作手册、网络系统及设备日常运行监控方案等内容，以及应急预案制定。中标人要有标准完善的支持服务流程、问题升级流程、配件管理及递送流程，以保障其服务质量。</w:t>
      </w:r>
    </w:p>
    <w:p w14:paraId="2D29B59D">
      <w:pPr>
        <w:spacing w:line="360" w:lineRule="auto"/>
        <w:ind w:firstLine="480" w:firstLineChars="200"/>
        <w:rPr>
          <w:rFonts w:hint="eastAsia" w:ascii="宋体" w:hAnsi="宋体" w:cs="宋体"/>
          <w:sz w:val="24"/>
        </w:rPr>
      </w:pPr>
      <w:r>
        <w:rPr>
          <w:rFonts w:hint="eastAsia" w:ascii="宋体" w:hAnsi="宋体" w:cs="宋体"/>
          <w:sz w:val="24"/>
        </w:rPr>
        <w:t>2.提交年度、季度运维服务报告。对运维人员管理、服务质量、日常处理、故障排查等情况进行总结和汇总。</w:t>
      </w:r>
    </w:p>
    <w:p w14:paraId="34290E3E">
      <w:pPr>
        <w:spacing w:line="360" w:lineRule="auto"/>
        <w:ind w:firstLine="480" w:firstLineChars="200"/>
        <w:rPr>
          <w:rFonts w:hint="eastAsia" w:ascii="宋体" w:hAnsi="宋体" w:cs="宋体"/>
          <w:sz w:val="24"/>
        </w:rPr>
      </w:pPr>
      <w:r>
        <w:rPr>
          <w:rFonts w:hint="eastAsia" w:ascii="宋体" w:hAnsi="宋体" w:cs="宋体"/>
          <w:sz w:val="24"/>
        </w:rPr>
        <w:t>3.资料归档。运行维护服务期结束时，将项目的全部文件、日志、报告等文档汇集成册交付采购人归档。</w:t>
      </w:r>
    </w:p>
    <w:p w14:paraId="261441EF">
      <w:pPr>
        <w:spacing w:line="360" w:lineRule="auto"/>
        <w:ind w:firstLine="480" w:firstLineChars="200"/>
        <w:rPr>
          <w:rFonts w:hint="eastAsia" w:ascii="宋体" w:hAnsi="宋体" w:cs="宋体"/>
          <w:sz w:val="24"/>
        </w:rPr>
      </w:pPr>
      <w:r>
        <w:rPr>
          <w:rFonts w:hint="eastAsia" w:ascii="宋体" w:hAnsi="宋体" w:cs="宋体"/>
          <w:sz w:val="24"/>
        </w:rPr>
        <w:t>4.报告总结制度。中标人应每季度向采购人提供一份技术支持服务总结报告，总结经验并找出存在问题，分析总结故障及处理情况，分析设备环境运行状况，提出维护服务工作改进意见，对工作情况和服务质量进行总结评价。</w:t>
      </w:r>
    </w:p>
    <w:p w14:paraId="72322664">
      <w:pPr>
        <w:spacing w:line="360" w:lineRule="auto"/>
        <w:rPr>
          <w:rFonts w:hint="eastAsia" w:ascii="宋体" w:hAnsi="宋体" w:cs="宋体"/>
          <w:b/>
          <w:sz w:val="24"/>
        </w:rPr>
      </w:pPr>
      <w:r>
        <w:rPr>
          <w:rFonts w:hint="eastAsia" w:ascii="宋体" w:hAnsi="宋体" w:cs="宋体"/>
          <w:b/>
          <w:sz w:val="24"/>
        </w:rPr>
        <w:t>三、项目时间</w:t>
      </w:r>
    </w:p>
    <w:p w14:paraId="08F7CFDB">
      <w:pPr>
        <w:spacing w:line="360" w:lineRule="auto"/>
        <w:ind w:firstLine="480" w:firstLineChars="200"/>
        <w:rPr>
          <w:rFonts w:hint="eastAsia" w:ascii="宋体" w:hAnsi="宋体" w:cs="宋体"/>
          <w:sz w:val="24"/>
        </w:rPr>
      </w:pPr>
      <w:r>
        <w:rPr>
          <w:rFonts w:hint="eastAsia" w:ascii="宋体" w:hAnsi="宋体" w:cs="宋体"/>
          <w:sz w:val="24"/>
        </w:rPr>
        <w:t>合同签订之日起至2026 年12月31日。</w:t>
      </w:r>
    </w:p>
    <w:p w14:paraId="25EDAC0C">
      <w:pPr>
        <w:spacing w:line="360" w:lineRule="auto"/>
        <w:ind w:firstLine="480" w:firstLineChars="200"/>
        <w:rPr>
          <w:rFonts w:hint="eastAsia" w:ascii="宋体" w:hAnsi="宋体" w:cs="宋体"/>
          <w:sz w:val="24"/>
        </w:rPr>
      </w:pPr>
    </w:p>
    <w:p w14:paraId="29EE17A3">
      <w:pPr>
        <w:spacing w:line="360" w:lineRule="auto"/>
        <w:ind w:firstLine="480" w:firstLineChars="200"/>
        <w:rPr>
          <w:rFonts w:hint="eastAsia" w:ascii="宋体" w:hAnsi="宋体" w:cs="宋体"/>
          <w:sz w:val="24"/>
        </w:rPr>
      </w:pPr>
    </w:p>
    <w:p w14:paraId="2E0D8270">
      <w:pPr>
        <w:spacing w:line="360" w:lineRule="auto"/>
        <w:rPr>
          <w:rFonts w:hint="eastAsia" w:ascii="宋体" w:hAnsi="宋体" w:cs="宋体"/>
          <w:b/>
          <w:sz w:val="24"/>
        </w:rPr>
      </w:pPr>
      <w:r>
        <w:rPr>
          <w:rFonts w:hint="eastAsia" w:ascii="宋体" w:hAnsi="宋体" w:cs="宋体"/>
          <w:b/>
          <w:sz w:val="24"/>
        </w:rPr>
        <w:t>四、服务清单</w:t>
      </w:r>
    </w:p>
    <w:p w14:paraId="5751BB55">
      <w:pPr>
        <w:jc w:val="center"/>
        <w:rPr>
          <w:rFonts w:hint="eastAsia" w:ascii="宋体" w:hAnsi="宋体"/>
          <w:b/>
          <w:sz w:val="24"/>
        </w:rPr>
      </w:pPr>
      <w:r>
        <w:rPr>
          <w:rFonts w:hint="eastAsia" w:ascii="宋体" w:hAnsi="宋体"/>
          <w:b/>
          <w:sz w:val="24"/>
        </w:rPr>
        <w:t>表4-1 地质灾害防治研究所数据中心机房</w:t>
      </w:r>
    </w:p>
    <w:tbl>
      <w:tblPr>
        <w:tblStyle w:val="42"/>
        <w:tblW w:w="9055" w:type="dxa"/>
        <w:tblInd w:w="118" w:type="dxa"/>
        <w:tblLayout w:type="fixed"/>
        <w:tblCellMar>
          <w:top w:w="0" w:type="dxa"/>
          <w:left w:w="108" w:type="dxa"/>
          <w:bottom w:w="0" w:type="dxa"/>
          <w:right w:w="108" w:type="dxa"/>
        </w:tblCellMar>
      </w:tblPr>
      <w:tblGrid>
        <w:gridCol w:w="699"/>
        <w:gridCol w:w="1341"/>
        <w:gridCol w:w="1250"/>
        <w:gridCol w:w="4190"/>
        <w:gridCol w:w="809"/>
        <w:gridCol w:w="766"/>
      </w:tblGrid>
      <w:tr w14:paraId="52565F48">
        <w:tblPrEx>
          <w:tblCellMar>
            <w:top w:w="0" w:type="dxa"/>
            <w:left w:w="108" w:type="dxa"/>
            <w:bottom w:w="0" w:type="dxa"/>
            <w:right w:w="108" w:type="dxa"/>
          </w:tblCellMar>
        </w:tblPrEx>
        <w:trPr>
          <w:trHeight w:val="454" w:hRule="atLeast"/>
          <w:tblHeader/>
        </w:trPr>
        <w:tc>
          <w:tcPr>
            <w:tcW w:w="699" w:type="dxa"/>
            <w:vMerge w:val="restart"/>
            <w:tcBorders>
              <w:top w:val="single" w:color="auto" w:sz="8" w:space="0"/>
              <w:left w:val="single" w:color="auto" w:sz="8" w:space="0"/>
              <w:bottom w:val="single" w:color="000000" w:sz="8" w:space="0"/>
              <w:right w:val="single" w:color="auto" w:sz="8" w:space="0"/>
            </w:tcBorders>
            <w:vAlign w:val="center"/>
          </w:tcPr>
          <w:p w14:paraId="758C9201">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序号</w:t>
            </w:r>
          </w:p>
        </w:tc>
        <w:tc>
          <w:tcPr>
            <w:tcW w:w="1341" w:type="dxa"/>
            <w:vMerge w:val="restart"/>
            <w:tcBorders>
              <w:top w:val="single" w:color="auto" w:sz="8" w:space="0"/>
              <w:left w:val="single" w:color="auto" w:sz="8" w:space="0"/>
              <w:bottom w:val="single" w:color="000000" w:sz="8" w:space="0"/>
              <w:right w:val="single" w:color="auto" w:sz="8" w:space="0"/>
            </w:tcBorders>
            <w:vAlign w:val="center"/>
          </w:tcPr>
          <w:p w14:paraId="2CCA204F">
            <w:pPr>
              <w:widowControl/>
              <w:jc w:val="center"/>
              <w:rPr>
                <w:rFonts w:hint="eastAsia" w:ascii="宋体" w:hAnsi="宋体" w:cs="宋体"/>
                <w:b/>
                <w:bCs/>
                <w:color w:val="000000"/>
                <w:kern w:val="0"/>
                <w:sz w:val="24"/>
              </w:rPr>
            </w:pPr>
            <w:r>
              <w:rPr>
                <w:rFonts w:hint="eastAsia" w:ascii="宋体" w:hAnsi="宋体" w:cs="宋体"/>
                <w:b/>
                <w:bCs/>
                <w:color w:val="000000"/>
                <w:kern w:val="0"/>
                <w:sz w:val="24"/>
              </w:rPr>
              <w:t>运维类别</w:t>
            </w:r>
          </w:p>
        </w:tc>
        <w:tc>
          <w:tcPr>
            <w:tcW w:w="1250" w:type="dxa"/>
            <w:vMerge w:val="restart"/>
            <w:tcBorders>
              <w:top w:val="single" w:color="auto" w:sz="8" w:space="0"/>
              <w:left w:val="single" w:color="auto" w:sz="8" w:space="0"/>
              <w:bottom w:val="single" w:color="000000" w:sz="8" w:space="0"/>
              <w:right w:val="single" w:color="auto" w:sz="8" w:space="0"/>
            </w:tcBorders>
            <w:vAlign w:val="center"/>
          </w:tcPr>
          <w:p w14:paraId="6146388F">
            <w:pPr>
              <w:widowControl/>
              <w:jc w:val="center"/>
              <w:rPr>
                <w:rFonts w:hint="eastAsia" w:ascii="宋体" w:hAnsi="宋体" w:cs="宋体"/>
                <w:b/>
                <w:bCs/>
                <w:color w:val="000000"/>
                <w:kern w:val="0"/>
                <w:sz w:val="24"/>
              </w:rPr>
            </w:pPr>
            <w:r>
              <w:rPr>
                <w:rFonts w:hint="eastAsia" w:ascii="宋体" w:hAnsi="宋体" w:cs="宋体"/>
                <w:b/>
                <w:bCs/>
                <w:color w:val="000000"/>
                <w:kern w:val="0"/>
                <w:sz w:val="24"/>
              </w:rPr>
              <w:t>设备类型</w:t>
            </w:r>
          </w:p>
        </w:tc>
        <w:tc>
          <w:tcPr>
            <w:tcW w:w="4190" w:type="dxa"/>
            <w:vMerge w:val="restart"/>
            <w:tcBorders>
              <w:top w:val="single" w:color="auto" w:sz="8" w:space="0"/>
              <w:left w:val="single" w:color="auto" w:sz="8" w:space="0"/>
              <w:bottom w:val="single" w:color="000000" w:sz="8" w:space="0"/>
              <w:right w:val="single" w:color="auto" w:sz="8" w:space="0"/>
            </w:tcBorders>
            <w:vAlign w:val="center"/>
          </w:tcPr>
          <w:p w14:paraId="5DF4B930">
            <w:pPr>
              <w:widowControl/>
              <w:jc w:val="center"/>
              <w:rPr>
                <w:rFonts w:hint="eastAsia" w:ascii="宋体" w:hAnsi="宋体" w:cs="宋体"/>
                <w:b/>
                <w:bCs/>
                <w:color w:val="000000"/>
                <w:kern w:val="0"/>
                <w:sz w:val="24"/>
              </w:rPr>
            </w:pPr>
            <w:r>
              <w:rPr>
                <w:rFonts w:hint="eastAsia" w:ascii="宋体" w:hAnsi="宋体" w:cs="宋体"/>
                <w:b/>
                <w:bCs/>
                <w:color w:val="000000"/>
                <w:kern w:val="0"/>
                <w:sz w:val="24"/>
              </w:rPr>
              <w:t>运维内容</w:t>
            </w:r>
          </w:p>
        </w:tc>
        <w:tc>
          <w:tcPr>
            <w:tcW w:w="809" w:type="dxa"/>
            <w:vMerge w:val="restart"/>
            <w:tcBorders>
              <w:top w:val="single" w:color="auto" w:sz="8" w:space="0"/>
              <w:left w:val="single" w:color="auto" w:sz="8" w:space="0"/>
              <w:bottom w:val="single" w:color="000000" w:sz="8" w:space="0"/>
              <w:right w:val="single" w:color="auto" w:sz="8" w:space="0"/>
            </w:tcBorders>
            <w:vAlign w:val="center"/>
          </w:tcPr>
          <w:p w14:paraId="10714E37">
            <w:pPr>
              <w:widowControl/>
              <w:jc w:val="center"/>
              <w:rPr>
                <w:rFonts w:hint="eastAsia" w:ascii="宋体" w:hAnsi="宋体" w:cs="宋体"/>
                <w:b/>
                <w:bCs/>
                <w:color w:val="000000"/>
                <w:kern w:val="0"/>
                <w:sz w:val="24"/>
              </w:rPr>
            </w:pPr>
            <w:r>
              <w:rPr>
                <w:rFonts w:hint="eastAsia" w:ascii="宋体" w:hAnsi="宋体" w:cs="宋体"/>
                <w:b/>
                <w:bCs/>
                <w:color w:val="000000"/>
                <w:kern w:val="0"/>
                <w:sz w:val="24"/>
              </w:rPr>
              <w:t>数量</w:t>
            </w:r>
          </w:p>
        </w:tc>
        <w:tc>
          <w:tcPr>
            <w:tcW w:w="766" w:type="dxa"/>
            <w:vMerge w:val="restart"/>
            <w:tcBorders>
              <w:top w:val="single" w:color="auto" w:sz="8" w:space="0"/>
              <w:left w:val="single" w:color="auto" w:sz="8" w:space="0"/>
              <w:bottom w:val="single" w:color="000000" w:sz="8" w:space="0"/>
              <w:right w:val="single" w:color="auto" w:sz="8" w:space="0"/>
            </w:tcBorders>
            <w:vAlign w:val="center"/>
          </w:tcPr>
          <w:p w14:paraId="65D25D69">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单位</w:t>
            </w:r>
          </w:p>
        </w:tc>
      </w:tr>
      <w:tr w14:paraId="48946FC5">
        <w:tblPrEx>
          <w:tblCellMar>
            <w:top w:w="0" w:type="dxa"/>
            <w:left w:w="108" w:type="dxa"/>
            <w:bottom w:w="0" w:type="dxa"/>
            <w:right w:w="108" w:type="dxa"/>
          </w:tblCellMar>
        </w:tblPrEx>
        <w:trPr>
          <w:trHeight w:val="312" w:hRule="atLeast"/>
        </w:trPr>
        <w:tc>
          <w:tcPr>
            <w:tcW w:w="699" w:type="dxa"/>
            <w:vMerge w:val="continue"/>
            <w:tcBorders>
              <w:top w:val="single" w:color="auto" w:sz="8" w:space="0"/>
              <w:left w:val="single" w:color="auto" w:sz="8" w:space="0"/>
              <w:bottom w:val="single" w:color="000000" w:sz="8" w:space="0"/>
              <w:right w:val="single" w:color="auto" w:sz="8" w:space="0"/>
            </w:tcBorders>
            <w:vAlign w:val="center"/>
          </w:tcPr>
          <w:p w14:paraId="56923AB3">
            <w:pPr>
              <w:widowControl/>
              <w:jc w:val="left"/>
              <w:rPr>
                <w:rFonts w:hint="eastAsia" w:ascii="宋体" w:hAnsi="宋体" w:cs="宋体"/>
                <w:b/>
                <w:bCs/>
                <w:color w:val="000000"/>
                <w:kern w:val="0"/>
                <w:sz w:val="24"/>
              </w:rPr>
            </w:pPr>
          </w:p>
        </w:tc>
        <w:tc>
          <w:tcPr>
            <w:tcW w:w="1341" w:type="dxa"/>
            <w:vMerge w:val="continue"/>
            <w:tcBorders>
              <w:top w:val="single" w:color="auto" w:sz="8" w:space="0"/>
              <w:left w:val="single" w:color="auto" w:sz="8" w:space="0"/>
              <w:bottom w:val="single" w:color="000000" w:sz="8" w:space="0"/>
              <w:right w:val="single" w:color="auto" w:sz="8" w:space="0"/>
            </w:tcBorders>
            <w:vAlign w:val="center"/>
          </w:tcPr>
          <w:p w14:paraId="42E2D44C">
            <w:pPr>
              <w:widowControl/>
              <w:jc w:val="left"/>
              <w:rPr>
                <w:rFonts w:hint="eastAsia" w:ascii="宋体" w:hAnsi="宋体" w:cs="宋体"/>
                <w:b/>
                <w:bCs/>
                <w:color w:val="000000"/>
                <w:kern w:val="0"/>
                <w:sz w:val="24"/>
              </w:rPr>
            </w:pPr>
          </w:p>
        </w:tc>
        <w:tc>
          <w:tcPr>
            <w:tcW w:w="1250" w:type="dxa"/>
            <w:vMerge w:val="continue"/>
            <w:tcBorders>
              <w:top w:val="single" w:color="auto" w:sz="8" w:space="0"/>
              <w:left w:val="single" w:color="auto" w:sz="8" w:space="0"/>
              <w:bottom w:val="single" w:color="000000" w:sz="8" w:space="0"/>
              <w:right w:val="single" w:color="auto" w:sz="8" w:space="0"/>
            </w:tcBorders>
            <w:vAlign w:val="center"/>
          </w:tcPr>
          <w:p w14:paraId="12F73756">
            <w:pPr>
              <w:widowControl/>
              <w:jc w:val="left"/>
              <w:rPr>
                <w:rFonts w:hint="eastAsia" w:ascii="宋体" w:hAnsi="宋体" w:cs="宋体"/>
                <w:b/>
                <w:bCs/>
                <w:color w:val="000000"/>
                <w:kern w:val="0"/>
                <w:sz w:val="24"/>
              </w:rPr>
            </w:pPr>
          </w:p>
        </w:tc>
        <w:tc>
          <w:tcPr>
            <w:tcW w:w="4190" w:type="dxa"/>
            <w:vMerge w:val="continue"/>
            <w:tcBorders>
              <w:top w:val="single" w:color="auto" w:sz="8" w:space="0"/>
              <w:left w:val="single" w:color="auto" w:sz="8" w:space="0"/>
              <w:bottom w:val="single" w:color="000000" w:sz="8" w:space="0"/>
              <w:right w:val="single" w:color="auto" w:sz="8" w:space="0"/>
            </w:tcBorders>
            <w:vAlign w:val="center"/>
          </w:tcPr>
          <w:p w14:paraId="31129BE9">
            <w:pPr>
              <w:widowControl/>
              <w:jc w:val="left"/>
              <w:rPr>
                <w:rFonts w:hint="eastAsia" w:ascii="宋体" w:hAnsi="宋体" w:cs="宋体"/>
                <w:b/>
                <w:bCs/>
                <w:color w:val="000000"/>
                <w:kern w:val="0"/>
                <w:sz w:val="24"/>
              </w:rPr>
            </w:pPr>
          </w:p>
        </w:tc>
        <w:tc>
          <w:tcPr>
            <w:tcW w:w="809" w:type="dxa"/>
            <w:vMerge w:val="continue"/>
            <w:tcBorders>
              <w:top w:val="single" w:color="auto" w:sz="8" w:space="0"/>
              <w:left w:val="single" w:color="auto" w:sz="8" w:space="0"/>
              <w:bottom w:val="single" w:color="000000" w:sz="8" w:space="0"/>
              <w:right w:val="single" w:color="auto" w:sz="8" w:space="0"/>
            </w:tcBorders>
            <w:vAlign w:val="center"/>
          </w:tcPr>
          <w:p w14:paraId="31F3FFEE">
            <w:pPr>
              <w:widowControl/>
              <w:jc w:val="left"/>
              <w:rPr>
                <w:rFonts w:hint="eastAsia" w:ascii="宋体" w:hAnsi="宋体" w:cs="宋体"/>
                <w:b/>
                <w:bCs/>
                <w:color w:val="000000"/>
                <w:kern w:val="0"/>
                <w:sz w:val="24"/>
              </w:rPr>
            </w:pPr>
          </w:p>
        </w:tc>
        <w:tc>
          <w:tcPr>
            <w:tcW w:w="766" w:type="dxa"/>
            <w:vMerge w:val="continue"/>
            <w:tcBorders>
              <w:top w:val="single" w:color="auto" w:sz="8" w:space="0"/>
              <w:left w:val="single" w:color="auto" w:sz="8" w:space="0"/>
              <w:bottom w:val="single" w:color="000000" w:sz="8" w:space="0"/>
              <w:right w:val="single" w:color="auto" w:sz="8" w:space="0"/>
            </w:tcBorders>
            <w:vAlign w:val="center"/>
          </w:tcPr>
          <w:p w14:paraId="78AE0F78">
            <w:pPr>
              <w:widowControl/>
              <w:jc w:val="left"/>
              <w:rPr>
                <w:rFonts w:hint="eastAsia" w:ascii="宋体" w:hAnsi="宋体" w:cs="宋体"/>
                <w:b/>
                <w:bCs/>
                <w:color w:val="000000"/>
                <w:kern w:val="0"/>
                <w:sz w:val="24"/>
              </w:rPr>
            </w:pPr>
          </w:p>
        </w:tc>
      </w:tr>
      <w:tr w14:paraId="0138E253">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0190B81B">
            <w:pPr>
              <w:widowControl/>
              <w:numPr>
                <w:ilvl w:val="0"/>
                <w:numId w:val="14"/>
              </w:numPr>
              <w:rPr>
                <w:rFonts w:hint="eastAsia" w:ascii="宋体" w:hAnsi="宋体" w:cs="宋体"/>
                <w:color w:val="000000"/>
                <w:kern w:val="0"/>
                <w:sz w:val="24"/>
              </w:rPr>
            </w:pPr>
          </w:p>
        </w:tc>
        <w:tc>
          <w:tcPr>
            <w:tcW w:w="1341" w:type="dxa"/>
            <w:vMerge w:val="restart"/>
            <w:tcBorders>
              <w:top w:val="nil"/>
              <w:left w:val="single" w:color="auto" w:sz="8" w:space="0"/>
              <w:right w:val="single" w:color="auto" w:sz="8" w:space="0"/>
            </w:tcBorders>
            <w:vAlign w:val="center"/>
          </w:tcPr>
          <w:p w14:paraId="27F387A0">
            <w:pPr>
              <w:widowControl/>
              <w:jc w:val="center"/>
              <w:rPr>
                <w:rFonts w:hint="eastAsia" w:ascii="宋体" w:hAnsi="宋体" w:cs="宋体"/>
                <w:color w:val="000000"/>
                <w:kern w:val="0"/>
                <w:sz w:val="24"/>
              </w:rPr>
            </w:pPr>
            <w:r>
              <w:rPr>
                <w:rFonts w:hint="eastAsia" w:ascii="宋体" w:hAnsi="宋体" w:cs="宋体"/>
                <w:color w:val="000000"/>
                <w:kern w:val="0"/>
                <w:sz w:val="24"/>
              </w:rPr>
              <w:t>硬件设备维护内容</w:t>
            </w:r>
          </w:p>
        </w:tc>
        <w:tc>
          <w:tcPr>
            <w:tcW w:w="1250" w:type="dxa"/>
            <w:tcBorders>
              <w:top w:val="nil"/>
              <w:left w:val="nil"/>
              <w:bottom w:val="single" w:color="auto" w:sz="8" w:space="0"/>
              <w:right w:val="single" w:color="auto" w:sz="8" w:space="0"/>
            </w:tcBorders>
            <w:vAlign w:val="center"/>
          </w:tcPr>
          <w:p w14:paraId="44A6D839">
            <w:pPr>
              <w:widowControl/>
              <w:jc w:val="center"/>
              <w:rPr>
                <w:rFonts w:hint="eastAsia" w:ascii="宋体" w:hAnsi="宋体" w:cs="宋体"/>
                <w:color w:val="000000"/>
                <w:kern w:val="0"/>
                <w:sz w:val="24"/>
              </w:rPr>
            </w:pPr>
            <w:r>
              <w:rPr>
                <w:rFonts w:hint="eastAsia" w:ascii="宋体" w:hAnsi="宋体" w:cs="宋体"/>
                <w:color w:val="000000"/>
                <w:kern w:val="0"/>
                <w:sz w:val="24"/>
              </w:rPr>
              <w:t>服务器</w:t>
            </w:r>
          </w:p>
        </w:tc>
        <w:tc>
          <w:tcPr>
            <w:tcW w:w="4190" w:type="dxa"/>
            <w:tcBorders>
              <w:top w:val="nil"/>
              <w:left w:val="nil"/>
              <w:bottom w:val="single" w:color="auto" w:sz="8" w:space="0"/>
              <w:right w:val="single" w:color="auto" w:sz="8" w:space="0"/>
            </w:tcBorders>
            <w:vAlign w:val="center"/>
          </w:tcPr>
          <w:p w14:paraId="4FC1D28B">
            <w:pPr>
              <w:widowControl/>
              <w:jc w:val="left"/>
              <w:rPr>
                <w:rFonts w:hint="eastAsia" w:ascii="宋体" w:hAnsi="宋体" w:cs="宋体"/>
                <w:color w:val="000000"/>
                <w:kern w:val="0"/>
                <w:sz w:val="24"/>
              </w:rPr>
            </w:pPr>
            <w:r>
              <w:rPr>
                <w:rFonts w:hint="eastAsia" w:ascii="宋体" w:hAnsi="宋体" w:cs="宋体"/>
                <w:color w:val="000000"/>
                <w:kern w:val="0"/>
                <w:sz w:val="24"/>
              </w:rPr>
              <w:t>清洁保养，清除机箱、滤清器内的灰尘与异物；系统优化，协助客户对进行系统性能调整和系统优化，提高系统效率。设备合计约＞20台。</w:t>
            </w:r>
          </w:p>
        </w:tc>
        <w:tc>
          <w:tcPr>
            <w:tcW w:w="809" w:type="dxa"/>
            <w:tcBorders>
              <w:top w:val="nil"/>
              <w:left w:val="nil"/>
              <w:bottom w:val="single" w:color="auto" w:sz="8" w:space="0"/>
              <w:right w:val="single" w:color="auto" w:sz="8" w:space="0"/>
            </w:tcBorders>
            <w:vAlign w:val="center"/>
          </w:tcPr>
          <w:p w14:paraId="59B6F9C2">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766" w:type="dxa"/>
            <w:tcBorders>
              <w:top w:val="nil"/>
              <w:left w:val="nil"/>
              <w:bottom w:val="single" w:color="auto" w:sz="8" w:space="0"/>
              <w:right w:val="single" w:color="auto" w:sz="8" w:space="0"/>
            </w:tcBorders>
            <w:vAlign w:val="center"/>
          </w:tcPr>
          <w:p w14:paraId="5B986A75">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582C6286">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7E4F3921">
            <w:pPr>
              <w:widowControl/>
              <w:numPr>
                <w:ilvl w:val="0"/>
                <w:numId w:val="14"/>
              </w:numPr>
              <w:jc w:val="center"/>
              <w:rPr>
                <w:rFonts w:hint="eastAsia" w:ascii="宋体" w:hAnsi="宋体" w:cs="宋体"/>
                <w:color w:val="000000"/>
                <w:kern w:val="0"/>
                <w:sz w:val="24"/>
              </w:rPr>
            </w:pPr>
          </w:p>
        </w:tc>
        <w:tc>
          <w:tcPr>
            <w:tcW w:w="1341" w:type="dxa"/>
            <w:vMerge w:val="continue"/>
            <w:tcBorders>
              <w:left w:val="single" w:color="auto" w:sz="8" w:space="0"/>
              <w:right w:val="single" w:color="auto" w:sz="8" w:space="0"/>
            </w:tcBorders>
            <w:vAlign w:val="center"/>
          </w:tcPr>
          <w:p w14:paraId="404FA2EC">
            <w:pPr>
              <w:widowControl/>
              <w:jc w:val="left"/>
              <w:rPr>
                <w:rFonts w:hint="eastAsia" w:ascii="宋体" w:hAnsi="宋体" w:cs="宋体"/>
                <w:color w:val="000000"/>
                <w:kern w:val="0"/>
                <w:sz w:val="24"/>
              </w:rPr>
            </w:pPr>
          </w:p>
        </w:tc>
        <w:tc>
          <w:tcPr>
            <w:tcW w:w="1250" w:type="dxa"/>
            <w:vMerge w:val="restart"/>
            <w:tcBorders>
              <w:top w:val="nil"/>
              <w:left w:val="single" w:color="auto" w:sz="8" w:space="0"/>
              <w:bottom w:val="single" w:color="000000" w:sz="8" w:space="0"/>
              <w:right w:val="single" w:color="auto" w:sz="8" w:space="0"/>
            </w:tcBorders>
            <w:vAlign w:val="center"/>
          </w:tcPr>
          <w:p w14:paraId="4A2A0762">
            <w:pPr>
              <w:widowControl/>
              <w:jc w:val="center"/>
              <w:rPr>
                <w:rFonts w:hint="eastAsia" w:ascii="宋体" w:hAnsi="宋体" w:cs="宋体"/>
                <w:color w:val="000000"/>
                <w:kern w:val="0"/>
                <w:sz w:val="24"/>
              </w:rPr>
            </w:pPr>
            <w:r>
              <w:rPr>
                <w:rFonts w:hint="eastAsia" w:ascii="宋体" w:hAnsi="宋体" w:cs="宋体"/>
                <w:color w:val="000000"/>
                <w:kern w:val="0"/>
                <w:sz w:val="24"/>
              </w:rPr>
              <w:t>磁盘存储</w:t>
            </w:r>
          </w:p>
        </w:tc>
        <w:tc>
          <w:tcPr>
            <w:tcW w:w="4190" w:type="dxa"/>
            <w:tcBorders>
              <w:top w:val="nil"/>
              <w:left w:val="nil"/>
              <w:bottom w:val="single" w:color="auto" w:sz="8" w:space="0"/>
              <w:right w:val="single" w:color="auto" w:sz="8" w:space="0"/>
            </w:tcBorders>
            <w:vAlign w:val="center"/>
          </w:tcPr>
          <w:p w14:paraId="496A17AA">
            <w:pPr>
              <w:widowControl/>
              <w:jc w:val="left"/>
              <w:rPr>
                <w:rFonts w:hint="eastAsia" w:ascii="宋体" w:hAnsi="宋体" w:cs="宋体"/>
                <w:color w:val="000000"/>
                <w:kern w:val="0"/>
                <w:sz w:val="24"/>
              </w:rPr>
            </w:pPr>
            <w:r>
              <w:rPr>
                <w:rFonts w:hint="eastAsia" w:ascii="宋体" w:hAnsi="宋体" w:cs="宋体"/>
                <w:color w:val="000000"/>
                <w:kern w:val="0"/>
                <w:sz w:val="24"/>
              </w:rPr>
              <w:t>清洁保养，清除机箱、滤清器内的灰尘与异物；系统优化，协助客户对进行系统性能调整和系统优化，提高系统效率</w:t>
            </w:r>
          </w:p>
        </w:tc>
        <w:tc>
          <w:tcPr>
            <w:tcW w:w="809" w:type="dxa"/>
            <w:tcBorders>
              <w:top w:val="nil"/>
              <w:left w:val="nil"/>
              <w:bottom w:val="single" w:color="auto" w:sz="8" w:space="0"/>
              <w:right w:val="single" w:color="auto" w:sz="8" w:space="0"/>
            </w:tcBorders>
            <w:vAlign w:val="center"/>
          </w:tcPr>
          <w:p w14:paraId="061A9F2A">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66" w:type="dxa"/>
            <w:tcBorders>
              <w:top w:val="nil"/>
              <w:left w:val="nil"/>
              <w:bottom w:val="single" w:color="auto" w:sz="8" w:space="0"/>
              <w:right w:val="single" w:color="auto" w:sz="8" w:space="0"/>
            </w:tcBorders>
            <w:vAlign w:val="center"/>
          </w:tcPr>
          <w:p w14:paraId="4658CFE5">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2A44E386">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39CCA2D2">
            <w:pPr>
              <w:widowControl/>
              <w:numPr>
                <w:ilvl w:val="0"/>
                <w:numId w:val="14"/>
              </w:numPr>
              <w:jc w:val="center"/>
              <w:rPr>
                <w:rFonts w:hint="eastAsia" w:ascii="宋体" w:hAnsi="宋体" w:cs="宋体"/>
                <w:color w:val="000000"/>
                <w:kern w:val="0"/>
                <w:sz w:val="24"/>
              </w:rPr>
            </w:pPr>
          </w:p>
        </w:tc>
        <w:tc>
          <w:tcPr>
            <w:tcW w:w="1341" w:type="dxa"/>
            <w:vMerge w:val="continue"/>
            <w:tcBorders>
              <w:left w:val="single" w:color="auto" w:sz="8" w:space="0"/>
              <w:right w:val="single" w:color="auto" w:sz="8" w:space="0"/>
            </w:tcBorders>
            <w:vAlign w:val="center"/>
          </w:tcPr>
          <w:p w14:paraId="7A8F1A97">
            <w:pPr>
              <w:widowControl/>
              <w:jc w:val="left"/>
              <w:rPr>
                <w:rFonts w:hint="eastAsia" w:ascii="宋体" w:hAnsi="宋体" w:cs="宋体"/>
                <w:color w:val="000000"/>
                <w:kern w:val="0"/>
                <w:sz w:val="24"/>
              </w:rPr>
            </w:pPr>
          </w:p>
        </w:tc>
        <w:tc>
          <w:tcPr>
            <w:tcW w:w="1250" w:type="dxa"/>
            <w:vMerge w:val="continue"/>
            <w:tcBorders>
              <w:top w:val="nil"/>
              <w:left w:val="single" w:color="auto" w:sz="8" w:space="0"/>
              <w:bottom w:val="single" w:color="000000" w:sz="8" w:space="0"/>
              <w:right w:val="single" w:color="auto" w:sz="8" w:space="0"/>
            </w:tcBorders>
            <w:vAlign w:val="center"/>
          </w:tcPr>
          <w:p w14:paraId="5EFC1DEC">
            <w:pPr>
              <w:widowControl/>
              <w:jc w:val="left"/>
              <w:rPr>
                <w:rFonts w:hint="eastAsia" w:ascii="宋体" w:hAnsi="宋体" w:cs="宋体"/>
                <w:color w:val="000000"/>
                <w:kern w:val="0"/>
                <w:sz w:val="24"/>
              </w:rPr>
            </w:pPr>
          </w:p>
        </w:tc>
        <w:tc>
          <w:tcPr>
            <w:tcW w:w="4190" w:type="dxa"/>
            <w:tcBorders>
              <w:top w:val="nil"/>
              <w:left w:val="nil"/>
              <w:bottom w:val="single" w:color="auto" w:sz="8" w:space="0"/>
              <w:right w:val="single" w:color="auto" w:sz="8" w:space="0"/>
            </w:tcBorders>
            <w:vAlign w:val="center"/>
          </w:tcPr>
          <w:p w14:paraId="0914C55F">
            <w:pPr>
              <w:widowControl/>
              <w:jc w:val="left"/>
              <w:rPr>
                <w:rFonts w:hint="eastAsia" w:ascii="宋体" w:hAnsi="宋体" w:cs="宋体"/>
                <w:color w:val="000000"/>
                <w:kern w:val="0"/>
                <w:sz w:val="24"/>
              </w:rPr>
            </w:pPr>
            <w:r>
              <w:rPr>
                <w:rFonts w:hint="eastAsia" w:ascii="宋体" w:hAnsi="宋体" w:cs="宋体"/>
                <w:color w:val="000000"/>
                <w:kern w:val="0"/>
                <w:sz w:val="24"/>
              </w:rPr>
              <w:t xml:space="preserve">磁盘存储的维护、处置、配置、数据的安性全及备份等工作。异常情况处理， </w:t>
            </w:r>
          </w:p>
        </w:tc>
        <w:tc>
          <w:tcPr>
            <w:tcW w:w="809" w:type="dxa"/>
            <w:tcBorders>
              <w:top w:val="nil"/>
              <w:left w:val="nil"/>
              <w:bottom w:val="single" w:color="auto" w:sz="8" w:space="0"/>
              <w:right w:val="single" w:color="auto" w:sz="8" w:space="0"/>
            </w:tcBorders>
            <w:vAlign w:val="center"/>
          </w:tcPr>
          <w:p w14:paraId="7CE490CB">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66" w:type="dxa"/>
            <w:tcBorders>
              <w:top w:val="nil"/>
              <w:left w:val="nil"/>
              <w:bottom w:val="single" w:color="auto" w:sz="8" w:space="0"/>
              <w:right w:val="single" w:color="auto" w:sz="8" w:space="0"/>
            </w:tcBorders>
            <w:vAlign w:val="center"/>
          </w:tcPr>
          <w:p w14:paraId="6793C04B">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4D1FBD72">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2FD96332">
            <w:pPr>
              <w:widowControl/>
              <w:numPr>
                <w:ilvl w:val="0"/>
                <w:numId w:val="14"/>
              </w:numPr>
              <w:jc w:val="center"/>
              <w:rPr>
                <w:rFonts w:hint="eastAsia" w:ascii="宋体" w:hAnsi="宋体" w:cs="宋体"/>
                <w:color w:val="000000"/>
                <w:kern w:val="0"/>
                <w:sz w:val="24"/>
              </w:rPr>
            </w:pPr>
          </w:p>
        </w:tc>
        <w:tc>
          <w:tcPr>
            <w:tcW w:w="1341" w:type="dxa"/>
            <w:vMerge w:val="continue"/>
            <w:tcBorders>
              <w:left w:val="single" w:color="auto" w:sz="8" w:space="0"/>
              <w:right w:val="single" w:color="auto" w:sz="8" w:space="0"/>
            </w:tcBorders>
            <w:vAlign w:val="center"/>
          </w:tcPr>
          <w:p w14:paraId="41BF54FF">
            <w:pPr>
              <w:widowControl/>
              <w:jc w:val="left"/>
              <w:rPr>
                <w:rFonts w:hint="eastAsia" w:ascii="宋体" w:hAnsi="宋体" w:cs="宋体"/>
                <w:color w:val="000000"/>
                <w:kern w:val="0"/>
                <w:sz w:val="24"/>
              </w:rPr>
            </w:pPr>
          </w:p>
        </w:tc>
        <w:tc>
          <w:tcPr>
            <w:tcW w:w="1250" w:type="dxa"/>
            <w:tcBorders>
              <w:top w:val="nil"/>
              <w:left w:val="nil"/>
              <w:bottom w:val="single" w:color="auto" w:sz="8" w:space="0"/>
              <w:right w:val="single" w:color="auto" w:sz="8" w:space="0"/>
            </w:tcBorders>
            <w:vAlign w:val="center"/>
          </w:tcPr>
          <w:p w14:paraId="642CA0B0">
            <w:pPr>
              <w:widowControl/>
              <w:jc w:val="center"/>
              <w:rPr>
                <w:rFonts w:hint="eastAsia" w:ascii="宋体" w:hAnsi="宋体" w:cs="宋体"/>
                <w:color w:val="000000"/>
                <w:kern w:val="0"/>
                <w:sz w:val="24"/>
              </w:rPr>
            </w:pPr>
            <w:r>
              <w:rPr>
                <w:rFonts w:hint="eastAsia" w:ascii="宋体" w:hAnsi="宋体" w:cs="宋体"/>
                <w:color w:val="000000"/>
                <w:kern w:val="0"/>
                <w:sz w:val="24"/>
              </w:rPr>
              <w:t>ATS配电柜</w:t>
            </w:r>
          </w:p>
        </w:tc>
        <w:tc>
          <w:tcPr>
            <w:tcW w:w="4190" w:type="dxa"/>
            <w:tcBorders>
              <w:top w:val="nil"/>
              <w:left w:val="nil"/>
              <w:bottom w:val="single" w:color="auto" w:sz="8" w:space="0"/>
              <w:right w:val="single" w:color="auto" w:sz="8" w:space="0"/>
            </w:tcBorders>
            <w:vAlign w:val="center"/>
          </w:tcPr>
          <w:p w14:paraId="1F1D68EA">
            <w:pPr>
              <w:widowControl/>
              <w:jc w:val="left"/>
              <w:rPr>
                <w:rFonts w:hint="eastAsia" w:ascii="宋体" w:hAnsi="宋体" w:cs="宋体"/>
                <w:color w:val="000000"/>
                <w:kern w:val="0"/>
                <w:sz w:val="24"/>
              </w:rPr>
            </w:pPr>
            <w:r>
              <w:rPr>
                <w:rFonts w:hint="eastAsia" w:ascii="宋体" w:hAnsi="宋体" w:cs="宋体"/>
                <w:color w:val="000000"/>
                <w:kern w:val="0"/>
                <w:sz w:val="24"/>
              </w:rPr>
              <w:t>检测整个系统的运行参数，确保设备正常运行。</w:t>
            </w:r>
          </w:p>
        </w:tc>
        <w:tc>
          <w:tcPr>
            <w:tcW w:w="809" w:type="dxa"/>
            <w:tcBorders>
              <w:top w:val="nil"/>
              <w:left w:val="nil"/>
              <w:bottom w:val="single" w:color="auto" w:sz="8" w:space="0"/>
              <w:right w:val="single" w:color="auto" w:sz="8" w:space="0"/>
            </w:tcBorders>
            <w:vAlign w:val="center"/>
          </w:tcPr>
          <w:p w14:paraId="464E9ED7">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766" w:type="dxa"/>
            <w:tcBorders>
              <w:top w:val="nil"/>
              <w:left w:val="nil"/>
              <w:bottom w:val="single" w:color="auto" w:sz="8" w:space="0"/>
              <w:right w:val="single" w:color="auto" w:sz="8" w:space="0"/>
            </w:tcBorders>
            <w:vAlign w:val="center"/>
          </w:tcPr>
          <w:p w14:paraId="51308308">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79941D91">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55B39BB3">
            <w:pPr>
              <w:widowControl/>
              <w:numPr>
                <w:ilvl w:val="0"/>
                <w:numId w:val="14"/>
              </w:numPr>
              <w:jc w:val="center"/>
              <w:rPr>
                <w:rFonts w:hint="eastAsia" w:ascii="宋体" w:hAnsi="宋体" w:cs="宋体"/>
                <w:color w:val="000000"/>
                <w:kern w:val="0"/>
                <w:sz w:val="24"/>
              </w:rPr>
            </w:pPr>
          </w:p>
        </w:tc>
        <w:tc>
          <w:tcPr>
            <w:tcW w:w="1341" w:type="dxa"/>
            <w:vMerge w:val="continue"/>
            <w:tcBorders>
              <w:left w:val="single" w:color="auto" w:sz="8" w:space="0"/>
              <w:right w:val="single" w:color="auto" w:sz="8" w:space="0"/>
            </w:tcBorders>
            <w:vAlign w:val="center"/>
          </w:tcPr>
          <w:p w14:paraId="66690156">
            <w:pPr>
              <w:widowControl/>
              <w:jc w:val="left"/>
              <w:rPr>
                <w:rFonts w:hint="eastAsia" w:ascii="宋体" w:hAnsi="宋体" w:cs="宋体"/>
                <w:color w:val="000000"/>
                <w:kern w:val="0"/>
                <w:sz w:val="24"/>
              </w:rPr>
            </w:pPr>
          </w:p>
        </w:tc>
        <w:tc>
          <w:tcPr>
            <w:tcW w:w="1250" w:type="dxa"/>
            <w:vMerge w:val="restart"/>
            <w:tcBorders>
              <w:top w:val="nil"/>
              <w:left w:val="single" w:color="auto" w:sz="8" w:space="0"/>
              <w:bottom w:val="single" w:color="000000" w:sz="8" w:space="0"/>
              <w:right w:val="single" w:color="auto" w:sz="8" w:space="0"/>
            </w:tcBorders>
            <w:vAlign w:val="center"/>
          </w:tcPr>
          <w:p w14:paraId="65651BE1">
            <w:pPr>
              <w:widowControl/>
              <w:jc w:val="center"/>
              <w:rPr>
                <w:rFonts w:hint="eastAsia" w:ascii="宋体" w:hAnsi="宋体" w:cs="宋体"/>
                <w:color w:val="000000"/>
                <w:kern w:val="0"/>
                <w:sz w:val="24"/>
              </w:rPr>
            </w:pPr>
            <w:r>
              <w:rPr>
                <w:rFonts w:hint="eastAsia" w:ascii="宋体" w:hAnsi="宋体" w:cs="宋体"/>
                <w:color w:val="000000"/>
                <w:kern w:val="0"/>
                <w:sz w:val="24"/>
              </w:rPr>
              <w:t>UPS配电柜、UPS电池柜、UPS电池</w:t>
            </w:r>
          </w:p>
        </w:tc>
        <w:tc>
          <w:tcPr>
            <w:tcW w:w="4190" w:type="dxa"/>
            <w:tcBorders>
              <w:top w:val="nil"/>
              <w:left w:val="nil"/>
              <w:bottom w:val="single" w:color="auto" w:sz="8" w:space="0"/>
              <w:right w:val="single" w:color="auto" w:sz="8" w:space="0"/>
            </w:tcBorders>
            <w:vAlign w:val="center"/>
          </w:tcPr>
          <w:p w14:paraId="72EB6632">
            <w:pPr>
              <w:widowControl/>
              <w:jc w:val="left"/>
              <w:rPr>
                <w:rFonts w:hint="eastAsia" w:ascii="宋体" w:hAnsi="宋体" w:cs="宋体"/>
                <w:color w:val="000000"/>
                <w:kern w:val="0"/>
                <w:sz w:val="24"/>
              </w:rPr>
            </w:pPr>
            <w:r>
              <w:rPr>
                <w:rFonts w:hint="eastAsia" w:ascii="宋体" w:hAnsi="宋体" w:cs="宋体"/>
                <w:color w:val="000000"/>
                <w:kern w:val="0"/>
                <w:sz w:val="24"/>
              </w:rPr>
              <w:t>对机组及电池柜进行内外部的彻底清扫。检测电池组/柜的完整性。测量设备的输入、输出电压及电流。</w:t>
            </w:r>
          </w:p>
        </w:tc>
        <w:tc>
          <w:tcPr>
            <w:tcW w:w="809" w:type="dxa"/>
            <w:tcBorders>
              <w:top w:val="nil"/>
              <w:left w:val="nil"/>
              <w:bottom w:val="single" w:color="auto" w:sz="8" w:space="0"/>
              <w:right w:val="single" w:color="auto" w:sz="8" w:space="0"/>
            </w:tcBorders>
            <w:vAlign w:val="center"/>
          </w:tcPr>
          <w:p w14:paraId="4BBC75BD">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766" w:type="dxa"/>
            <w:tcBorders>
              <w:top w:val="nil"/>
              <w:left w:val="nil"/>
              <w:bottom w:val="single" w:color="auto" w:sz="8" w:space="0"/>
              <w:right w:val="single" w:color="auto" w:sz="8" w:space="0"/>
            </w:tcBorders>
            <w:vAlign w:val="center"/>
          </w:tcPr>
          <w:p w14:paraId="17FDAAF4">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6C889FC7">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423F3617">
            <w:pPr>
              <w:widowControl/>
              <w:numPr>
                <w:ilvl w:val="0"/>
                <w:numId w:val="14"/>
              </w:numPr>
              <w:jc w:val="center"/>
              <w:rPr>
                <w:rFonts w:hint="eastAsia" w:ascii="宋体" w:hAnsi="宋体" w:cs="宋体"/>
                <w:color w:val="000000"/>
                <w:kern w:val="0"/>
                <w:sz w:val="24"/>
              </w:rPr>
            </w:pPr>
          </w:p>
        </w:tc>
        <w:tc>
          <w:tcPr>
            <w:tcW w:w="1341" w:type="dxa"/>
            <w:vMerge w:val="continue"/>
            <w:tcBorders>
              <w:left w:val="single" w:color="auto" w:sz="8" w:space="0"/>
              <w:right w:val="single" w:color="auto" w:sz="8" w:space="0"/>
            </w:tcBorders>
            <w:vAlign w:val="center"/>
          </w:tcPr>
          <w:p w14:paraId="0E0AF849">
            <w:pPr>
              <w:widowControl/>
              <w:jc w:val="left"/>
              <w:rPr>
                <w:rFonts w:hint="eastAsia" w:ascii="宋体" w:hAnsi="宋体" w:cs="宋体"/>
                <w:color w:val="000000"/>
                <w:kern w:val="0"/>
                <w:sz w:val="24"/>
              </w:rPr>
            </w:pPr>
          </w:p>
        </w:tc>
        <w:tc>
          <w:tcPr>
            <w:tcW w:w="1250" w:type="dxa"/>
            <w:vMerge w:val="continue"/>
            <w:tcBorders>
              <w:top w:val="nil"/>
              <w:left w:val="single" w:color="auto" w:sz="8" w:space="0"/>
              <w:bottom w:val="single" w:color="000000" w:sz="8" w:space="0"/>
              <w:right w:val="single" w:color="auto" w:sz="8" w:space="0"/>
            </w:tcBorders>
            <w:vAlign w:val="center"/>
          </w:tcPr>
          <w:p w14:paraId="55E3B986">
            <w:pPr>
              <w:widowControl/>
              <w:jc w:val="left"/>
              <w:rPr>
                <w:rFonts w:hint="eastAsia" w:ascii="宋体" w:hAnsi="宋体" w:cs="宋体"/>
                <w:color w:val="000000"/>
                <w:kern w:val="0"/>
                <w:sz w:val="24"/>
              </w:rPr>
            </w:pPr>
          </w:p>
        </w:tc>
        <w:tc>
          <w:tcPr>
            <w:tcW w:w="4190" w:type="dxa"/>
            <w:tcBorders>
              <w:top w:val="nil"/>
              <w:left w:val="nil"/>
              <w:bottom w:val="single" w:color="auto" w:sz="8" w:space="0"/>
              <w:right w:val="single" w:color="auto" w:sz="8" w:space="0"/>
            </w:tcBorders>
            <w:vAlign w:val="center"/>
          </w:tcPr>
          <w:p w14:paraId="1C511B94">
            <w:pPr>
              <w:widowControl/>
              <w:jc w:val="left"/>
              <w:rPr>
                <w:rFonts w:hint="eastAsia" w:ascii="宋体" w:hAnsi="宋体" w:cs="宋体"/>
                <w:color w:val="000000"/>
                <w:kern w:val="0"/>
                <w:sz w:val="24"/>
              </w:rPr>
            </w:pPr>
            <w:r>
              <w:rPr>
                <w:rFonts w:hint="eastAsia" w:ascii="宋体" w:hAnsi="宋体" w:cs="宋体"/>
                <w:color w:val="000000"/>
                <w:kern w:val="0"/>
                <w:sz w:val="24"/>
              </w:rPr>
              <w:t>对块电池进行充放电测试，根据UPS开始放电时间与UPS电池低压保护关机时间，算出电池的供电时间，查看是否满足时间的配置需求。出具检测报告。2套UPS设备。</w:t>
            </w:r>
          </w:p>
        </w:tc>
        <w:tc>
          <w:tcPr>
            <w:tcW w:w="809" w:type="dxa"/>
            <w:tcBorders>
              <w:top w:val="nil"/>
              <w:left w:val="nil"/>
              <w:bottom w:val="single" w:color="auto" w:sz="8" w:space="0"/>
              <w:right w:val="single" w:color="auto" w:sz="8" w:space="0"/>
            </w:tcBorders>
            <w:vAlign w:val="center"/>
          </w:tcPr>
          <w:p w14:paraId="6E9BC4B2">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766" w:type="dxa"/>
            <w:tcBorders>
              <w:top w:val="nil"/>
              <w:left w:val="nil"/>
              <w:bottom w:val="single" w:color="auto" w:sz="8" w:space="0"/>
              <w:right w:val="single" w:color="auto" w:sz="8" w:space="0"/>
            </w:tcBorders>
            <w:vAlign w:val="center"/>
          </w:tcPr>
          <w:p w14:paraId="68D5C8E3">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49337379">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50668409">
            <w:pPr>
              <w:widowControl/>
              <w:numPr>
                <w:ilvl w:val="0"/>
                <w:numId w:val="14"/>
              </w:numPr>
              <w:jc w:val="center"/>
              <w:rPr>
                <w:rFonts w:hint="eastAsia" w:ascii="宋体" w:hAnsi="宋体" w:cs="宋体"/>
                <w:color w:val="000000"/>
                <w:kern w:val="0"/>
                <w:sz w:val="24"/>
              </w:rPr>
            </w:pPr>
          </w:p>
        </w:tc>
        <w:tc>
          <w:tcPr>
            <w:tcW w:w="1341" w:type="dxa"/>
            <w:vMerge w:val="continue"/>
            <w:tcBorders>
              <w:left w:val="single" w:color="auto" w:sz="8" w:space="0"/>
              <w:right w:val="single" w:color="auto" w:sz="8" w:space="0"/>
            </w:tcBorders>
            <w:vAlign w:val="center"/>
          </w:tcPr>
          <w:p w14:paraId="07E43918">
            <w:pPr>
              <w:widowControl/>
              <w:jc w:val="left"/>
              <w:rPr>
                <w:rFonts w:hint="eastAsia" w:ascii="宋体" w:hAnsi="宋体" w:cs="宋体"/>
                <w:color w:val="000000"/>
                <w:kern w:val="0"/>
                <w:sz w:val="24"/>
              </w:rPr>
            </w:pPr>
          </w:p>
        </w:tc>
        <w:tc>
          <w:tcPr>
            <w:tcW w:w="1250" w:type="dxa"/>
            <w:tcBorders>
              <w:top w:val="nil"/>
              <w:left w:val="nil"/>
              <w:bottom w:val="single" w:color="auto" w:sz="8" w:space="0"/>
              <w:right w:val="single" w:color="auto" w:sz="8" w:space="0"/>
            </w:tcBorders>
            <w:vAlign w:val="center"/>
          </w:tcPr>
          <w:p w14:paraId="596F0FCE">
            <w:pPr>
              <w:widowControl/>
              <w:jc w:val="center"/>
              <w:rPr>
                <w:rFonts w:hint="eastAsia" w:ascii="宋体" w:hAnsi="宋体" w:cs="宋体"/>
                <w:color w:val="000000"/>
                <w:kern w:val="0"/>
                <w:sz w:val="24"/>
              </w:rPr>
            </w:pPr>
            <w:r>
              <w:rPr>
                <w:rFonts w:hint="eastAsia" w:ascii="宋体" w:hAnsi="宋体" w:cs="宋体"/>
                <w:color w:val="000000"/>
                <w:kern w:val="0"/>
                <w:sz w:val="24"/>
              </w:rPr>
              <w:t>精密空调</w:t>
            </w:r>
          </w:p>
        </w:tc>
        <w:tc>
          <w:tcPr>
            <w:tcW w:w="4190" w:type="dxa"/>
            <w:tcBorders>
              <w:top w:val="nil"/>
              <w:left w:val="nil"/>
              <w:bottom w:val="single" w:color="auto" w:sz="8" w:space="0"/>
              <w:right w:val="single" w:color="auto" w:sz="8" w:space="0"/>
            </w:tcBorders>
            <w:vAlign w:val="center"/>
          </w:tcPr>
          <w:p w14:paraId="14BE339F">
            <w:pPr>
              <w:widowControl/>
              <w:jc w:val="left"/>
              <w:rPr>
                <w:rFonts w:hint="eastAsia" w:ascii="宋体" w:hAnsi="宋体" w:cs="宋体"/>
                <w:color w:val="000000"/>
                <w:kern w:val="0"/>
                <w:sz w:val="24"/>
              </w:rPr>
            </w:pPr>
            <w:r>
              <w:rPr>
                <w:rFonts w:hint="eastAsia" w:ascii="宋体" w:hAnsi="宋体" w:cs="宋体"/>
                <w:color w:val="000000"/>
                <w:kern w:val="0"/>
                <w:sz w:val="24"/>
              </w:rPr>
              <w:t>空调控制系统的显示屏上检查空调系统的各项功能及参数是否正常:对压缩机和加湿器等部件进行检测维护。对室外室内机进行清洗，维护，进出水管道检查清洁。4台精密空调。</w:t>
            </w:r>
          </w:p>
        </w:tc>
        <w:tc>
          <w:tcPr>
            <w:tcW w:w="809" w:type="dxa"/>
            <w:tcBorders>
              <w:top w:val="nil"/>
              <w:left w:val="nil"/>
              <w:bottom w:val="single" w:color="auto" w:sz="8" w:space="0"/>
              <w:right w:val="single" w:color="auto" w:sz="8" w:space="0"/>
            </w:tcBorders>
            <w:vAlign w:val="center"/>
          </w:tcPr>
          <w:p w14:paraId="5FCF0FCF">
            <w:pPr>
              <w:widowControl/>
              <w:jc w:val="center"/>
              <w:rPr>
                <w:rFonts w:hint="eastAsia" w:ascii="宋体" w:hAnsi="宋体" w:cs="宋体"/>
                <w:color w:val="000000"/>
                <w:kern w:val="0"/>
                <w:sz w:val="24"/>
              </w:rPr>
            </w:pPr>
            <w:r>
              <w:rPr>
                <w:rFonts w:hint="eastAsia" w:ascii="宋体" w:hAnsi="宋体" w:cs="宋体"/>
                <w:color w:val="000000"/>
                <w:kern w:val="0"/>
                <w:sz w:val="24"/>
              </w:rPr>
              <w:t>12</w:t>
            </w:r>
          </w:p>
        </w:tc>
        <w:tc>
          <w:tcPr>
            <w:tcW w:w="766" w:type="dxa"/>
            <w:tcBorders>
              <w:top w:val="nil"/>
              <w:left w:val="nil"/>
              <w:bottom w:val="single" w:color="auto" w:sz="8" w:space="0"/>
              <w:right w:val="single" w:color="auto" w:sz="8" w:space="0"/>
            </w:tcBorders>
            <w:vAlign w:val="center"/>
          </w:tcPr>
          <w:p w14:paraId="259E691E">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37134672">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55E1BF0C">
            <w:pPr>
              <w:widowControl/>
              <w:numPr>
                <w:ilvl w:val="0"/>
                <w:numId w:val="14"/>
              </w:numPr>
              <w:jc w:val="center"/>
              <w:rPr>
                <w:rFonts w:hint="eastAsia" w:ascii="宋体" w:hAnsi="宋体" w:cs="宋体"/>
                <w:color w:val="000000"/>
                <w:kern w:val="0"/>
                <w:sz w:val="24"/>
              </w:rPr>
            </w:pPr>
          </w:p>
        </w:tc>
        <w:tc>
          <w:tcPr>
            <w:tcW w:w="1341" w:type="dxa"/>
            <w:vMerge w:val="continue"/>
            <w:tcBorders>
              <w:left w:val="single" w:color="auto" w:sz="8" w:space="0"/>
              <w:right w:val="single" w:color="auto" w:sz="8" w:space="0"/>
            </w:tcBorders>
            <w:vAlign w:val="center"/>
          </w:tcPr>
          <w:p w14:paraId="506B243F">
            <w:pPr>
              <w:widowControl/>
              <w:jc w:val="left"/>
              <w:rPr>
                <w:rFonts w:hint="eastAsia" w:ascii="宋体" w:hAnsi="宋体" w:cs="宋体"/>
                <w:color w:val="000000"/>
                <w:kern w:val="0"/>
                <w:sz w:val="24"/>
              </w:rPr>
            </w:pPr>
          </w:p>
        </w:tc>
        <w:tc>
          <w:tcPr>
            <w:tcW w:w="1250" w:type="dxa"/>
            <w:tcBorders>
              <w:top w:val="nil"/>
              <w:left w:val="nil"/>
              <w:bottom w:val="single" w:color="auto" w:sz="8" w:space="0"/>
              <w:right w:val="single" w:color="auto" w:sz="8" w:space="0"/>
            </w:tcBorders>
            <w:vAlign w:val="center"/>
          </w:tcPr>
          <w:p w14:paraId="395A6C83">
            <w:pPr>
              <w:widowControl/>
              <w:jc w:val="center"/>
              <w:rPr>
                <w:rFonts w:hint="eastAsia" w:ascii="宋体" w:hAnsi="宋体" w:cs="宋体"/>
                <w:color w:val="000000"/>
                <w:kern w:val="0"/>
                <w:sz w:val="24"/>
              </w:rPr>
            </w:pPr>
            <w:r>
              <w:rPr>
                <w:rFonts w:hint="eastAsia" w:ascii="宋体" w:hAnsi="宋体" w:cs="宋体"/>
                <w:color w:val="000000"/>
                <w:kern w:val="0"/>
                <w:sz w:val="24"/>
              </w:rPr>
              <w:t>网络及安全类设备</w:t>
            </w:r>
          </w:p>
        </w:tc>
        <w:tc>
          <w:tcPr>
            <w:tcW w:w="4190" w:type="dxa"/>
            <w:tcBorders>
              <w:top w:val="nil"/>
              <w:left w:val="nil"/>
              <w:bottom w:val="single" w:color="auto" w:sz="8" w:space="0"/>
              <w:right w:val="single" w:color="auto" w:sz="8" w:space="0"/>
            </w:tcBorders>
            <w:vAlign w:val="center"/>
          </w:tcPr>
          <w:p w14:paraId="5D01BF72">
            <w:pPr>
              <w:widowControl/>
              <w:jc w:val="left"/>
              <w:rPr>
                <w:rFonts w:hint="eastAsia" w:ascii="宋体" w:hAnsi="宋体" w:cs="宋体"/>
                <w:color w:val="000000"/>
                <w:kern w:val="0"/>
                <w:sz w:val="24"/>
              </w:rPr>
            </w:pPr>
            <w:r>
              <w:rPr>
                <w:rFonts w:hint="eastAsia" w:ascii="宋体" w:hAnsi="宋体" w:cs="宋体"/>
                <w:color w:val="000000"/>
                <w:kern w:val="0"/>
                <w:sz w:val="24"/>
              </w:rPr>
              <w:t>针对交换机，防火墙，堡垒机，审计等设备的清洁维护。设备合计约＞50台。并对每类设备进行逐一检测，保持防火墙等设备软件的及时更新和升级，以获取最新的漏洞修复和安全补丁。定期审核软件配置和规则，确保配置的正确性和完整性确保系统版本及授权等为最新版本。</w:t>
            </w:r>
          </w:p>
        </w:tc>
        <w:tc>
          <w:tcPr>
            <w:tcW w:w="809" w:type="dxa"/>
            <w:tcBorders>
              <w:top w:val="nil"/>
              <w:left w:val="nil"/>
              <w:bottom w:val="single" w:color="auto" w:sz="8" w:space="0"/>
              <w:right w:val="single" w:color="auto" w:sz="8" w:space="0"/>
            </w:tcBorders>
            <w:vAlign w:val="center"/>
          </w:tcPr>
          <w:p w14:paraId="271A5ACC">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766" w:type="dxa"/>
            <w:tcBorders>
              <w:top w:val="nil"/>
              <w:left w:val="nil"/>
              <w:bottom w:val="single" w:color="auto" w:sz="8" w:space="0"/>
              <w:right w:val="single" w:color="auto" w:sz="8" w:space="0"/>
            </w:tcBorders>
            <w:vAlign w:val="center"/>
          </w:tcPr>
          <w:p w14:paraId="391A0A8B">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17DBFBFC">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798255FB">
            <w:pPr>
              <w:widowControl/>
              <w:numPr>
                <w:ilvl w:val="0"/>
                <w:numId w:val="14"/>
              </w:numPr>
              <w:jc w:val="center"/>
              <w:rPr>
                <w:rFonts w:hint="eastAsia" w:ascii="宋体" w:hAnsi="宋体" w:cs="宋体"/>
                <w:color w:val="000000"/>
                <w:kern w:val="0"/>
                <w:sz w:val="24"/>
              </w:rPr>
            </w:pPr>
          </w:p>
        </w:tc>
        <w:tc>
          <w:tcPr>
            <w:tcW w:w="1341" w:type="dxa"/>
            <w:vMerge w:val="continue"/>
            <w:tcBorders>
              <w:left w:val="single" w:color="auto" w:sz="8" w:space="0"/>
              <w:bottom w:val="single" w:color="000000" w:sz="8" w:space="0"/>
              <w:right w:val="single" w:color="auto" w:sz="8" w:space="0"/>
            </w:tcBorders>
            <w:vAlign w:val="center"/>
          </w:tcPr>
          <w:p w14:paraId="182984D5">
            <w:pPr>
              <w:widowControl/>
              <w:jc w:val="center"/>
              <w:rPr>
                <w:rFonts w:hint="eastAsia" w:ascii="宋体" w:hAnsi="宋体" w:cs="宋体"/>
                <w:color w:val="000000"/>
                <w:kern w:val="0"/>
                <w:sz w:val="24"/>
              </w:rPr>
            </w:pPr>
          </w:p>
        </w:tc>
        <w:tc>
          <w:tcPr>
            <w:tcW w:w="1250" w:type="dxa"/>
            <w:tcBorders>
              <w:top w:val="nil"/>
              <w:left w:val="nil"/>
              <w:bottom w:val="single" w:color="auto" w:sz="8" w:space="0"/>
              <w:right w:val="single" w:color="auto" w:sz="8" w:space="0"/>
            </w:tcBorders>
            <w:vAlign w:val="center"/>
          </w:tcPr>
          <w:p w14:paraId="0BD9A298">
            <w:pPr>
              <w:widowControl/>
              <w:jc w:val="center"/>
              <w:rPr>
                <w:rFonts w:hint="eastAsia" w:ascii="宋体" w:hAnsi="宋体" w:cs="宋体"/>
                <w:color w:val="000000"/>
                <w:kern w:val="0"/>
                <w:sz w:val="24"/>
              </w:rPr>
            </w:pPr>
            <w:r>
              <w:rPr>
                <w:rFonts w:hint="eastAsia" w:ascii="宋体" w:hAnsi="宋体" w:cs="宋体"/>
                <w:color w:val="000000"/>
                <w:kern w:val="0"/>
                <w:sz w:val="24"/>
              </w:rPr>
              <w:t>视频会议设备</w:t>
            </w:r>
          </w:p>
        </w:tc>
        <w:tc>
          <w:tcPr>
            <w:tcW w:w="4190" w:type="dxa"/>
            <w:tcBorders>
              <w:top w:val="nil"/>
              <w:left w:val="nil"/>
              <w:bottom w:val="single" w:color="auto" w:sz="8" w:space="0"/>
              <w:right w:val="single" w:color="auto" w:sz="8" w:space="0"/>
            </w:tcBorders>
            <w:vAlign w:val="center"/>
          </w:tcPr>
          <w:p w14:paraId="373F5213">
            <w:pPr>
              <w:widowControl/>
              <w:jc w:val="left"/>
              <w:rPr>
                <w:rFonts w:hint="eastAsia" w:ascii="宋体" w:hAnsi="宋体" w:cs="宋体"/>
                <w:color w:val="000000"/>
                <w:kern w:val="0"/>
                <w:sz w:val="24"/>
              </w:rPr>
            </w:pPr>
            <w:r>
              <w:rPr>
                <w:rFonts w:hint="eastAsia" w:ascii="宋体" w:hAnsi="宋体" w:cs="宋体"/>
                <w:color w:val="000000"/>
                <w:kern w:val="0"/>
                <w:sz w:val="24"/>
              </w:rPr>
              <w:t>维护视频会议设备正常运行，保障视频会议正常召开，根据视频会议要求进行联调联试。</w:t>
            </w:r>
          </w:p>
        </w:tc>
        <w:tc>
          <w:tcPr>
            <w:tcW w:w="809" w:type="dxa"/>
            <w:tcBorders>
              <w:top w:val="nil"/>
              <w:left w:val="nil"/>
              <w:bottom w:val="single" w:color="auto" w:sz="8" w:space="0"/>
              <w:right w:val="single" w:color="auto" w:sz="8" w:space="0"/>
            </w:tcBorders>
            <w:vAlign w:val="center"/>
          </w:tcPr>
          <w:p w14:paraId="133C66DE">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766" w:type="dxa"/>
            <w:tcBorders>
              <w:top w:val="nil"/>
              <w:left w:val="nil"/>
              <w:bottom w:val="single" w:color="auto" w:sz="8" w:space="0"/>
              <w:right w:val="single" w:color="auto" w:sz="8" w:space="0"/>
            </w:tcBorders>
            <w:vAlign w:val="center"/>
          </w:tcPr>
          <w:p w14:paraId="0F42FC76">
            <w:pPr>
              <w:widowControl/>
              <w:jc w:val="center"/>
              <w:rPr>
                <w:rFonts w:hint="eastAsia" w:ascii="宋体" w:hAnsi="宋体" w:cs="宋体"/>
                <w:color w:val="000000"/>
                <w:kern w:val="0"/>
                <w:sz w:val="24"/>
              </w:rPr>
            </w:pPr>
            <w:r>
              <w:rPr>
                <w:rFonts w:hint="eastAsia" w:ascii="宋体" w:hAnsi="宋体" w:cs="宋体"/>
                <w:color w:val="000000"/>
                <w:kern w:val="0"/>
                <w:sz w:val="24"/>
              </w:rPr>
              <w:t>年</w:t>
            </w:r>
          </w:p>
        </w:tc>
      </w:tr>
      <w:tr w14:paraId="554DA9FF">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6D5EA01A">
            <w:pPr>
              <w:widowControl/>
              <w:numPr>
                <w:ilvl w:val="0"/>
                <w:numId w:val="14"/>
              </w:numPr>
              <w:jc w:val="center"/>
              <w:rPr>
                <w:rFonts w:hint="eastAsia" w:ascii="宋体" w:hAnsi="宋体" w:cs="宋体"/>
                <w:color w:val="000000"/>
                <w:kern w:val="0"/>
                <w:sz w:val="24"/>
              </w:rPr>
            </w:pPr>
          </w:p>
        </w:tc>
        <w:tc>
          <w:tcPr>
            <w:tcW w:w="1341" w:type="dxa"/>
            <w:vMerge w:val="restart"/>
            <w:tcBorders>
              <w:top w:val="nil"/>
              <w:left w:val="single" w:color="auto" w:sz="8" w:space="0"/>
              <w:bottom w:val="single" w:color="000000" w:sz="8" w:space="0"/>
              <w:right w:val="single" w:color="auto" w:sz="8" w:space="0"/>
            </w:tcBorders>
            <w:vAlign w:val="center"/>
          </w:tcPr>
          <w:p w14:paraId="6230F011">
            <w:pPr>
              <w:widowControl/>
              <w:jc w:val="center"/>
              <w:rPr>
                <w:rFonts w:hint="eastAsia" w:ascii="宋体" w:hAnsi="宋体" w:cs="宋体"/>
                <w:color w:val="000000"/>
                <w:kern w:val="0"/>
                <w:sz w:val="24"/>
              </w:rPr>
            </w:pPr>
            <w:r>
              <w:rPr>
                <w:rFonts w:hint="eastAsia" w:ascii="宋体" w:hAnsi="宋体" w:cs="宋体"/>
                <w:color w:val="000000"/>
                <w:kern w:val="0"/>
                <w:sz w:val="24"/>
              </w:rPr>
              <w:t>安全运维</w:t>
            </w:r>
          </w:p>
        </w:tc>
        <w:tc>
          <w:tcPr>
            <w:tcW w:w="1250" w:type="dxa"/>
            <w:tcBorders>
              <w:top w:val="nil"/>
              <w:left w:val="nil"/>
              <w:bottom w:val="single" w:color="auto" w:sz="8" w:space="0"/>
              <w:right w:val="single" w:color="auto" w:sz="8" w:space="0"/>
            </w:tcBorders>
            <w:vAlign w:val="center"/>
          </w:tcPr>
          <w:p w14:paraId="0A76A84D">
            <w:pPr>
              <w:widowControl/>
              <w:jc w:val="center"/>
              <w:rPr>
                <w:rFonts w:hint="eastAsia" w:ascii="宋体" w:hAnsi="宋体" w:cs="宋体"/>
                <w:color w:val="000000"/>
                <w:kern w:val="0"/>
                <w:sz w:val="24"/>
              </w:rPr>
            </w:pPr>
            <w:r>
              <w:rPr>
                <w:rFonts w:hint="eastAsia" w:ascii="宋体" w:hAnsi="宋体" w:cs="宋体"/>
                <w:color w:val="000000"/>
                <w:kern w:val="0"/>
                <w:sz w:val="24"/>
              </w:rPr>
              <w:t>渗透测试</w:t>
            </w:r>
          </w:p>
        </w:tc>
        <w:tc>
          <w:tcPr>
            <w:tcW w:w="4190" w:type="dxa"/>
            <w:tcBorders>
              <w:top w:val="nil"/>
              <w:left w:val="nil"/>
              <w:bottom w:val="single" w:color="auto" w:sz="8" w:space="0"/>
              <w:right w:val="single" w:color="auto" w:sz="8" w:space="0"/>
            </w:tcBorders>
            <w:vAlign w:val="center"/>
          </w:tcPr>
          <w:p w14:paraId="05234993">
            <w:pPr>
              <w:widowControl/>
              <w:jc w:val="left"/>
              <w:rPr>
                <w:rFonts w:hint="eastAsia" w:ascii="宋体" w:hAnsi="宋体" w:cs="宋体"/>
                <w:color w:val="000000"/>
                <w:kern w:val="0"/>
                <w:sz w:val="24"/>
              </w:rPr>
            </w:pPr>
            <w:r>
              <w:rPr>
                <w:rFonts w:hint="eastAsia" w:ascii="宋体" w:hAnsi="宋体" w:cs="宋体"/>
                <w:color w:val="000000"/>
                <w:kern w:val="0"/>
                <w:sz w:val="24"/>
              </w:rPr>
              <w:t>通过模拟真实黑客的攻击手法来对应用进行模拟攻击，由高级工程师进行深入的手工测试和分析，识别弱点扫描工具或者脆弱性扫描工具无法发现的问题工具弱点扫描无法发现的问题。主要分析内容包括逻辑设计缺陷、上传绕过输入输出校验绕过、数据算改、功能绕过、异常错误等以及其他专项内容测试与分析，了解应用系统可能存在的潜在漏洞以及发生漏洞利用时可能造成的危害，渗透结束后生成相关报告并提供修复建议。</w:t>
            </w:r>
          </w:p>
        </w:tc>
        <w:tc>
          <w:tcPr>
            <w:tcW w:w="809" w:type="dxa"/>
            <w:tcBorders>
              <w:top w:val="nil"/>
              <w:left w:val="nil"/>
              <w:bottom w:val="single" w:color="auto" w:sz="8" w:space="0"/>
              <w:right w:val="single" w:color="auto" w:sz="8" w:space="0"/>
            </w:tcBorders>
            <w:vAlign w:val="center"/>
          </w:tcPr>
          <w:p w14:paraId="35CA3756">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766" w:type="dxa"/>
            <w:tcBorders>
              <w:top w:val="nil"/>
              <w:left w:val="nil"/>
              <w:bottom w:val="single" w:color="auto" w:sz="8" w:space="0"/>
              <w:right w:val="single" w:color="auto" w:sz="8" w:space="0"/>
            </w:tcBorders>
            <w:vAlign w:val="center"/>
          </w:tcPr>
          <w:p w14:paraId="29B9BB28">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3EA0591B">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1F7F8BE2">
            <w:pPr>
              <w:widowControl/>
              <w:numPr>
                <w:ilvl w:val="0"/>
                <w:numId w:val="14"/>
              </w:numPr>
              <w:jc w:val="center"/>
              <w:rPr>
                <w:rFonts w:hint="eastAsia" w:ascii="宋体" w:hAnsi="宋体" w:cs="宋体"/>
                <w:color w:val="000000"/>
                <w:kern w:val="0"/>
                <w:sz w:val="24"/>
              </w:rPr>
            </w:pPr>
          </w:p>
        </w:tc>
        <w:tc>
          <w:tcPr>
            <w:tcW w:w="1341" w:type="dxa"/>
            <w:vMerge w:val="continue"/>
            <w:tcBorders>
              <w:top w:val="nil"/>
              <w:left w:val="single" w:color="auto" w:sz="8" w:space="0"/>
              <w:bottom w:val="single" w:color="000000" w:sz="8" w:space="0"/>
              <w:right w:val="single" w:color="auto" w:sz="8" w:space="0"/>
            </w:tcBorders>
            <w:vAlign w:val="center"/>
          </w:tcPr>
          <w:p w14:paraId="7B261452">
            <w:pPr>
              <w:widowControl/>
              <w:jc w:val="left"/>
              <w:rPr>
                <w:rFonts w:hint="eastAsia" w:ascii="宋体" w:hAnsi="宋体" w:cs="宋体"/>
                <w:color w:val="000000"/>
                <w:kern w:val="0"/>
                <w:sz w:val="24"/>
              </w:rPr>
            </w:pPr>
          </w:p>
        </w:tc>
        <w:tc>
          <w:tcPr>
            <w:tcW w:w="1250" w:type="dxa"/>
            <w:tcBorders>
              <w:top w:val="nil"/>
              <w:left w:val="nil"/>
              <w:bottom w:val="single" w:color="auto" w:sz="8" w:space="0"/>
              <w:right w:val="single" w:color="auto" w:sz="8" w:space="0"/>
            </w:tcBorders>
            <w:vAlign w:val="center"/>
          </w:tcPr>
          <w:p w14:paraId="7EE688F8">
            <w:pPr>
              <w:widowControl/>
              <w:jc w:val="center"/>
              <w:rPr>
                <w:rFonts w:hint="eastAsia" w:ascii="宋体" w:hAnsi="宋体" w:cs="宋体"/>
                <w:color w:val="000000"/>
                <w:kern w:val="0"/>
                <w:sz w:val="24"/>
              </w:rPr>
            </w:pPr>
            <w:r>
              <w:rPr>
                <w:rFonts w:hint="eastAsia" w:ascii="宋体" w:hAnsi="宋体" w:cs="宋体"/>
                <w:color w:val="000000"/>
                <w:kern w:val="0"/>
                <w:sz w:val="24"/>
              </w:rPr>
              <w:t>漏洞扫描</w:t>
            </w:r>
          </w:p>
        </w:tc>
        <w:tc>
          <w:tcPr>
            <w:tcW w:w="4190" w:type="dxa"/>
            <w:tcBorders>
              <w:top w:val="nil"/>
              <w:left w:val="nil"/>
              <w:bottom w:val="single" w:color="auto" w:sz="8" w:space="0"/>
              <w:right w:val="single" w:color="auto" w:sz="8" w:space="0"/>
            </w:tcBorders>
            <w:vAlign w:val="center"/>
          </w:tcPr>
          <w:p w14:paraId="6D21839C">
            <w:pPr>
              <w:widowControl/>
              <w:jc w:val="left"/>
              <w:rPr>
                <w:rFonts w:hint="eastAsia" w:ascii="宋体" w:hAnsi="宋体" w:cs="宋体"/>
                <w:color w:val="000000"/>
                <w:kern w:val="0"/>
                <w:sz w:val="24"/>
              </w:rPr>
            </w:pPr>
            <w:r>
              <w:rPr>
                <w:rFonts w:hint="eastAsia" w:ascii="宋体" w:hAnsi="宋体" w:cs="宋体"/>
                <w:color w:val="000000"/>
                <w:kern w:val="0"/>
                <w:sz w:val="24"/>
              </w:rPr>
              <w:t>漏洞扫描，发现扫描对象存在的web应用漏洞、主机操作系统漏洞、数据库漏洞、逻辑缺陷、弱口令、信息泄露等脆弱性问题，生成相关报告并提供加固建议。</w:t>
            </w:r>
          </w:p>
        </w:tc>
        <w:tc>
          <w:tcPr>
            <w:tcW w:w="809" w:type="dxa"/>
            <w:tcBorders>
              <w:top w:val="nil"/>
              <w:left w:val="nil"/>
              <w:bottom w:val="single" w:color="auto" w:sz="8" w:space="0"/>
              <w:right w:val="single" w:color="auto" w:sz="8" w:space="0"/>
            </w:tcBorders>
            <w:vAlign w:val="center"/>
          </w:tcPr>
          <w:p w14:paraId="39C2D8B4">
            <w:pPr>
              <w:widowControl/>
              <w:jc w:val="center"/>
              <w:rPr>
                <w:rFonts w:hint="eastAsia" w:ascii="宋体" w:hAnsi="宋体" w:cs="宋体"/>
                <w:color w:val="000000"/>
                <w:kern w:val="0"/>
                <w:sz w:val="24"/>
              </w:rPr>
            </w:pPr>
            <w:r>
              <w:rPr>
                <w:rFonts w:hint="eastAsia" w:ascii="宋体" w:hAnsi="宋体" w:cs="宋体"/>
                <w:color w:val="000000"/>
                <w:kern w:val="0"/>
                <w:sz w:val="24"/>
              </w:rPr>
              <w:t>12</w:t>
            </w:r>
          </w:p>
        </w:tc>
        <w:tc>
          <w:tcPr>
            <w:tcW w:w="766" w:type="dxa"/>
            <w:tcBorders>
              <w:top w:val="nil"/>
              <w:left w:val="nil"/>
              <w:bottom w:val="single" w:color="auto" w:sz="8" w:space="0"/>
              <w:right w:val="single" w:color="auto" w:sz="8" w:space="0"/>
            </w:tcBorders>
            <w:vAlign w:val="center"/>
          </w:tcPr>
          <w:p w14:paraId="030053ED">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39F1395B">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28872885">
            <w:pPr>
              <w:widowControl/>
              <w:numPr>
                <w:ilvl w:val="0"/>
                <w:numId w:val="14"/>
              </w:numPr>
              <w:jc w:val="center"/>
              <w:rPr>
                <w:rFonts w:hint="eastAsia" w:ascii="宋体" w:hAnsi="宋体" w:cs="宋体"/>
                <w:color w:val="000000"/>
                <w:kern w:val="0"/>
                <w:sz w:val="24"/>
              </w:rPr>
            </w:pPr>
          </w:p>
        </w:tc>
        <w:tc>
          <w:tcPr>
            <w:tcW w:w="1341" w:type="dxa"/>
            <w:vMerge w:val="continue"/>
            <w:tcBorders>
              <w:top w:val="nil"/>
              <w:left w:val="single" w:color="auto" w:sz="8" w:space="0"/>
              <w:bottom w:val="single" w:color="000000" w:sz="8" w:space="0"/>
              <w:right w:val="single" w:color="auto" w:sz="8" w:space="0"/>
            </w:tcBorders>
            <w:vAlign w:val="center"/>
          </w:tcPr>
          <w:p w14:paraId="642A3A46">
            <w:pPr>
              <w:widowControl/>
              <w:jc w:val="left"/>
              <w:rPr>
                <w:rFonts w:hint="eastAsia" w:ascii="宋体" w:hAnsi="宋体" w:cs="宋体"/>
                <w:color w:val="000000"/>
                <w:kern w:val="0"/>
                <w:sz w:val="24"/>
              </w:rPr>
            </w:pPr>
          </w:p>
        </w:tc>
        <w:tc>
          <w:tcPr>
            <w:tcW w:w="1250" w:type="dxa"/>
            <w:tcBorders>
              <w:top w:val="nil"/>
              <w:left w:val="nil"/>
              <w:bottom w:val="single" w:color="auto" w:sz="8" w:space="0"/>
              <w:right w:val="single" w:color="auto" w:sz="8" w:space="0"/>
            </w:tcBorders>
            <w:vAlign w:val="center"/>
          </w:tcPr>
          <w:p w14:paraId="430A85F7">
            <w:pPr>
              <w:widowControl/>
              <w:jc w:val="center"/>
              <w:rPr>
                <w:rFonts w:hint="eastAsia" w:ascii="宋体" w:hAnsi="宋体" w:cs="宋体"/>
                <w:color w:val="000000"/>
                <w:kern w:val="0"/>
                <w:sz w:val="24"/>
              </w:rPr>
            </w:pPr>
            <w:r>
              <w:rPr>
                <w:rFonts w:hint="eastAsia" w:ascii="宋体" w:hAnsi="宋体" w:cs="宋体"/>
                <w:color w:val="000000"/>
                <w:kern w:val="0"/>
                <w:sz w:val="24"/>
              </w:rPr>
              <w:t>应急演练</w:t>
            </w:r>
          </w:p>
        </w:tc>
        <w:tc>
          <w:tcPr>
            <w:tcW w:w="4190" w:type="dxa"/>
            <w:tcBorders>
              <w:top w:val="nil"/>
              <w:left w:val="nil"/>
              <w:bottom w:val="single" w:color="auto" w:sz="8" w:space="0"/>
              <w:right w:val="single" w:color="auto" w:sz="8" w:space="0"/>
            </w:tcBorders>
            <w:vAlign w:val="center"/>
          </w:tcPr>
          <w:p w14:paraId="05C23C36">
            <w:pPr>
              <w:widowControl/>
              <w:jc w:val="left"/>
              <w:rPr>
                <w:rFonts w:hint="eastAsia" w:ascii="宋体" w:hAnsi="宋体" w:cs="宋体"/>
                <w:color w:val="000000"/>
                <w:kern w:val="0"/>
                <w:sz w:val="24"/>
              </w:rPr>
            </w:pPr>
            <w:r>
              <w:rPr>
                <w:rFonts w:hint="eastAsia" w:ascii="宋体" w:hAnsi="宋体" w:cs="宋体"/>
                <w:color w:val="000000"/>
                <w:kern w:val="0"/>
                <w:sz w:val="24"/>
              </w:rPr>
              <w:t>建立应急预案，并定期开展应急演练。通过实战演练来提高单位应对网络突发事件的行动力，根据出现的新的网络攻击手段或其他特殊情况，不断进行预案的调整完善。</w:t>
            </w:r>
          </w:p>
        </w:tc>
        <w:tc>
          <w:tcPr>
            <w:tcW w:w="809" w:type="dxa"/>
            <w:tcBorders>
              <w:top w:val="nil"/>
              <w:left w:val="nil"/>
              <w:bottom w:val="single" w:color="auto" w:sz="8" w:space="0"/>
              <w:right w:val="single" w:color="auto" w:sz="8" w:space="0"/>
            </w:tcBorders>
            <w:vAlign w:val="center"/>
          </w:tcPr>
          <w:p w14:paraId="078C912D">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766" w:type="dxa"/>
            <w:tcBorders>
              <w:top w:val="nil"/>
              <w:left w:val="nil"/>
              <w:bottom w:val="single" w:color="auto" w:sz="8" w:space="0"/>
              <w:right w:val="single" w:color="auto" w:sz="8" w:space="0"/>
            </w:tcBorders>
            <w:vAlign w:val="center"/>
          </w:tcPr>
          <w:p w14:paraId="36AA2F9C">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71FA920A">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76322F0C">
            <w:pPr>
              <w:widowControl/>
              <w:numPr>
                <w:ilvl w:val="0"/>
                <w:numId w:val="14"/>
              </w:numPr>
              <w:jc w:val="center"/>
              <w:rPr>
                <w:rFonts w:hint="eastAsia" w:ascii="宋体" w:hAnsi="宋体" w:cs="宋体"/>
                <w:color w:val="000000"/>
                <w:kern w:val="0"/>
                <w:sz w:val="24"/>
              </w:rPr>
            </w:pPr>
          </w:p>
        </w:tc>
        <w:tc>
          <w:tcPr>
            <w:tcW w:w="1341" w:type="dxa"/>
            <w:vMerge w:val="continue"/>
            <w:tcBorders>
              <w:top w:val="nil"/>
              <w:left w:val="single" w:color="auto" w:sz="8" w:space="0"/>
              <w:bottom w:val="single" w:color="000000" w:sz="8" w:space="0"/>
              <w:right w:val="single" w:color="auto" w:sz="8" w:space="0"/>
            </w:tcBorders>
            <w:vAlign w:val="center"/>
          </w:tcPr>
          <w:p w14:paraId="7E43DB23">
            <w:pPr>
              <w:widowControl/>
              <w:jc w:val="left"/>
              <w:rPr>
                <w:rFonts w:hint="eastAsia" w:ascii="宋体" w:hAnsi="宋体" w:cs="宋体"/>
                <w:color w:val="000000"/>
                <w:kern w:val="0"/>
                <w:sz w:val="24"/>
              </w:rPr>
            </w:pPr>
          </w:p>
        </w:tc>
        <w:tc>
          <w:tcPr>
            <w:tcW w:w="1250" w:type="dxa"/>
            <w:tcBorders>
              <w:top w:val="nil"/>
              <w:left w:val="nil"/>
              <w:bottom w:val="single" w:color="auto" w:sz="8" w:space="0"/>
              <w:right w:val="single" w:color="auto" w:sz="8" w:space="0"/>
            </w:tcBorders>
            <w:vAlign w:val="center"/>
          </w:tcPr>
          <w:p w14:paraId="0C3AD09E">
            <w:pPr>
              <w:widowControl/>
              <w:jc w:val="center"/>
              <w:rPr>
                <w:rFonts w:hint="eastAsia" w:ascii="宋体" w:hAnsi="宋体" w:cs="宋体"/>
                <w:color w:val="000000"/>
                <w:kern w:val="0"/>
                <w:sz w:val="24"/>
              </w:rPr>
            </w:pPr>
            <w:r>
              <w:rPr>
                <w:rFonts w:hint="eastAsia" w:ascii="宋体" w:hAnsi="宋体" w:cs="宋体"/>
                <w:color w:val="000000"/>
                <w:kern w:val="0"/>
                <w:sz w:val="24"/>
              </w:rPr>
              <w:t>脆弱性测试</w:t>
            </w:r>
          </w:p>
        </w:tc>
        <w:tc>
          <w:tcPr>
            <w:tcW w:w="4190" w:type="dxa"/>
            <w:tcBorders>
              <w:top w:val="nil"/>
              <w:left w:val="nil"/>
              <w:bottom w:val="single" w:color="auto" w:sz="8" w:space="0"/>
              <w:right w:val="single" w:color="auto" w:sz="8" w:space="0"/>
            </w:tcBorders>
            <w:vAlign w:val="center"/>
          </w:tcPr>
          <w:p w14:paraId="4761FD76">
            <w:pPr>
              <w:widowControl/>
              <w:jc w:val="left"/>
              <w:rPr>
                <w:rFonts w:hint="eastAsia" w:ascii="宋体" w:hAnsi="宋体" w:cs="宋体"/>
                <w:color w:val="000000"/>
                <w:kern w:val="0"/>
                <w:sz w:val="24"/>
              </w:rPr>
            </w:pPr>
            <w:r>
              <w:rPr>
                <w:rFonts w:hint="eastAsia" w:ascii="宋体" w:hAnsi="宋体" w:cs="宋体"/>
                <w:color w:val="000000"/>
                <w:kern w:val="0"/>
                <w:sz w:val="24"/>
              </w:rPr>
              <w:t>涵盖应用系统、数据库等，进行安全检测，以发现在网络、运维器策略配置等层面存在的安全隐患，为安全优化工作提供建设依据。</w:t>
            </w:r>
          </w:p>
        </w:tc>
        <w:tc>
          <w:tcPr>
            <w:tcW w:w="809" w:type="dxa"/>
            <w:tcBorders>
              <w:top w:val="nil"/>
              <w:left w:val="nil"/>
              <w:bottom w:val="single" w:color="auto" w:sz="8" w:space="0"/>
              <w:right w:val="single" w:color="auto" w:sz="8" w:space="0"/>
            </w:tcBorders>
            <w:vAlign w:val="center"/>
          </w:tcPr>
          <w:p w14:paraId="15457D53">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66" w:type="dxa"/>
            <w:tcBorders>
              <w:top w:val="nil"/>
              <w:left w:val="nil"/>
              <w:bottom w:val="single" w:color="auto" w:sz="8" w:space="0"/>
              <w:right w:val="single" w:color="auto" w:sz="8" w:space="0"/>
            </w:tcBorders>
            <w:vAlign w:val="center"/>
          </w:tcPr>
          <w:p w14:paraId="25E58A62">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087FE3DB">
        <w:tblPrEx>
          <w:tblCellMar>
            <w:top w:w="0" w:type="dxa"/>
            <w:left w:w="108" w:type="dxa"/>
            <w:bottom w:w="0" w:type="dxa"/>
            <w:right w:w="108" w:type="dxa"/>
          </w:tblCellMar>
        </w:tblPrEx>
        <w:trPr>
          <w:trHeight w:val="454" w:hRule="atLeast"/>
        </w:trPr>
        <w:tc>
          <w:tcPr>
            <w:tcW w:w="699" w:type="dxa"/>
            <w:vMerge w:val="restart"/>
            <w:tcBorders>
              <w:top w:val="nil"/>
              <w:left w:val="single" w:color="auto" w:sz="8" w:space="0"/>
              <w:bottom w:val="single" w:color="000000" w:sz="8" w:space="0"/>
              <w:right w:val="single" w:color="auto" w:sz="8" w:space="0"/>
            </w:tcBorders>
            <w:vAlign w:val="center"/>
          </w:tcPr>
          <w:p w14:paraId="34C16B91">
            <w:pPr>
              <w:widowControl/>
              <w:numPr>
                <w:ilvl w:val="0"/>
                <w:numId w:val="14"/>
              </w:numPr>
              <w:tabs>
                <w:tab w:val="left" w:pos="360"/>
              </w:tabs>
              <w:ind w:left="360" w:firstLine="480" w:firstLineChars="200"/>
              <w:jc w:val="center"/>
              <w:rPr>
                <w:rFonts w:hint="eastAsia" w:ascii="Calibri" w:hAnsi="宋体" w:cs="宋体"/>
                <w:color w:val="000000"/>
                <w:kern w:val="0"/>
                <w:sz w:val="24"/>
              </w:rPr>
            </w:pPr>
          </w:p>
          <w:p w14:paraId="7B485CBC">
            <w:pPr>
              <w:widowControl/>
              <w:autoSpaceDE w:val="0"/>
              <w:autoSpaceDN w:val="0"/>
              <w:adjustRightInd w:val="0"/>
              <w:ind w:firstLine="420"/>
              <w:jc w:val="center"/>
              <w:rPr>
                <w:rFonts w:hint="eastAsia" w:ascii="宋体" w:hAnsi="宋体" w:cs="宋体"/>
                <w:color w:val="000000"/>
                <w:kern w:val="0"/>
                <w:sz w:val="24"/>
              </w:rPr>
            </w:pPr>
            <w:r>
              <w:rPr>
                <w:rFonts w:hint="eastAsia" w:ascii="宋体" w:hAnsi="宋体" w:cs="宋体"/>
                <w:color w:val="000000"/>
                <w:kern w:val="0"/>
                <w:sz w:val="24"/>
              </w:rPr>
              <w:t>14</w:t>
            </w:r>
          </w:p>
        </w:tc>
        <w:tc>
          <w:tcPr>
            <w:tcW w:w="1341" w:type="dxa"/>
            <w:vMerge w:val="continue"/>
            <w:tcBorders>
              <w:top w:val="nil"/>
              <w:left w:val="single" w:color="auto" w:sz="8" w:space="0"/>
              <w:bottom w:val="single" w:color="000000" w:sz="8" w:space="0"/>
              <w:right w:val="single" w:color="auto" w:sz="8" w:space="0"/>
            </w:tcBorders>
            <w:vAlign w:val="center"/>
          </w:tcPr>
          <w:p w14:paraId="221A87F1">
            <w:pPr>
              <w:widowControl/>
              <w:jc w:val="left"/>
              <w:rPr>
                <w:rFonts w:hint="eastAsia" w:ascii="宋体" w:hAnsi="宋体" w:cs="宋体"/>
                <w:color w:val="000000"/>
                <w:kern w:val="0"/>
                <w:sz w:val="24"/>
              </w:rPr>
            </w:pPr>
          </w:p>
        </w:tc>
        <w:tc>
          <w:tcPr>
            <w:tcW w:w="1250" w:type="dxa"/>
            <w:vMerge w:val="restart"/>
            <w:tcBorders>
              <w:top w:val="nil"/>
              <w:left w:val="single" w:color="auto" w:sz="8" w:space="0"/>
              <w:bottom w:val="single" w:color="000000" w:sz="8" w:space="0"/>
              <w:right w:val="single" w:color="auto" w:sz="8" w:space="0"/>
            </w:tcBorders>
            <w:vAlign w:val="center"/>
          </w:tcPr>
          <w:p w14:paraId="6EDDF4E6">
            <w:pPr>
              <w:widowControl/>
              <w:jc w:val="center"/>
              <w:rPr>
                <w:rFonts w:hint="eastAsia" w:ascii="宋体" w:hAnsi="宋体" w:cs="宋体"/>
                <w:color w:val="000000"/>
                <w:kern w:val="0"/>
                <w:sz w:val="24"/>
              </w:rPr>
            </w:pPr>
            <w:r>
              <w:rPr>
                <w:rFonts w:hint="eastAsia" w:ascii="宋体" w:hAnsi="宋体" w:cs="宋体"/>
                <w:color w:val="000000"/>
                <w:kern w:val="0"/>
                <w:sz w:val="24"/>
              </w:rPr>
              <w:t>日志分析</w:t>
            </w:r>
          </w:p>
        </w:tc>
        <w:tc>
          <w:tcPr>
            <w:tcW w:w="4190" w:type="dxa"/>
            <w:vMerge w:val="restart"/>
            <w:tcBorders>
              <w:top w:val="nil"/>
              <w:left w:val="nil"/>
              <w:right w:val="single" w:color="auto" w:sz="8" w:space="0"/>
            </w:tcBorders>
            <w:vAlign w:val="center"/>
          </w:tcPr>
          <w:p w14:paraId="54091F47">
            <w:pPr>
              <w:widowControl/>
              <w:jc w:val="left"/>
              <w:rPr>
                <w:rFonts w:hint="eastAsia" w:ascii="宋体" w:hAnsi="宋体" w:cs="宋体"/>
                <w:color w:val="000000"/>
                <w:kern w:val="0"/>
                <w:sz w:val="24"/>
              </w:rPr>
            </w:pPr>
            <w:r>
              <w:rPr>
                <w:rFonts w:hint="eastAsia" w:ascii="宋体" w:hAnsi="宋体" w:cs="宋体"/>
                <w:color w:val="000000"/>
                <w:kern w:val="0"/>
                <w:sz w:val="24"/>
              </w:rPr>
              <w:t>通过收集用户网络中的运维器、网络设备、安全设备等的日志信息，进行关联分析，发现潜在的威胁和未知的入侵行为。态势感知日志检索分析日志检索分析运维器日志检索分析。</w:t>
            </w:r>
          </w:p>
        </w:tc>
        <w:tc>
          <w:tcPr>
            <w:tcW w:w="809" w:type="dxa"/>
            <w:vMerge w:val="restart"/>
            <w:tcBorders>
              <w:top w:val="nil"/>
              <w:left w:val="single" w:color="auto" w:sz="8" w:space="0"/>
              <w:bottom w:val="single" w:color="000000" w:sz="8" w:space="0"/>
              <w:right w:val="single" w:color="auto" w:sz="8" w:space="0"/>
            </w:tcBorders>
            <w:vAlign w:val="center"/>
          </w:tcPr>
          <w:p w14:paraId="7D01CD37">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66" w:type="dxa"/>
            <w:vMerge w:val="restart"/>
            <w:tcBorders>
              <w:top w:val="nil"/>
              <w:left w:val="single" w:color="auto" w:sz="8" w:space="0"/>
              <w:bottom w:val="single" w:color="000000" w:sz="8" w:space="0"/>
              <w:right w:val="single" w:color="auto" w:sz="8" w:space="0"/>
            </w:tcBorders>
            <w:vAlign w:val="center"/>
          </w:tcPr>
          <w:p w14:paraId="492AC2CC">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21738763">
        <w:tblPrEx>
          <w:tblCellMar>
            <w:top w:w="0" w:type="dxa"/>
            <w:left w:w="108" w:type="dxa"/>
            <w:bottom w:w="0" w:type="dxa"/>
            <w:right w:w="108" w:type="dxa"/>
          </w:tblCellMar>
        </w:tblPrEx>
        <w:trPr>
          <w:trHeight w:val="454" w:hRule="atLeast"/>
        </w:trPr>
        <w:tc>
          <w:tcPr>
            <w:tcW w:w="699" w:type="dxa"/>
            <w:vMerge w:val="continue"/>
            <w:tcBorders>
              <w:top w:val="nil"/>
              <w:left w:val="single" w:color="auto" w:sz="8" w:space="0"/>
              <w:bottom w:val="single" w:color="000000" w:sz="8" w:space="0"/>
              <w:right w:val="single" w:color="auto" w:sz="8" w:space="0"/>
            </w:tcBorders>
            <w:vAlign w:val="center"/>
          </w:tcPr>
          <w:p w14:paraId="2D54F092">
            <w:pPr>
              <w:widowControl/>
              <w:numPr>
                <w:ilvl w:val="0"/>
                <w:numId w:val="14"/>
              </w:numPr>
              <w:jc w:val="center"/>
              <w:rPr>
                <w:rFonts w:hint="eastAsia" w:ascii="宋体" w:hAnsi="宋体" w:cs="宋体"/>
                <w:color w:val="000000"/>
                <w:kern w:val="0"/>
                <w:sz w:val="24"/>
              </w:rPr>
            </w:pPr>
          </w:p>
        </w:tc>
        <w:tc>
          <w:tcPr>
            <w:tcW w:w="1341" w:type="dxa"/>
            <w:vMerge w:val="continue"/>
            <w:tcBorders>
              <w:top w:val="nil"/>
              <w:left w:val="single" w:color="auto" w:sz="8" w:space="0"/>
              <w:bottom w:val="single" w:color="000000" w:sz="8" w:space="0"/>
              <w:right w:val="single" w:color="auto" w:sz="8" w:space="0"/>
            </w:tcBorders>
            <w:vAlign w:val="center"/>
          </w:tcPr>
          <w:p w14:paraId="2E9DEABB">
            <w:pPr>
              <w:widowControl/>
              <w:jc w:val="left"/>
              <w:rPr>
                <w:rFonts w:hint="eastAsia" w:ascii="宋体" w:hAnsi="宋体" w:cs="宋体"/>
                <w:color w:val="000000"/>
                <w:kern w:val="0"/>
                <w:sz w:val="24"/>
              </w:rPr>
            </w:pPr>
          </w:p>
        </w:tc>
        <w:tc>
          <w:tcPr>
            <w:tcW w:w="1250" w:type="dxa"/>
            <w:vMerge w:val="continue"/>
            <w:tcBorders>
              <w:top w:val="nil"/>
              <w:left w:val="single" w:color="auto" w:sz="8" w:space="0"/>
              <w:bottom w:val="single" w:color="000000" w:sz="8" w:space="0"/>
              <w:right w:val="single" w:color="auto" w:sz="8" w:space="0"/>
            </w:tcBorders>
            <w:vAlign w:val="center"/>
          </w:tcPr>
          <w:p w14:paraId="7B42CBAA">
            <w:pPr>
              <w:widowControl/>
              <w:jc w:val="left"/>
              <w:rPr>
                <w:rFonts w:hint="eastAsia" w:ascii="宋体" w:hAnsi="宋体" w:cs="宋体"/>
                <w:color w:val="000000"/>
                <w:kern w:val="0"/>
                <w:sz w:val="24"/>
              </w:rPr>
            </w:pPr>
          </w:p>
        </w:tc>
        <w:tc>
          <w:tcPr>
            <w:tcW w:w="4190" w:type="dxa"/>
            <w:vMerge w:val="continue"/>
            <w:tcBorders>
              <w:left w:val="nil"/>
              <w:bottom w:val="single" w:color="auto" w:sz="8" w:space="0"/>
              <w:right w:val="single" w:color="auto" w:sz="8" w:space="0"/>
            </w:tcBorders>
            <w:vAlign w:val="center"/>
          </w:tcPr>
          <w:p w14:paraId="4C8C40C1">
            <w:pPr>
              <w:widowControl/>
              <w:jc w:val="left"/>
              <w:rPr>
                <w:rFonts w:hint="eastAsia" w:ascii="宋体" w:hAnsi="宋体" w:cs="宋体"/>
                <w:color w:val="000000"/>
                <w:kern w:val="0"/>
                <w:sz w:val="24"/>
              </w:rPr>
            </w:pPr>
          </w:p>
        </w:tc>
        <w:tc>
          <w:tcPr>
            <w:tcW w:w="809" w:type="dxa"/>
            <w:vMerge w:val="continue"/>
            <w:tcBorders>
              <w:top w:val="nil"/>
              <w:left w:val="single" w:color="auto" w:sz="8" w:space="0"/>
              <w:bottom w:val="single" w:color="000000" w:sz="8" w:space="0"/>
              <w:right w:val="single" w:color="auto" w:sz="8" w:space="0"/>
            </w:tcBorders>
            <w:vAlign w:val="center"/>
          </w:tcPr>
          <w:p w14:paraId="3B9CF9AA">
            <w:pPr>
              <w:widowControl/>
              <w:jc w:val="left"/>
              <w:rPr>
                <w:rFonts w:hint="eastAsia" w:ascii="宋体" w:hAnsi="宋体" w:cs="宋体"/>
                <w:color w:val="000000"/>
                <w:kern w:val="0"/>
                <w:sz w:val="24"/>
              </w:rPr>
            </w:pPr>
          </w:p>
        </w:tc>
        <w:tc>
          <w:tcPr>
            <w:tcW w:w="766" w:type="dxa"/>
            <w:vMerge w:val="continue"/>
            <w:tcBorders>
              <w:top w:val="nil"/>
              <w:left w:val="single" w:color="auto" w:sz="8" w:space="0"/>
              <w:bottom w:val="single" w:color="000000" w:sz="8" w:space="0"/>
              <w:right w:val="single" w:color="auto" w:sz="8" w:space="0"/>
            </w:tcBorders>
            <w:vAlign w:val="center"/>
          </w:tcPr>
          <w:p w14:paraId="1022C886">
            <w:pPr>
              <w:widowControl/>
              <w:jc w:val="left"/>
              <w:rPr>
                <w:rFonts w:hint="eastAsia" w:ascii="宋体" w:hAnsi="宋体" w:cs="宋体"/>
                <w:color w:val="000000"/>
                <w:kern w:val="0"/>
                <w:sz w:val="24"/>
              </w:rPr>
            </w:pPr>
          </w:p>
        </w:tc>
      </w:tr>
      <w:tr w14:paraId="074688BE">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681D981C">
            <w:pPr>
              <w:widowControl/>
              <w:numPr>
                <w:ilvl w:val="0"/>
                <w:numId w:val="14"/>
              </w:numPr>
              <w:jc w:val="center"/>
              <w:rPr>
                <w:rFonts w:hint="eastAsia" w:ascii="宋体" w:hAnsi="宋体" w:cs="宋体"/>
                <w:color w:val="000000"/>
                <w:kern w:val="0"/>
                <w:sz w:val="24"/>
              </w:rPr>
            </w:pPr>
          </w:p>
        </w:tc>
        <w:tc>
          <w:tcPr>
            <w:tcW w:w="1341" w:type="dxa"/>
            <w:vMerge w:val="continue"/>
            <w:tcBorders>
              <w:top w:val="nil"/>
              <w:left w:val="single" w:color="auto" w:sz="8" w:space="0"/>
              <w:bottom w:val="single" w:color="000000" w:sz="8" w:space="0"/>
              <w:right w:val="single" w:color="auto" w:sz="8" w:space="0"/>
            </w:tcBorders>
            <w:vAlign w:val="center"/>
          </w:tcPr>
          <w:p w14:paraId="52615E63">
            <w:pPr>
              <w:widowControl/>
              <w:jc w:val="left"/>
              <w:rPr>
                <w:rFonts w:hint="eastAsia" w:ascii="宋体" w:hAnsi="宋体" w:cs="宋体"/>
                <w:color w:val="000000"/>
                <w:kern w:val="0"/>
                <w:sz w:val="24"/>
              </w:rPr>
            </w:pPr>
          </w:p>
        </w:tc>
        <w:tc>
          <w:tcPr>
            <w:tcW w:w="1250" w:type="dxa"/>
            <w:tcBorders>
              <w:top w:val="nil"/>
              <w:left w:val="nil"/>
              <w:bottom w:val="single" w:color="auto" w:sz="8" w:space="0"/>
              <w:right w:val="single" w:color="auto" w:sz="8" w:space="0"/>
            </w:tcBorders>
            <w:vAlign w:val="center"/>
          </w:tcPr>
          <w:p w14:paraId="7C6ECB3C">
            <w:pPr>
              <w:widowControl/>
              <w:jc w:val="center"/>
              <w:rPr>
                <w:rFonts w:hint="eastAsia" w:ascii="宋体" w:hAnsi="宋体" w:cs="宋体"/>
                <w:color w:val="000000"/>
                <w:kern w:val="0"/>
                <w:sz w:val="24"/>
              </w:rPr>
            </w:pPr>
            <w:r>
              <w:rPr>
                <w:rFonts w:hint="eastAsia" w:ascii="宋体" w:hAnsi="宋体" w:cs="宋体"/>
                <w:color w:val="000000"/>
                <w:kern w:val="0"/>
                <w:sz w:val="24"/>
              </w:rPr>
              <w:t>安全加固</w:t>
            </w:r>
          </w:p>
        </w:tc>
        <w:tc>
          <w:tcPr>
            <w:tcW w:w="4190" w:type="dxa"/>
            <w:tcBorders>
              <w:top w:val="nil"/>
              <w:left w:val="nil"/>
              <w:bottom w:val="single" w:color="auto" w:sz="8" w:space="0"/>
              <w:right w:val="single" w:color="auto" w:sz="8" w:space="0"/>
            </w:tcBorders>
            <w:vAlign w:val="center"/>
          </w:tcPr>
          <w:p w14:paraId="4177C3BE">
            <w:pPr>
              <w:widowControl/>
              <w:jc w:val="left"/>
              <w:rPr>
                <w:rFonts w:hint="eastAsia" w:ascii="宋体" w:hAnsi="宋体" w:cs="宋体"/>
                <w:color w:val="000000"/>
                <w:kern w:val="0"/>
                <w:sz w:val="24"/>
              </w:rPr>
            </w:pPr>
            <w:r>
              <w:rPr>
                <w:rFonts w:hint="eastAsia" w:ascii="宋体" w:hAnsi="宋体" w:cs="宋体"/>
                <w:color w:val="000000"/>
                <w:kern w:val="0"/>
                <w:sz w:val="24"/>
              </w:rPr>
              <w:t>参考国内国际权威的系统安全配置标准，并结合客户的实际业务需要，对重点运维器的操作系统和应用运维进行适度安全配置加固和系统安全优化。并包括基线安全检查后的安全配置修改。对网站/应用安全检查后的配置修改。对策略的实际情况进行配置修改。对安全风险进行整改。</w:t>
            </w:r>
          </w:p>
        </w:tc>
        <w:tc>
          <w:tcPr>
            <w:tcW w:w="809" w:type="dxa"/>
            <w:tcBorders>
              <w:top w:val="nil"/>
              <w:left w:val="nil"/>
              <w:bottom w:val="single" w:color="auto" w:sz="8" w:space="0"/>
              <w:right w:val="single" w:color="auto" w:sz="8" w:space="0"/>
            </w:tcBorders>
            <w:vAlign w:val="center"/>
          </w:tcPr>
          <w:p w14:paraId="2A9D2F1C">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66" w:type="dxa"/>
            <w:tcBorders>
              <w:top w:val="nil"/>
              <w:left w:val="nil"/>
              <w:bottom w:val="single" w:color="auto" w:sz="8" w:space="0"/>
              <w:right w:val="single" w:color="auto" w:sz="8" w:space="0"/>
            </w:tcBorders>
            <w:vAlign w:val="center"/>
          </w:tcPr>
          <w:p w14:paraId="6B250BE7">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7E24A704">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37F8A330">
            <w:pPr>
              <w:widowControl/>
              <w:numPr>
                <w:ilvl w:val="0"/>
                <w:numId w:val="14"/>
              </w:numPr>
              <w:jc w:val="center"/>
              <w:rPr>
                <w:rFonts w:hint="eastAsia" w:ascii="宋体" w:hAnsi="宋体" w:cs="宋体"/>
                <w:color w:val="000000"/>
                <w:kern w:val="0"/>
                <w:sz w:val="24"/>
              </w:rPr>
            </w:pPr>
          </w:p>
        </w:tc>
        <w:tc>
          <w:tcPr>
            <w:tcW w:w="1341" w:type="dxa"/>
            <w:vMerge w:val="continue"/>
            <w:tcBorders>
              <w:top w:val="nil"/>
              <w:left w:val="single" w:color="auto" w:sz="8" w:space="0"/>
              <w:bottom w:val="single" w:color="000000" w:sz="8" w:space="0"/>
              <w:right w:val="single" w:color="auto" w:sz="8" w:space="0"/>
            </w:tcBorders>
            <w:vAlign w:val="center"/>
          </w:tcPr>
          <w:p w14:paraId="58992AD3">
            <w:pPr>
              <w:widowControl/>
              <w:jc w:val="left"/>
              <w:rPr>
                <w:rFonts w:hint="eastAsia" w:ascii="宋体" w:hAnsi="宋体" w:cs="宋体"/>
                <w:color w:val="000000"/>
                <w:kern w:val="0"/>
                <w:sz w:val="24"/>
              </w:rPr>
            </w:pPr>
          </w:p>
        </w:tc>
        <w:tc>
          <w:tcPr>
            <w:tcW w:w="1250" w:type="dxa"/>
            <w:tcBorders>
              <w:top w:val="nil"/>
              <w:left w:val="nil"/>
              <w:bottom w:val="single" w:color="auto" w:sz="8" w:space="0"/>
              <w:right w:val="single" w:color="auto" w:sz="8" w:space="0"/>
            </w:tcBorders>
            <w:vAlign w:val="center"/>
          </w:tcPr>
          <w:p w14:paraId="070CB7F3">
            <w:pPr>
              <w:widowControl/>
              <w:jc w:val="center"/>
              <w:rPr>
                <w:rFonts w:hint="eastAsia" w:ascii="宋体" w:hAnsi="宋体" w:cs="宋体"/>
                <w:color w:val="000000"/>
                <w:kern w:val="0"/>
                <w:sz w:val="24"/>
              </w:rPr>
            </w:pPr>
            <w:r>
              <w:rPr>
                <w:rFonts w:hint="eastAsia" w:ascii="宋体" w:hAnsi="宋体" w:cs="宋体"/>
                <w:color w:val="000000"/>
                <w:kern w:val="0"/>
                <w:sz w:val="24"/>
              </w:rPr>
              <w:t>安全培训</w:t>
            </w:r>
          </w:p>
        </w:tc>
        <w:tc>
          <w:tcPr>
            <w:tcW w:w="4190" w:type="dxa"/>
            <w:tcBorders>
              <w:top w:val="nil"/>
              <w:left w:val="nil"/>
              <w:bottom w:val="single" w:color="auto" w:sz="8" w:space="0"/>
              <w:right w:val="single" w:color="auto" w:sz="8" w:space="0"/>
            </w:tcBorders>
            <w:vAlign w:val="center"/>
          </w:tcPr>
          <w:p w14:paraId="0DF989D9">
            <w:pPr>
              <w:widowControl/>
              <w:jc w:val="left"/>
              <w:rPr>
                <w:rFonts w:hint="eastAsia" w:ascii="宋体" w:hAnsi="宋体" w:cs="宋体"/>
                <w:color w:val="000000"/>
                <w:kern w:val="0"/>
                <w:sz w:val="24"/>
              </w:rPr>
            </w:pPr>
            <w:r>
              <w:rPr>
                <w:rFonts w:hint="eastAsia" w:ascii="宋体" w:hAnsi="宋体" w:cs="宋体"/>
                <w:color w:val="000000"/>
                <w:kern w:val="0"/>
                <w:sz w:val="24"/>
              </w:rPr>
              <w:t>对用户进行安全意识培训，及国家制定的新的政策解读并提供建议方案。举办安全讲座，邮件，文本资料等方式，让员工深入了解网络安全的重要性，并学习实用的安全技能。并不定期邀请技术人员列席专业性的会议，切身感受新技术新产品的安全发展趋势。</w:t>
            </w:r>
          </w:p>
        </w:tc>
        <w:tc>
          <w:tcPr>
            <w:tcW w:w="809" w:type="dxa"/>
            <w:tcBorders>
              <w:top w:val="nil"/>
              <w:left w:val="nil"/>
              <w:bottom w:val="single" w:color="auto" w:sz="8" w:space="0"/>
              <w:right w:val="single" w:color="auto" w:sz="8" w:space="0"/>
            </w:tcBorders>
            <w:vAlign w:val="center"/>
          </w:tcPr>
          <w:p w14:paraId="3929EF86">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66" w:type="dxa"/>
            <w:tcBorders>
              <w:top w:val="nil"/>
              <w:left w:val="nil"/>
              <w:bottom w:val="single" w:color="auto" w:sz="8" w:space="0"/>
              <w:right w:val="single" w:color="auto" w:sz="8" w:space="0"/>
            </w:tcBorders>
            <w:vAlign w:val="center"/>
          </w:tcPr>
          <w:p w14:paraId="18D6A92B">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34AFF4C7">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5F2840D5">
            <w:pPr>
              <w:widowControl/>
              <w:numPr>
                <w:ilvl w:val="0"/>
                <w:numId w:val="14"/>
              </w:numPr>
              <w:jc w:val="center"/>
              <w:rPr>
                <w:rFonts w:hint="eastAsia" w:ascii="宋体" w:hAnsi="宋体" w:cs="宋体"/>
                <w:color w:val="000000"/>
                <w:kern w:val="0"/>
                <w:sz w:val="24"/>
              </w:rPr>
            </w:pPr>
          </w:p>
        </w:tc>
        <w:tc>
          <w:tcPr>
            <w:tcW w:w="1341" w:type="dxa"/>
            <w:vMerge w:val="continue"/>
            <w:tcBorders>
              <w:top w:val="nil"/>
              <w:left w:val="single" w:color="auto" w:sz="8" w:space="0"/>
              <w:bottom w:val="single" w:color="000000" w:sz="8" w:space="0"/>
              <w:right w:val="single" w:color="auto" w:sz="8" w:space="0"/>
            </w:tcBorders>
            <w:vAlign w:val="center"/>
          </w:tcPr>
          <w:p w14:paraId="264C194D">
            <w:pPr>
              <w:widowControl/>
              <w:jc w:val="left"/>
              <w:rPr>
                <w:rFonts w:hint="eastAsia" w:ascii="宋体" w:hAnsi="宋体" w:cs="宋体"/>
                <w:color w:val="000000"/>
                <w:kern w:val="0"/>
                <w:sz w:val="24"/>
              </w:rPr>
            </w:pPr>
          </w:p>
        </w:tc>
        <w:tc>
          <w:tcPr>
            <w:tcW w:w="1250" w:type="dxa"/>
            <w:tcBorders>
              <w:top w:val="nil"/>
              <w:left w:val="nil"/>
              <w:bottom w:val="single" w:color="auto" w:sz="8" w:space="0"/>
              <w:right w:val="single" w:color="auto" w:sz="8" w:space="0"/>
            </w:tcBorders>
            <w:vAlign w:val="center"/>
          </w:tcPr>
          <w:p w14:paraId="5073645B">
            <w:pPr>
              <w:widowControl/>
              <w:jc w:val="center"/>
              <w:rPr>
                <w:rFonts w:hint="eastAsia" w:ascii="宋体" w:hAnsi="宋体" w:cs="宋体"/>
                <w:color w:val="000000"/>
                <w:kern w:val="0"/>
                <w:sz w:val="24"/>
              </w:rPr>
            </w:pPr>
            <w:r>
              <w:rPr>
                <w:rFonts w:hint="eastAsia" w:ascii="宋体" w:hAnsi="宋体" w:cs="宋体"/>
                <w:color w:val="000000"/>
                <w:kern w:val="0"/>
                <w:sz w:val="24"/>
              </w:rPr>
              <w:t>风险评估</w:t>
            </w:r>
          </w:p>
        </w:tc>
        <w:tc>
          <w:tcPr>
            <w:tcW w:w="4190" w:type="dxa"/>
            <w:tcBorders>
              <w:top w:val="nil"/>
              <w:left w:val="nil"/>
              <w:bottom w:val="single" w:color="auto" w:sz="8" w:space="0"/>
              <w:right w:val="single" w:color="auto" w:sz="8" w:space="0"/>
            </w:tcBorders>
            <w:vAlign w:val="center"/>
          </w:tcPr>
          <w:p w14:paraId="75DDD88A">
            <w:pPr>
              <w:widowControl/>
              <w:jc w:val="left"/>
              <w:rPr>
                <w:rFonts w:hint="eastAsia" w:ascii="宋体" w:hAnsi="宋体" w:cs="宋体"/>
                <w:color w:val="000000"/>
                <w:kern w:val="0"/>
                <w:sz w:val="24"/>
              </w:rPr>
            </w:pPr>
            <w:r>
              <w:rPr>
                <w:rFonts w:hint="eastAsia" w:ascii="宋体" w:hAnsi="宋体" w:cs="宋体"/>
                <w:color w:val="000000"/>
                <w:kern w:val="0"/>
                <w:sz w:val="24"/>
              </w:rPr>
              <w:t>对重要信息系统开展风险评估工作，包括资产、威胁、脆弱性识别、风险分析、风险处置等。平衡安全风险与成本代价，提供有效的安全加固和改进建议，为以后的安全规划建设提供依据和参考，建立信息安全风险管理机制。</w:t>
            </w:r>
          </w:p>
        </w:tc>
        <w:tc>
          <w:tcPr>
            <w:tcW w:w="809" w:type="dxa"/>
            <w:tcBorders>
              <w:top w:val="nil"/>
              <w:left w:val="nil"/>
              <w:bottom w:val="single" w:color="auto" w:sz="8" w:space="0"/>
              <w:right w:val="single" w:color="auto" w:sz="8" w:space="0"/>
            </w:tcBorders>
            <w:vAlign w:val="center"/>
          </w:tcPr>
          <w:p w14:paraId="5AC90C09">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66" w:type="dxa"/>
            <w:tcBorders>
              <w:top w:val="nil"/>
              <w:left w:val="nil"/>
              <w:bottom w:val="single" w:color="auto" w:sz="8" w:space="0"/>
              <w:right w:val="single" w:color="auto" w:sz="8" w:space="0"/>
            </w:tcBorders>
            <w:vAlign w:val="center"/>
          </w:tcPr>
          <w:p w14:paraId="6DDF904E">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49174242">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5D4E3442">
            <w:pPr>
              <w:widowControl/>
              <w:numPr>
                <w:ilvl w:val="0"/>
                <w:numId w:val="14"/>
              </w:numPr>
              <w:jc w:val="center"/>
              <w:rPr>
                <w:rFonts w:hint="eastAsia" w:ascii="宋体" w:hAnsi="宋体" w:cs="宋体"/>
                <w:color w:val="000000"/>
                <w:kern w:val="0"/>
                <w:sz w:val="24"/>
              </w:rPr>
            </w:pPr>
          </w:p>
        </w:tc>
        <w:tc>
          <w:tcPr>
            <w:tcW w:w="1341" w:type="dxa"/>
            <w:vMerge w:val="continue"/>
            <w:tcBorders>
              <w:top w:val="nil"/>
              <w:left w:val="single" w:color="auto" w:sz="8" w:space="0"/>
              <w:bottom w:val="single" w:color="000000" w:sz="8" w:space="0"/>
              <w:right w:val="single" w:color="auto" w:sz="8" w:space="0"/>
            </w:tcBorders>
            <w:vAlign w:val="center"/>
          </w:tcPr>
          <w:p w14:paraId="1C37AA23">
            <w:pPr>
              <w:widowControl/>
              <w:jc w:val="left"/>
              <w:rPr>
                <w:rFonts w:hint="eastAsia" w:ascii="宋体" w:hAnsi="宋体" w:cs="宋体"/>
                <w:color w:val="000000"/>
                <w:kern w:val="0"/>
                <w:sz w:val="24"/>
              </w:rPr>
            </w:pPr>
          </w:p>
        </w:tc>
        <w:tc>
          <w:tcPr>
            <w:tcW w:w="1250" w:type="dxa"/>
            <w:tcBorders>
              <w:top w:val="nil"/>
              <w:left w:val="nil"/>
              <w:bottom w:val="single" w:color="auto" w:sz="8" w:space="0"/>
              <w:right w:val="single" w:color="auto" w:sz="8" w:space="0"/>
            </w:tcBorders>
            <w:vAlign w:val="center"/>
          </w:tcPr>
          <w:p w14:paraId="1E86B23F">
            <w:pPr>
              <w:widowControl/>
              <w:jc w:val="center"/>
              <w:rPr>
                <w:rFonts w:hint="eastAsia" w:ascii="宋体" w:hAnsi="宋体" w:cs="宋体"/>
                <w:color w:val="000000"/>
                <w:kern w:val="0"/>
                <w:sz w:val="24"/>
              </w:rPr>
            </w:pPr>
            <w:r>
              <w:rPr>
                <w:rFonts w:hint="eastAsia" w:ascii="宋体" w:hAnsi="宋体" w:cs="宋体"/>
                <w:color w:val="000000"/>
                <w:kern w:val="0"/>
                <w:sz w:val="24"/>
              </w:rPr>
              <w:t>网站安全监测</w:t>
            </w:r>
          </w:p>
        </w:tc>
        <w:tc>
          <w:tcPr>
            <w:tcW w:w="4190" w:type="dxa"/>
            <w:tcBorders>
              <w:top w:val="nil"/>
              <w:left w:val="nil"/>
              <w:bottom w:val="single" w:color="auto" w:sz="8" w:space="0"/>
              <w:right w:val="single" w:color="auto" w:sz="8" w:space="0"/>
            </w:tcBorders>
            <w:vAlign w:val="center"/>
          </w:tcPr>
          <w:p w14:paraId="3070D0D6">
            <w:pPr>
              <w:widowControl/>
              <w:jc w:val="left"/>
              <w:rPr>
                <w:rFonts w:hint="eastAsia" w:ascii="宋体" w:hAnsi="宋体" w:cs="宋体"/>
                <w:color w:val="000000"/>
                <w:kern w:val="0"/>
                <w:sz w:val="24"/>
              </w:rPr>
            </w:pPr>
            <w:r>
              <w:rPr>
                <w:rFonts w:hint="eastAsia" w:ascii="宋体" w:hAnsi="宋体" w:cs="宋体"/>
                <w:color w:val="000000"/>
                <w:kern w:val="0"/>
                <w:sz w:val="24"/>
              </w:rPr>
              <w:t>设置监测工具，实时监控网站流量和活动。识别异常流量和潜在攻击行为，如SQL注入、跨站脚本等。 一旦发现异常，立即生成警报并采取相应措施。</w:t>
            </w:r>
          </w:p>
        </w:tc>
        <w:tc>
          <w:tcPr>
            <w:tcW w:w="809" w:type="dxa"/>
            <w:tcBorders>
              <w:top w:val="nil"/>
              <w:left w:val="nil"/>
              <w:bottom w:val="single" w:color="auto" w:sz="8" w:space="0"/>
              <w:right w:val="single" w:color="auto" w:sz="8" w:space="0"/>
            </w:tcBorders>
            <w:vAlign w:val="center"/>
          </w:tcPr>
          <w:p w14:paraId="73087330">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766" w:type="dxa"/>
            <w:tcBorders>
              <w:top w:val="nil"/>
              <w:left w:val="nil"/>
              <w:bottom w:val="single" w:color="auto" w:sz="8" w:space="0"/>
              <w:right w:val="single" w:color="auto" w:sz="8" w:space="0"/>
            </w:tcBorders>
            <w:vAlign w:val="center"/>
          </w:tcPr>
          <w:p w14:paraId="2637E34A">
            <w:pPr>
              <w:widowControl/>
              <w:jc w:val="center"/>
              <w:rPr>
                <w:rFonts w:hint="eastAsia" w:ascii="宋体" w:hAnsi="宋体" w:cs="宋体"/>
                <w:color w:val="000000"/>
                <w:kern w:val="0"/>
                <w:sz w:val="24"/>
              </w:rPr>
            </w:pPr>
            <w:r>
              <w:rPr>
                <w:rFonts w:hint="eastAsia" w:ascii="宋体" w:hAnsi="宋体" w:cs="宋体"/>
                <w:color w:val="000000"/>
                <w:kern w:val="0"/>
                <w:sz w:val="24"/>
              </w:rPr>
              <w:t>年</w:t>
            </w:r>
          </w:p>
        </w:tc>
      </w:tr>
      <w:tr w14:paraId="74C5C8C5">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1C55B68B">
            <w:pPr>
              <w:widowControl/>
              <w:numPr>
                <w:ilvl w:val="0"/>
                <w:numId w:val="14"/>
              </w:numPr>
              <w:jc w:val="center"/>
              <w:rPr>
                <w:rFonts w:hint="eastAsia" w:ascii="宋体" w:hAnsi="宋体" w:cs="宋体"/>
                <w:color w:val="000000"/>
                <w:kern w:val="0"/>
                <w:sz w:val="24"/>
              </w:rPr>
            </w:pPr>
          </w:p>
        </w:tc>
        <w:tc>
          <w:tcPr>
            <w:tcW w:w="1341" w:type="dxa"/>
            <w:vMerge w:val="continue"/>
            <w:tcBorders>
              <w:top w:val="nil"/>
              <w:left w:val="single" w:color="auto" w:sz="8" w:space="0"/>
              <w:bottom w:val="single" w:color="000000" w:sz="8" w:space="0"/>
              <w:right w:val="single" w:color="auto" w:sz="8" w:space="0"/>
            </w:tcBorders>
            <w:vAlign w:val="center"/>
          </w:tcPr>
          <w:p w14:paraId="1F48C0CC">
            <w:pPr>
              <w:widowControl/>
              <w:jc w:val="left"/>
              <w:rPr>
                <w:rFonts w:hint="eastAsia" w:ascii="宋体" w:hAnsi="宋体" w:cs="宋体"/>
                <w:color w:val="000000"/>
                <w:kern w:val="0"/>
                <w:sz w:val="24"/>
              </w:rPr>
            </w:pPr>
          </w:p>
        </w:tc>
        <w:tc>
          <w:tcPr>
            <w:tcW w:w="1250" w:type="dxa"/>
            <w:tcBorders>
              <w:top w:val="nil"/>
              <w:left w:val="nil"/>
              <w:bottom w:val="single" w:color="auto" w:sz="8" w:space="0"/>
              <w:right w:val="single" w:color="auto" w:sz="8" w:space="0"/>
            </w:tcBorders>
            <w:vAlign w:val="center"/>
          </w:tcPr>
          <w:p w14:paraId="451924D5">
            <w:pPr>
              <w:widowControl/>
              <w:jc w:val="center"/>
              <w:rPr>
                <w:rFonts w:hint="eastAsia" w:ascii="宋体" w:hAnsi="宋体" w:cs="宋体"/>
                <w:color w:val="000000"/>
                <w:kern w:val="0"/>
                <w:sz w:val="24"/>
              </w:rPr>
            </w:pPr>
            <w:r>
              <w:rPr>
                <w:rFonts w:hint="eastAsia" w:ascii="宋体" w:hAnsi="宋体" w:cs="宋体"/>
                <w:color w:val="000000"/>
                <w:kern w:val="0"/>
                <w:sz w:val="24"/>
              </w:rPr>
              <w:t>基线检查</w:t>
            </w:r>
          </w:p>
        </w:tc>
        <w:tc>
          <w:tcPr>
            <w:tcW w:w="4190" w:type="dxa"/>
            <w:tcBorders>
              <w:top w:val="nil"/>
              <w:left w:val="nil"/>
              <w:bottom w:val="single" w:color="auto" w:sz="8" w:space="0"/>
              <w:right w:val="single" w:color="auto" w:sz="8" w:space="0"/>
            </w:tcBorders>
            <w:vAlign w:val="center"/>
          </w:tcPr>
          <w:p w14:paraId="70A6C73C">
            <w:pPr>
              <w:widowControl/>
              <w:jc w:val="left"/>
              <w:rPr>
                <w:rFonts w:hint="eastAsia" w:ascii="宋体" w:hAnsi="宋体" w:cs="宋体"/>
                <w:color w:val="000000"/>
                <w:kern w:val="0"/>
                <w:sz w:val="24"/>
              </w:rPr>
            </w:pPr>
            <w:r>
              <w:rPr>
                <w:rFonts w:hint="eastAsia" w:ascii="宋体" w:hAnsi="宋体" w:cs="宋体"/>
                <w:color w:val="000000"/>
                <w:kern w:val="0"/>
                <w:sz w:val="24"/>
              </w:rPr>
              <w:t>结合国家和行业要求，通过工具+人工的方式对客户信息系统的资产进行安全基线核查与分析，并提供相应的安全整改建议。</w:t>
            </w:r>
          </w:p>
        </w:tc>
        <w:tc>
          <w:tcPr>
            <w:tcW w:w="809" w:type="dxa"/>
            <w:tcBorders>
              <w:top w:val="nil"/>
              <w:left w:val="nil"/>
              <w:bottom w:val="single" w:color="auto" w:sz="8" w:space="0"/>
              <w:right w:val="single" w:color="auto" w:sz="8" w:space="0"/>
            </w:tcBorders>
            <w:vAlign w:val="center"/>
          </w:tcPr>
          <w:p w14:paraId="49362A0E">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766" w:type="dxa"/>
            <w:tcBorders>
              <w:top w:val="nil"/>
              <w:left w:val="nil"/>
              <w:bottom w:val="single" w:color="auto" w:sz="8" w:space="0"/>
              <w:right w:val="single" w:color="auto" w:sz="8" w:space="0"/>
            </w:tcBorders>
            <w:vAlign w:val="center"/>
          </w:tcPr>
          <w:p w14:paraId="3DF82C3C">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2B7F27E9">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62B418A3">
            <w:pPr>
              <w:widowControl/>
              <w:numPr>
                <w:ilvl w:val="0"/>
                <w:numId w:val="14"/>
              </w:numPr>
              <w:jc w:val="center"/>
              <w:rPr>
                <w:rFonts w:hint="eastAsia" w:ascii="宋体" w:hAnsi="宋体" w:cs="宋体"/>
                <w:color w:val="000000"/>
                <w:kern w:val="0"/>
                <w:sz w:val="24"/>
              </w:rPr>
            </w:pPr>
          </w:p>
        </w:tc>
        <w:tc>
          <w:tcPr>
            <w:tcW w:w="1341" w:type="dxa"/>
            <w:vMerge w:val="continue"/>
            <w:tcBorders>
              <w:top w:val="nil"/>
              <w:left w:val="single" w:color="auto" w:sz="8" w:space="0"/>
              <w:bottom w:val="single" w:color="000000" w:sz="8" w:space="0"/>
              <w:right w:val="single" w:color="auto" w:sz="8" w:space="0"/>
            </w:tcBorders>
            <w:vAlign w:val="center"/>
          </w:tcPr>
          <w:p w14:paraId="322214C9">
            <w:pPr>
              <w:widowControl/>
              <w:jc w:val="left"/>
              <w:rPr>
                <w:rFonts w:hint="eastAsia" w:ascii="宋体" w:hAnsi="宋体" w:cs="宋体"/>
                <w:color w:val="000000"/>
                <w:kern w:val="0"/>
                <w:sz w:val="24"/>
              </w:rPr>
            </w:pPr>
          </w:p>
        </w:tc>
        <w:tc>
          <w:tcPr>
            <w:tcW w:w="1250" w:type="dxa"/>
            <w:tcBorders>
              <w:top w:val="nil"/>
              <w:left w:val="nil"/>
              <w:bottom w:val="single" w:color="auto" w:sz="8" w:space="0"/>
              <w:right w:val="single" w:color="auto" w:sz="8" w:space="0"/>
            </w:tcBorders>
            <w:vAlign w:val="center"/>
          </w:tcPr>
          <w:p w14:paraId="60842840">
            <w:pPr>
              <w:widowControl/>
              <w:jc w:val="center"/>
              <w:rPr>
                <w:rFonts w:hint="eastAsia" w:ascii="宋体" w:hAnsi="宋体" w:cs="宋体"/>
                <w:color w:val="000000"/>
                <w:kern w:val="0"/>
                <w:sz w:val="24"/>
              </w:rPr>
            </w:pPr>
            <w:r>
              <w:rPr>
                <w:rFonts w:hint="eastAsia" w:ascii="宋体" w:hAnsi="宋体" w:cs="宋体"/>
                <w:color w:val="000000"/>
                <w:kern w:val="0"/>
                <w:sz w:val="24"/>
              </w:rPr>
              <w:t>弱口令检测</w:t>
            </w:r>
          </w:p>
        </w:tc>
        <w:tc>
          <w:tcPr>
            <w:tcW w:w="4190" w:type="dxa"/>
            <w:tcBorders>
              <w:top w:val="nil"/>
              <w:left w:val="nil"/>
              <w:bottom w:val="single" w:color="auto" w:sz="8" w:space="0"/>
              <w:right w:val="single" w:color="auto" w:sz="8" w:space="0"/>
            </w:tcBorders>
            <w:vAlign w:val="center"/>
          </w:tcPr>
          <w:p w14:paraId="49091928">
            <w:pPr>
              <w:widowControl/>
              <w:jc w:val="left"/>
              <w:rPr>
                <w:rFonts w:hint="eastAsia" w:ascii="宋体" w:hAnsi="宋体" w:cs="宋体"/>
                <w:color w:val="000000"/>
                <w:kern w:val="0"/>
                <w:sz w:val="24"/>
              </w:rPr>
            </w:pPr>
            <w:r>
              <w:rPr>
                <w:rFonts w:hint="eastAsia" w:ascii="宋体" w:hAnsi="宋体" w:cs="宋体"/>
                <w:color w:val="000000"/>
                <w:kern w:val="0"/>
                <w:sz w:val="24"/>
              </w:rPr>
              <w:t>针对内外网系统进行弱口令检测工作。每3月更换一次。</w:t>
            </w:r>
          </w:p>
        </w:tc>
        <w:tc>
          <w:tcPr>
            <w:tcW w:w="809" w:type="dxa"/>
            <w:tcBorders>
              <w:top w:val="nil"/>
              <w:left w:val="nil"/>
              <w:bottom w:val="single" w:color="auto" w:sz="8" w:space="0"/>
              <w:right w:val="single" w:color="auto" w:sz="8" w:space="0"/>
            </w:tcBorders>
            <w:vAlign w:val="center"/>
          </w:tcPr>
          <w:p w14:paraId="7D1701AC">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766" w:type="dxa"/>
            <w:tcBorders>
              <w:top w:val="nil"/>
              <w:left w:val="nil"/>
              <w:bottom w:val="single" w:color="auto" w:sz="8" w:space="0"/>
              <w:right w:val="single" w:color="auto" w:sz="8" w:space="0"/>
            </w:tcBorders>
            <w:vAlign w:val="center"/>
          </w:tcPr>
          <w:p w14:paraId="76A82422">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7C6785F9">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482ADD5A">
            <w:pPr>
              <w:widowControl/>
              <w:numPr>
                <w:ilvl w:val="0"/>
                <w:numId w:val="14"/>
              </w:numPr>
              <w:jc w:val="center"/>
              <w:rPr>
                <w:rFonts w:hint="eastAsia" w:ascii="宋体" w:hAnsi="宋体" w:cs="宋体"/>
                <w:color w:val="000000"/>
                <w:kern w:val="0"/>
                <w:sz w:val="24"/>
              </w:rPr>
            </w:pPr>
          </w:p>
        </w:tc>
        <w:tc>
          <w:tcPr>
            <w:tcW w:w="1341" w:type="dxa"/>
            <w:vMerge w:val="continue"/>
            <w:tcBorders>
              <w:top w:val="nil"/>
              <w:left w:val="single" w:color="auto" w:sz="8" w:space="0"/>
              <w:bottom w:val="single" w:color="000000" w:sz="8" w:space="0"/>
              <w:right w:val="single" w:color="auto" w:sz="8" w:space="0"/>
            </w:tcBorders>
            <w:vAlign w:val="center"/>
          </w:tcPr>
          <w:p w14:paraId="2F7A9904">
            <w:pPr>
              <w:widowControl/>
              <w:jc w:val="left"/>
              <w:rPr>
                <w:rFonts w:hint="eastAsia" w:ascii="宋体" w:hAnsi="宋体" w:cs="宋体"/>
                <w:color w:val="000000"/>
                <w:kern w:val="0"/>
                <w:sz w:val="24"/>
              </w:rPr>
            </w:pPr>
          </w:p>
        </w:tc>
        <w:tc>
          <w:tcPr>
            <w:tcW w:w="1250" w:type="dxa"/>
            <w:tcBorders>
              <w:top w:val="nil"/>
              <w:left w:val="nil"/>
              <w:bottom w:val="single" w:color="auto" w:sz="8" w:space="0"/>
              <w:right w:val="single" w:color="auto" w:sz="8" w:space="0"/>
            </w:tcBorders>
            <w:vAlign w:val="center"/>
          </w:tcPr>
          <w:p w14:paraId="0D4D07B2">
            <w:pPr>
              <w:widowControl/>
              <w:jc w:val="center"/>
              <w:rPr>
                <w:rFonts w:hint="eastAsia" w:ascii="宋体" w:hAnsi="宋体" w:cs="宋体"/>
                <w:color w:val="000000"/>
                <w:kern w:val="0"/>
                <w:sz w:val="24"/>
              </w:rPr>
            </w:pPr>
            <w:r>
              <w:rPr>
                <w:rFonts w:hint="eastAsia" w:ascii="宋体" w:hAnsi="宋体" w:cs="宋体"/>
                <w:color w:val="000000"/>
                <w:kern w:val="0"/>
                <w:sz w:val="24"/>
              </w:rPr>
              <w:t>代码审计</w:t>
            </w:r>
          </w:p>
        </w:tc>
        <w:tc>
          <w:tcPr>
            <w:tcW w:w="4190" w:type="dxa"/>
            <w:tcBorders>
              <w:top w:val="nil"/>
              <w:left w:val="nil"/>
              <w:bottom w:val="single" w:color="auto" w:sz="8" w:space="0"/>
              <w:right w:val="single" w:color="auto" w:sz="8" w:space="0"/>
            </w:tcBorders>
            <w:vAlign w:val="center"/>
          </w:tcPr>
          <w:p w14:paraId="5F2CF7F3">
            <w:pPr>
              <w:widowControl/>
              <w:jc w:val="left"/>
              <w:rPr>
                <w:rFonts w:hint="eastAsia" w:ascii="宋体" w:hAnsi="宋体" w:cs="宋体"/>
                <w:color w:val="000000"/>
                <w:kern w:val="0"/>
                <w:sz w:val="24"/>
              </w:rPr>
            </w:pPr>
            <w:r>
              <w:rPr>
                <w:rFonts w:hint="eastAsia" w:ascii="宋体" w:hAnsi="宋体" w:cs="宋体"/>
                <w:color w:val="000000"/>
                <w:kern w:val="0"/>
                <w:sz w:val="24"/>
              </w:rPr>
              <w:t>针对系统各各阶段源代码提供安全审计检测运维。利用数据流分析引擎、语义分析引擎、控制流分析引擎等技术，采用专业的源代码安全审计工具对源代码安全问题进行分析和检测并验证，从而对源代码安全漏洞进行定级，给出安全漏洞分析报告。采取自动化工具识别与人工审计相结合的方式，发现软件源代码的潜在风险。</w:t>
            </w:r>
          </w:p>
        </w:tc>
        <w:tc>
          <w:tcPr>
            <w:tcW w:w="809" w:type="dxa"/>
            <w:tcBorders>
              <w:top w:val="nil"/>
              <w:left w:val="nil"/>
              <w:bottom w:val="single" w:color="auto" w:sz="8" w:space="0"/>
              <w:right w:val="single" w:color="auto" w:sz="8" w:space="0"/>
            </w:tcBorders>
            <w:vAlign w:val="center"/>
          </w:tcPr>
          <w:p w14:paraId="5B311FA2">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766" w:type="dxa"/>
            <w:tcBorders>
              <w:top w:val="nil"/>
              <w:left w:val="nil"/>
              <w:bottom w:val="single" w:color="auto" w:sz="8" w:space="0"/>
              <w:right w:val="single" w:color="auto" w:sz="8" w:space="0"/>
            </w:tcBorders>
            <w:vAlign w:val="center"/>
          </w:tcPr>
          <w:p w14:paraId="06977B72">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22BBE278">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2A8B9F30">
            <w:pPr>
              <w:widowControl/>
              <w:numPr>
                <w:ilvl w:val="0"/>
                <w:numId w:val="14"/>
              </w:numPr>
              <w:jc w:val="center"/>
              <w:rPr>
                <w:rFonts w:hint="eastAsia" w:ascii="宋体" w:hAnsi="宋体" w:cs="宋体"/>
                <w:color w:val="000000"/>
                <w:kern w:val="0"/>
                <w:sz w:val="24"/>
              </w:rPr>
            </w:pPr>
          </w:p>
        </w:tc>
        <w:tc>
          <w:tcPr>
            <w:tcW w:w="1341" w:type="dxa"/>
            <w:vMerge w:val="continue"/>
            <w:tcBorders>
              <w:top w:val="nil"/>
              <w:left w:val="single" w:color="auto" w:sz="8" w:space="0"/>
              <w:bottom w:val="single" w:color="000000" w:sz="8" w:space="0"/>
              <w:right w:val="single" w:color="auto" w:sz="8" w:space="0"/>
            </w:tcBorders>
            <w:vAlign w:val="center"/>
          </w:tcPr>
          <w:p w14:paraId="4966C67C">
            <w:pPr>
              <w:widowControl/>
              <w:jc w:val="left"/>
              <w:rPr>
                <w:rFonts w:hint="eastAsia" w:ascii="宋体" w:hAnsi="宋体" w:cs="宋体"/>
                <w:color w:val="000000"/>
                <w:kern w:val="0"/>
                <w:sz w:val="24"/>
              </w:rPr>
            </w:pPr>
          </w:p>
        </w:tc>
        <w:tc>
          <w:tcPr>
            <w:tcW w:w="1250" w:type="dxa"/>
            <w:tcBorders>
              <w:top w:val="nil"/>
              <w:left w:val="nil"/>
              <w:bottom w:val="single" w:color="auto" w:sz="8" w:space="0"/>
              <w:right w:val="single" w:color="auto" w:sz="8" w:space="0"/>
            </w:tcBorders>
            <w:vAlign w:val="center"/>
          </w:tcPr>
          <w:p w14:paraId="06D958EB">
            <w:pPr>
              <w:widowControl/>
              <w:jc w:val="center"/>
              <w:rPr>
                <w:rFonts w:hint="eastAsia" w:ascii="宋体" w:hAnsi="宋体" w:cs="宋体"/>
                <w:color w:val="000000"/>
                <w:kern w:val="0"/>
                <w:sz w:val="24"/>
              </w:rPr>
            </w:pPr>
            <w:r>
              <w:rPr>
                <w:rFonts w:hint="eastAsia" w:ascii="宋体" w:hAnsi="宋体" w:cs="宋体"/>
                <w:color w:val="000000"/>
                <w:kern w:val="0"/>
                <w:sz w:val="24"/>
              </w:rPr>
              <w:t>安全通告</w:t>
            </w:r>
          </w:p>
        </w:tc>
        <w:tc>
          <w:tcPr>
            <w:tcW w:w="4190" w:type="dxa"/>
            <w:tcBorders>
              <w:top w:val="nil"/>
              <w:left w:val="nil"/>
              <w:bottom w:val="single" w:color="auto" w:sz="8" w:space="0"/>
              <w:right w:val="single" w:color="auto" w:sz="8" w:space="0"/>
            </w:tcBorders>
            <w:vAlign w:val="center"/>
          </w:tcPr>
          <w:p w14:paraId="5B34E8FD">
            <w:pPr>
              <w:widowControl/>
              <w:jc w:val="left"/>
              <w:rPr>
                <w:rFonts w:hint="eastAsia" w:ascii="宋体" w:hAnsi="宋体" w:cs="宋体"/>
                <w:color w:val="000000"/>
                <w:kern w:val="0"/>
                <w:sz w:val="24"/>
              </w:rPr>
            </w:pPr>
            <w:r>
              <w:rPr>
                <w:rFonts w:hint="eastAsia" w:ascii="宋体" w:hAnsi="宋体" w:cs="宋体"/>
                <w:color w:val="000000"/>
                <w:kern w:val="0"/>
                <w:sz w:val="24"/>
              </w:rPr>
              <w:t>以邮件、文件、电话等方式，将安全技术和安全信息及时传递给客户，使客户能保持对信息安全最新动态的认识，提前预知风险，每月末以邮件方式提交安全月报。安全通告内容至少包括：目前主流操作系统的安全漏洞补丁；信息安全业界最新动态与技术；国内外最新信息安全趋势；紧急安全事件通告；最新的国内、外行业安全政策及法律法规。</w:t>
            </w:r>
          </w:p>
        </w:tc>
        <w:tc>
          <w:tcPr>
            <w:tcW w:w="809" w:type="dxa"/>
            <w:tcBorders>
              <w:top w:val="nil"/>
              <w:left w:val="nil"/>
              <w:bottom w:val="single" w:color="auto" w:sz="8" w:space="0"/>
              <w:right w:val="single" w:color="auto" w:sz="8" w:space="0"/>
            </w:tcBorders>
            <w:vAlign w:val="center"/>
          </w:tcPr>
          <w:p w14:paraId="17DB25E7">
            <w:pPr>
              <w:widowControl/>
              <w:jc w:val="center"/>
              <w:rPr>
                <w:rFonts w:hint="eastAsia" w:ascii="宋体" w:hAnsi="宋体" w:cs="宋体"/>
                <w:color w:val="000000"/>
                <w:kern w:val="0"/>
                <w:sz w:val="24"/>
              </w:rPr>
            </w:pPr>
            <w:r>
              <w:rPr>
                <w:rFonts w:hint="eastAsia" w:ascii="宋体" w:hAnsi="宋体" w:cs="宋体"/>
                <w:color w:val="000000"/>
                <w:kern w:val="0"/>
                <w:sz w:val="24"/>
              </w:rPr>
              <w:t>12</w:t>
            </w:r>
          </w:p>
        </w:tc>
        <w:tc>
          <w:tcPr>
            <w:tcW w:w="766" w:type="dxa"/>
            <w:tcBorders>
              <w:top w:val="nil"/>
              <w:left w:val="nil"/>
              <w:bottom w:val="single" w:color="auto" w:sz="8" w:space="0"/>
              <w:right w:val="single" w:color="auto" w:sz="8" w:space="0"/>
            </w:tcBorders>
            <w:vAlign w:val="center"/>
          </w:tcPr>
          <w:p w14:paraId="4D49C949">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56F2D358">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1CEBCD1E">
            <w:pPr>
              <w:widowControl/>
              <w:numPr>
                <w:ilvl w:val="0"/>
                <w:numId w:val="14"/>
              </w:numPr>
              <w:jc w:val="center"/>
              <w:rPr>
                <w:rFonts w:hint="eastAsia" w:ascii="宋体" w:hAnsi="宋体" w:cs="宋体"/>
                <w:color w:val="000000"/>
                <w:kern w:val="0"/>
                <w:sz w:val="24"/>
              </w:rPr>
            </w:pPr>
          </w:p>
        </w:tc>
        <w:tc>
          <w:tcPr>
            <w:tcW w:w="1341" w:type="dxa"/>
            <w:vMerge w:val="restart"/>
            <w:tcBorders>
              <w:top w:val="nil"/>
              <w:left w:val="single" w:color="auto" w:sz="8" w:space="0"/>
              <w:bottom w:val="single" w:color="000000" w:sz="8" w:space="0"/>
              <w:right w:val="single" w:color="auto" w:sz="8" w:space="0"/>
            </w:tcBorders>
            <w:vAlign w:val="center"/>
          </w:tcPr>
          <w:p w14:paraId="1D28C23B">
            <w:pPr>
              <w:widowControl/>
              <w:jc w:val="center"/>
              <w:rPr>
                <w:rFonts w:hint="eastAsia" w:ascii="宋体" w:hAnsi="宋体" w:cs="宋体"/>
                <w:color w:val="000000"/>
                <w:kern w:val="0"/>
                <w:sz w:val="24"/>
              </w:rPr>
            </w:pPr>
            <w:r>
              <w:rPr>
                <w:rFonts w:hint="eastAsia" w:ascii="宋体" w:hAnsi="宋体" w:cs="宋体"/>
                <w:color w:val="000000"/>
                <w:kern w:val="0"/>
                <w:sz w:val="24"/>
              </w:rPr>
              <w:t>驻场人员</w:t>
            </w:r>
          </w:p>
        </w:tc>
        <w:tc>
          <w:tcPr>
            <w:tcW w:w="1250" w:type="dxa"/>
            <w:tcBorders>
              <w:top w:val="nil"/>
              <w:left w:val="nil"/>
              <w:bottom w:val="single" w:color="auto" w:sz="8" w:space="0"/>
              <w:right w:val="single" w:color="auto" w:sz="8" w:space="0"/>
            </w:tcBorders>
            <w:vAlign w:val="center"/>
          </w:tcPr>
          <w:p w14:paraId="3FB00C1A">
            <w:pPr>
              <w:widowControl/>
              <w:jc w:val="center"/>
              <w:rPr>
                <w:rFonts w:hint="eastAsia" w:ascii="宋体" w:hAnsi="宋体" w:cs="宋体"/>
                <w:color w:val="000000"/>
                <w:kern w:val="0"/>
                <w:sz w:val="24"/>
              </w:rPr>
            </w:pPr>
            <w:r>
              <w:rPr>
                <w:rFonts w:hint="eastAsia" w:ascii="宋体" w:hAnsi="宋体" w:cs="宋体"/>
                <w:color w:val="000000"/>
                <w:kern w:val="0"/>
                <w:sz w:val="24"/>
              </w:rPr>
              <w:t>特殊应急</w:t>
            </w:r>
          </w:p>
        </w:tc>
        <w:tc>
          <w:tcPr>
            <w:tcW w:w="4190" w:type="dxa"/>
            <w:tcBorders>
              <w:top w:val="nil"/>
              <w:left w:val="nil"/>
              <w:bottom w:val="single" w:color="auto" w:sz="8" w:space="0"/>
              <w:right w:val="single" w:color="auto" w:sz="8" w:space="0"/>
            </w:tcBorders>
            <w:vAlign w:val="center"/>
          </w:tcPr>
          <w:p w14:paraId="5FCD23E6">
            <w:pPr>
              <w:widowControl/>
              <w:jc w:val="center"/>
              <w:rPr>
                <w:rFonts w:hint="eastAsia" w:ascii="宋体" w:hAnsi="宋体" w:cs="宋体"/>
                <w:color w:val="000000"/>
                <w:kern w:val="0"/>
                <w:sz w:val="24"/>
              </w:rPr>
            </w:pPr>
            <w:r>
              <w:rPr>
                <w:rFonts w:hint="eastAsia" w:ascii="宋体" w:hAnsi="宋体" w:cs="宋体"/>
                <w:color w:val="000000"/>
                <w:kern w:val="0"/>
                <w:sz w:val="24"/>
              </w:rPr>
              <w:t>特殊情况需紧急应急</w:t>
            </w:r>
          </w:p>
        </w:tc>
        <w:tc>
          <w:tcPr>
            <w:tcW w:w="809" w:type="dxa"/>
            <w:tcBorders>
              <w:top w:val="nil"/>
              <w:left w:val="nil"/>
              <w:bottom w:val="single" w:color="auto" w:sz="8" w:space="0"/>
              <w:right w:val="single" w:color="auto" w:sz="8" w:space="0"/>
            </w:tcBorders>
            <w:vAlign w:val="center"/>
          </w:tcPr>
          <w:p w14:paraId="5BE72251">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66" w:type="dxa"/>
            <w:tcBorders>
              <w:top w:val="nil"/>
              <w:left w:val="nil"/>
              <w:bottom w:val="single" w:color="auto" w:sz="8" w:space="0"/>
              <w:right w:val="single" w:color="auto" w:sz="8" w:space="0"/>
            </w:tcBorders>
            <w:vAlign w:val="center"/>
          </w:tcPr>
          <w:p w14:paraId="4D1C6F9E">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5712C27C">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3CA2B3BB">
            <w:pPr>
              <w:widowControl/>
              <w:numPr>
                <w:ilvl w:val="0"/>
                <w:numId w:val="14"/>
              </w:numPr>
              <w:jc w:val="center"/>
              <w:rPr>
                <w:rFonts w:hint="eastAsia" w:ascii="宋体" w:hAnsi="宋体" w:cs="宋体"/>
                <w:color w:val="000000"/>
                <w:kern w:val="0"/>
                <w:sz w:val="24"/>
              </w:rPr>
            </w:pPr>
          </w:p>
        </w:tc>
        <w:tc>
          <w:tcPr>
            <w:tcW w:w="1341" w:type="dxa"/>
            <w:vMerge w:val="continue"/>
            <w:tcBorders>
              <w:top w:val="nil"/>
              <w:left w:val="single" w:color="auto" w:sz="8" w:space="0"/>
              <w:bottom w:val="single" w:color="000000" w:sz="8" w:space="0"/>
              <w:right w:val="single" w:color="auto" w:sz="8" w:space="0"/>
            </w:tcBorders>
            <w:vAlign w:val="center"/>
          </w:tcPr>
          <w:p w14:paraId="48D5E1D4">
            <w:pPr>
              <w:widowControl/>
              <w:jc w:val="left"/>
              <w:rPr>
                <w:rFonts w:hint="eastAsia" w:ascii="宋体" w:hAnsi="宋体" w:cs="宋体"/>
                <w:color w:val="000000"/>
                <w:kern w:val="0"/>
                <w:sz w:val="24"/>
              </w:rPr>
            </w:pPr>
          </w:p>
        </w:tc>
        <w:tc>
          <w:tcPr>
            <w:tcW w:w="1250" w:type="dxa"/>
            <w:tcBorders>
              <w:top w:val="nil"/>
              <w:left w:val="nil"/>
              <w:bottom w:val="single" w:color="auto" w:sz="8" w:space="0"/>
              <w:right w:val="single" w:color="auto" w:sz="8" w:space="0"/>
            </w:tcBorders>
            <w:vAlign w:val="center"/>
          </w:tcPr>
          <w:p w14:paraId="50455423">
            <w:pPr>
              <w:widowControl/>
              <w:jc w:val="center"/>
              <w:rPr>
                <w:rFonts w:hint="eastAsia" w:ascii="宋体" w:hAnsi="宋体" w:cs="宋体"/>
                <w:color w:val="000000"/>
                <w:kern w:val="0"/>
                <w:sz w:val="24"/>
              </w:rPr>
            </w:pPr>
            <w:r>
              <w:rPr>
                <w:rFonts w:hint="eastAsia" w:ascii="宋体" w:hAnsi="宋体" w:cs="宋体"/>
                <w:color w:val="000000"/>
                <w:kern w:val="0"/>
                <w:sz w:val="24"/>
              </w:rPr>
              <w:t>重要时期安全保障运维</w:t>
            </w:r>
          </w:p>
        </w:tc>
        <w:tc>
          <w:tcPr>
            <w:tcW w:w="4190" w:type="dxa"/>
            <w:tcBorders>
              <w:top w:val="nil"/>
              <w:left w:val="nil"/>
              <w:bottom w:val="single" w:color="auto" w:sz="8" w:space="0"/>
              <w:right w:val="single" w:color="auto" w:sz="8" w:space="0"/>
            </w:tcBorders>
            <w:vAlign w:val="center"/>
          </w:tcPr>
          <w:p w14:paraId="0EB99F8E">
            <w:pPr>
              <w:widowControl/>
              <w:jc w:val="left"/>
              <w:rPr>
                <w:rFonts w:hint="eastAsia" w:ascii="宋体" w:hAnsi="宋体" w:cs="宋体"/>
                <w:color w:val="000000"/>
                <w:kern w:val="0"/>
                <w:sz w:val="24"/>
              </w:rPr>
            </w:pPr>
            <w:r>
              <w:rPr>
                <w:rFonts w:hint="eastAsia" w:ascii="宋体" w:hAnsi="宋体" w:cs="宋体"/>
                <w:color w:val="000000"/>
                <w:kern w:val="0"/>
                <w:sz w:val="24"/>
              </w:rPr>
              <w:t>针对国家规定的法定节假日、重大会议、政治活动及其它具有广泛影响的活动，派遣高级安全运维专家，以现场方式提供安全保障工作，协助外理信息安全事件。包括前期重要业务的检查、安全扫描、网络安全加固等准备工作，确保在重要敏感时期的网络安全。初步确定五一和十一等重要时期进行重要时期安全保障运维。</w:t>
            </w:r>
          </w:p>
        </w:tc>
        <w:tc>
          <w:tcPr>
            <w:tcW w:w="809" w:type="dxa"/>
            <w:tcBorders>
              <w:top w:val="nil"/>
              <w:left w:val="nil"/>
              <w:bottom w:val="single" w:color="auto" w:sz="8" w:space="0"/>
              <w:right w:val="single" w:color="auto" w:sz="8" w:space="0"/>
            </w:tcBorders>
            <w:vAlign w:val="center"/>
          </w:tcPr>
          <w:p w14:paraId="022AC017">
            <w:pPr>
              <w:widowControl/>
              <w:jc w:val="center"/>
              <w:rPr>
                <w:rFonts w:hint="eastAsia" w:ascii="宋体" w:hAnsi="宋体" w:cs="宋体"/>
                <w:color w:val="000000"/>
                <w:kern w:val="0"/>
                <w:sz w:val="24"/>
              </w:rPr>
            </w:pPr>
            <w:r>
              <w:rPr>
                <w:rFonts w:hint="eastAsia" w:ascii="宋体" w:hAnsi="宋体" w:cs="宋体"/>
                <w:color w:val="000000"/>
                <w:kern w:val="0"/>
                <w:sz w:val="24"/>
              </w:rPr>
              <w:t>21</w:t>
            </w:r>
          </w:p>
        </w:tc>
        <w:tc>
          <w:tcPr>
            <w:tcW w:w="766" w:type="dxa"/>
            <w:tcBorders>
              <w:top w:val="nil"/>
              <w:left w:val="nil"/>
              <w:bottom w:val="single" w:color="auto" w:sz="8" w:space="0"/>
              <w:right w:val="single" w:color="auto" w:sz="8" w:space="0"/>
            </w:tcBorders>
            <w:vAlign w:val="center"/>
          </w:tcPr>
          <w:p w14:paraId="3D17D9FE">
            <w:pPr>
              <w:widowControl/>
              <w:jc w:val="center"/>
              <w:rPr>
                <w:rFonts w:hint="eastAsia" w:ascii="宋体" w:hAnsi="宋体" w:cs="宋体"/>
                <w:color w:val="000000"/>
                <w:kern w:val="0"/>
                <w:sz w:val="24"/>
              </w:rPr>
            </w:pPr>
            <w:r>
              <w:rPr>
                <w:rFonts w:hint="eastAsia" w:ascii="宋体" w:hAnsi="宋体" w:cs="宋体"/>
                <w:color w:val="000000"/>
                <w:kern w:val="0"/>
                <w:sz w:val="24"/>
              </w:rPr>
              <w:t>天</w:t>
            </w:r>
          </w:p>
        </w:tc>
      </w:tr>
      <w:tr w14:paraId="4697A2BE">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05BBFE65">
            <w:pPr>
              <w:widowControl/>
              <w:numPr>
                <w:ilvl w:val="0"/>
                <w:numId w:val="14"/>
              </w:numPr>
              <w:jc w:val="center"/>
              <w:rPr>
                <w:rFonts w:hint="eastAsia" w:ascii="宋体" w:hAnsi="宋体" w:cs="宋体"/>
                <w:color w:val="000000"/>
                <w:kern w:val="0"/>
                <w:sz w:val="24"/>
              </w:rPr>
            </w:pPr>
          </w:p>
        </w:tc>
        <w:tc>
          <w:tcPr>
            <w:tcW w:w="1341" w:type="dxa"/>
            <w:vMerge w:val="continue"/>
            <w:tcBorders>
              <w:top w:val="nil"/>
              <w:left w:val="single" w:color="auto" w:sz="8" w:space="0"/>
              <w:bottom w:val="single" w:color="000000" w:sz="8" w:space="0"/>
              <w:right w:val="single" w:color="auto" w:sz="8" w:space="0"/>
            </w:tcBorders>
            <w:vAlign w:val="center"/>
          </w:tcPr>
          <w:p w14:paraId="181B1906">
            <w:pPr>
              <w:widowControl/>
              <w:jc w:val="left"/>
              <w:rPr>
                <w:rFonts w:hint="eastAsia" w:ascii="宋体" w:hAnsi="宋体" w:cs="宋体"/>
                <w:color w:val="000000"/>
                <w:kern w:val="0"/>
                <w:sz w:val="24"/>
              </w:rPr>
            </w:pPr>
          </w:p>
        </w:tc>
        <w:tc>
          <w:tcPr>
            <w:tcW w:w="1250" w:type="dxa"/>
            <w:tcBorders>
              <w:top w:val="nil"/>
              <w:left w:val="nil"/>
              <w:bottom w:val="single" w:color="auto" w:sz="8" w:space="0"/>
              <w:right w:val="single" w:color="auto" w:sz="8" w:space="0"/>
            </w:tcBorders>
            <w:vAlign w:val="center"/>
          </w:tcPr>
          <w:p w14:paraId="629BB4B9">
            <w:pPr>
              <w:widowControl/>
              <w:jc w:val="center"/>
              <w:rPr>
                <w:rFonts w:hint="eastAsia" w:ascii="宋体" w:hAnsi="宋体" w:cs="宋体"/>
                <w:color w:val="000000"/>
                <w:kern w:val="0"/>
                <w:sz w:val="24"/>
              </w:rPr>
            </w:pPr>
            <w:r>
              <w:rPr>
                <w:rFonts w:hint="eastAsia" w:ascii="宋体" w:hAnsi="宋体" w:cs="宋体"/>
                <w:color w:val="000000"/>
                <w:kern w:val="0"/>
                <w:sz w:val="24"/>
              </w:rPr>
              <w:t>驻场</w:t>
            </w:r>
          </w:p>
        </w:tc>
        <w:tc>
          <w:tcPr>
            <w:tcW w:w="4190" w:type="dxa"/>
            <w:tcBorders>
              <w:top w:val="nil"/>
              <w:left w:val="nil"/>
              <w:bottom w:val="single" w:color="auto" w:sz="8" w:space="0"/>
              <w:right w:val="single" w:color="auto" w:sz="8" w:space="0"/>
            </w:tcBorders>
            <w:vAlign w:val="center"/>
          </w:tcPr>
          <w:p w14:paraId="0A710A3B">
            <w:pPr>
              <w:widowControl/>
              <w:jc w:val="left"/>
              <w:rPr>
                <w:rFonts w:hint="eastAsia" w:ascii="宋体" w:hAnsi="宋体" w:cs="宋体"/>
                <w:color w:val="000000"/>
                <w:kern w:val="0"/>
                <w:sz w:val="24"/>
              </w:rPr>
            </w:pPr>
            <w:r>
              <w:rPr>
                <w:rFonts w:hint="eastAsia" w:ascii="宋体" w:hAnsi="宋体" w:cs="宋体"/>
                <w:color w:val="000000"/>
                <w:kern w:val="0"/>
                <w:sz w:val="24"/>
              </w:rPr>
              <w:t>日常硬件设备的巡查工作，运维器，存储，交换机安全设备等；协助客户处理简单设备故障等；配合客户对接机房的其它工作。</w:t>
            </w:r>
          </w:p>
        </w:tc>
        <w:tc>
          <w:tcPr>
            <w:tcW w:w="809" w:type="dxa"/>
            <w:tcBorders>
              <w:top w:val="nil"/>
              <w:left w:val="nil"/>
              <w:bottom w:val="single" w:color="auto" w:sz="8" w:space="0"/>
              <w:right w:val="single" w:color="auto" w:sz="8" w:space="0"/>
            </w:tcBorders>
            <w:vAlign w:val="center"/>
          </w:tcPr>
          <w:p w14:paraId="2DA237ED">
            <w:pPr>
              <w:widowControl/>
              <w:jc w:val="center"/>
              <w:rPr>
                <w:rFonts w:hint="eastAsia" w:ascii="宋体" w:hAnsi="宋体" w:cs="宋体"/>
                <w:color w:val="000000"/>
                <w:kern w:val="0"/>
                <w:sz w:val="24"/>
              </w:rPr>
            </w:pPr>
            <w:r>
              <w:rPr>
                <w:rFonts w:hint="eastAsia" w:ascii="宋体" w:hAnsi="宋体" w:cs="宋体"/>
                <w:color w:val="000000"/>
                <w:kern w:val="0"/>
                <w:sz w:val="24"/>
              </w:rPr>
              <w:t>12</w:t>
            </w:r>
          </w:p>
        </w:tc>
        <w:tc>
          <w:tcPr>
            <w:tcW w:w="766" w:type="dxa"/>
            <w:tcBorders>
              <w:top w:val="nil"/>
              <w:left w:val="nil"/>
              <w:bottom w:val="single" w:color="auto" w:sz="8" w:space="0"/>
              <w:right w:val="single" w:color="auto" w:sz="8" w:space="0"/>
            </w:tcBorders>
            <w:vAlign w:val="center"/>
          </w:tcPr>
          <w:p w14:paraId="4348454E">
            <w:pPr>
              <w:widowControl/>
              <w:jc w:val="center"/>
              <w:rPr>
                <w:rFonts w:hint="eastAsia" w:ascii="宋体" w:hAnsi="宋体" w:cs="宋体"/>
                <w:color w:val="000000"/>
                <w:kern w:val="0"/>
                <w:sz w:val="24"/>
              </w:rPr>
            </w:pPr>
            <w:r>
              <w:rPr>
                <w:rFonts w:hint="eastAsia" w:ascii="宋体" w:hAnsi="宋体" w:cs="宋体"/>
                <w:color w:val="000000"/>
                <w:kern w:val="0"/>
                <w:sz w:val="24"/>
              </w:rPr>
              <w:t>月</w:t>
            </w:r>
          </w:p>
        </w:tc>
      </w:tr>
    </w:tbl>
    <w:p w14:paraId="424B31F5">
      <w:pPr>
        <w:jc w:val="center"/>
        <w:rPr>
          <w:rFonts w:hint="eastAsia" w:ascii="宋体" w:hAnsi="宋体"/>
          <w:b/>
          <w:sz w:val="24"/>
        </w:rPr>
      </w:pPr>
    </w:p>
    <w:p w14:paraId="59C86329">
      <w:pPr>
        <w:jc w:val="center"/>
        <w:rPr>
          <w:rFonts w:hint="eastAsia" w:ascii="宋体" w:hAnsi="宋体"/>
          <w:b/>
          <w:sz w:val="24"/>
        </w:rPr>
      </w:pPr>
      <w:r>
        <w:rPr>
          <w:rFonts w:hint="eastAsia" w:ascii="宋体" w:hAnsi="宋体"/>
          <w:b/>
          <w:sz w:val="24"/>
        </w:rPr>
        <w:t>表4-2 门头沟监测站信息中心机房</w:t>
      </w:r>
    </w:p>
    <w:tbl>
      <w:tblPr>
        <w:tblStyle w:val="42"/>
        <w:tblW w:w="9055" w:type="dxa"/>
        <w:tblInd w:w="118" w:type="dxa"/>
        <w:tblLayout w:type="autofit"/>
        <w:tblCellMar>
          <w:top w:w="0" w:type="dxa"/>
          <w:left w:w="108" w:type="dxa"/>
          <w:bottom w:w="0" w:type="dxa"/>
          <w:right w:w="108" w:type="dxa"/>
        </w:tblCellMar>
      </w:tblPr>
      <w:tblGrid>
        <w:gridCol w:w="699"/>
        <w:gridCol w:w="1134"/>
        <w:gridCol w:w="1276"/>
        <w:gridCol w:w="4356"/>
        <w:gridCol w:w="810"/>
        <w:gridCol w:w="780"/>
      </w:tblGrid>
      <w:tr w14:paraId="61AE7DAA">
        <w:tblPrEx>
          <w:tblCellMar>
            <w:top w:w="0" w:type="dxa"/>
            <w:left w:w="108" w:type="dxa"/>
            <w:bottom w:w="0" w:type="dxa"/>
            <w:right w:w="108" w:type="dxa"/>
          </w:tblCellMar>
        </w:tblPrEx>
        <w:trPr>
          <w:trHeight w:val="454" w:hRule="atLeast"/>
          <w:tblHeader/>
        </w:trPr>
        <w:tc>
          <w:tcPr>
            <w:tcW w:w="699" w:type="dxa"/>
            <w:vMerge w:val="restart"/>
            <w:tcBorders>
              <w:top w:val="single" w:color="auto" w:sz="8" w:space="0"/>
              <w:left w:val="single" w:color="auto" w:sz="8" w:space="0"/>
              <w:bottom w:val="single" w:color="000000" w:sz="8" w:space="0"/>
              <w:right w:val="single" w:color="auto" w:sz="8" w:space="0"/>
            </w:tcBorders>
            <w:vAlign w:val="center"/>
          </w:tcPr>
          <w:p w14:paraId="77910FF5">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序号</w:t>
            </w:r>
          </w:p>
        </w:tc>
        <w:tc>
          <w:tcPr>
            <w:tcW w:w="1134" w:type="dxa"/>
            <w:vMerge w:val="restart"/>
            <w:tcBorders>
              <w:top w:val="single" w:color="auto" w:sz="8" w:space="0"/>
              <w:left w:val="single" w:color="auto" w:sz="8" w:space="0"/>
              <w:bottom w:val="single" w:color="000000" w:sz="8" w:space="0"/>
              <w:right w:val="single" w:color="auto" w:sz="8" w:space="0"/>
            </w:tcBorders>
            <w:vAlign w:val="center"/>
          </w:tcPr>
          <w:p w14:paraId="131E11B5">
            <w:pPr>
              <w:widowControl/>
              <w:jc w:val="center"/>
              <w:rPr>
                <w:rFonts w:hint="eastAsia" w:ascii="宋体" w:hAnsi="宋体" w:cs="宋体"/>
                <w:b/>
                <w:bCs/>
                <w:color w:val="000000"/>
                <w:kern w:val="0"/>
                <w:sz w:val="24"/>
              </w:rPr>
            </w:pPr>
            <w:r>
              <w:rPr>
                <w:rFonts w:hint="eastAsia" w:ascii="宋体" w:hAnsi="宋体" w:cs="宋体"/>
                <w:b/>
                <w:bCs/>
                <w:color w:val="000000"/>
                <w:kern w:val="0"/>
                <w:sz w:val="24"/>
              </w:rPr>
              <w:t>运维类别</w:t>
            </w:r>
          </w:p>
        </w:tc>
        <w:tc>
          <w:tcPr>
            <w:tcW w:w="1276" w:type="dxa"/>
            <w:vMerge w:val="restart"/>
            <w:tcBorders>
              <w:top w:val="single" w:color="auto" w:sz="8" w:space="0"/>
              <w:left w:val="single" w:color="auto" w:sz="8" w:space="0"/>
              <w:bottom w:val="single" w:color="000000" w:sz="8" w:space="0"/>
              <w:right w:val="single" w:color="auto" w:sz="8" w:space="0"/>
            </w:tcBorders>
            <w:vAlign w:val="center"/>
          </w:tcPr>
          <w:p w14:paraId="039A0F38">
            <w:pPr>
              <w:widowControl/>
              <w:jc w:val="center"/>
              <w:rPr>
                <w:rFonts w:hint="eastAsia" w:ascii="宋体" w:hAnsi="宋体" w:cs="宋体"/>
                <w:b/>
                <w:bCs/>
                <w:color w:val="000000"/>
                <w:kern w:val="0"/>
                <w:sz w:val="24"/>
              </w:rPr>
            </w:pPr>
            <w:r>
              <w:rPr>
                <w:rFonts w:hint="eastAsia" w:ascii="宋体" w:hAnsi="宋体" w:cs="宋体"/>
                <w:b/>
                <w:bCs/>
                <w:color w:val="000000"/>
                <w:kern w:val="0"/>
                <w:sz w:val="24"/>
              </w:rPr>
              <w:t>设备类型</w:t>
            </w:r>
          </w:p>
        </w:tc>
        <w:tc>
          <w:tcPr>
            <w:tcW w:w="4356" w:type="dxa"/>
            <w:vMerge w:val="restart"/>
            <w:tcBorders>
              <w:top w:val="single" w:color="auto" w:sz="8" w:space="0"/>
              <w:left w:val="single" w:color="auto" w:sz="8" w:space="0"/>
              <w:bottom w:val="single" w:color="000000" w:sz="8" w:space="0"/>
              <w:right w:val="single" w:color="auto" w:sz="8" w:space="0"/>
            </w:tcBorders>
            <w:vAlign w:val="center"/>
          </w:tcPr>
          <w:p w14:paraId="48468F3D">
            <w:pPr>
              <w:widowControl/>
              <w:jc w:val="center"/>
              <w:rPr>
                <w:rFonts w:hint="eastAsia" w:ascii="宋体" w:hAnsi="宋体" w:cs="宋体"/>
                <w:b/>
                <w:bCs/>
                <w:color w:val="000000"/>
                <w:kern w:val="0"/>
                <w:sz w:val="24"/>
              </w:rPr>
            </w:pPr>
            <w:r>
              <w:rPr>
                <w:rFonts w:hint="eastAsia" w:ascii="宋体" w:hAnsi="宋体" w:cs="宋体"/>
                <w:b/>
                <w:bCs/>
                <w:color w:val="000000"/>
                <w:kern w:val="0"/>
                <w:sz w:val="24"/>
              </w:rPr>
              <w:t>运维内容</w:t>
            </w:r>
          </w:p>
        </w:tc>
        <w:tc>
          <w:tcPr>
            <w:tcW w:w="810" w:type="dxa"/>
            <w:vMerge w:val="restart"/>
            <w:tcBorders>
              <w:top w:val="single" w:color="auto" w:sz="8" w:space="0"/>
              <w:left w:val="single" w:color="auto" w:sz="8" w:space="0"/>
              <w:bottom w:val="single" w:color="000000" w:sz="8" w:space="0"/>
              <w:right w:val="single" w:color="auto" w:sz="8" w:space="0"/>
            </w:tcBorders>
            <w:vAlign w:val="center"/>
          </w:tcPr>
          <w:p w14:paraId="55F20454">
            <w:pPr>
              <w:widowControl/>
              <w:jc w:val="center"/>
              <w:rPr>
                <w:rFonts w:hint="eastAsia" w:ascii="宋体" w:hAnsi="宋体" w:cs="宋体"/>
                <w:b/>
                <w:bCs/>
                <w:color w:val="000000"/>
                <w:kern w:val="0"/>
                <w:sz w:val="24"/>
              </w:rPr>
            </w:pPr>
            <w:r>
              <w:rPr>
                <w:rFonts w:hint="eastAsia" w:ascii="宋体" w:hAnsi="宋体" w:cs="宋体"/>
                <w:b/>
                <w:bCs/>
                <w:color w:val="000000"/>
                <w:kern w:val="0"/>
                <w:sz w:val="24"/>
              </w:rPr>
              <w:t>数量</w:t>
            </w:r>
          </w:p>
        </w:tc>
        <w:tc>
          <w:tcPr>
            <w:tcW w:w="780" w:type="dxa"/>
            <w:vMerge w:val="restart"/>
            <w:tcBorders>
              <w:top w:val="single" w:color="auto" w:sz="8" w:space="0"/>
              <w:left w:val="single" w:color="auto" w:sz="8" w:space="0"/>
              <w:bottom w:val="single" w:color="000000" w:sz="8" w:space="0"/>
              <w:right w:val="single" w:color="auto" w:sz="8" w:space="0"/>
            </w:tcBorders>
            <w:vAlign w:val="center"/>
          </w:tcPr>
          <w:p w14:paraId="409CFD4E">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单位</w:t>
            </w:r>
          </w:p>
        </w:tc>
      </w:tr>
      <w:tr w14:paraId="14CA3BE8">
        <w:tblPrEx>
          <w:tblCellMar>
            <w:top w:w="0" w:type="dxa"/>
            <w:left w:w="108" w:type="dxa"/>
            <w:bottom w:w="0" w:type="dxa"/>
            <w:right w:w="108" w:type="dxa"/>
          </w:tblCellMar>
        </w:tblPrEx>
        <w:trPr>
          <w:trHeight w:val="312" w:hRule="atLeast"/>
        </w:trPr>
        <w:tc>
          <w:tcPr>
            <w:tcW w:w="699" w:type="dxa"/>
            <w:vMerge w:val="continue"/>
            <w:tcBorders>
              <w:top w:val="single" w:color="auto" w:sz="8" w:space="0"/>
              <w:left w:val="single" w:color="auto" w:sz="8" w:space="0"/>
              <w:bottom w:val="single" w:color="000000" w:sz="8" w:space="0"/>
              <w:right w:val="single" w:color="auto" w:sz="8" w:space="0"/>
            </w:tcBorders>
            <w:vAlign w:val="center"/>
          </w:tcPr>
          <w:p w14:paraId="7E17C4E9">
            <w:pPr>
              <w:widowControl/>
              <w:jc w:val="left"/>
              <w:rPr>
                <w:rFonts w:hint="eastAsia" w:ascii="宋体" w:hAnsi="宋体" w:cs="宋体"/>
                <w:b/>
                <w:bCs/>
                <w:color w:val="000000"/>
                <w:kern w:val="0"/>
                <w:sz w:val="24"/>
              </w:rPr>
            </w:pPr>
          </w:p>
        </w:tc>
        <w:tc>
          <w:tcPr>
            <w:tcW w:w="1134" w:type="dxa"/>
            <w:vMerge w:val="continue"/>
            <w:tcBorders>
              <w:top w:val="single" w:color="auto" w:sz="8" w:space="0"/>
              <w:left w:val="single" w:color="auto" w:sz="8" w:space="0"/>
              <w:bottom w:val="single" w:color="000000" w:sz="8" w:space="0"/>
              <w:right w:val="single" w:color="auto" w:sz="8" w:space="0"/>
            </w:tcBorders>
            <w:vAlign w:val="center"/>
          </w:tcPr>
          <w:p w14:paraId="70EA1CE5">
            <w:pPr>
              <w:widowControl/>
              <w:jc w:val="left"/>
              <w:rPr>
                <w:rFonts w:hint="eastAsia" w:ascii="宋体" w:hAnsi="宋体" w:cs="宋体"/>
                <w:b/>
                <w:bCs/>
                <w:color w:val="000000"/>
                <w:kern w:val="0"/>
                <w:sz w:val="24"/>
              </w:rPr>
            </w:pPr>
          </w:p>
        </w:tc>
        <w:tc>
          <w:tcPr>
            <w:tcW w:w="1276" w:type="dxa"/>
            <w:vMerge w:val="continue"/>
            <w:tcBorders>
              <w:top w:val="single" w:color="auto" w:sz="8" w:space="0"/>
              <w:left w:val="single" w:color="auto" w:sz="8" w:space="0"/>
              <w:bottom w:val="single" w:color="000000" w:sz="8" w:space="0"/>
              <w:right w:val="single" w:color="auto" w:sz="8" w:space="0"/>
            </w:tcBorders>
            <w:vAlign w:val="center"/>
          </w:tcPr>
          <w:p w14:paraId="60637FF1">
            <w:pPr>
              <w:widowControl/>
              <w:jc w:val="left"/>
              <w:rPr>
                <w:rFonts w:hint="eastAsia" w:ascii="宋体" w:hAnsi="宋体" w:cs="宋体"/>
                <w:b/>
                <w:bCs/>
                <w:color w:val="000000"/>
                <w:kern w:val="0"/>
                <w:sz w:val="24"/>
              </w:rPr>
            </w:pPr>
          </w:p>
        </w:tc>
        <w:tc>
          <w:tcPr>
            <w:tcW w:w="4356" w:type="dxa"/>
            <w:vMerge w:val="continue"/>
            <w:tcBorders>
              <w:top w:val="single" w:color="auto" w:sz="8" w:space="0"/>
              <w:left w:val="single" w:color="auto" w:sz="8" w:space="0"/>
              <w:bottom w:val="single" w:color="000000" w:sz="8" w:space="0"/>
              <w:right w:val="single" w:color="auto" w:sz="8" w:space="0"/>
            </w:tcBorders>
            <w:vAlign w:val="center"/>
          </w:tcPr>
          <w:p w14:paraId="6430190A">
            <w:pPr>
              <w:widowControl/>
              <w:jc w:val="left"/>
              <w:rPr>
                <w:rFonts w:hint="eastAsia" w:ascii="宋体" w:hAnsi="宋体" w:cs="宋体"/>
                <w:b/>
                <w:bCs/>
                <w:color w:val="000000"/>
                <w:kern w:val="0"/>
                <w:sz w:val="24"/>
              </w:rPr>
            </w:pPr>
          </w:p>
        </w:tc>
        <w:tc>
          <w:tcPr>
            <w:tcW w:w="810" w:type="dxa"/>
            <w:vMerge w:val="continue"/>
            <w:tcBorders>
              <w:top w:val="single" w:color="auto" w:sz="8" w:space="0"/>
              <w:left w:val="single" w:color="auto" w:sz="8" w:space="0"/>
              <w:bottom w:val="single" w:color="000000" w:sz="8" w:space="0"/>
              <w:right w:val="single" w:color="auto" w:sz="8" w:space="0"/>
            </w:tcBorders>
            <w:vAlign w:val="center"/>
          </w:tcPr>
          <w:p w14:paraId="243D8254">
            <w:pPr>
              <w:widowControl/>
              <w:jc w:val="left"/>
              <w:rPr>
                <w:rFonts w:hint="eastAsia" w:ascii="宋体" w:hAnsi="宋体" w:cs="宋体"/>
                <w:b/>
                <w:bCs/>
                <w:color w:val="000000"/>
                <w:kern w:val="0"/>
                <w:sz w:val="24"/>
              </w:rPr>
            </w:pPr>
          </w:p>
        </w:tc>
        <w:tc>
          <w:tcPr>
            <w:tcW w:w="780" w:type="dxa"/>
            <w:vMerge w:val="continue"/>
            <w:tcBorders>
              <w:top w:val="single" w:color="auto" w:sz="8" w:space="0"/>
              <w:left w:val="single" w:color="auto" w:sz="8" w:space="0"/>
              <w:bottom w:val="single" w:color="000000" w:sz="8" w:space="0"/>
              <w:right w:val="single" w:color="auto" w:sz="8" w:space="0"/>
            </w:tcBorders>
            <w:vAlign w:val="center"/>
          </w:tcPr>
          <w:p w14:paraId="66BDA75B">
            <w:pPr>
              <w:widowControl/>
              <w:jc w:val="left"/>
              <w:rPr>
                <w:rFonts w:hint="eastAsia" w:ascii="宋体" w:hAnsi="宋体" w:cs="宋体"/>
                <w:b/>
                <w:bCs/>
                <w:color w:val="000000"/>
                <w:kern w:val="0"/>
                <w:sz w:val="24"/>
              </w:rPr>
            </w:pPr>
          </w:p>
        </w:tc>
      </w:tr>
      <w:tr w14:paraId="032EC7BF">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2D68F1B3">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1134" w:type="dxa"/>
            <w:vMerge w:val="restart"/>
            <w:tcBorders>
              <w:top w:val="nil"/>
              <w:left w:val="single" w:color="auto" w:sz="8" w:space="0"/>
              <w:bottom w:val="single" w:color="000000" w:sz="8" w:space="0"/>
              <w:right w:val="single" w:color="auto" w:sz="8" w:space="0"/>
            </w:tcBorders>
            <w:vAlign w:val="center"/>
          </w:tcPr>
          <w:p w14:paraId="2E0D1F45">
            <w:pPr>
              <w:widowControl/>
              <w:jc w:val="center"/>
              <w:rPr>
                <w:rFonts w:hint="eastAsia" w:ascii="宋体" w:hAnsi="宋体" w:cs="宋体"/>
                <w:color w:val="000000"/>
                <w:kern w:val="0"/>
                <w:sz w:val="24"/>
              </w:rPr>
            </w:pPr>
            <w:r>
              <w:rPr>
                <w:rFonts w:hint="eastAsia" w:ascii="宋体" w:hAnsi="宋体" w:cs="宋体"/>
                <w:color w:val="000000"/>
                <w:kern w:val="0"/>
                <w:sz w:val="24"/>
              </w:rPr>
              <w:t>机房硬件设备维护内容</w:t>
            </w:r>
          </w:p>
        </w:tc>
        <w:tc>
          <w:tcPr>
            <w:tcW w:w="1276" w:type="dxa"/>
            <w:tcBorders>
              <w:top w:val="nil"/>
              <w:left w:val="nil"/>
              <w:bottom w:val="single" w:color="auto" w:sz="8" w:space="0"/>
              <w:right w:val="single" w:color="auto" w:sz="8" w:space="0"/>
            </w:tcBorders>
            <w:vAlign w:val="center"/>
          </w:tcPr>
          <w:p w14:paraId="4875593B">
            <w:pPr>
              <w:widowControl/>
              <w:jc w:val="center"/>
              <w:rPr>
                <w:rFonts w:hint="eastAsia" w:ascii="宋体" w:hAnsi="宋体" w:cs="宋体"/>
                <w:color w:val="000000"/>
                <w:kern w:val="0"/>
                <w:sz w:val="24"/>
              </w:rPr>
            </w:pPr>
            <w:r>
              <w:rPr>
                <w:rFonts w:hint="eastAsia" w:ascii="宋体" w:hAnsi="宋体" w:cs="宋体"/>
                <w:color w:val="000000"/>
                <w:kern w:val="0"/>
                <w:sz w:val="24"/>
              </w:rPr>
              <w:t>服务器</w:t>
            </w:r>
          </w:p>
        </w:tc>
        <w:tc>
          <w:tcPr>
            <w:tcW w:w="4356" w:type="dxa"/>
            <w:tcBorders>
              <w:top w:val="nil"/>
              <w:left w:val="nil"/>
              <w:bottom w:val="single" w:color="auto" w:sz="8" w:space="0"/>
              <w:right w:val="single" w:color="auto" w:sz="8" w:space="0"/>
            </w:tcBorders>
            <w:vAlign w:val="center"/>
          </w:tcPr>
          <w:p w14:paraId="58ED0AFE">
            <w:pPr>
              <w:widowControl/>
              <w:jc w:val="left"/>
              <w:rPr>
                <w:rFonts w:hint="eastAsia" w:ascii="宋体" w:hAnsi="宋体" w:cs="宋体"/>
                <w:color w:val="000000"/>
                <w:kern w:val="0"/>
                <w:sz w:val="24"/>
              </w:rPr>
            </w:pPr>
            <w:r>
              <w:rPr>
                <w:rFonts w:hint="eastAsia" w:ascii="宋体" w:hAnsi="宋体" w:cs="宋体"/>
                <w:color w:val="000000"/>
                <w:kern w:val="0"/>
                <w:sz w:val="24"/>
              </w:rPr>
              <w:t>清洁保养，清除机箱、滤清器内的灰尘与异物;系统优化，协助客户进行系统性能调整和系统优化，提高系统效率。</w:t>
            </w:r>
          </w:p>
        </w:tc>
        <w:tc>
          <w:tcPr>
            <w:tcW w:w="810" w:type="dxa"/>
            <w:tcBorders>
              <w:top w:val="nil"/>
              <w:left w:val="nil"/>
              <w:bottom w:val="single" w:color="auto" w:sz="8" w:space="0"/>
              <w:right w:val="single" w:color="auto" w:sz="8" w:space="0"/>
            </w:tcBorders>
            <w:vAlign w:val="center"/>
          </w:tcPr>
          <w:p w14:paraId="18CB94F5">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80" w:type="dxa"/>
            <w:tcBorders>
              <w:top w:val="nil"/>
              <w:left w:val="nil"/>
              <w:bottom w:val="single" w:color="auto" w:sz="8" w:space="0"/>
              <w:right w:val="single" w:color="auto" w:sz="8" w:space="0"/>
            </w:tcBorders>
            <w:vAlign w:val="center"/>
          </w:tcPr>
          <w:p w14:paraId="551E36F2">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2EE47D38">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34B19818">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1134" w:type="dxa"/>
            <w:vMerge w:val="continue"/>
            <w:tcBorders>
              <w:top w:val="nil"/>
              <w:left w:val="single" w:color="auto" w:sz="8" w:space="0"/>
              <w:bottom w:val="single" w:color="000000" w:sz="8" w:space="0"/>
              <w:right w:val="single" w:color="auto" w:sz="8" w:space="0"/>
            </w:tcBorders>
            <w:vAlign w:val="center"/>
          </w:tcPr>
          <w:p w14:paraId="1C24A2EC">
            <w:pPr>
              <w:widowControl/>
              <w:jc w:val="left"/>
              <w:rPr>
                <w:rFonts w:hint="eastAsia" w:ascii="宋体" w:hAnsi="宋体" w:cs="宋体"/>
                <w:color w:val="000000"/>
                <w:kern w:val="0"/>
                <w:sz w:val="24"/>
              </w:rPr>
            </w:pPr>
          </w:p>
        </w:tc>
        <w:tc>
          <w:tcPr>
            <w:tcW w:w="1276" w:type="dxa"/>
            <w:vMerge w:val="restart"/>
            <w:tcBorders>
              <w:top w:val="nil"/>
              <w:left w:val="single" w:color="auto" w:sz="8" w:space="0"/>
              <w:bottom w:val="single" w:color="000000" w:sz="8" w:space="0"/>
              <w:right w:val="single" w:color="auto" w:sz="8" w:space="0"/>
            </w:tcBorders>
            <w:vAlign w:val="center"/>
          </w:tcPr>
          <w:p w14:paraId="448AE5D1">
            <w:pPr>
              <w:widowControl/>
              <w:jc w:val="center"/>
              <w:rPr>
                <w:rFonts w:hint="eastAsia" w:ascii="宋体" w:hAnsi="宋体" w:cs="宋体"/>
                <w:color w:val="000000"/>
                <w:kern w:val="0"/>
                <w:sz w:val="24"/>
              </w:rPr>
            </w:pPr>
            <w:r>
              <w:rPr>
                <w:rFonts w:hint="eastAsia" w:ascii="宋体" w:hAnsi="宋体" w:cs="宋体"/>
                <w:color w:val="000000"/>
                <w:kern w:val="0"/>
                <w:sz w:val="24"/>
              </w:rPr>
              <w:t>磁盘存储</w:t>
            </w:r>
          </w:p>
        </w:tc>
        <w:tc>
          <w:tcPr>
            <w:tcW w:w="4356" w:type="dxa"/>
            <w:tcBorders>
              <w:top w:val="nil"/>
              <w:left w:val="nil"/>
              <w:bottom w:val="single" w:color="auto" w:sz="8" w:space="0"/>
              <w:right w:val="single" w:color="auto" w:sz="8" w:space="0"/>
            </w:tcBorders>
            <w:vAlign w:val="center"/>
          </w:tcPr>
          <w:p w14:paraId="1F9F519A">
            <w:pPr>
              <w:widowControl/>
              <w:jc w:val="left"/>
              <w:rPr>
                <w:rFonts w:hint="eastAsia" w:ascii="宋体" w:hAnsi="宋体" w:cs="宋体"/>
                <w:color w:val="000000"/>
                <w:kern w:val="0"/>
                <w:sz w:val="24"/>
              </w:rPr>
            </w:pPr>
            <w:r>
              <w:rPr>
                <w:rFonts w:hint="eastAsia" w:ascii="宋体" w:hAnsi="宋体" w:cs="宋体"/>
                <w:color w:val="000000"/>
                <w:kern w:val="0"/>
                <w:sz w:val="24"/>
              </w:rPr>
              <w:t>清洁保养，清除机箱、滤清器内的灰尘与异物;</w:t>
            </w:r>
          </w:p>
        </w:tc>
        <w:tc>
          <w:tcPr>
            <w:tcW w:w="810" w:type="dxa"/>
            <w:tcBorders>
              <w:top w:val="nil"/>
              <w:left w:val="nil"/>
              <w:bottom w:val="single" w:color="auto" w:sz="8" w:space="0"/>
              <w:right w:val="single" w:color="auto" w:sz="8" w:space="0"/>
            </w:tcBorders>
            <w:vAlign w:val="center"/>
          </w:tcPr>
          <w:p w14:paraId="3E0A5025">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80" w:type="dxa"/>
            <w:tcBorders>
              <w:top w:val="nil"/>
              <w:left w:val="nil"/>
              <w:bottom w:val="single" w:color="auto" w:sz="8" w:space="0"/>
              <w:right w:val="single" w:color="auto" w:sz="8" w:space="0"/>
            </w:tcBorders>
            <w:vAlign w:val="center"/>
          </w:tcPr>
          <w:p w14:paraId="2CB1750F">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67D1FF33">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0EA48CBD">
            <w:pPr>
              <w:widowControl/>
              <w:jc w:val="center"/>
              <w:rPr>
                <w:rFonts w:hint="eastAsia" w:ascii="宋体" w:hAnsi="宋体" w:cs="宋体"/>
                <w:color w:val="000000"/>
                <w:kern w:val="0"/>
                <w:sz w:val="24"/>
              </w:rPr>
            </w:pPr>
            <w:r>
              <w:rPr>
                <w:rFonts w:hint="eastAsia" w:ascii="宋体" w:hAnsi="宋体" w:cs="宋体"/>
                <w:color w:val="000000"/>
                <w:kern w:val="0"/>
                <w:sz w:val="24"/>
              </w:rPr>
              <w:t>3</w:t>
            </w:r>
          </w:p>
        </w:tc>
        <w:tc>
          <w:tcPr>
            <w:tcW w:w="1134" w:type="dxa"/>
            <w:vMerge w:val="continue"/>
            <w:tcBorders>
              <w:top w:val="nil"/>
              <w:left w:val="single" w:color="auto" w:sz="8" w:space="0"/>
              <w:bottom w:val="single" w:color="000000" w:sz="8" w:space="0"/>
              <w:right w:val="single" w:color="auto" w:sz="8" w:space="0"/>
            </w:tcBorders>
            <w:vAlign w:val="center"/>
          </w:tcPr>
          <w:p w14:paraId="59B7D566">
            <w:pPr>
              <w:widowControl/>
              <w:jc w:val="left"/>
              <w:rPr>
                <w:rFonts w:hint="eastAsia" w:ascii="宋体" w:hAnsi="宋体" w:cs="宋体"/>
                <w:color w:val="000000"/>
                <w:kern w:val="0"/>
                <w:sz w:val="24"/>
              </w:rPr>
            </w:pPr>
          </w:p>
        </w:tc>
        <w:tc>
          <w:tcPr>
            <w:tcW w:w="1276" w:type="dxa"/>
            <w:vMerge w:val="continue"/>
            <w:tcBorders>
              <w:top w:val="nil"/>
              <w:left w:val="single" w:color="auto" w:sz="8" w:space="0"/>
              <w:bottom w:val="single" w:color="000000" w:sz="8" w:space="0"/>
              <w:right w:val="single" w:color="auto" w:sz="8" w:space="0"/>
            </w:tcBorders>
            <w:vAlign w:val="center"/>
          </w:tcPr>
          <w:p w14:paraId="7C82805E">
            <w:pPr>
              <w:widowControl/>
              <w:jc w:val="left"/>
              <w:rPr>
                <w:rFonts w:hint="eastAsia" w:ascii="宋体" w:hAnsi="宋体" w:cs="宋体"/>
                <w:color w:val="000000"/>
                <w:kern w:val="0"/>
                <w:sz w:val="24"/>
              </w:rPr>
            </w:pPr>
          </w:p>
        </w:tc>
        <w:tc>
          <w:tcPr>
            <w:tcW w:w="4356" w:type="dxa"/>
            <w:tcBorders>
              <w:top w:val="nil"/>
              <w:left w:val="nil"/>
              <w:bottom w:val="single" w:color="auto" w:sz="8" w:space="0"/>
              <w:right w:val="single" w:color="auto" w:sz="8" w:space="0"/>
            </w:tcBorders>
            <w:vAlign w:val="center"/>
          </w:tcPr>
          <w:p w14:paraId="35839FF1">
            <w:pPr>
              <w:widowControl/>
              <w:jc w:val="left"/>
              <w:rPr>
                <w:rFonts w:hint="eastAsia" w:ascii="宋体" w:hAnsi="宋体" w:cs="宋体"/>
                <w:color w:val="000000"/>
                <w:kern w:val="0"/>
                <w:sz w:val="24"/>
              </w:rPr>
            </w:pPr>
            <w:r>
              <w:rPr>
                <w:rFonts w:hint="eastAsia" w:ascii="宋体" w:hAnsi="宋体" w:cs="宋体"/>
                <w:color w:val="000000"/>
                <w:kern w:val="0"/>
                <w:sz w:val="24"/>
              </w:rPr>
              <w:t>系统优化，协助客户对 OS 进行系统性能调整和系统优化，提高系统效率"</w:t>
            </w:r>
          </w:p>
        </w:tc>
        <w:tc>
          <w:tcPr>
            <w:tcW w:w="810" w:type="dxa"/>
            <w:tcBorders>
              <w:top w:val="nil"/>
              <w:left w:val="nil"/>
              <w:bottom w:val="single" w:color="auto" w:sz="8" w:space="0"/>
              <w:right w:val="single" w:color="auto" w:sz="8" w:space="0"/>
            </w:tcBorders>
            <w:vAlign w:val="center"/>
          </w:tcPr>
          <w:p w14:paraId="159BBBE4">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80" w:type="dxa"/>
            <w:tcBorders>
              <w:top w:val="nil"/>
              <w:left w:val="nil"/>
              <w:bottom w:val="single" w:color="auto" w:sz="8" w:space="0"/>
              <w:right w:val="single" w:color="auto" w:sz="8" w:space="0"/>
            </w:tcBorders>
            <w:vAlign w:val="center"/>
          </w:tcPr>
          <w:p w14:paraId="1283DD6B">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737C3C08">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7E38439B">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1134" w:type="dxa"/>
            <w:vMerge w:val="continue"/>
            <w:tcBorders>
              <w:top w:val="nil"/>
              <w:left w:val="single" w:color="auto" w:sz="8" w:space="0"/>
              <w:bottom w:val="single" w:color="000000" w:sz="8" w:space="0"/>
              <w:right w:val="single" w:color="auto" w:sz="8" w:space="0"/>
            </w:tcBorders>
            <w:vAlign w:val="center"/>
          </w:tcPr>
          <w:p w14:paraId="4F8689B8">
            <w:pPr>
              <w:widowControl/>
              <w:jc w:val="left"/>
              <w:rPr>
                <w:rFonts w:hint="eastAsia" w:ascii="宋体" w:hAnsi="宋体" w:cs="宋体"/>
                <w:color w:val="000000"/>
                <w:kern w:val="0"/>
                <w:sz w:val="24"/>
              </w:rPr>
            </w:pPr>
          </w:p>
        </w:tc>
        <w:tc>
          <w:tcPr>
            <w:tcW w:w="1276" w:type="dxa"/>
            <w:tcBorders>
              <w:top w:val="nil"/>
              <w:left w:val="nil"/>
              <w:bottom w:val="single" w:color="auto" w:sz="8" w:space="0"/>
              <w:right w:val="single" w:color="auto" w:sz="8" w:space="0"/>
            </w:tcBorders>
            <w:vAlign w:val="center"/>
          </w:tcPr>
          <w:p w14:paraId="775E2DC9">
            <w:pPr>
              <w:widowControl/>
              <w:jc w:val="center"/>
              <w:rPr>
                <w:rFonts w:hint="eastAsia" w:ascii="宋体" w:hAnsi="宋体" w:cs="宋体"/>
                <w:color w:val="000000"/>
                <w:kern w:val="0"/>
                <w:sz w:val="24"/>
              </w:rPr>
            </w:pPr>
            <w:r>
              <w:rPr>
                <w:rFonts w:hint="eastAsia" w:ascii="宋体" w:hAnsi="宋体" w:cs="宋体"/>
                <w:color w:val="000000"/>
                <w:kern w:val="0"/>
                <w:sz w:val="24"/>
              </w:rPr>
              <w:t>ATS配电柜</w:t>
            </w:r>
          </w:p>
        </w:tc>
        <w:tc>
          <w:tcPr>
            <w:tcW w:w="4356" w:type="dxa"/>
            <w:tcBorders>
              <w:top w:val="nil"/>
              <w:left w:val="nil"/>
              <w:bottom w:val="single" w:color="auto" w:sz="8" w:space="0"/>
              <w:right w:val="single" w:color="auto" w:sz="8" w:space="0"/>
            </w:tcBorders>
            <w:vAlign w:val="center"/>
          </w:tcPr>
          <w:p w14:paraId="730F5EF8">
            <w:pPr>
              <w:widowControl/>
              <w:jc w:val="left"/>
              <w:rPr>
                <w:rFonts w:hint="eastAsia" w:ascii="宋体" w:hAnsi="宋体" w:cs="宋体"/>
                <w:color w:val="000000"/>
                <w:kern w:val="0"/>
                <w:sz w:val="24"/>
              </w:rPr>
            </w:pPr>
            <w:r>
              <w:rPr>
                <w:rFonts w:hint="eastAsia" w:ascii="宋体" w:hAnsi="宋体" w:cs="宋体"/>
                <w:color w:val="000000"/>
                <w:kern w:val="0"/>
                <w:sz w:val="24"/>
              </w:rPr>
              <w:t>检测整个系统的运行参数，确保设备正常运行。</w:t>
            </w:r>
          </w:p>
        </w:tc>
        <w:tc>
          <w:tcPr>
            <w:tcW w:w="810" w:type="dxa"/>
            <w:tcBorders>
              <w:top w:val="nil"/>
              <w:left w:val="nil"/>
              <w:bottom w:val="single" w:color="auto" w:sz="8" w:space="0"/>
              <w:right w:val="single" w:color="auto" w:sz="8" w:space="0"/>
            </w:tcBorders>
            <w:vAlign w:val="center"/>
          </w:tcPr>
          <w:p w14:paraId="2FBB401D">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80" w:type="dxa"/>
            <w:tcBorders>
              <w:top w:val="nil"/>
              <w:left w:val="nil"/>
              <w:bottom w:val="single" w:color="auto" w:sz="8" w:space="0"/>
              <w:right w:val="single" w:color="auto" w:sz="8" w:space="0"/>
            </w:tcBorders>
            <w:vAlign w:val="center"/>
          </w:tcPr>
          <w:p w14:paraId="3D97614A">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325BBA99">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0017EB2F">
            <w:pPr>
              <w:widowControl/>
              <w:jc w:val="center"/>
              <w:rPr>
                <w:rFonts w:hint="eastAsia" w:ascii="宋体" w:hAnsi="宋体" w:cs="宋体"/>
                <w:color w:val="000000"/>
                <w:kern w:val="0"/>
                <w:sz w:val="24"/>
              </w:rPr>
            </w:pPr>
            <w:r>
              <w:rPr>
                <w:rFonts w:hint="eastAsia" w:ascii="宋体" w:hAnsi="宋体" w:cs="宋体"/>
                <w:color w:val="000000"/>
                <w:kern w:val="0"/>
                <w:sz w:val="24"/>
              </w:rPr>
              <w:t>5</w:t>
            </w:r>
          </w:p>
        </w:tc>
        <w:tc>
          <w:tcPr>
            <w:tcW w:w="1134" w:type="dxa"/>
            <w:vMerge w:val="continue"/>
            <w:tcBorders>
              <w:top w:val="nil"/>
              <w:left w:val="single" w:color="auto" w:sz="8" w:space="0"/>
              <w:bottom w:val="single" w:color="000000" w:sz="8" w:space="0"/>
              <w:right w:val="single" w:color="auto" w:sz="8" w:space="0"/>
            </w:tcBorders>
            <w:vAlign w:val="center"/>
          </w:tcPr>
          <w:p w14:paraId="30A60952">
            <w:pPr>
              <w:widowControl/>
              <w:jc w:val="left"/>
              <w:rPr>
                <w:rFonts w:hint="eastAsia" w:ascii="宋体" w:hAnsi="宋体" w:cs="宋体"/>
                <w:color w:val="000000"/>
                <w:kern w:val="0"/>
                <w:sz w:val="24"/>
              </w:rPr>
            </w:pPr>
          </w:p>
        </w:tc>
        <w:tc>
          <w:tcPr>
            <w:tcW w:w="1276" w:type="dxa"/>
            <w:vMerge w:val="restart"/>
            <w:tcBorders>
              <w:top w:val="nil"/>
              <w:left w:val="single" w:color="auto" w:sz="8" w:space="0"/>
              <w:bottom w:val="single" w:color="000000" w:sz="8" w:space="0"/>
              <w:right w:val="single" w:color="auto" w:sz="8" w:space="0"/>
            </w:tcBorders>
            <w:vAlign w:val="center"/>
          </w:tcPr>
          <w:p w14:paraId="6CC05ED0">
            <w:pPr>
              <w:widowControl/>
              <w:jc w:val="center"/>
              <w:rPr>
                <w:rFonts w:hint="eastAsia" w:ascii="宋体" w:hAnsi="宋体" w:cs="宋体"/>
                <w:color w:val="000000"/>
                <w:kern w:val="0"/>
                <w:sz w:val="24"/>
              </w:rPr>
            </w:pPr>
            <w:r>
              <w:rPr>
                <w:rFonts w:hint="eastAsia" w:ascii="宋体" w:hAnsi="宋体" w:cs="宋体"/>
                <w:color w:val="000000"/>
                <w:kern w:val="0"/>
                <w:sz w:val="24"/>
              </w:rPr>
              <w:t>UPS配电柜、UPS电池柜、UPS电池</w:t>
            </w:r>
          </w:p>
        </w:tc>
        <w:tc>
          <w:tcPr>
            <w:tcW w:w="4356" w:type="dxa"/>
            <w:tcBorders>
              <w:top w:val="nil"/>
              <w:left w:val="nil"/>
              <w:bottom w:val="single" w:color="auto" w:sz="8" w:space="0"/>
              <w:right w:val="single" w:color="auto" w:sz="8" w:space="0"/>
            </w:tcBorders>
            <w:vAlign w:val="center"/>
          </w:tcPr>
          <w:p w14:paraId="2B0238BE">
            <w:pPr>
              <w:widowControl/>
              <w:jc w:val="left"/>
              <w:rPr>
                <w:rFonts w:hint="eastAsia" w:ascii="宋体" w:hAnsi="宋体" w:cs="宋体"/>
                <w:color w:val="000000"/>
                <w:kern w:val="0"/>
                <w:sz w:val="24"/>
              </w:rPr>
            </w:pPr>
            <w:r>
              <w:rPr>
                <w:rFonts w:hint="eastAsia" w:ascii="宋体" w:hAnsi="宋体" w:cs="宋体"/>
                <w:color w:val="000000"/>
                <w:kern w:val="0"/>
                <w:sz w:val="24"/>
              </w:rPr>
              <w:t>机组及电池柜进行内外部的彻底清扫。检测电池组/柜的完整性。测量设备的输入、输出电压及电流。</w:t>
            </w:r>
          </w:p>
        </w:tc>
        <w:tc>
          <w:tcPr>
            <w:tcW w:w="810" w:type="dxa"/>
            <w:tcBorders>
              <w:top w:val="nil"/>
              <w:left w:val="nil"/>
              <w:bottom w:val="single" w:color="auto" w:sz="8" w:space="0"/>
              <w:right w:val="single" w:color="auto" w:sz="8" w:space="0"/>
            </w:tcBorders>
            <w:vAlign w:val="center"/>
          </w:tcPr>
          <w:p w14:paraId="0F478926">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80" w:type="dxa"/>
            <w:tcBorders>
              <w:top w:val="nil"/>
              <w:left w:val="nil"/>
              <w:bottom w:val="single" w:color="auto" w:sz="8" w:space="0"/>
              <w:right w:val="single" w:color="auto" w:sz="8" w:space="0"/>
            </w:tcBorders>
            <w:vAlign w:val="center"/>
          </w:tcPr>
          <w:p w14:paraId="46652C27">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5B774C64">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04123EAD">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1134" w:type="dxa"/>
            <w:vMerge w:val="continue"/>
            <w:tcBorders>
              <w:top w:val="nil"/>
              <w:left w:val="single" w:color="auto" w:sz="8" w:space="0"/>
              <w:bottom w:val="single" w:color="000000" w:sz="8" w:space="0"/>
              <w:right w:val="single" w:color="auto" w:sz="8" w:space="0"/>
            </w:tcBorders>
            <w:vAlign w:val="center"/>
          </w:tcPr>
          <w:p w14:paraId="4AFB2413">
            <w:pPr>
              <w:widowControl/>
              <w:jc w:val="left"/>
              <w:rPr>
                <w:rFonts w:hint="eastAsia" w:ascii="宋体" w:hAnsi="宋体" w:cs="宋体"/>
                <w:color w:val="000000"/>
                <w:kern w:val="0"/>
                <w:sz w:val="24"/>
              </w:rPr>
            </w:pPr>
          </w:p>
        </w:tc>
        <w:tc>
          <w:tcPr>
            <w:tcW w:w="1276" w:type="dxa"/>
            <w:vMerge w:val="continue"/>
            <w:tcBorders>
              <w:top w:val="nil"/>
              <w:left w:val="single" w:color="auto" w:sz="8" w:space="0"/>
              <w:bottom w:val="single" w:color="000000" w:sz="8" w:space="0"/>
              <w:right w:val="single" w:color="auto" w:sz="8" w:space="0"/>
            </w:tcBorders>
            <w:vAlign w:val="center"/>
          </w:tcPr>
          <w:p w14:paraId="1FA3D3B5">
            <w:pPr>
              <w:widowControl/>
              <w:jc w:val="left"/>
              <w:rPr>
                <w:rFonts w:hint="eastAsia" w:ascii="宋体" w:hAnsi="宋体" w:cs="宋体"/>
                <w:color w:val="000000"/>
                <w:kern w:val="0"/>
                <w:sz w:val="24"/>
              </w:rPr>
            </w:pPr>
          </w:p>
        </w:tc>
        <w:tc>
          <w:tcPr>
            <w:tcW w:w="4356" w:type="dxa"/>
            <w:tcBorders>
              <w:top w:val="nil"/>
              <w:left w:val="nil"/>
              <w:bottom w:val="single" w:color="auto" w:sz="8" w:space="0"/>
              <w:right w:val="single" w:color="auto" w:sz="8" w:space="0"/>
            </w:tcBorders>
            <w:vAlign w:val="center"/>
          </w:tcPr>
          <w:p w14:paraId="6AFD8252">
            <w:pPr>
              <w:widowControl/>
              <w:jc w:val="left"/>
              <w:rPr>
                <w:rFonts w:hint="eastAsia" w:ascii="宋体" w:hAnsi="宋体" w:cs="宋体"/>
                <w:color w:val="000000"/>
                <w:kern w:val="0"/>
                <w:sz w:val="24"/>
              </w:rPr>
            </w:pPr>
            <w:r>
              <w:rPr>
                <w:rFonts w:hint="eastAsia" w:ascii="宋体" w:hAnsi="宋体" w:cs="宋体"/>
                <w:color w:val="000000"/>
                <w:kern w:val="0"/>
                <w:sz w:val="24"/>
              </w:rPr>
              <w:t>对块电池进行充放电测试，根据UPS开始放电时间与UPS电池低压保护关机时间，算出电池的供电时间，查看是否满足时间的配置需求。出具检测报告。</w:t>
            </w:r>
          </w:p>
        </w:tc>
        <w:tc>
          <w:tcPr>
            <w:tcW w:w="810" w:type="dxa"/>
            <w:tcBorders>
              <w:top w:val="nil"/>
              <w:left w:val="nil"/>
              <w:bottom w:val="single" w:color="auto" w:sz="8" w:space="0"/>
              <w:right w:val="single" w:color="auto" w:sz="8" w:space="0"/>
            </w:tcBorders>
            <w:vAlign w:val="center"/>
          </w:tcPr>
          <w:p w14:paraId="1A7D6D24">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80" w:type="dxa"/>
            <w:tcBorders>
              <w:top w:val="nil"/>
              <w:left w:val="nil"/>
              <w:bottom w:val="single" w:color="auto" w:sz="8" w:space="0"/>
              <w:right w:val="single" w:color="auto" w:sz="8" w:space="0"/>
            </w:tcBorders>
            <w:vAlign w:val="center"/>
          </w:tcPr>
          <w:p w14:paraId="58D0C08A">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540BC64B">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0ABA8581">
            <w:pPr>
              <w:widowControl/>
              <w:jc w:val="center"/>
              <w:rPr>
                <w:rFonts w:hint="eastAsia" w:ascii="宋体" w:hAnsi="宋体" w:cs="宋体"/>
                <w:color w:val="000000"/>
                <w:kern w:val="0"/>
                <w:sz w:val="24"/>
              </w:rPr>
            </w:pPr>
            <w:r>
              <w:rPr>
                <w:rFonts w:hint="eastAsia" w:ascii="宋体" w:hAnsi="宋体" w:cs="宋体"/>
                <w:color w:val="000000"/>
                <w:kern w:val="0"/>
                <w:sz w:val="24"/>
              </w:rPr>
              <w:t>7</w:t>
            </w:r>
          </w:p>
        </w:tc>
        <w:tc>
          <w:tcPr>
            <w:tcW w:w="1134" w:type="dxa"/>
            <w:vMerge w:val="continue"/>
            <w:tcBorders>
              <w:top w:val="nil"/>
              <w:left w:val="single" w:color="auto" w:sz="8" w:space="0"/>
              <w:bottom w:val="single" w:color="000000" w:sz="8" w:space="0"/>
              <w:right w:val="single" w:color="auto" w:sz="8" w:space="0"/>
            </w:tcBorders>
            <w:vAlign w:val="center"/>
          </w:tcPr>
          <w:p w14:paraId="30A04BEE">
            <w:pPr>
              <w:widowControl/>
              <w:jc w:val="left"/>
              <w:rPr>
                <w:rFonts w:hint="eastAsia" w:ascii="宋体" w:hAnsi="宋体" w:cs="宋体"/>
                <w:color w:val="000000"/>
                <w:kern w:val="0"/>
                <w:sz w:val="24"/>
              </w:rPr>
            </w:pPr>
          </w:p>
        </w:tc>
        <w:tc>
          <w:tcPr>
            <w:tcW w:w="1276" w:type="dxa"/>
            <w:tcBorders>
              <w:top w:val="nil"/>
              <w:left w:val="nil"/>
              <w:bottom w:val="single" w:color="auto" w:sz="8" w:space="0"/>
              <w:right w:val="single" w:color="auto" w:sz="8" w:space="0"/>
            </w:tcBorders>
            <w:vAlign w:val="center"/>
          </w:tcPr>
          <w:p w14:paraId="108DA76E">
            <w:pPr>
              <w:widowControl/>
              <w:jc w:val="center"/>
              <w:rPr>
                <w:rFonts w:hint="eastAsia" w:ascii="宋体" w:hAnsi="宋体" w:cs="宋体"/>
                <w:color w:val="000000"/>
                <w:kern w:val="0"/>
                <w:sz w:val="24"/>
              </w:rPr>
            </w:pPr>
            <w:r>
              <w:rPr>
                <w:rFonts w:hint="eastAsia" w:ascii="宋体" w:hAnsi="宋体" w:cs="宋体"/>
                <w:color w:val="000000"/>
                <w:kern w:val="0"/>
                <w:sz w:val="24"/>
              </w:rPr>
              <w:t>精密空调</w:t>
            </w:r>
          </w:p>
        </w:tc>
        <w:tc>
          <w:tcPr>
            <w:tcW w:w="4356" w:type="dxa"/>
            <w:tcBorders>
              <w:top w:val="nil"/>
              <w:left w:val="nil"/>
              <w:bottom w:val="single" w:color="auto" w:sz="8" w:space="0"/>
              <w:right w:val="single" w:color="auto" w:sz="8" w:space="0"/>
            </w:tcBorders>
            <w:vAlign w:val="center"/>
          </w:tcPr>
          <w:p w14:paraId="255CE2C1">
            <w:pPr>
              <w:widowControl/>
              <w:jc w:val="left"/>
              <w:rPr>
                <w:rFonts w:hint="eastAsia" w:ascii="宋体" w:hAnsi="宋体" w:cs="宋体"/>
                <w:color w:val="000000"/>
                <w:kern w:val="0"/>
                <w:sz w:val="24"/>
              </w:rPr>
            </w:pPr>
            <w:r>
              <w:rPr>
                <w:rFonts w:hint="eastAsia" w:ascii="宋体" w:hAnsi="宋体" w:cs="宋体"/>
                <w:color w:val="000000"/>
                <w:kern w:val="0"/>
                <w:sz w:val="24"/>
              </w:rPr>
              <w:t>空调控制系统的显示屏上检查空调系统的各项功能及参数是否正常:对压缩机和加湿器等部件进行检测维护。对室外室内机进行清洗，维护，进出水管道检查清洁。</w:t>
            </w:r>
          </w:p>
        </w:tc>
        <w:tc>
          <w:tcPr>
            <w:tcW w:w="810" w:type="dxa"/>
            <w:tcBorders>
              <w:top w:val="nil"/>
              <w:left w:val="nil"/>
              <w:bottom w:val="single" w:color="auto" w:sz="8" w:space="0"/>
              <w:right w:val="single" w:color="auto" w:sz="8" w:space="0"/>
            </w:tcBorders>
            <w:vAlign w:val="center"/>
          </w:tcPr>
          <w:p w14:paraId="7773DE00">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80" w:type="dxa"/>
            <w:tcBorders>
              <w:top w:val="nil"/>
              <w:left w:val="nil"/>
              <w:bottom w:val="single" w:color="auto" w:sz="8" w:space="0"/>
              <w:right w:val="single" w:color="auto" w:sz="8" w:space="0"/>
            </w:tcBorders>
            <w:vAlign w:val="center"/>
          </w:tcPr>
          <w:p w14:paraId="3318A8AD">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14D4CA75">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62C31618">
            <w:pPr>
              <w:widowControl/>
              <w:jc w:val="center"/>
              <w:rPr>
                <w:rFonts w:hint="eastAsia" w:ascii="宋体" w:hAnsi="宋体" w:cs="宋体"/>
                <w:color w:val="000000"/>
                <w:kern w:val="0"/>
                <w:sz w:val="24"/>
              </w:rPr>
            </w:pPr>
            <w:r>
              <w:rPr>
                <w:rFonts w:hint="eastAsia" w:ascii="宋体" w:hAnsi="宋体" w:cs="宋体"/>
                <w:color w:val="000000"/>
                <w:kern w:val="0"/>
                <w:sz w:val="24"/>
              </w:rPr>
              <w:t>8</w:t>
            </w:r>
          </w:p>
        </w:tc>
        <w:tc>
          <w:tcPr>
            <w:tcW w:w="1134" w:type="dxa"/>
            <w:vMerge w:val="continue"/>
            <w:tcBorders>
              <w:top w:val="nil"/>
              <w:left w:val="single" w:color="auto" w:sz="8" w:space="0"/>
              <w:bottom w:val="single" w:color="000000" w:sz="8" w:space="0"/>
              <w:right w:val="single" w:color="auto" w:sz="8" w:space="0"/>
            </w:tcBorders>
            <w:vAlign w:val="center"/>
          </w:tcPr>
          <w:p w14:paraId="7133714E">
            <w:pPr>
              <w:widowControl/>
              <w:jc w:val="left"/>
              <w:rPr>
                <w:rFonts w:hint="eastAsia" w:ascii="宋体" w:hAnsi="宋体" w:cs="宋体"/>
                <w:color w:val="000000"/>
                <w:kern w:val="0"/>
                <w:sz w:val="24"/>
              </w:rPr>
            </w:pPr>
          </w:p>
        </w:tc>
        <w:tc>
          <w:tcPr>
            <w:tcW w:w="1276" w:type="dxa"/>
            <w:tcBorders>
              <w:top w:val="nil"/>
              <w:left w:val="nil"/>
              <w:bottom w:val="single" w:color="auto" w:sz="8" w:space="0"/>
              <w:right w:val="single" w:color="auto" w:sz="8" w:space="0"/>
            </w:tcBorders>
            <w:vAlign w:val="center"/>
          </w:tcPr>
          <w:p w14:paraId="5D8EAE54">
            <w:pPr>
              <w:widowControl/>
              <w:jc w:val="center"/>
              <w:rPr>
                <w:rFonts w:hint="eastAsia" w:ascii="宋体" w:hAnsi="宋体" w:cs="宋体"/>
                <w:color w:val="000000"/>
                <w:kern w:val="0"/>
                <w:sz w:val="24"/>
              </w:rPr>
            </w:pPr>
            <w:r>
              <w:rPr>
                <w:rFonts w:hint="eastAsia" w:ascii="宋体" w:hAnsi="宋体" w:cs="宋体"/>
                <w:color w:val="000000"/>
                <w:kern w:val="0"/>
                <w:sz w:val="24"/>
              </w:rPr>
              <w:t>网络及安全类设备</w:t>
            </w:r>
          </w:p>
        </w:tc>
        <w:tc>
          <w:tcPr>
            <w:tcW w:w="4356" w:type="dxa"/>
            <w:tcBorders>
              <w:top w:val="nil"/>
              <w:left w:val="nil"/>
              <w:bottom w:val="single" w:color="auto" w:sz="8" w:space="0"/>
              <w:right w:val="single" w:color="auto" w:sz="8" w:space="0"/>
            </w:tcBorders>
            <w:vAlign w:val="center"/>
          </w:tcPr>
          <w:p w14:paraId="45C2A30F">
            <w:pPr>
              <w:widowControl/>
              <w:jc w:val="left"/>
              <w:rPr>
                <w:rFonts w:hint="eastAsia" w:ascii="宋体" w:hAnsi="宋体" w:cs="宋体"/>
                <w:color w:val="000000"/>
                <w:kern w:val="0"/>
                <w:sz w:val="24"/>
              </w:rPr>
            </w:pPr>
            <w:r>
              <w:rPr>
                <w:rFonts w:hint="eastAsia" w:ascii="宋体" w:hAnsi="宋体" w:cs="宋体"/>
                <w:color w:val="000000"/>
                <w:kern w:val="0"/>
                <w:sz w:val="24"/>
              </w:rPr>
              <w:t>安全设备的清洁维护。并对每类设备进行逐一检测，保持防火墙等设备软件的及时更新和升级，以获取最新的漏洞修复和安全补丁。定期审核软件配置和规则，确保配置的正确性和完整性确保系统版本及授权等为最新版本。并协助客户进行必要的的升级维护。</w:t>
            </w:r>
          </w:p>
        </w:tc>
        <w:tc>
          <w:tcPr>
            <w:tcW w:w="810" w:type="dxa"/>
            <w:tcBorders>
              <w:top w:val="nil"/>
              <w:left w:val="nil"/>
              <w:bottom w:val="single" w:color="auto" w:sz="8" w:space="0"/>
              <w:right w:val="single" w:color="auto" w:sz="8" w:space="0"/>
            </w:tcBorders>
            <w:vAlign w:val="center"/>
          </w:tcPr>
          <w:p w14:paraId="56F6486B">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80" w:type="dxa"/>
            <w:tcBorders>
              <w:top w:val="nil"/>
              <w:left w:val="nil"/>
              <w:bottom w:val="single" w:color="auto" w:sz="8" w:space="0"/>
              <w:right w:val="single" w:color="auto" w:sz="8" w:space="0"/>
            </w:tcBorders>
            <w:vAlign w:val="center"/>
          </w:tcPr>
          <w:p w14:paraId="41452622">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53997AC3">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4267B7C1">
            <w:pPr>
              <w:widowControl/>
              <w:jc w:val="center"/>
              <w:rPr>
                <w:rFonts w:hint="eastAsia" w:ascii="宋体" w:hAnsi="宋体" w:cs="宋体"/>
                <w:color w:val="000000"/>
                <w:kern w:val="0"/>
                <w:sz w:val="24"/>
              </w:rPr>
            </w:pPr>
            <w:r>
              <w:rPr>
                <w:rFonts w:hint="eastAsia" w:ascii="宋体" w:hAnsi="宋体" w:cs="宋体"/>
                <w:color w:val="000000"/>
                <w:kern w:val="0"/>
                <w:sz w:val="24"/>
              </w:rPr>
              <w:t>9</w:t>
            </w:r>
          </w:p>
        </w:tc>
        <w:tc>
          <w:tcPr>
            <w:tcW w:w="1134" w:type="dxa"/>
            <w:vMerge w:val="restart"/>
            <w:tcBorders>
              <w:top w:val="nil"/>
              <w:left w:val="single" w:color="auto" w:sz="8" w:space="0"/>
              <w:bottom w:val="single" w:color="000000" w:sz="8" w:space="0"/>
              <w:right w:val="single" w:color="auto" w:sz="8" w:space="0"/>
            </w:tcBorders>
            <w:vAlign w:val="center"/>
          </w:tcPr>
          <w:p w14:paraId="20014B5F">
            <w:pPr>
              <w:widowControl/>
              <w:jc w:val="center"/>
              <w:rPr>
                <w:rFonts w:hint="eastAsia" w:ascii="宋体" w:hAnsi="宋体" w:cs="宋体"/>
                <w:color w:val="000000"/>
                <w:kern w:val="0"/>
                <w:sz w:val="24"/>
              </w:rPr>
            </w:pPr>
            <w:r>
              <w:rPr>
                <w:rFonts w:hint="eastAsia" w:ascii="宋体" w:hAnsi="宋体" w:cs="宋体"/>
                <w:color w:val="000000"/>
                <w:kern w:val="0"/>
                <w:sz w:val="24"/>
              </w:rPr>
              <w:t>安全运维</w:t>
            </w:r>
          </w:p>
        </w:tc>
        <w:tc>
          <w:tcPr>
            <w:tcW w:w="1276" w:type="dxa"/>
            <w:tcBorders>
              <w:top w:val="nil"/>
              <w:left w:val="nil"/>
              <w:bottom w:val="single" w:color="auto" w:sz="8" w:space="0"/>
              <w:right w:val="single" w:color="auto" w:sz="8" w:space="0"/>
            </w:tcBorders>
            <w:vAlign w:val="center"/>
          </w:tcPr>
          <w:p w14:paraId="6CB53055">
            <w:pPr>
              <w:widowControl/>
              <w:jc w:val="center"/>
              <w:rPr>
                <w:rFonts w:hint="eastAsia" w:ascii="宋体" w:hAnsi="宋体" w:cs="宋体"/>
                <w:color w:val="000000"/>
                <w:kern w:val="0"/>
                <w:sz w:val="24"/>
              </w:rPr>
            </w:pPr>
            <w:r>
              <w:rPr>
                <w:rFonts w:hint="eastAsia" w:ascii="宋体" w:hAnsi="宋体" w:cs="宋体"/>
                <w:color w:val="000000"/>
                <w:kern w:val="0"/>
                <w:sz w:val="24"/>
              </w:rPr>
              <w:t>脆弱性测试</w:t>
            </w:r>
          </w:p>
        </w:tc>
        <w:tc>
          <w:tcPr>
            <w:tcW w:w="4356" w:type="dxa"/>
            <w:tcBorders>
              <w:top w:val="nil"/>
              <w:left w:val="nil"/>
              <w:bottom w:val="single" w:color="auto" w:sz="8" w:space="0"/>
              <w:right w:val="single" w:color="auto" w:sz="8" w:space="0"/>
            </w:tcBorders>
            <w:vAlign w:val="center"/>
          </w:tcPr>
          <w:p w14:paraId="7E0C2F40">
            <w:pPr>
              <w:widowControl/>
              <w:jc w:val="left"/>
              <w:rPr>
                <w:rFonts w:hint="eastAsia" w:ascii="宋体" w:hAnsi="宋体" w:cs="宋体"/>
                <w:color w:val="000000"/>
                <w:kern w:val="0"/>
                <w:sz w:val="24"/>
              </w:rPr>
            </w:pPr>
            <w:r>
              <w:rPr>
                <w:rFonts w:hint="eastAsia" w:ascii="宋体" w:hAnsi="宋体" w:cs="宋体"/>
                <w:color w:val="000000"/>
                <w:kern w:val="0"/>
                <w:sz w:val="24"/>
              </w:rPr>
              <w:t>应用系统、数据库等，进行安全检测，以发现在网络、运维器策略配置等层面存在的安全隐患，为安全优化工作提供建设依据</w:t>
            </w:r>
          </w:p>
        </w:tc>
        <w:tc>
          <w:tcPr>
            <w:tcW w:w="810" w:type="dxa"/>
            <w:tcBorders>
              <w:top w:val="nil"/>
              <w:left w:val="nil"/>
              <w:bottom w:val="single" w:color="auto" w:sz="8" w:space="0"/>
              <w:right w:val="single" w:color="auto" w:sz="8" w:space="0"/>
            </w:tcBorders>
            <w:vAlign w:val="center"/>
          </w:tcPr>
          <w:p w14:paraId="347DAC8D">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80" w:type="dxa"/>
            <w:tcBorders>
              <w:top w:val="nil"/>
              <w:left w:val="nil"/>
              <w:bottom w:val="single" w:color="auto" w:sz="8" w:space="0"/>
              <w:right w:val="single" w:color="auto" w:sz="8" w:space="0"/>
            </w:tcBorders>
            <w:vAlign w:val="center"/>
          </w:tcPr>
          <w:p w14:paraId="54517244">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4B9F865B">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42075F6F">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1134" w:type="dxa"/>
            <w:vMerge w:val="continue"/>
            <w:tcBorders>
              <w:top w:val="nil"/>
              <w:left w:val="single" w:color="auto" w:sz="8" w:space="0"/>
              <w:bottom w:val="single" w:color="000000" w:sz="8" w:space="0"/>
              <w:right w:val="single" w:color="auto" w:sz="8" w:space="0"/>
            </w:tcBorders>
            <w:vAlign w:val="center"/>
          </w:tcPr>
          <w:p w14:paraId="2FE501F0">
            <w:pPr>
              <w:widowControl/>
              <w:jc w:val="left"/>
              <w:rPr>
                <w:rFonts w:hint="eastAsia" w:ascii="宋体" w:hAnsi="宋体" w:cs="宋体"/>
                <w:color w:val="000000"/>
                <w:kern w:val="0"/>
                <w:sz w:val="24"/>
              </w:rPr>
            </w:pPr>
          </w:p>
        </w:tc>
        <w:tc>
          <w:tcPr>
            <w:tcW w:w="1276" w:type="dxa"/>
            <w:tcBorders>
              <w:top w:val="nil"/>
              <w:left w:val="nil"/>
              <w:bottom w:val="single" w:color="auto" w:sz="8" w:space="0"/>
              <w:right w:val="single" w:color="auto" w:sz="8" w:space="0"/>
            </w:tcBorders>
            <w:vAlign w:val="center"/>
          </w:tcPr>
          <w:p w14:paraId="7F881B24">
            <w:pPr>
              <w:widowControl/>
              <w:jc w:val="center"/>
              <w:rPr>
                <w:rFonts w:hint="eastAsia" w:ascii="宋体" w:hAnsi="宋体" w:cs="宋体"/>
                <w:color w:val="000000"/>
                <w:kern w:val="0"/>
                <w:sz w:val="24"/>
              </w:rPr>
            </w:pPr>
            <w:r>
              <w:rPr>
                <w:rFonts w:hint="eastAsia" w:ascii="宋体" w:hAnsi="宋体" w:cs="宋体"/>
                <w:color w:val="000000"/>
                <w:kern w:val="0"/>
                <w:sz w:val="24"/>
              </w:rPr>
              <w:t>漏洞扫描</w:t>
            </w:r>
          </w:p>
        </w:tc>
        <w:tc>
          <w:tcPr>
            <w:tcW w:w="4356" w:type="dxa"/>
            <w:tcBorders>
              <w:top w:val="nil"/>
              <w:left w:val="nil"/>
              <w:bottom w:val="single" w:color="auto" w:sz="8" w:space="0"/>
              <w:right w:val="single" w:color="auto" w:sz="8" w:space="0"/>
            </w:tcBorders>
            <w:vAlign w:val="center"/>
          </w:tcPr>
          <w:p w14:paraId="238634CF">
            <w:pPr>
              <w:widowControl/>
              <w:jc w:val="left"/>
              <w:rPr>
                <w:rFonts w:hint="eastAsia" w:ascii="宋体" w:hAnsi="宋体" w:cs="宋体"/>
                <w:color w:val="000000"/>
                <w:kern w:val="0"/>
                <w:sz w:val="24"/>
              </w:rPr>
            </w:pPr>
            <w:r>
              <w:rPr>
                <w:rFonts w:hint="eastAsia" w:ascii="宋体" w:hAnsi="宋体" w:cs="宋体"/>
                <w:color w:val="000000"/>
                <w:kern w:val="0"/>
                <w:sz w:val="24"/>
              </w:rPr>
              <w:t>漏洞扫描，发现扫描对象存在的web应用漏洞、主机操作系统漏洞、数据库漏洞、逻辑缺陷、弱口令、信息泄露等脆弱性问题，生成相关报告并提供加固建议</w:t>
            </w:r>
          </w:p>
        </w:tc>
        <w:tc>
          <w:tcPr>
            <w:tcW w:w="810" w:type="dxa"/>
            <w:tcBorders>
              <w:top w:val="nil"/>
              <w:left w:val="nil"/>
              <w:bottom w:val="single" w:color="auto" w:sz="8" w:space="0"/>
              <w:right w:val="single" w:color="auto" w:sz="8" w:space="0"/>
            </w:tcBorders>
            <w:vAlign w:val="center"/>
          </w:tcPr>
          <w:p w14:paraId="6EA49F12">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80" w:type="dxa"/>
            <w:tcBorders>
              <w:top w:val="nil"/>
              <w:left w:val="nil"/>
              <w:bottom w:val="single" w:color="auto" w:sz="8" w:space="0"/>
              <w:right w:val="single" w:color="auto" w:sz="8" w:space="0"/>
            </w:tcBorders>
            <w:vAlign w:val="center"/>
          </w:tcPr>
          <w:p w14:paraId="3C776662">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455335F3">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41F23936">
            <w:pPr>
              <w:widowControl/>
              <w:jc w:val="center"/>
              <w:rPr>
                <w:rFonts w:hint="eastAsia" w:ascii="宋体" w:hAnsi="宋体" w:cs="宋体"/>
                <w:color w:val="000000"/>
                <w:kern w:val="0"/>
                <w:sz w:val="24"/>
              </w:rPr>
            </w:pPr>
            <w:r>
              <w:rPr>
                <w:rFonts w:hint="eastAsia" w:ascii="宋体" w:hAnsi="宋体" w:cs="宋体"/>
                <w:color w:val="000000"/>
                <w:kern w:val="0"/>
                <w:sz w:val="24"/>
              </w:rPr>
              <w:t>11</w:t>
            </w:r>
          </w:p>
        </w:tc>
        <w:tc>
          <w:tcPr>
            <w:tcW w:w="1134" w:type="dxa"/>
            <w:vMerge w:val="continue"/>
            <w:tcBorders>
              <w:top w:val="nil"/>
              <w:left w:val="single" w:color="auto" w:sz="8" w:space="0"/>
              <w:bottom w:val="single" w:color="000000" w:sz="8" w:space="0"/>
              <w:right w:val="single" w:color="auto" w:sz="8" w:space="0"/>
            </w:tcBorders>
            <w:vAlign w:val="center"/>
          </w:tcPr>
          <w:p w14:paraId="04899287">
            <w:pPr>
              <w:widowControl/>
              <w:jc w:val="left"/>
              <w:rPr>
                <w:rFonts w:hint="eastAsia" w:ascii="宋体" w:hAnsi="宋体" w:cs="宋体"/>
                <w:color w:val="000000"/>
                <w:kern w:val="0"/>
                <w:sz w:val="24"/>
              </w:rPr>
            </w:pPr>
          </w:p>
        </w:tc>
        <w:tc>
          <w:tcPr>
            <w:tcW w:w="1276" w:type="dxa"/>
            <w:tcBorders>
              <w:top w:val="nil"/>
              <w:left w:val="nil"/>
              <w:bottom w:val="single" w:color="auto" w:sz="8" w:space="0"/>
              <w:right w:val="single" w:color="auto" w:sz="8" w:space="0"/>
            </w:tcBorders>
            <w:vAlign w:val="center"/>
          </w:tcPr>
          <w:p w14:paraId="2CC70A94">
            <w:pPr>
              <w:widowControl/>
              <w:jc w:val="center"/>
              <w:rPr>
                <w:rFonts w:hint="eastAsia" w:ascii="宋体" w:hAnsi="宋体" w:cs="宋体"/>
                <w:color w:val="000000"/>
                <w:kern w:val="0"/>
                <w:sz w:val="24"/>
              </w:rPr>
            </w:pPr>
            <w:r>
              <w:rPr>
                <w:rFonts w:hint="eastAsia" w:ascii="宋体" w:hAnsi="宋体" w:cs="宋体"/>
                <w:color w:val="000000"/>
                <w:kern w:val="0"/>
                <w:sz w:val="24"/>
              </w:rPr>
              <w:t>日志分析</w:t>
            </w:r>
          </w:p>
        </w:tc>
        <w:tc>
          <w:tcPr>
            <w:tcW w:w="4356" w:type="dxa"/>
            <w:tcBorders>
              <w:top w:val="nil"/>
              <w:left w:val="nil"/>
              <w:bottom w:val="single" w:color="auto" w:sz="8" w:space="0"/>
              <w:right w:val="single" w:color="auto" w:sz="8" w:space="0"/>
            </w:tcBorders>
            <w:vAlign w:val="center"/>
          </w:tcPr>
          <w:p w14:paraId="6AED98D2">
            <w:pPr>
              <w:widowControl/>
              <w:jc w:val="left"/>
              <w:rPr>
                <w:rFonts w:hint="eastAsia" w:ascii="宋体" w:hAnsi="宋体" w:cs="宋体"/>
                <w:color w:val="000000"/>
                <w:kern w:val="0"/>
                <w:sz w:val="24"/>
              </w:rPr>
            </w:pPr>
            <w:r>
              <w:rPr>
                <w:rFonts w:hint="eastAsia" w:ascii="宋体" w:hAnsi="宋体" w:cs="宋体"/>
                <w:color w:val="000000"/>
                <w:kern w:val="0"/>
                <w:sz w:val="24"/>
              </w:rPr>
              <w:t>通过收集用户网络中的运维器、网络设备、安全设备等的日志信息，进行关联分析，发现潜在的威胁和未知的入侵行为。</w:t>
            </w:r>
          </w:p>
        </w:tc>
        <w:tc>
          <w:tcPr>
            <w:tcW w:w="810" w:type="dxa"/>
            <w:tcBorders>
              <w:top w:val="nil"/>
              <w:left w:val="nil"/>
              <w:bottom w:val="single" w:color="auto" w:sz="8" w:space="0"/>
              <w:right w:val="single" w:color="auto" w:sz="8" w:space="0"/>
            </w:tcBorders>
            <w:vAlign w:val="center"/>
          </w:tcPr>
          <w:p w14:paraId="380C8DF3">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80" w:type="dxa"/>
            <w:tcBorders>
              <w:top w:val="nil"/>
              <w:left w:val="nil"/>
              <w:bottom w:val="single" w:color="auto" w:sz="8" w:space="0"/>
              <w:right w:val="single" w:color="auto" w:sz="8" w:space="0"/>
            </w:tcBorders>
            <w:vAlign w:val="center"/>
          </w:tcPr>
          <w:p w14:paraId="54AE7F37">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34F2C681">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2449845E">
            <w:pPr>
              <w:widowControl/>
              <w:jc w:val="center"/>
              <w:rPr>
                <w:rFonts w:hint="eastAsia" w:ascii="宋体" w:hAnsi="宋体" w:cs="宋体"/>
                <w:color w:val="000000"/>
                <w:kern w:val="0"/>
                <w:sz w:val="24"/>
              </w:rPr>
            </w:pPr>
            <w:r>
              <w:rPr>
                <w:rFonts w:hint="eastAsia" w:ascii="宋体" w:hAnsi="宋体" w:cs="宋体"/>
                <w:color w:val="000000"/>
                <w:kern w:val="0"/>
                <w:sz w:val="24"/>
              </w:rPr>
              <w:t>12</w:t>
            </w:r>
          </w:p>
        </w:tc>
        <w:tc>
          <w:tcPr>
            <w:tcW w:w="1134" w:type="dxa"/>
            <w:vMerge w:val="continue"/>
            <w:tcBorders>
              <w:top w:val="nil"/>
              <w:left w:val="single" w:color="auto" w:sz="8" w:space="0"/>
              <w:bottom w:val="single" w:color="000000" w:sz="8" w:space="0"/>
              <w:right w:val="single" w:color="auto" w:sz="8" w:space="0"/>
            </w:tcBorders>
            <w:vAlign w:val="center"/>
          </w:tcPr>
          <w:p w14:paraId="3367E2DD">
            <w:pPr>
              <w:widowControl/>
              <w:jc w:val="left"/>
              <w:rPr>
                <w:rFonts w:hint="eastAsia" w:ascii="宋体" w:hAnsi="宋体" w:cs="宋体"/>
                <w:color w:val="000000"/>
                <w:kern w:val="0"/>
                <w:sz w:val="24"/>
              </w:rPr>
            </w:pPr>
          </w:p>
        </w:tc>
        <w:tc>
          <w:tcPr>
            <w:tcW w:w="1276" w:type="dxa"/>
            <w:tcBorders>
              <w:top w:val="nil"/>
              <w:left w:val="nil"/>
              <w:bottom w:val="single" w:color="auto" w:sz="8" w:space="0"/>
              <w:right w:val="single" w:color="auto" w:sz="8" w:space="0"/>
            </w:tcBorders>
            <w:vAlign w:val="center"/>
          </w:tcPr>
          <w:p w14:paraId="33771486">
            <w:pPr>
              <w:widowControl/>
              <w:jc w:val="center"/>
              <w:rPr>
                <w:rFonts w:hint="eastAsia" w:ascii="宋体" w:hAnsi="宋体" w:cs="宋体"/>
                <w:color w:val="000000"/>
                <w:kern w:val="0"/>
                <w:sz w:val="24"/>
              </w:rPr>
            </w:pPr>
            <w:r>
              <w:rPr>
                <w:rFonts w:hint="eastAsia" w:ascii="宋体" w:hAnsi="宋体" w:cs="宋体"/>
                <w:color w:val="000000"/>
                <w:kern w:val="0"/>
                <w:sz w:val="24"/>
              </w:rPr>
              <w:t>策略调优</w:t>
            </w:r>
          </w:p>
        </w:tc>
        <w:tc>
          <w:tcPr>
            <w:tcW w:w="4356" w:type="dxa"/>
            <w:tcBorders>
              <w:top w:val="nil"/>
              <w:left w:val="nil"/>
              <w:bottom w:val="single" w:color="auto" w:sz="8" w:space="0"/>
              <w:right w:val="single" w:color="auto" w:sz="8" w:space="0"/>
            </w:tcBorders>
            <w:vAlign w:val="center"/>
          </w:tcPr>
          <w:p w14:paraId="7A5B2328">
            <w:pPr>
              <w:widowControl/>
              <w:jc w:val="left"/>
              <w:rPr>
                <w:rFonts w:hint="eastAsia" w:ascii="宋体" w:hAnsi="宋体" w:cs="宋体"/>
                <w:color w:val="000000"/>
                <w:kern w:val="0"/>
                <w:sz w:val="24"/>
              </w:rPr>
            </w:pPr>
            <w:r>
              <w:rPr>
                <w:rFonts w:hint="eastAsia" w:ascii="宋体" w:hAnsi="宋体" w:cs="宋体"/>
                <w:color w:val="000000"/>
                <w:kern w:val="0"/>
                <w:sz w:val="24"/>
              </w:rPr>
              <w:t>随着数据采集点的增多，业务系统的增加和升级，需从新配置运维器，交换机及安全产品的网络架构及策略，期间需协调各方技术人员到场配合工作。</w:t>
            </w:r>
          </w:p>
        </w:tc>
        <w:tc>
          <w:tcPr>
            <w:tcW w:w="810" w:type="dxa"/>
            <w:tcBorders>
              <w:top w:val="nil"/>
              <w:left w:val="nil"/>
              <w:bottom w:val="single" w:color="auto" w:sz="8" w:space="0"/>
              <w:right w:val="single" w:color="auto" w:sz="8" w:space="0"/>
            </w:tcBorders>
            <w:vAlign w:val="center"/>
          </w:tcPr>
          <w:p w14:paraId="1560A481">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80" w:type="dxa"/>
            <w:tcBorders>
              <w:top w:val="nil"/>
              <w:left w:val="nil"/>
              <w:bottom w:val="single" w:color="auto" w:sz="8" w:space="0"/>
              <w:right w:val="single" w:color="auto" w:sz="8" w:space="0"/>
            </w:tcBorders>
            <w:vAlign w:val="center"/>
          </w:tcPr>
          <w:p w14:paraId="37939CCA">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6335E213">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60B60386">
            <w:pPr>
              <w:widowControl/>
              <w:jc w:val="center"/>
              <w:rPr>
                <w:rFonts w:hint="eastAsia" w:ascii="宋体" w:hAnsi="宋体" w:cs="宋体"/>
                <w:color w:val="000000"/>
                <w:kern w:val="0"/>
                <w:sz w:val="24"/>
              </w:rPr>
            </w:pPr>
            <w:r>
              <w:rPr>
                <w:rFonts w:hint="eastAsia" w:ascii="宋体" w:hAnsi="宋体" w:cs="宋体"/>
                <w:color w:val="000000"/>
                <w:kern w:val="0"/>
                <w:sz w:val="24"/>
              </w:rPr>
              <w:t>13</w:t>
            </w:r>
          </w:p>
        </w:tc>
        <w:tc>
          <w:tcPr>
            <w:tcW w:w="1134" w:type="dxa"/>
            <w:vMerge w:val="continue"/>
            <w:tcBorders>
              <w:top w:val="nil"/>
              <w:left w:val="single" w:color="auto" w:sz="8" w:space="0"/>
              <w:bottom w:val="single" w:color="000000" w:sz="8" w:space="0"/>
              <w:right w:val="single" w:color="auto" w:sz="8" w:space="0"/>
            </w:tcBorders>
            <w:vAlign w:val="center"/>
          </w:tcPr>
          <w:p w14:paraId="41B22284">
            <w:pPr>
              <w:widowControl/>
              <w:jc w:val="left"/>
              <w:rPr>
                <w:rFonts w:hint="eastAsia" w:ascii="宋体" w:hAnsi="宋体" w:cs="宋体"/>
                <w:color w:val="000000"/>
                <w:kern w:val="0"/>
                <w:sz w:val="24"/>
              </w:rPr>
            </w:pPr>
          </w:p>
        </w:tc>
        <w:tc>
          <w:tcPr>
            <w:tcW w:w="1276" w:type="dxa"/>
            <w:tcBorders>
              <w:top w:val="nil"/>
              <w:left w:val="nil"/>
              <w:bottom w:val="single" w:color="auto" w:sz="8" w:space="0"/>
              <w:right w:val="single" w:color="auto" w:sz="8" w:space="0"/>
            </w:tcBorders>
            <w:vAlign w:val="center"/>
          </w:tcPr>
          <w:p w14:paraId="69E2FEF0">
            <w:pPr>
              <w:widowControl/>
              <w:jc w:val="center"/>
              <w:rPr>
                <w:rFonts w:hint="eastAsia" w:ascii="宋体" w:hAnsi="宋体" w:cs="宋体"/>
                <w:color w:val="000000"/>
                <w:kern w:val="0"/>
                <w:sz w:val="24"/>
              </w:rPr>
            </w:pPr>
            <w:r>
              <w:rPr>
                <w:rFonts w:hint="eastAsia" w:ascii="宋体" w:hAnsi="宋体" w:cs="宋体"/>
                <w:color w:val="000000"/>
                <w:kern w:val="0"/>
                <w:sz w:val="24"/>
              </w:rPr>
              <w:t>弱口令检测</w:t>
            </w:r>
          </w:p>
        </w:tc>
        <w:tc>
          <w:tcPr>
            <w:tcW w:w="4356" w:type="dxa"/>
            <w:tcBorders>
              <w:top w:val="nil"/>
              <w:left w:val="nil"/>
              <w:bottom w:val="single" w:color="auto" w:sz="8" w:space="0"/>
              <w:right w:val="single" w:color="auto" w:sz="8" w:space="0"/>
            </w:tcBorders>
            <w:vAlign w:val="center"/>
          </w:tcPr>
          <w:p w14:paraId="445B26FC">
            <w:pPr>
              <w:widowControl/>
              <w:jc w:val="left"/>
              <w:rPr>
                <w:rFonts w:hint="eastAsia" w:ascii="宋体" w:hAnsi="宋体" w:cs="宋体"/>
                <w:color w:val="000000"/>
                <w:kern w:val="0"/>
                <w:sz w:val="24"/>
              </w:rPr>
            </w:pPr>
            <w:r>
              <w:rPr>
                <w:rFonts w:hint="eastAsia" w:ascii="宋体" w:hAnsi="宋体" w:cs="宋体"/>
                <w:color w:val="000000"/>
                <w:kern w:val="0"/>
                <w:sz w:val="24"/>
              </w:rPr>
              <w:t>针对内外网系统进行弱口令检测工作。每3月更换一次。</w:t>
            </w:r>
          </w:p>
        </w:tc>
        <w:tc>
          <w:tcPr>
            <w:tcW w:w="810" w:type="dxa"/>
            <w:tcBorders>
              <w:top w:val="nil"/>
              <w:left w:val="nil"/>
              <w:bottom w:val="single" w:color="auto" w:sz="8" w:space="0"/>
              <w:right w:val="single" w:color="auto" w:sz="8" w:space="0"/>
            </w:tcBorders>
            <w:vAlign w:val="center"/>
          </w:tcPr>
          <w:p w14:paraId="77F37DAA">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80" w:type="dxa"/>
            <w:tcBorders>
              <w:top w:val="nil"/>
              <w:left w:val="nil"/>
              <w:bottom w:val="single" w:color="auto" w:sz="8" w:space="0"/>
              <w:right w:val="single" w:color="auto" w:sz="8" w:space="0"/>
            </w:tcBorders>
            <w:vAlign w:val="center"/>
          </w:tcPr>
          <w:p w14:paraId="5328E715">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bl>
    <w:p w14:paraId="252EDDC1">
      <w:pPr>
        <w:jc w:val="center"/>
        <w:rPr>
          <w:rFonts w:hint="eastAsia" w:ascii="宋体" w:hAnsi="宋体"/>
          <w:b/>
          <w:sz w:val="24"/>
        </w:rPr>
      </w:pPr>
    </w:p>
    <w:p w14:paraId="11FDE957">
      <w:pPr>
        <w:jc w:val="center"/>
        <w:rPr>
          <w:rFonts w:hint="eastAsia" w:ascii="宋体" w:hAnsi="宋体"/>
          <w:b/>
          <w:sz w:val="24"/>
        </w:rPr>
      </w:pPr>
      <w:r>
        <w:rPr>
          <w:rFonts w:hint="eastAsia" w:ascii="宋体" w:hAnsi="宋体"/>
          <w:b/>
          <w:sz w:val="24"/>
        </w:rPr>
        <w:t>表4-3 密云监测站信息中心机房</w:t>
      </w:r>
    </w:p>
    <w:tbl>
      <w:tblPr>
        <w:tblStyle w:val="42"/>
        <w:tblW w:w="9055" w:type="dxa"/>
        <w:tblInd w:w="118" w:type="dxa"/>
        <w:tblLayout w:type="autofit"/>
        <w:tblCellMar>
          <w:top w:w="0" w:type="dxa"/>
          <w:left w:w="108" w:type="dxa"/>
          <w:bottom w:w="0" w:type="dxa"/>
          <w:right w:w="108" w:type="dxa"/>
        </w:tblCellMar>
      </w:tblPr>
      <w:tblGrid>
        <w:gridCol w:w="699"/>
        <w:gridCol w:w="1134"/>
        <w:gridCol w:w="1276"/>
        <w:gridCol w:w="4356"/>
        <w:gridCol w:w="810"/>
        <w:gridCol w:w="780"/>
      </w:tblGrid>
      <w:tr w14:paraId="05EE05EB">
        <w:tblPrEx>
          <w:tblCellMar>
            <w:top w:w="0" w:type="dxa"/>
            <w:left w:w="108" w:type="dxa"/>
            <w:bottom w:w="0" w:type="dxa"/>
            <w:right w:w="108" w:type="dxa"/>
          </w:tblCellMar>
        </w:tblPrEx>
        <w:trPr>
          <w:trHeight w:val="454" w:hRule="atLeast"/>
          <w:tblHeader/>
        </w:trPr>
        <w:tc>
          <w:tcPr>
            <w:tcW w:w="699" w:type="dxa"/>
            <w:vMerge w:val="restart"/>
            <w:tcBorders>
              <w:top w:val="single" w:color="auto" w:sz="8" w:space="0"/>
              <w:left w:val="single" w:color="auto" w:sz="8" w:space="0"/>
              <w:bottom w:val="single" w:color="000000" w:sz="8" w:space="0"/>
              <w:right w:val="single" w:color="auto" w:sz="8" w:space="0"/>
            </w:tcBorders>
            <w:vAlign w:val="center"/>
          </w:tcPr>
          <w:p w14:paraId="54ED793C">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序号</w:t>
            </w:r>
          </w:p>
        </w:tc>
        <w:tc>
          <w:tcPr>
            <w:tcW w:w="1134" w:type="dxa"/>
            <w:vMerge w:val="restart"/>
            <w:tcBorders>
              <w:top w:val="single" w:color="auto" w:sz="8" w:space="0"/>
              <w:left w:val="single" w:color="auto" w:sz="8" w:space="0"/>
              <w:bottom w:val="single" w:color="000000" w:sz="8" w:space="0"/>
              <w:right w:val="single" w:color="auto" w:sz="8" w:space="0"/>
            </w:tcBorders>
            <w:vAlign w:val="center"/>
          </w:tcPr>
          <w:p w14:paraId="3550C957">
            <w:pPr>
              <w:widowControl/>
              <w:jc w:val="center"/>
              <w:rPr>
                <w:rFonts w:hint="eastAsia" w:ascii="宋体" w:hAnsi="宋体" w:cs="宋体"/>
                <w:b/>
                <w:bCs/>
                <w:color w:val="000000"/>
                <w:kern w:val="0"/>
                <w:sz w:val="24"/>
              </w:rPr>
            </w:pPr>
            <w:r>
              <w:rPr>
                <w:rFonts w:hint="eastAsia" w:ascii="宋体" w:hAnsi="宋体" w:cs="宋体"/>
                <w:b/>
                <w:bCs/>
                <w:color w:val="000000"/>
                <w:kern w:val="0"/>
                <w:sz w:val="24"/>
              </w:rPr>
              <w:t>运维类别</w:t>
            </w:r>
          </w:p>
        </w:tc>
        <w:tc>
          <w:tcPr>
            <w:tcW w:w="1276" w:type="dxa"/>
            <w:vMerge w:val="restart"/>
            <w:tcBorders>
              <w:top w:val="single" w:color="auto" w:sz="8" w:space="0"/>
              <w:left w:val="single" w:color="auto" w:sz="8" w:space="0"/>
              <w:bottom w:val="single" w:color="000000" w:sz="8" w:space="0"/>
              <w:right w:val="single" w:color="auto" w:sz="8" w:space="0"/>
            </w:tcBorders>
            <w:vAlign w:val="center"/>
          </w:tcPr>
          <w:p w14:paraId="7748E093">
            <w:pPr>
              <w:widowControl/>
              <w:jc w:val="center"/>
              <w:rPr>
                <w:rFonts w:hint="eastAsia" w:ascii="宋体" w:hAnsi="宋体" w:cs="宋体"/>
                <w:b/>
                <w:bCs/>
                <w:color w:val="000000"/>
                <w:kern w:val="0"/>
                <w:sz w:val="24"/>
              </w:rPr>
            </w:pPr>
            <w:r>
              <w:rPr>
                <w:rFonts w:hint="eastAsia" w:ascii="宋体" w:hAnsi="宋体" w:cs="宋体"/>
                <w:b/>
                <w:bCs/>
                <w:color w:val="000000"/>
                <w:kern w:val="0"/>
                <w:sz w:val="24"/>
              </w:rPr>
              <w:t>设备类型</w:t>
            </w:r>
          </w:p>
        </w:tc>
        <w:tc>
          <w:tcPr>
            <w:tcW w:w="4356" w:type="dxa"/>
            <w:vMerge w:val="restart"/>
            <w:tcBorders>
              <w:top w:val="single" w:color="auto" w:sz="8" w:space="0"/>
              <w:left w:val="single" w:color="auto" w:sz="8" w:space="0"/>
              <w:bottom w:val="single" w:color="000000" w:sz="8" w:space="0"/>
              <w:right w:val="single" w:color="auto" w:sz="8" w:space="0"/>
            </w:tcBorders>
            <w:vAlign w:val="center"/>
          </w:tcPr>
          <w:p w14:paraId="41DC5CAA">
            <w:pPr>
              <w:widowControl/>
              <w:jc w:val="center"/>
              <w:rPr>
                <w:rFonts w:hint="eastAsia" w:ascii="宋体" w:hAnsi="宋体" w:cs="宋体"/>
                <w:b/>
                <w:bCs/>
                <w:color w:val="000000"/>
                <w:kern w:val="0"/>
                <w:sz w:val="24"/>
              </w:rPr>
            </w:pPr>
            <w:r>
              <w:rPr>
                <w:rFonts w:hint="eastAsia" w:ascii="宋体" w:hAnsi="宋体" w:cs="宋体"/>
                <w:b/>
                <w:bCs/>
                <w:color w:val="000000"/>
                <w:kern w:val="0"/>
                <w:sz w:val="24"/>
              </w:rPr>
              <w:t>运维内容</w:t>
            </w:r>
          </w:p>
        </w:tc>
        <w:tc>
          <w:tcPr>
            <w:tcW w:w="810" w:type="dxa"/>
            <w:vMerge w:val="restart"/>
            <w:tcBorders>
              <w:top w:val="single" w:color="auto" w:sz="8" w:space="0"/>
              <w:left w:val="single" w:color="auto" w:sz="8" w:space="0"/>
              <w:bottom w:val="single" w:color="000000" w:sz="8" w:space="0"/>
              <w:right w:val="single" w:color="auto" w:sz="8" w:space="0"/>
            </w:tcBorders>
            <w:vAlign w:val="center"/>
          </w:tcPr>
          <w:p w14:paraId="3DDBC9F0">
            <w:pPr>
              <w:widowControl/>
              <w:jc w:val="center"/>
              <w:rPr>
                <w:rFonts w:hint="eastAsia" w:ascii="宋体" w:hAnsi="宋体" w:cs="宋体"/>
                <w:b/>
                <w:bCs/>
                <w:color w:val="000000"/>
                <w:kern w:val="0"/>
                <w:sz w:val="24"/>
              </w:rPr>
            </w:pPr>
            <w:r>
              <w:rPr>
                <w:rFonts w:hint="eastAsia" w:ascii="宋体" w:hAnsi="宋体" w:cs="宋体"/>
                <w:b/>
                <w:bCs/>
                <w:color w:val="000000"/>
                <w:kern w:val="0"/>
                <w:sz w:val="24"/>
              </w:rPr>
              <w:t>数量</w:t>
            </w:r>
          </w:p>
        </w:tc>
        <w:tc>
          <w:tcPr>
            <w:tcW w:w="780" w:type="dxa"/>
            <w:vMerge w:val="restart"/>
            <w:tcBorders>
              <w:top w:val="single" w:color="auto" w:sz="8" w:space="0"/>
              <w:left w:val="single" w:color="auto" w:sz="8" w:space="0"/>
              <w:bottom w:val="single" w:color="000000" w:sz="8" w:space="0"/>
              <w:right w:val="single" w:color="auto" w:sz="8" w:space="0"/>
            </w:tcBorders>
            <w:vAlign w:val="center"/>
          </w:tcPr>
          <w:p w14:paraId="33DED068">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单位</w:t>
            </w:r>
          </w:p>
        </w:tc>
      </w:tr>
      <w:tr w14:paraId="2FFCF3FE">
        <w:tblPrEx>
          <w:tblCellMar>
            <w:top w:w="0" w:type="dxa"/>
            <w:left w:w="108" w:type="dxa"/>
            <w:bottom w:w="0" w:type="dxa"/>
            <w:right w:w="108" w:type="dxa"/>
          </w:tblCellMar>
        </w:tblPrEx>
        <w:trPr>
          <w:trHeight w:val="454" w:hRule="atLeast"/>
        </w:trPr>
        <w:tc>
          <w:tcPr>
            <w:tcW w:w="699" w:type="dxa"/>
            <w:vMerge w:val="continue"/>
            <w:tcBorders>
              <w:top w:val="single" w:color="auto" w:sz="8" w:space="0"/>
              <w:left w:val="single" w:color="auto" w:sz="8" w:space="0"/>
              <w:bottom w:val="single" w:color="000000" w:sz="8" w:space="0"/>
              <w:right w:val="single" w:color="auto" w:sz="8" w:space="0"/>
            </w:tcBorders>
            <w:vAlign w:val="center"/>
          </w:tcPr>
          <w:p w14:paraId="1765BD93">
            <w:pPr>
              <w:widowControl/>
              <w:jc w:val="left"/>
              <w:rPr>
                <w:rFonts w:hint="eastAsia" w:ascii="宋体" w:hAnsi="宋体" w:cs="宋体"/>
                <w:b/>
                <w:bCs/>
                <w:color w:val="000000"/>
                <w:kern w:val="0"/>
                <w:sz w:val="24"/>
              </w:rPr>
            </w:pPr>
          </w:p>
        </w:tc>
        <w:tc>
          <w:tcPr>
            <w:tcW w:w="1134" w:type="dxa"/>
            <w:vMerge w:val="continue"/>
            <w:tcBorders>
              <w:top w:val="single" w:color="auto" w:sz="8" w:space="0"/>
              <w:left w:val="single" w:color="auto" w:sz="8" w:space="0"/>
              <w:bottom w:val="single" w:color="000000" w:sz="8" w:space="0"/>
              <w:right w:val="single" w:color="auto" w:sz="8" w:space="0"/>
            </w:tcBorders>
            <w:vAlign w:val="center"/>
          </w:tcPr>
          <w:p w14:paraId="35266288">
            <w:pPr>
              <w:widowControl/>
              <w:jc w:val="left"/>
              <w:rPr>
                <w:rFonts w:hint="eastAsia" w:ascii="宋体" w:hAnsi="宋体" w:cs="宋体"/>
                <w:b/>
                <w:bCs/>
                <w:color w:val="000000"/>
                <w:kern w:val="0"/>
                <w:sz w:val="24"/>
              </w:rPr>
            </w:pPr>
          </w:p>
        </w:tc>
        <w:tc>
          <w:tcPr>
            <w:tcW w:w="1276" w:type="dxa"/>
            <w:vMerge w:val="continue"/>
            <w:tcBorders>
              <w:top w:val="single" w:color="auto" w:sz="8" w:space="0"/>
              <w:left w:val="single" w:color="auto" w:sz="8" w:space="0"/>
              <w:bottom w:val="single" w:color="000000" w:sz="8" w:space="0"/>
              <w:right w:val="single" w:color="auto" w:sz="8" w:space="0"/>
            </w:tcBorders>
            <w:vAlign w:val="center"/>
          </w:tcPr>
          <w:p w14:paraId="1C9EC2BE">
            <w:pPr>
              <w:widowControl/>
              <w:jc w:val="left"/>
              <w:rPr>
                <w:rFonts w:hint="eastAsia" w:ascii="宋体" w:hAnsi="宋体" w:cs="宋体"/>
                <w:b/>
                <w:bCs/>
                <w:color w:val="000000"/>
                <w:kern w:val="0"/>
                <w:sz w:val="24"/>
              </w:rPr>
            </w:pPr>
          </w:p>
        </w:tc>
        <w:tc>
          <w:tcPr>
            <w:tcW w:w="4356" w:type="dxa"/>
            <w:vMerge w:val="continue"/>
            <w:tcBorders>
              <w:top w:val="single" w:color="auto" w:sz="8" w:space="0"/>
              <w:left w:val="single" w:color="auto" w:sz="8" w:space="0"/>
              <w:bottom w:val="single" w:color="000000" w:sz="8" w:space="0"/>
              <w:right w:val="single" w:color="auto" w:sz="8" w:space="0"/>
            </w:tcBorders>
            <w:vAlign w:val="center"/>
          </w:tcPr>
          <w:p w14:paraId="11A1A381">
            <w:pPr>
              <w:widowControl/>
              <w:jc w:val="left"/>
              <w:rPr>
                <w:rFonts w:hint="eastAsia" w:ascii="宋体" w:hAnsi="宋体" w:cs="宋体"/>
                <w:b/>
                <w:bCs/>
                <w:color w:val="000000"/>
                <w:kern w:val="0"/>
                <w:sz w:val="24"/>
              </w:rPr>
            </w:pPr>
          </w:p>
        </w:tc>
        <w:tc>
          <w:tcPr>
            <w:tcW w:w="810" w:type="dxa"/>
            <w:vMerge w:val="continue"/>
            <w:tcBorders>
              <w:top w:val="single" w:color="auto" w:sz="8" w:space="0"/>
              <w:left w:val="single" w:color="auto" w:sz="8" w:space="0"/>
              <w:bottom w:val="single" w:color="000000" w:sz="8" w:space="0"/>
              <w:right w:val="single" w:color="auto" w:sz="8" w:space="0"/>
            </w:tcBorders>
            <w:vAlign w:val="center"/>
          </w:tcPr>
          <w:p w14:paraId="010A5359">
            <w:pPr>
              <w:widowControl/>
              <w:jc w:val="left"/>
              <w:rPr>
                <w:rFonts w:hint="eastAsia" w:ascii="宋体" w:hAnsi="宋体" w:cs="宋体"/>
                <w:b/>
                <w:bCs/>
                <w:color w:val="000000"/>
                <w:kern w:val="0"/>
                <w:sz w:val="24"/>
              </w:rPr>
            </w:pPr>
          </w:p>
        </w:tc>
        <w:tc>
          <w:tcPr>
            <w:tcW w:w="780" w:type="dxa"/>
            <w:vMerge w:val="continue"/>
            <w:tcBorders>
              <w:top w:val="single" w:color="auto" w:sz="8" w:space="0"/>
              <w:left w:val="single" w:color="auto" w:sz="8" w:space="0"/>
              <w:bottom w:val="single" w:color="000000" w:sz="8" w:space="0"/>
              <w:right w:val="single" w:color="auto" w:sz="8" w:space="0"/>
            </w:tcBorders>
            <w:vAlign w:val="center"/>
          </w:tcPr>
          <w:p w14:paraId="042C3BC0">
            <w:pPr>
              <w:widowControl/>
              <w:jc w:val="left"/>
              <w:rPr>
                <w:rFonts w:hint="eastAsia" w:ascii="宋体" w:hAnsi="宋体" w:cs="宋体"/>
                <w:b/>
                <w:bCs/>
                <w:color w:val="000000"/>
                <w:kern w:val="0"/>
                <w:sz w:val="24"/>
              </w:rPr>
            </w:pPr>
          </w:p>
        </w:tc>
      </w:tr>
      <w:tr w14:paraId="2E4BF438">
        <w:trPr>
          <w:trHeight w:val="454" w:hRule="atLeast"/>
        </w:trPr>
        <w:tc>
          <w:tcPr>
            <w:tcW w:w="699" w:type="dxa"/>
            <w:tcBorders>
              <w:top w:val="nil"/>
              <w:left w:val="single" w:color="auto" w:sz="8" w:space="0"/>
              <w:bottom w:val="single" w:color="auto" w:sz="8" w:space="0"/>
              <w:right w:val="single" w:color="auto" w:sz="8" w:space="0"/>
            </w:tcBorders>
            <w:vAlign w:val="center"/>
          </w:tcPr>
          <w:p w14:paraId="162921F0">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1134" w:type="dxa"/>
            <w:vMerge w:val="restart"/>
            <w:tcBorders>
              <w:top w:val="nil"/>
              <w:left w:val="single" w:color="auto" w:sz="8" w:space="0"/>
              <w:bottom w:val="single" w:color="000000" w:sz="8" w:space="0"/>
              <w:right w:val="single" w:color="auto" w:sz="8" w:space="0"/>
            </w:tcBorders>
            <w:vAlign w:val="center"/>
          </w:tcPr>
          <w:p w14:paraId="4307B364">
            <w:pPr>
              <w:widowControl/>
              <w:jc w:val="center"/>
              <w:rPr>
                <w:rFonts w:hint="eastAsia" w:ascii="宋体" w:hAnsi="宋体" w:cs="宋体"/>
                <w:color w:val="000000"/>
                <w:kern w:val="0"/>
                <w:sz w:val="24"/>
              </w:rPr>
            </w:pPr>
            <w:r>
              <w:rPr>
                <w:rFonts w:hint="eastAsia" w:ascii="宋体" w:hAnsi="宋体" w:cs="宋体"/>
                <w:color w:val="000000"/>
                <w:kern w:val="0"/>
                <w:sz w:val="24"/>
              </w:rPr>
              <w:t>机房硬件设备维护内容</w:t>
            </w:r>
          </w:p>
        </w:tc>
        <w:tc>
          <w:tcPr>
            <w:tcW w:w="1276" w:type="dxa"/>
            <w:tcBorders>
              <w:top w:val="nil"/>
              <w:left w:val="nil"/>
              <w:bottom w:val="single" w:color="auto" w:sz="8" w:space="0"/>
              <w:right w:val="single" w:color="auto" w:sz="8" w:space="0"/>
            </w:tcBorders>
            <w:vAlign w:val="center"/>
          </w:tcPr>
          <w:p w14:paraId="1979D231">
            <w:pPr>
              <w:widowControl/>
              <w:jc w:val="center"/>
              <w:rPr>
                <w:rFonts w:hint="eastAsia" w:ascii="宋体" w:hAnsi="宋体" w:cs="宋体"/>
                <w:color w:val="000000"/>
                <w:kern w:val="0"/>
                <w:sz w:val="24"/>
              </w:rPr>
            </w:pPr>
            <w:r>
              <w:rPr>
                <w:rFonts w:hint="eastAsia" w:ascii="宋体" w:hAnsi="宋体" w:cs="宋体"/>
                <w:color w:val="000000"/>
                <w:kern w:val="0"/>
                <w:sz w:val="24"/>
              </w:rPr>
              <w:t>服务器</w:t>
            </w:r>
          </w:p>
        </w:tc>
        <w:tc>
          <w:tcPr>
            <w:tcW w:w="4356" w:type="dxa"/>
            <w:tcBorders>
              <w:top w:val="nil"/>
              <w:left w:val="nil"/>
              <w:bottom w:val="single" w:color="auto" w:sz="8" w:space="0"/>
              <w:right w:val="single" w:color="auto" w:sz="8" w:space="0"/>
            </w:tcBorders>
            <w:vAlign w:val="center"/>
          </w:tcPr>
          <w:p w14:paraId="71816F46">
            <w:pPr>
              <w:widowControl/>
              <w:jc w:val="left"/>
              <w:rPr>
                <w:rFonts w:hint="eastAsia" w:ascii="宋体" w:hAnsi="宋体" w:cs="宋体"/>
                <w:color w:val="000000"/>
                <w:kern w:val="0"/>
                <w:sz w:val="24"/>
              </w:rPr>
            </w:pPr>
            <w:r>
              <w:rPr>
                <w:rFonts w:hint="eastAsia" w:ascii="宋体" w:hAnsi="宋体" w:cs="宋体"/>
                <w:color w:val="000000"/>
                <w:kern w:val="0"/>
                <w:sz w:val="24"/>
              </w:rPr>
              <w:t>清洁保养，清除机箱、滤清器内的灰尘与异物;系统优化，协助客户进行系统性能调整和系统优化，提高系统效率。</w:t>
            </w:r>
          </w:p>
        </w:tc>
        <w:tc>
          <w:tcPr>
            <w:tcW w:w="810" w:type="dxa"/>
            <w:tcBorders>
              <w:top w:val="nil"/>
              <w:left w:val="nil"/>
              <w:bottom w:val="single" w:color="auto" w:sz="8" w:space="0"/>
              <w:right w:val="single" w:color="auto" w:sz="8" w:space="0"/>
            </w:tcBorders>
            <w:vAlign w:val="center"/>
          </w:tcPr>
          <w:p w14:paraId="0D96C998">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80" w:type="dxa"/>
            <w:tcBorders>
              <w:top w:val="nil"/>
              <w:left w:val="nil"/>
              <w:bottom w:val="single" w:color="auto" w:sz="8" w:space="0"/>
              <w:right w:val="single" w:color="auto" w:sz="8" w:space="0"/>
            </w:tcBorders>
            <w:vAlign w:val="center"/>
          </w:tcPr>
          <w:p w14:paraId="6CC074C1">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4CC034E3">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32E4D599">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1134" w:type="dxa"/>
            <w:vMerge w:val="continue"/>
            <w:tcBorders>
              <w:top w:val="nil"/>
              <w:left w:val="single" w:color="auto" w:sz="8" w:space="0"/>
              <w:bottom w:val="single" w:color="000000" w:sz="8" w:space="0"/>
              <w:right w:val="single" w:color="auto" w:sz="8" w:space="0"/>
            </w:tcBorders>
            <w:vAlign w:val="center"/>
          </w:tcPr>
          <w:p w14:paraId="0FE30C7A">
            <w:pPr>
              <w:widowControl/>
              <w:jc w:val="left"/>
              <w:rPr>
                <w:rFonts w:hint="eastAsia" w:ascii="宋体" w:hAnsi="宋体" w:cs="宋体"/>
                <w:color w:val="000000"/>
                <w:kern w:val="0"/>
                <w:sz w:val="24"/>
              </w:rPr>
            </w:pPr>
          </w:p>
        </w:tc>
        <w:tc>
          <w:tcPr>
            <w:tcW w:w="1276" w:type="dxa"/>
            <w:vMerge w:val="restart"/>
            <w:tcBorders>
              <w:top w:val="nil"/>
              <w:left w:val="single" w:color="auto" w:sz="8" w:space="0"/>
              <w:bottom w:val="single" w:color="000000" w:sz="8" w:space="0"/>
              <w:right w:val="single" w:color="auto" w:sz="8" w:space="0"/>
            </w:tcBorders>
            <w:vAlign w:val="center"/>
          </w:tcPr>
          <w:p w14:paraId="14625926">
            <w:pPr>
              <w:widowControl/>
              <w:jc w:val="center"/>
              <w:rPr>
                <w:rFonts w:hint="eastAsia" w:ascii="宋体" w:hAnsi="宋体" w:cs="宋体"/>
                <w:color w:val="000000"/>
                <w:kern w:val="0"/>
                <w:sz w:val="24"/>
              </w:rPr>
            </w:pPr>
            <w:r>
              <w:rPr>
                <w:rFonts w:hint="eastAsia" w:ascii="宋体" w:hAnsi="宋体" w:cs="宋体"/>
                <w:color w:val="000000"/>
                <w:kern w:val="0"/>
                <w:sz w:val="24"/>
              </w:rPr>
              <w:t>磁盘存储</w:t>
            </w:r>
          </w:p>
        </w:tc>
        <w:tc>
          <w:tcPr>
            <w:tcW w:w="4356" w:type="dxa"/>
            <w:tcBorders>
              <w:top w:val="nil"/>
              <w:left w:val="nil"/>
              <w:bottom w:val="single" w:color="auto" w:sz="8" w:space="0"/>
              <w:right w:val="single" w:color="auto" w:sz="8" w:space="0"/>
            </w:tcBorders>
            <w:vAlign w:val="center"/>
          </w:tcPr>
          <w:p w14:paraId="1C02BC75">
            <w:pPr>
              <w:widowControl/>
              <w:jc w:val="left"/>
              <w:rPr>
                <w:rFonts w:hint="eastAsia" w:ascii="宋体" w:hAnsi="宋体" w:cs="宋体"/>
                <w:color w:val="000000"/>
                <w:kern w:val="0"/>
                <w:sz w:val="24"/>
              </w:rPr>
            </w:pPr>
            <w:r>
              <w:rPr>
                <w:rFonts w:hint="eastAsia" w:ascii="宋体" w:hAnsi="宋体" w:cs="宋体"/>
                <w:color w:val="000000"/>
                <w:kern w:val="0"/>
                <w:sz w:val="24"/>
              </w:rPr>
              <w:t>清洁保养，清除机箱、滤清器内的灰尘与异物;</w:t>
            </w:r>
          </w:p>
        </w:tc>
        <w:tc>
          <w:tcPr>
            <w:tcW w:w="810" w:type="dxa"/>
            <w:tcBorders>
              <w:top w:val="nil"/>
              <w:left w:val="nil"/>
              <w:bottom w:val="single" w:color="auto" w:sz="8" w:space="0"/>
              <w:right w:val="single" w:color="auto" w:sz="8" w:space="0"/>
            </w:tcBorders>
            <w:vAlign w:val="center"/>
          </w:tcPr>
          <w:p w14:paraId="30048A14">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80" w:type="dxa"/>
            <w:tcBorders>
              <w:top w:val="nil"/>
              <w:left w:val="nil"/>
              <w:bottom w:val="single" w:color="auto" w:sz="8" w:space="0"/>
              <w:right w:val="single" w:color="auto" w:sz="8" w:space="0"/>
            </w:tcBorders>
            <w:vAlign w:val="center"/>
          </w:tcPr>
          <w:p w14:paraId="3931F63C">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74251F8B">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04B9C12F">
            <w:pPr>
              <w:widowControl/>
              <w:jc w:val="center"/>
              <w:rPr>
                <w:rFonts w:hint="eastAsia" w:ascii="宋体" w:hAnsi="宋体" w:cs="宋体"/>
                <w:color w:val="000000"/>
                <w:kern w:val="0"/>
                <w:sz w:val="24"/>
              </w:rPr>
            </w:pPr>
            <w:r>
              <w:rPr>
                <w:rFonts w:hint="eastAsia" w:ascii="宋体" w:hAnsi="宋体" w:cs="宋体"/>
                <w:color w:val="000000"/>
                <w:kern w:val="0"/>
                <w:sz w:val="24"/>
              </w:rPr>
              <w:t>3</w:t>
            </w:r>
          </w:p>
        </w:tc>
        <w:tc>
          <w:tcPr>
            <w:tcW w:w="1134" w:type="dxa"/>
            <w:vMerge w:val="continue"/>
            <w:tcBorders>
              <w:top w:val="nil"/>
              <w:left w:val="single" w:color="auto" w:sz="8" w:space="0"/>
              <w:bottom w:val="single" w:color="000000" w:sz="8" w:space="0"/>
              <w:right w:val="single" w:color="auto" w:sz="8" w:space="0"/>
            </w:tcBorders>
            <w:vAlign w:val="center"/>
          </w:tcPr>
          <w:p w14:paraId="6534DDF2">
            <w:pPr>
              <w:widowControl/>
              <w:jc w:val="left"/>
              <w:rPr>
                <w:rFonts w:hint="eastAsia" w:ascii="宋体" w:hAnsi="宋体" w:cs="宋体"/>
                <w:color w:val="000000"/>
                <w:kern w:val="0"/>
                <w:sz w:val="24"/>
              </w:rPr>
            </w:pPr>
          </w:p>
        </w:tc>
        <w:tc>
          <w:tcPr>
            <w:tcW w:w="1276" w:type="dxa"/>
            <w:vMerge w:val="continue"/>
            <w:tcBorders>
              <w:top w:val="nil"/>
              <w:left w:val="single" w:color="auto" w:sz="8" w:space="0"/>
              <w:bottom w:val="single" w:color="000000" w:sz="8" w:space="0"/>
              <w:right w:val="single" w:color="auto" w:sz="8" w:space="0"/>
            </w:tcBorders>
            <w:vAlign w:val="center"/>
          </w:tcPr>
          <w:p w14:paraId="38337DC2">
            <w:pPr>
              <w:widowControl/>
              <w:jc w:val="left"/>
              <w:rPr>
                <w:rFonts w:hint="eastAsia" w:ascii="宋体" w:hAnsi="宋体" w:cs="宋体"/>
                <w:color w:val="000000"/>
                <w:kern w:val="0"/>
                <w:sz w:val="24"/>
              </w:rPr>
            </w:pPr>
          </w:p>
        </w:tc>
        <w:tc>
          <w:tcPr>
            <w:tcW w:w="4356" w:type="dxa"/>
            <w:tcBorders>
              <w:top w:val="nil"/>
              <w:left w:val="nil"/>
              <w:bottom w:val="single" w:color="auto" w:sz="8" w:space="0"/>
              <w:right w:val="single" w:color="auto" w:sz="8" w:space="0"/>
            </w:tcBorders>
            <w:vAlign w:val="center"/>
          </w:tcPr>
          <w:p w14:paraId="2A6C4415">
            <w:pPr>
              <w:widowControl/>
              <w:jc w:val="left"/>
              <w:rPr>
                <w:rFonts w:hint="eastAsia" w:ascii="宋体" w:hAnsi="宋体" w:cs="宋体"/>
                <w:color w:val="000000"/>
                <w:kern w:val="0"/>
                <w:sz w:val="24"/>
              </w:rPr>
            </w:pPr>
            <w:r>
              <w:rPr>
                <w:rFonts w:hint="eastAsia" w:ascii="宋体" w:hAnsi="宋体" w:cs="宋体"/>
                <w:color w:val="000000"/>
                <w:kern w:val="0"/>
                <w:sz w:val="24"/>
              </w:rPr>
              <w:t>系统优化，协助客户对 OS 进行系统性能调整和系统优化，提高系统效率"</w:t>
            </w:r>
          </w:p>
        </w:tc>
        <w:tc>
          <w:tcPr>
            <w:tcW w:w="810" w:type="dxa"/>
            <w:tcBorders>
              <w:top w:val="nil"/>
              <w:left w:val="nil"/>
              <w:bottom w:val="single" w:color="auto" w:sz="8" w:space="0"/>
              <w:right w:val="single" w:color="auto" w:sz="8" w:space="0"/>
            </w:tcBorders>
            <w:vAlign w:val="center"/>
          </w:tcPr>
          <w:p w14:paraId="167CB3D8">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80" w:type="dxa"/>
            <w:tcBorders>
              <w:top w:val="nil"/>
              <w:left w:val="nil"/>
              <w:bottom w:val="single" w:color="auto" w:sz="8" w:space="0"/>
              <w:right w:val="single" w:color="auto" w:sz="8" w:space="0"/>
            </w:tcBorders>
            <w:vAlign w:val="center"/>
          </w:tcPr>
          <w:p w14:paraId="490C339E">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376A778E">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4F380DF5">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1134" w:type="dxa"/>
            <w:vMerge w:val="continue"/>
            <w:tcBorders>
              <w:top w:val="nil"/>
              <w:left w:val="single" w:color="auto" w:sz="8" w:space="0"/>
              <w:bottom w:val="single" w:color="000000" w:sz="8" w:space="0"/>
              <w:right w:val="single" w:color="auto" w:sz="8" w:space="0"/>
            </w:tcBorders>
            <w:vAlign w:val="center"/>
          </w:tcPr>
          <w:p w14:paraId="347C5096">
            <w:pPr>
              <w:widowControl/>
              <w:jc w:val="left"/>
              <w:rPr>
                <w:rFonts w:hint="eastAsia" w:ascii="宋体" w:hAnsi="宋体" w:cs="宋体"/>
                <w:color w:val="000000"/>
                <w:kern w:val="0"/>
                <w:sz w:val="24"/>
              </w:rPr>
            </w:pPr>
          </w:p>
        </w:tc>
        <w:tc>
          <w:tcPr>
            <w:tcW w:w="1276" w:type="dxa"/>
            <w:tcBorders>
              <w:top w:val="nil"/>
              <w:left w:val="nil"/>
              <w:bottom w:val="single" w:color="auto" w:sz="8" w:space="0"/>
              <w:right w:val="single" w:color="auto" w:sz="8" w:space="0"/>
            </w:tcBorders>
            <w:vAlign w:val="center"/>
          </w:tcPr>
          <w:p w14:paraId="202C6981">
            <w:pPr>
              <w:widowControl/>
              <w:jc w:val="center"/>
              <w:rPr>
                <w:rFonts w:hint="eastAsia" w:ascii="宋体" w:hAnsi="宋体" w:cs="宋体"/>
                <w:color w:val="000000"/>
                <w:kern w:val="0"/>
                <w:sz w:val="24"/>
              </w:rPr>
            </w:pPr>
            <w:r>
              <w:rPr>
                <w:rFonts w:hint="eastAsia" w:ascii="宋体" w:hAnsi="宋体" w:cs="宋体"/>
                <w:color w:val="000000"/>
                <w:kern w:val="0"/>
                <w:sz w:val="24"/>
              </w:rPr>
              <w:t>ATS配电柜</w:t>
            </w:r>
          </w:p>
        </w:tc>
        <w:tc>
          <w:tcPr>
            <w:tcW w:w="4356" w:type="dxa"/>
            <w:tcBorders>
              <w:top w:val="nil"/>
              <w:left w:val="nil"/>
              <w:bottom w:val="single" w:color="auto" w:sz="8" w:space="0"/>
              <w:right w:val="single" w:color="auto" w:sz="8" w:space="0"/>
            </w:tcBorders>
            <w:vAlign w:val="center"/>
          </w:tcPr>
          <w:p w14:paraId="62D839A0">
            <w:pPr>
              <w:widowControl/>
              <w:jc w:val="left"/>
              <w:rPr>
                <w:rFonts w:hint="eastAsia" w:ascii="宋体" w:hAnsi="宋体" w:cs="宋体"/>
                <w:color w:val="000000"/>
                <w:kern w:val="0"/>
                <w:sz w:val="24"/>
              </w:rPr>
            </w:pPr>
            <w:r>
              <w:rPr>
                <w:rFonts w:hint="eastAsia" w:ascii="宋体" w:hAnsi="宋体" w:cs="宋体"/>
                <w:color w:val="000000"/>
                <w:kern w:val="0"/>
                <w:sz w:val="24"/>
              </w:rPr>
              <w:t>检测整个系统的运行参数，确保设备正常运行。</w:t>
            </w:r>
          </w:p>
        </w:tc>
        <w:tc>
          <w:tcPr>
            <w:tcW w:w="810" w:type="dxa"/>
            <w:tcBorders>
              <w:top w:val="nil"/>
              <w:left w:val="nil"/>
              <w:bottom w:val="single" w:color="auto" w:sz="8" w:space="0"/>
              <w:right w:val="single" w:color="auto" w:sz="8" w:space="0"/>
            </w:tcBorders>
            <w:vAlign w:val="center"/>
          </w:tcPr>
          <w:p w14:paraId="1C279F12">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80" w:type="dxa"/>
            <w:tcBorders>
              <w:top w:val="nil"/>
              <w:left w:val="nil"/>
              <w:bottom w:val="single" w:color="auto" w:sz="8" w:space="0"/>
              <w:right w:val="single" w:color="auto" w:sz="8" w:space="0"/>
            </w:tcBorders>
            <w:vAlign w:val="center"/>
          </w:tcPr>
          <w:p w14:paraId="370E3741">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53E47D87">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0A794C3E">
            <w:pPr>
              <w:widowControl/>
              <w:jc w:val="center"/>
              <w:rPr>
                <w:rFonts w:hint="eastAsia" w:ascii="宋体" w:hAnsi="宋体" w:cs="宋体"/>
                <w:color w:val="000000"/>
                <w:kern w:val="0"/>
                <w:sz w:val="24"/>
              </w:rPr>
            </w:pPr>
            <w:r>
              <w:rPr>
                <w:rFonts w:hint="eastAsia" w:ascii="宋体" w:hAnsi="宋体" w:cs="宋体"/>
                <w:color w:val="000000"/>
                <w:kern w:val="0"/>
                <w:sz w:val="24"/>
              </w:rPr>
              <w:t>5</w:t>
            </w:r>
          </w:p>
        </w:tc>
        <w:tc>
          <w:tcPr>
            <w:tcW w:w="1134" w:type="dxa"/>
            <w:vMerge w:val="continue"/>
            <w:tcBorders>
              <w:top w:val="nil"/>
              <w:left w:val="single" w:color="auto" w:sz="8" w:space="0"/>
              <w:bottom w:val="single" w:color="000000" w:sz="8" w:space="0"/>
              <w:right w:val="single" w:color="auto" w:sz="8" w:space="0"/>
            </w:tcBorders>
            <w:vAlign w:val="center"/>
          </w:tcPr>
          <w:p w14:paraId="6A6EAF34">
            <w:pPr>
              <w:widowControl/>
              <w:jc w:val="left"/>
              <w:rPr>
                <w:rFonts w:hint="eastAsia" w:ascii="宋体" w:hAnsi="宋体" w:cs="宋体"/>
                <w:color w:val="000000"/>
                <w:kern w:val="0"/>
                <w:sz w:val="24"/>
              </w:rPr>
            </w:pPr>
          </w:p>
        </w:tc>
        <w:tc>
          <w:tcPr>
            <w:tcW w:w="1276" w:type="dxa"/>
            <w:vMerge w:val="restart"/>
            <w:tcBorders>
              <w:top w:val="nil"/>
              <w:left w:val="single" w:color="auto" w:sz="8" w:space="0"/>
              <w:bottom w:val="single" w:color="000000" w:sz="8" w:space="0"/>
              <w:right w:val="single" w:color="auto" w:sz="8" w:space="0"/>
            </w:tcBorders>
            <w:vAlign w:val="center"/>
          </w:tcPr>
          <w:p w14:paraId="33443F13">
            <w:pPr>
              <w:widowControl/>
              <w:jc w:val="center"/>
              <w:rPr>
                <w:rFonts w:hint="eastAsia" w:ascii="宋体" w:hAnsi="宋体" w:cs="宋体"/>
                <w:color w:val="000000"/>
                <w:kern w:val="0"/>
                <w:sz w:val="24"/>
              </w:rPr>
            </w:pPr>
            <w:r>
              <w:rPr>
                <w:rFonts w:hint="eastAsia" w:ascii="宋体" w:hAnsi="宋体" w:cs="宋体"/>
                <w:color w:val="000000"/>
                <w:kern w:val="0"/>
                <w:sz w:val="24"/>
              </w:rPr>
              <w:t>UPS配电柜、UPS电池柜、UPS电池</w:t>
            </w:r>
          </w:p>
        </w:tc>
        <w:tc>
          <w:tcPr>
            <w:tcW w:w="4356" w:type="dxa"/>
            <w:tcBorders>
              <w:top w:val="nil"/>
              <w:left w:val="nil"/>
              <w:bottom w:val="single" w:color="auto" w:sz="8" w:space="0"/>
              <w:right w:val="single" w:color="auto" w:sz="8" w:space="0"/>
            </w:tcBorders>
            <w:vAlign w:val="center"/>
          </w:tcPr>
          <w:p w14:paraId="5C3485EE">
            <w:pPr>
              <w:widowControl/>
              <w:jc w:val="left"/>
              <w:rPr>
                <w:rFonts w:hint="eastAsia" w:ascii="宋体" w:hAnsi="宋体" w:cs="宋体"/>
                <w:color w:val="000000"/>
                <w:kern w:val="0"/>
                <w:sz w:val="24"/>
              </w:rPr>
            </w:pPr>
            <w:r>
              <w:rPr>
                <w:rFonts w:hint="eastAsia" w:ascii="宋体" w:hAnsi="宋体" w:cs="宋体"/>
                <w:color w:val="000000"/>
                <w:kern w:val="0"/>
                <w:sz w:val="24"/>
              </w:rPr>
              <w:t>机组及电池柜进行内外部的彻底清扫。检测电池组/柜的完整性。测量设备的输入、输出电压及电流。</w:t>
            </w:r>
          </w:p>
        </w:tc>
        <w:tc>
          <w:tcPr>
            <w:tcW w:w="810" w:type="dxa"/>
            <w:tcBorders>
              <w:top w:val="nil"/>
              <w:left w:val="nil"/>
              <w:bottom w:val="single" w:color="auto" w:sz="8" w:space="0"/>
              <w:right w:val="single" w:color="auto" w:sz="8" w:space="0"/>
            </w:tcBorders>
            <w:vAlign w:val="center"/>
          </w:tcPr>
          <w:p w14:paraId="6602E6FB">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80" w:type="dxa"/>
            <w:tcBorders>
              <w:top w:val="nil"/>
              <w:left w:val="nil"/>
              <w:bottom w:val="single" w:color="auto" w:sz="8" w:space="0"/>
              <w:right w:val="single" w:color="auto" w:sz="8" w:space="0"/>
            </w:tcBorders>
            <w:vAlign w:val="center"/>
          </w:tcPr>
          <w:p w14:paraId="18641E20">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0A768AD8">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7FB07DF4">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1134" w:type="dxa"/>
            <w:vMerge w:val="continue"/>
            <w:tcBorders>
              <w:top w:val="nil"/>
              <w:left w:val="single" w:color="auto" w:sz="8" w:space="0"/>
              <w:bottom w:val="single" w:color="000000" w:sz="8" w:space="0"/>
              <w:right w:val="single" w:color="auto" w:sz="8" w:space="0"/>
            </w:tcBorders>
            <w:vAlign w:val="center"/>
          </w:tcPr>
          <w:p w14:paraId="30DCF8A5">
            <w:pPr>
              <w:widowControl/>
              <w:jc w:val="left"/>
              <w:rPr>
                <w:rFonts w:hint="eastAsia" w:ascii="宋体" w:hAnsi="宋体" w:cs="宋体"/>
                <w:color w:val="000000"/>
                <w:kern w:val="0"/>
                <w:sz w:val="24"/>
              </w:rPr>
            </w:pPr>
          </w:p>
        </w:tc>
        <w:tc>
          <w:tcPr>
            <w:tcW w:w="1276" w:type="dxa"/>
            <w:vMerge w:val="continue"/>
            <w:tcBorders>
              <w:top w:val="nil"/>
              <w:left w:val="single" w:color="auto" w:sz="8" w:space="0"/>
              <w:bottom w:val="single" w:color="000000" w:sz="8" w:space="0"/>
              <w:right w:val="single" w:color="auto" w:sz="8" w:space="0"/>
            </w:tcBorders>
            <w:vAlign w:val="center"/>
          </w:tcPr>
          <w:p w14:paraId="283BA749">
            <w:pPr>
              <w:widowControl/>
              <w:jc w:val="left"/>
              <w:rPr>
                <w:rFonts w:hint="eastAsia" w:ascii="宋体" w:hAnsi="宋体" w:cs="宋体"/>
                <w:color w:val="000000"/>
                <w:kern w:val="0"/>
                <w:sz w:val="24"/>
              </w:rPr>
            </w:pPr>
          </w:p>
        </w:tc>
        <w:tc>
          <w:tcPr>
            <w:tcW w:w="4356" w:type="dxa"/>
            <w:tcBorders>
              <w:top w:val="nil"/>
              <w:left w:val="nil"/>
              <w:bottom w:val="single" w:color="auto" w:sz="8" w:space="0"/>
              <w:right w:val="single" w:color="auto" w:sz="8" w:space="0"/>
            </w:tcBorders>
            <w:vAlign w:val="center"/>
          </w:tcPr>
          <w:p w14:paraId="138D7117">
            <w:pPr>
              <w:widowControl/>
              <w:jc w:val="left"/>
              <w:rPr>
                <w:rFonts w:hint="eastAsia" w:ascii="宋体" w:hAnsi="宋体" w:cs="宋体"/>
                <w:color w:val="000000"/>
                <w:kern w:val="0"/>
                <w:sz w:val="24"/>
              </w:rPr>
            </w:pPr>
            <w:r>
              <w:rPr>
                <w:rFonts w:hint="eastAsia" w:ascii="宋体" w:hAnsi="宋体" w:cs="宋体"/>
                <w:color w:val="000000"/>
                <w:kern w:val="0"/>
                <w:sz w:val="24"/>
              </w:rPr>
              <w:t>对块电池进行充放电测试，根据UPS开始放电时间与UPS电池低压保护关机时间，算出电池的供电时间，查看是否满足时间的配置需求。出具检测报告。</w:t>
            </w:r>
          </w:p>
        </w:tc>
        <w:tc>
          <w:tcPr>
            <w:tcW w:w="810" w:type="dxa"/>
            <w:tcBorders>
              <w:top w:val="nil"/>
              <w:left w:val="nil"/>
              <w:bottom w:val="single" w:color="auto" w:sz="8" w:space="0"/>
              <w:right w:val="single" w:color="auto" w:sz="8" w:space="0"/>
            </w:tcBorders>
            <w:vAlign w:val="center"/>
          </w:tcPr>
          <w:p w14:paraId="34384377">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80" w:type="dxa"/>
            <w:tcBorders>
              <w:top w:val="nil"/>
              <w:left w:val="nil"/>
              <w:bottom w:val="single" w:color="auto" w:sz="8" w:space="0"/>
              <w:right w:val="single" w:color="auto" w:sz="8" w:space="0"/>
            </w:tcBorders>
            <w:vAlign w:val="center"/>
          </w:tcPr>
          <w:p w14:paraId="6D810A57">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53F09F66">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00B92EDB">
            <w:pPr>
              <w:widowControl/>
              <w:jc w:val="center"/>
              <w:rPr>
                <w:rFonts w:hint="eastAsia" w:ascii="宋体" w:hAnsi="宋体" w:cs="宋体"/>
                <w:color w:val="000000"/>
                <w:kern w:val="0"/>
                <w:sz w:val="24"/>
              </w:rPr>
            </w:pPr>
            <w:r>
              <w:rPr>
                <w:rFonts w:hint="eastAsia" w:ascii="宋体" w:hAnsi="宋体" w:cs="宋体"/>
                <w:color w:val="000000"/>
                <w:kern w:val="0"/>
                <w:sz w:val="24"/>
              </w:rPr>
              <w:t>7</w:t>
            </w:r>
          </w:p>
        </w:tc>
        <w:tc>
          <w:tcPr>
            <w:tcW w:w="1134" w:type="dxa"/>
            <w:vMerge w:val="continue"/>
            <w:tcBorders>
              <w:top w:val="nil"/>
              <w:left w:val="single" w:color="auto" w:sz="8" w:space="0"/>
              <w:bottom w:val="single" w:color="000000" w:sz="8" w:space="0"/>
              <w:right w:val="single" w:color="auto" w:sz="8" w:space="0"/>
            </w:tcBorders>
            <w:vAlign w:val="center"/>
          </w:tcPr>
          <w:p w14:paraId="5B472561">
            <w:pPr>
              <w:widowControl/>
              <w:jc w:val="left"/>
              <w:rPr>
                <w:rFonts w:hint="eastAsia" w:ascii="宋体" w:hAnsi="宋体" w:cs="宋体"/>
                <w:color w:val="000000"/>
                <w:kern w:val="0"/>
                <w:sz w:val="24"/>
              </w:rPr>
            </w:pPr>
          </w:p>
        </w:tc>
        <w:tc>
          <w:tcPr>
            <w:tcW w:w="1276" w:type="dxa"/>
            <w:tcBorders>
              <w:top w:val="nil"/>
              <w:left w:val="nil"/>
              <w:bottom w:val="single" w:color="auto" w:sz="8" w:space="0"/>
              <w:right w:val="single" w:color="auto" w:sz="8" w:space="0"/>
            </w:tcBorders>
            <w:vAlign w:val="center"/>
          </w:tcPr>
          <w:p w14:paraId="5371DF51">
            <w:pPr>
              <w:widowControl/>
              <w:jc w:val="center"/>
              <w:rPr>
                <w:rFonts w:hint="eastAsia" w:ascii="宋体" w:hAnsi="宋体" w:cs="宋体"/>
                <w:color w:val="000000"/>
                <w:kern w:val="0"/>
                <w:sz w:val="24"/>
              </w:rPr>
            </w:pPr>
            <w:r>
              <w:rPr>
                <w:rFonts w:hint="eastAsia" w:ascii="宋体" w:hAnsi="宋体" w:cs="宋体"/>
                <w:color w:val="000000"/>
                <w:kern w:val="0"/>
                <w:sz w:val="24"/>
              </w:rPr>
              <w:t>精密空调</w:t>
            </w:r>
          </w:p>
        </w:tc>
        <w:tc>
          <w:tcPr>
            <w:tcW w:w="4356" w:type="dxa"/>
            <w:tcBorders>
              <w:top w:val="nil"/>
              <w:left w:val="nil"/>
              <w:bottom w:val="single" w:color="auto" w:sz="8" w:space="0"/>
              <w:right w:val="single" w:color="auto" w:sz="8" w:space="0"/>
            </w:tcBorders>
            <w:vAlign w:val="center"/>
          </w:tcPr>
          <w:p w14:paraId="52910D00">
            <w:pPr>
              <w:widowControl/>
              <w:jc w:val="left"/>
              <w:rPr>
                <w:rFonts w:hint="eastAsia" w:ascii="宋体" w:hAnsi="宋体" w:cs="宋体"/>
                <w:color w:val="000000"/>
                <w:kern w:val="0"/>
                <w:sz w:val="24"/>
              </w:rPr>
            </w:pPr>
            <w:r>
              <w:rPr>
                <w:rFonts w:hint="eastAsia" w:ascii="宋体" w:hAnsi="宋体" w:cs="宋体"/>
                <w:color w:val="000000"/>
                <w:kern w:val="0"/>
                <w:sz w:val="24"/>
              </w:rPr>
              <w:t>空调控制系统的显示屏上检查空调系统的各项功能及参数是否正常:对压缩机和加湿器等部件进行检测维护。对室外室内机进行清洗，维护，进出水管道检查清洁。</w:t>
            </w:r>
          </w:p>
        </w:tc>
        <w:tc>
          <w:tcPr>
            <w:tcW w:w="810" w:type="dxa"/>
            <w:tcBorders>
              <w:top w:val="nil"/>
              <w:left w:val="nil"/>
              <w:bottom w:val="single" w:color="auto" w:sz="8" w:space="0"/>
              <w:right w:val="single" w:color="auto" w:sz="8" w:space="0"/>
            </w:tcBorders>
            <w:vAlign w:val="center"/>
          </w:tcPr>
          <w:p w14:paraId="21ACAC64">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80" w:type="dxa"/>
            <w:tcBorders>
              <w:top w:val="nil"/>
              <w:left w:val="nil"/>
              <w:bottom w:val="single" w:color="auto" w:sz="8" w:space="0"/>
              <w:right w:val="single" w:color="auto" w:sz="8" w:space="0"/>
            </w:tcBorders>
            <w:vAlign w:val="center"/>
          </w:tcPr>
          <w:p w14:paraId="785E47AD">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1FFF8E15">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511FE718">
            <w:pPr>
              <w:widowControl/>
              <w:jc w:val="center"/>
              <w:rPr>
                <w:rFonts w:hint="eastAsia" w:ascii="宋体" w:hAnsi="宋体" w:cs="宋体"/>
                <w:color w:val="000000"/>
                <w:kern w:val="0"/>
                <w:sz w:val="24"/>
              </w:rPr>
            </w:pPr>
            <w:r>
              <w:rPr>
                <w:rFonts w:hint="eastAsia" w:ascii="宋体" w:hAnsi="宋体" w:cs="宋体"/>
                <w:color w:val="000000"/>
                <w:kern w:val="0"/>
                <w:sz w:val="24"/>
              </w:rPr>
              <w:t>8</w:t>
            </w:r>
          </w:p>
        </w:tc>
        <w:tc>
          <w:tcPr>
            <w:tcW w:w="1134" w:type="dxa"/>
            <w:vMerge w:val="continue"/>
            <w:tcBorders>
              <w:top w:val="nil"/>
              <w:left w:val="single" w:color="auto" w:sz="8" w:space="0"/>
              <w:bottom w:val="single" w:color="000000" w:sz="8" w:space="0"/>
              <w:right w:val="single" w:color="auto" w:sz="8" w:space="0"/>
            </w:tcBorders>
            <w:vAlign w:val="center"/>
          </w:tcPr>
          <w:p w14:paraId="4FF151CB">
            <w:pPr>
              <w:widowControl/>
              <w:jc w:val="left"/>
              <w:rPr>
                <w:rFonts w:hint="eastAsia" w:ascii="宋体" w:hAnsi="宋体" w:cs="宋体"/>
                <w:color w:val="000000"/>
                <w:kern w:val="0"/>
                <w:sz w:val="24"/>
              </w:rPr>
            </w:pPr>
          </w:p>
        </w:tc>
        <w:tc>
          <w:tcPr>
            <w:tcW w:w="1276" w:type="dxa"/>
            <w:tcBorders>
              <w:top w:val="nil"/>
              <w:left w:val="nil"/>
              <w:bottom w:val="single" w:color="auto" w:sz="8" w:space="0"/>
              <w:right w:val="single" w:color="auto" w:sz="8" w:space="0"/>
            </w:tcBorders>
            <w:vAlign w:val="center"/>
          </w:tcPr>
          <w:p w14:paraId="77DBBCEC">
            <w:pPr>
              <w:widowControl/>
              <w:jc w:val="center"/>
              <w:rPr>
                <w:rFonts w:hint="eastAsia" w:ascii="宋体" w:hAnsi="宋体" w:cs="宋体"/>
                <w:color w:val="000000"/>
                <w:kern w:val="0"/>
                <w:sz w:val="24"/>
              </w:rPr>
            </w:pPr>
            <w:r>
              <w:rPr>
                <w:rFonts w:hint="eastAsia" w:ascii="宋体" w:hAnsi="宋体" w:cs="宋体"/>
                <w:color w:val="000000"/>
                <w:kern w:val="0"/>
                <w:sz w:val="24"/>
              </w:rPr>
              <w:t>网络及安全类设备</w:t>
            </w:r>
          </w:p>
        </w:tc>
        <w:tc>
          <w:tcPr>
            <w:tcW w:w="4356" w:type="dxa"/>
            <w:tcBorders>
              <w:top w:val="nil"/>
              <w:left w:val="nil"/>
              <w:bottom w:val="single" w:color="auto" w:sz="8" w:space="0"/>
              <w:right w:val="single" w:color="auto" w:sz="8" w:space="0"/>
            </w:tcBorders>
            <w:vAlign w:val="center"/>
          </w:tcPr>
          <w:p w14:paraId="43EBA451">
            <w:pPr>
              <w:widowControl/>
              <w:jc w:val="left"/>
              <w:rPr>
                <w:rFonts w:hint="eastAsia" w:ascii="宋体" w:hAnsi="宋体" w:cs="宋体"/>
                <w:color w:val="000000"/>
                <w:kern w:val="0"/>
                <w:sz w:val="24"/>
              </w:rPr>
            </w:pPr>
            <w:r>
              <w:rPr>
                <w:rFonts w:hint="eastAsia" w:ascii="宋体" w:hAnsi="宋体" w:cs="宋体"/>
                <w:color w:val="000000"/>
                <w:kern w:val="0"/>
                <w:sz w:val="24"/>
              </w:rPr>
              <w:t>安全设备的清洁维护。并对每类设备进行逐一检测，保持防火墙等设备软件的及时更新和升级，以获取最新的漏洞修复和安全补丁。定期审核软件配置和规则，确保配置的正确性和完整性确保系统版本及授权等为最新版本。并协助客户进行必要的的升级维护。</w:t>
            </w:r>
          </w:p>
        </w:tc>
        <w:tc>
          <w:tcPr>
            <w:tcW w:w="810" w:type="dxa"/>
            <w:tcBorders>
              <w:top w:val="nil"/>
              <w:left w:val="nil"/>
              <w:bottom w:val="single" w:color="auto" w:sz="8" w:space="0"/>
              <w:right w:val="single" w:color="auto" w:sz="8" w:space="0"/>
            </w:tcBorders>
            <w:vAlign w:val="center"/>
          </w:tcPr>
          <w:p w14:paraId="420B978F">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80" w:type="dxa"/>
            <w:tcBorders>
              <w:top w:val="nil"/>
              <w:left w:val="nil"/>
              <w:bottom w:val="single" w:color="auto" w:sz="8" w:space="0"/>
              <w:right w:val="single" w:color="auto" w:sz="8" w:space="0"/>
            </w:tcBorders>
            <w:vAlign w:val="center"/>
          </w:tcPr>
          <w:p w14:paraId="51C22483">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650FBAE3">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29FA82F6">
            <w:pPr>
              <w:widowControl/>
              <w:jc w:val="center"/>
              <w:rPr>
                <w:rFonts w:hint="eastAsia" w:ascii="宋体" w:hAnsi="宋体" w:cs="宋体"/>
                <w:color w:val="000000"/>
                <w:kern w:val="0"/>
                <w:sz w:val="24"/>
              </w:rPr>
            </w:pPr>
            <w:r>
              <w:rPr>
                <w:rFonts w:hint="eastAsia" w:ascii="宋体" w:hAnsi="宋体" w:cs="宋体"/>
                <w:color w:val="000000"/>
                <w:kern w:val="0"/>
                <w:sz w:val="24"/>
              </w:rPr>
              <w:t>9</w:t>
            </w:r>
          </w:p>
        </w:tc>
        <w:tc>
          <w:tcPr>
            <w:tcW w:w="1134" w:type="dxa"/>
            <w:vMerge w:val="restart"/>
            <w:tcBorders>
              <w:top w:val="nil"/>
              <w:left w:val="single" w:color="auto" w:sz="8" w:space="0"/>
              <w:bottom w:val="single" w:color="000000" w:sz="8" w:space="0"/>
              <w:right w:val="single" w:color="auto" w:sz="8" w:space="0"/>
            </w:tcBorders>
            <w:vAlign w:val="center"/>
          </w:tcPr>
          <w:p w14:paraId="0A7EEE36">
            <w:pPr>
              <w:widowControl/>
              <w:jc w:val="center"/>
              <w:rPr>
                <w:rFonts w:hint="eastAsia" w:ascii="宋体" w:hAnsi="宋体" w:cs="宋体"/>
                <w:color w:val="000000"/>
                <w:kern w:val="0"/>
                <w:sz w:val="24"/>
              </w:rPr>
            </w:pPr>
            <w:r>
              <w:rPr>
                <w:rFonts w:hint="eastAsia" w:ascii="宋体" w:hAnsi="宋体" w:cs="宋体"/>
                <w:color w:val="000000"/>
                <w:kern w:val="0"/>
                <w:sz w:val="24"/>
              </w:rPr>
              <w:t>安全运维</w:t>
            </w:r>
          </w:p>
        </w:tc>
        <w:tc>
          <w:tcPr>
            <w:tcW w:w="1276" w:type="dxa"/>
            <w:tcBorders>
              <w:top w:val="nil"/>
              <w:left w:val="nil"/>
              <w:bottom w:val="single" w:color="auto" w:sz="8" w:space="0"/>
              <w:right w:val="single" w:color="auto" w:sz="8" w:space="0"/>
            </w:tcBorders>
            <w:vAlign w:val="center"/>
          </w:tcPr>
          <w:p w14:paraId="42855519">
            <w:pPr>
              <w:widowControl/>
              <w:jc w:val="center"/>
              <w:rPr>
                <w:rFonts w:hint="eastAsia" w:ascii="宋体" w:hAnsi="宋体" w:cs="宋体"/>
                <w:color w:val="000000"/>
                <w:kern w:val="0"/>
                <w:sz w:val="24"/>
              </w:rPr>
            </w:pPr>
            <w:r>
              <w:rPr>
                <w:rFonts w:hint="eastAsia" w:ascii="宋体" w:hAnsi="宋体" w:cs="宋体"/>
                <w:color w:val="000000"/>
                <w:kern w:val="0"/>
                <w:sz w:val="24"/>
              </w:rPr>
              <w:t>脆弱性测试</w:t>
            </w:r>
          </w:p>
        </w:tc>
        <w:tc>
          <w:tcPr>
            <w:tcW w:w="4356" w:type="dxa"/>
            <w:tcBorders>
              <w:top w:val="nil"/>
              <w:left w:val="nil"/>
              <w:bottom w:val="single" w:color="auto" w:sz="8" w:space="0"/>
              <w:right w:val="single" w:color="auto" w:sz="8" w:space="0"/>
            </w:tcBorders>
            <w:vAlign w:val="center"/>
          </w:tcPr>
          <w:p w14:paraId="101E84DD">
            <w:pPr>
              <w:widowControl/>
              <w:jc w:val="left"/>
              <w:rPr>
                <w:rFonts w:hint="eastAsia" w:ascii="宋体" w:hAnsi="宋体" w:cs="宋体"/>
                <w:color w:val="000000"/>
                <w:kern w:val="0"/>
                <w:sz w:val="24"/>
              </w:rPr>
            </w:pPr>
            <w:r>
              <w:rPr>
                <w:rFonts w:hint="eastAsia" w:ascii="宋体" w:hAnsi="宋体" w:cs="宋体"/>
                <w:color w:val="000000"/>
                <w:kern w:val="0"/>
                <w:sz w:val="24"/>
              </w:rPr>
              <w:t>应用系统、数据库等，进行安全检测，以发现在网络、运维器策略配置等层面存在的安全隐患，为安全优化工作提供建设依据</w:t>
            </w:r>
          </w:p>
        </w:tc>
        <w:tc>
          <w:tcPr>
            <w:tcW w:w="810" w:type="dxa"/>
            <w:tcBorders>
              <w:top w:val="nil"/>
              <w:left w:val="nil"/>
              <w:bottom w:val="single" w:color="auto" w:sz="8" w:space="0"/>
              <w:right w:val="single" w:color="auto" w:sz="8" w:space="0"/>
            </w:tcBorders>
            <w:vAlign w:val="center"/>
          </w:tcPr>
          <w:p w14:paraId="7DDBD185">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80" w:type="dxa"/>
            <w:tcBorders>
              <w:top w:val="nil"/>
              <w:left w:val="nil"/>
              <w:bottom w:val="single" w:color="auto" w:sz="8" w:space="0"/>
              <w:right w:val="single" w:color="auto" w:sz="8" w:space="0"/>
            </w:tcBorders>
            <w:vAlign w:val="center"/>
          </w:tcPr>
          <w:p w14:paraId="7501E734">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206B80C2">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27818031">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1134" w:type="dxa"/>
            <w:vMerge w:val="continue"/>
            <w:tcBorders>
              <w:top w:val="nil"/>
              <w:left w:val="single" w:color="auto" w:sz="8" w:space="0"/>
              <w:bottom w:val="single" w:color="000000" w:sz="8" w:space="0"/>
              <w:right w:val="single" w:color="auto" w:sz="8" w:space="0"/>
            </w:tcBorders>
            <w:vAlign w:val="center"/>
          </w:tcPr>
          <w:p w14:paraId="2E1F9698">
            <w:pPr>
              <w:widowControl/>
              <w:jc w:val="left"/>
              <w:rPr>
                <w:rFonts w:hint="eastAsia" w:ascii="宋体" w:hAnsi="宋体" w:cs="宋体"/>
                <w:color w:val="000000"/>
                <w:kern w:val="0"/>
                <w:sz w:val="24"/>
              </w:rPr>
            </w:pPr>
          </w:p>
        </w:tc>
        <w:tc>
          <w:tcPr>
            <w:tcW w:w="1276" w:type="dxa"/>
            <w:tcBorders>
              <w:top w:val="nil"/>
              <w:left w:val="nil"/>
              <w:bottom w:val="single" w:color="auto" w:sz="8" w:space="0"/>
              <w:right w:val="single" w:color="auto" w:sz="8" w:space="0"/>
            </w:tcBorders>
            <w:vAlign w:val="center"/>
          </w:tcPr>
          <w:p w14:paraId="0CE100F1">
            <w:pPr>
              <w:widowControl/>
              <w:jc w:val="center"/>
              <w:rPr>
                <w:rFonts w:hint="eastAsia" w:ascii="宋体" w:hAnsi="宋体" w:cs="宋体"/>
                <w:color w:val="000000"/>
                <w:kern w:val="0"/>
                <w:sz w:val="24"/>
              </w:rPr>
            </w:pPr>
            <w:r>
              <w:rPr>
                <w:rFonts w:hint="eastAsia" w:ascii="宋体" w:hAnsi="宋体" w:cs="宋体"/>
                <w:color w:val="000000"/>
                <w:kern w:val="0"/>
                <w:sz w:val="24"/>
              </w:rPr>
              <w:t>漏洞扫描</w:t>
            </w:r>
          </w:p>
        </w:tc>
        <w:tc>
          <w:tcPr>
            <w:tcW w:w="4356" w:type="dxa"/>
            <w:tcBorders>
              <w:top w:val="nil"/>
              <w:left w:val="nil"/>
              <w:bottom w:val="single" w:color="auto" w:sz="8" w:space="0"/>
              <w:right w:val="single" w:color="auto" w:sz="8" w:space="0"/>
            </w:tcBorders>
            <w:vAlign w:val="center"/>
          </w:tcPr>
          <w:p w14:paraId="2EEDC81D">
            <w:pPr>
              <w:widowControl/>
              <w:jc w:val="left"/>
              <w:rPr>
                <w:rFonts w:hint="eastAsia" w:ascii="宋体" w:hAnsi="宋体" w:cs="宋体"/>
                <w:color w:val="000000"/>
                <w:kern w:val="0"/>
                <w:sz w:val="24"/>
              </w:rPr>
            </w:pPr>
            <w:r>
              <w:rPr>
                <w:rFonts w:hint="eastAsia" w:ascii="宋体" w:hAnsi="宋体" w:cs="宋体"/>
                <w:color w:val="000000"/>
                <w:kern w:val="0"/>
                <w:sz w:val="24"/>
              </w:rPr>
              <w:t>漏洞扫描，发现扫描对象存在的web应用漏洞、主机操作系统漏洞、数据库漏洞、逻辑缺陷、弱口令、信息泄露等脆弱性问题，生成相关报告并提供加固建议</w:t>
            </w:r>
          </w:p>
        </w:tc>
        <w:tc>
          <w:tcPr>
            <w:tcW w:w="810" w:type="dxa"/>
            <w:tcBorders>
              <w:top w:val="nil"/>
              <w:left w:val="nil"/>
              <w:bottom w:val="single" w:color="auto" w:sz="8" w:space="0"/>
              <w:right w:val="single" w:color="auto" w:sz="8" w:space="0"/>
            </w:tcBorders>
            <w:vAlign w:val="center"/>
          </w:tcPr>
          <w:p w14:paraId="7322BA9A">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80" w:type="dxa"/>
            <w:tcBorders>
              <w:top w:val="nil"/>
              <w:left w:val="nil"/>
              <w:bottom w:val="single" w:color="auto" w:sz="8" w:space="0"/>
              <w:right w:val="single" w:color="auto" w:sz="8" w:space="0"/>
            </w:tcBorders>
            <w:vAlign w:val="center"/>
          </w:tcPr>
          <w:p w14:paraId="165D9D62">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42470FB7">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5737693E">
            <w:pPr>
              <w:widowControl/>
              <w:jc w:val="center"/>
              <w:rPr>
                <w:rFonts w:hint="eastAsia" w:ascii="宋体" w:hAnsi="宋体" w:cs="宋体"/>
                <w:color w:val="000000"/>
                <w:kern w:val="0"/>
                <w:sz w:val="24"/>
              </w:rPr>
            </w:pPr>
            <w:r>
              <w:rPr>
                <w:rFonts w:hint="eastAsia" w:ascii="宋体" w:hAnsi="宋体" w:cs="宋体"/>
                <w:color w:val="000000"/>
                <w:kern w:val="0"/>
                <w:sz w:val="24"/>
              </w:rPr>
              <w:t>11</w:t>
            </w:r>
          </w:p>
        </w:tc>
        <w:tc>
          <w:tcPr>
            <w:tcW w:w="1134" w:type="dxa"/>
            <w:vMerge w:val="continue"/>
            <w:tcBorders>
              <w:top w:val="nil"/>
              <w:left w:val="single" w:color="auto" w:sz="8" w:space="0"/>
              <w:bottom w:val="single" w:color="000000" w:sz="8" w:space="0"/>
              <w:right w:val="single" w:color="auto" w:sz="8" w:space="0"/>
            </w:tcBorders>
            <w:vAlign w:val="center"/>
          </w:tcPr>
          <w:p w14:paraId="03CD5667">
            <w:pPr>
              <w:widowControl/>
              <w:jc w:val="left"/>
              <w:rPr>
                <w:rFonts w:hint="eastAsia" w:ascii="宋体" w:hAnsi="宋体" w:cs="宋体"/>
                <w:color w:val="000000"/>
                <w:kern w:val="0"/>
                <w:sz w:val="24"/>
              </w:rPr>
            </w:pPr>
          </w:p>
        </w:tc>
        <w:tc>
          <w:tcPr>
            <w:tcW w:w="1276" w:type="dxa"/>
            <w:tcBorders>
              <w:top w:val="nil"/>
              <w:left w:val="nil"/>
              <w:bottom w:val="single" w:color="auto" w:sz="8" w:space="0"/>
              <w:right w:val="single" w:color="auto" w:sz="8" w:space="0"/>
            </w:tcBorders>
            <w:vAlign w:val="center"/>
          </w:tcPr>
          <w:p w14:paraId="77786FF4">
            <w:pPr>
              <w:widowControl/>
              <w:jc w:val="center"/>
              <w:rPr>
                <w:rFonts w:hint="eastAsia" w:ascii="宋体" w:hAnsi="宋体" w:cs="宋体"/>
                <w:color w:val="000000"/>
                <w:kern w:val="0"/>
                <w:sz w:val="24"/>
              </w:rPr>
            </w:pPr>
            <w:r>
              <w:rPr>
                <w:rFonts w:hint="eastAsia" w:ascii="宋体" w:hAnsi="宋体" w:cs="宋体"/>
                <w:color w:val="000000"/>
                <w:kern w:val="0"/>
                <w:sz w:val="24"/>
              </w:rPr>
              <w:t>日志分析</w:t>
            </w:r>
          </w:p>
        </w:tc>
        <w:tc>
          <w:tcPr>
            <w:tcW w:w="4356" w:type="dxa"/>
            <w:tcBorders>
              <w:top w:val="nil"/>
              <w:left w:val="nil"/>
              <w:bottom w:val="single" w:color="auto" w:sz="8" w:space="0"/>
              <w:right w:val="single" w:color="auto" w:sz="8" w:space="0"/>
            </w:tcBorders>
            <w:vAlign w:val="center"/>
          </w:tcPr>
          <w:p w14:paraId="626BC8DE">
            <w:pPr>
              <w:widowControl/>
              <w:jc w:val="left"/>
              <w:rPr>
                <w:rFonts w:hint="eastAsia" w:ascii="宋体" w:hAnsi="宋体" w:cs="宋体"/>
                <w:color w:val="000000"/>
                <w:kern w:val="0"/>
                <w:sz w:val="24"/>
              </w:rPr>
            </w:pPr>
            <w:r>
              <w:rPr>
                <w:rFonts w:hint="eastAsia" w:ascii="宋体" w:hAnsi="宋体" w:cs="宋体"/>
                <w:color w:val="000000"/>
                <w:kern w:val="0"/>
                <w:sz w:val="24"/>
              </w:rPr>
              <w:t>通过收集用户网络中的运维器、网络设备、安全设备等的日志信息，进行关联分析，发现潜在的威胁和未知的入侵行为。</w:t>
            </w:r>
          </w:p>
        </w:tc>
        <w:tc>
          <w:tcPr>
            <w:tcW w:w="810" w:type="dxa"/>
            <w:tcBorders>
              <w:top w:val="nil"/>
              <w:left w:val="nil"/>
              <w:bottom w:val="single" w:color="auto" w:sz="8" w:space="0"/>
              <w:right w:val="single" w:color="auto" w:sz="8" w:space="0"/>
            </w:tcBorders>
            <w:vAlign w:val="center"/>
          </w:tcPr>
          <w:p w14:paraId="5C05D5C5">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80" w:type="dxa"/>
            <w:tcBorders>
              <w:top w:val="nil"/>
              <w:left w:val="nil"/>
              <w:bottom w:val="single" w:color="auto" w:sz="8" w:space="0"/>
              <w:right w:val="single" w:color="auto" w:sz="8" w:space="0"/>
            </w:tcBorders>
            <w:vAlign w:val="center"/>
          </w:tcPr>
          <w:p w14:paraId="66E6E0B3">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581068B2">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3B32AD68">
            <w:pPr>
              <w:widowControl/>
              <w:jc w:val="center"/>
              <w:rPr>
                <w:rFonts w:hint="eastAsia" w:ascii="宋体" w:hAnsi="宋体" w:cs="宋体"/>
                <w:color w:val="000000"/>
                <w:kern w:val="0"/>
                <w:sz w:val="24"/>
              </w:rPr>
            </w:pPr>
            <w:r>
              <w:rPr>
                <w:rFonts w:hint="eastAsia" w:ascii="宋体" w:hAnsi="宋体" w:cs="宋体"/>
                <w:color w:val="000000"/>
                <w:kern w:val="0"/>
                <w:sz w:val="24"/>
              </w:rPr>
              <w:t>12</w:t>
            </w:r>
          </w:p>
        </w:tc>
        <w:tc>
          <w:tcPr>
            <w:tcW w:w="1134" w:type="dxa"/>
            <w:vMerge w:val="continue"/>
            <w:tcBorders>
              <w:top w:val="nil"/>
              <w:left w:val="single" w:color="auto" w:sz="8" w:space="0"/>
              <w:bottom w:val="single" w:color="000000" w:sz="8" w:space="0"/>
              <w:right w:val="single" w:color="auto" w:sz="8" w:space="0"/>
            </w:tcBorders>
            <w:vAlign w:val="center"/>
          </w:tcPr>
          <w:p w14:paraId="22334507">
            <w:pPr>
              <w:widowControl/>
              <w:jc w:val="left"/>
              <w:rPr>
                <w:rFonts w:hint="eastAsia" w:ascii="宋体" w:hAnsi="宋体" w:cs="宋体"/>
                <w:color w:val="000000"/>
                <w:kern w:val="0"/>
                <w:sz w:val="24"/>
              </w:rPr>
            </w:pPr>
          </w:p>
        </w:tc>
        <w:tc>
          <w:tcPr>
            <w:tcW w:w="1276" w:type="dxa"/>
            <w:tcBorders>
              <w:top w:val="nil"/>
              <w:left w:val="nil"/>
              <w:bottom w:val="single" w:color="auto" w:sz="8" w:space="0"/>
              <w:right w:val="single" w:color="auto" w:sz="8" w:space="0"/>
            </w:tcBorders>
            <w:vAlign w:val="center"/>
          </w:tcPr>
          <w:p w14:paraId="23EBD3A5">
            <w:pPr>
              <w:widowControl/>
              <w:jc w:val="center"/>
              <w:rPr>
                <w:rFonts w:hint="eastAsia" w:ascii="宋体" w:hAnsi="宋体" w:cs="宋体"/>
                <w:color w:val="000000"/>
                <w:kern w:val="0"/>
                <w:sz w:val="24"/>
              </w:rPr>
            </w:pPr>
            <w:r>
              <w:rPr>
                <w:rFonts w:hint="eastAsia" w:ascii="宋体" w:hAnsi="宋体" w:cs="宋体"/>
                <w:color w:val="000000"/>
                <w:kern w:val="0"/>
                <w:sz w:val="24"/>
              </w:rPr>
              <w:t>策略调优</w:t>
            </w:r>
          </w:p>
        </w:tc>
        <w:tc>
          <w:tcPr>
            <w:tcW w:w="4356" w:type="dxa"/>
            <w:tcBorders>
              <w:top w:val="nil"/>
              <w:left w:val="nil"/>
              <w:bottom w:val="single" w:color="auto" w:sz="8" w:space="0"/>
              <w:right w:val="single" w:color="auto" w:sz="8" w:space="0"/>
            </w:tcBorders>
            <w:vAlign w:val="center"/>
          </w:tcPr>
          <w:p w14:paraId="292319F7">
            <w:pPr>
              <w:widowControl/>
              <w:jc w:val="left"/>
              <w:rPr>
                <w:rFonts w:hint="eastAsia" w:ascii="宋体" w:hAnsi="宋体" w:cs="宋体"/>
                <w:color w:val="000000"/>
                <w:kern w:val="0"/>
                <w:sz w:val="24"/>
              </w:rPr>
            </w:pPr>
            <w:r>
              <w:rPr>
                <w:rFonts w:hint="eastAsia" w:ascii="宋体" w:hAnsi="宋体" w:cs="宋体"/>
                <w:color w:val="000000"/>
                <w:kern w:val="0"/>
                <w:sz w:val="24"/>
              </w:rPr>
              <w:t>随着数据采集点的增多，业务系统的增加和升级，需从新配置运维器，交换机及安全产品的网络架构及策略，期间需协调各方技术人员到场配合工作。</w:t>
            </w:r>
          </w:p>
        </w:tc>
        <w:tc>
          <w:tcPr>
            <w:tcW w:w="810" w:type="dxa"/>
            <w:tcBorders>
              <w:top w:val="nil"/>
              <w:left w:val="nil"/>
              <w:bottom w:val="single" w:color="auto" w:sz="8" w:space="0"/>
              <w:right w:val="single" w:color="auto" w:sz="8" w:space="0"/>
            </w:tcBorders>
            <w:vAlign w:val="center"/>
          </w:tcPr>
          <w:p w14:paraId="42A7D4F9">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80" w:type="dxa"/>
            <w:tcBorders>
              <w:top w:val="nil"/>
              <w:left w:val="nil"/>
              <w:bottom w:val="single" w:color="auto" w:sz="8" w:space="0"/>
              <w:right w:val="single" w:color="auto" w:sz="8" w:space="0"/>
            </w:tcBorders>
            <w:vAlign w:val="center"/>
          </w:tcPr>
          <w:p w14:paraId="3BA22FCC">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r w14:paraId="79C7F62D">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088D485D">
            <w:pPr>
              <w:widowControl/>
              <w:jc w:val="center"/>
              <w:rPr>
                <w:rFonts w:hint="eastAsia" w:ascii="宋体" w:hAnsi="宋体" w:cs="宋体"/>
                <w:color w:val="000000"/>
                <w:kern w:val="0"/>
                <w:sz w:val="24"/>
              </w:rPr>
            </w:pPr>
            <w:r>
              <w:rPr>
                <w:rFonts w:hint="eastAsia" w:ascii="宋体" w:hAnsi="宋体" w:cs="宋体"/>
                <w:color w:val="000000"/>
                <w:kern w:val="0"/>
                <w:sz w:val="24"/>
              </w:rPr>
              <w:t>13</w:t>
            </w:r>
          </w:p>
        </w:tc>
        <w:tc>
          <w:tcPr>
            <w:tcW w:w="1134" w:type="dxa"/>
            <w:vMerge w:val="continue"/>
            <w:tcBorders>
              <w:top w:val="nil"/>
              <w:left w:val="single" w:color="auto" w:sz="8" w:space="0"/>
              <w:bottom w:val="single" w:color="000000" w:sz="8" w:space="0"/>
              <w:right w:val="single" w:color="auto" w:sz="8" w:space="0"/>
            </w:tcBorders>
            <w:vAlign w:val="center"/>
          </w:tcPr>
          <w:p w14:paraId="2F1DC724">
            <w:pPr>
              <w:widowControl/>
              <w:jc w:val="left"/>
              <w:rPr>
                <w:rFonts w:hint="eastAsia" w:ascii="宋体" w:hAnsi="宋体" w:cs="宋体"/>
                <w:color w:val="000000"/>
                <w:kern w:val="0"/>
                <w:sz w:val="24"/>
              </w:rPr>
            </w:pPr>
          </w:p>
        </w:tc>
        <w:tc>
          <w:tcPr>
            <w:tcW w:w="1276" w:type="dxa"/>
            <w:tcBorders>
              <w:top w:val="nil"/>
              <w:left w:val="nil"/>
              <w:bottom w:val="single" w:color="auto" w:sz="8" w:space="0"/>
              <w:right w:val="single" w:color="auto" w:sz="8" w:space="0"/>
            </w:tcBorders>
            <w:vAlign w:val="center"/>
          </w:tcPr>
          <w:p w14:paraId="246D8220">
            <w:pPr>
              <w:widowControl/>
              <w:jc w:val="center"/>
              <w:rPr>
                <w:rFonts w:hint="eastAsia" w:ascii="宋体" w:hAnsi="宋体" w:cs="宋体"/>
                <w:color w:val="000000"/>
                <w:kern w:val="0"/>
                <w:sz w:val="24"/>
              </w:rPr>
            </w:pPr>
            <w:r>
              <w:rPr>
                <w:rFonts w:hint="eastAsia" w:ascii="宋体" w:hAnsi="宋体" w:cs="宋体"/>
                <w:color w:val="000000"/>
                <w:kern w:val="0"/>
                <w:sz w:val="24"/>
              </w:rPr>
              <w:t>弱口令检测</w:t>
            </w:r>
          </w:p>
        </w:tc>
        <w:tc>
          <w:tcPr>
            <w:tcW w:w="4356" w:type="dxa"/>
            <w:tcBorders>
              <w:top w:val="nil"/>
              <w:left w:val="nil"/>
              <w:bottom w:val="single" w:color="auto" w:sz="8" w:space="0"/>
              <w:right w:val="single" w:color="auto" w:sz="8" w:space="0"/>
            </w:tcBorders>
            <w:vAlign w:val="center"/>
          </w:tcPr>
          <w:p w14:paraId="1825DB7F">
            <w:pPr>
              <w:widowControl/>
              <w:jc w:val="left"/>
              <w:rPr>
                <w:rFonts w:hint="eastAsia" w:ascii="宋体" w:hAnsi="宋体" w:cs="宋体"/>
                <w:color w:val="000000"/>
                <w:kern w:val="0"/>
                <w:sz w:val="24"/>
              </w:rPr>
            </w:pPr>
            <w:r>
              <w:rPr>
                <w:rFonts w:hint="eastAsia" w:ascii="宋体" w:hAnsi="宋体" w:cs="宋体"/>
                <w:color w:val="000000"/>
                <w:kern w:val="0"/>
                <w:sz w:val="24"/>
              </w:rPr>
              <w:t>针对内外网系统进行弱口令检测工作。每3月更换一次。</w:t>
            </w:r>
          </w:p>
        </w:tc>
        <w:tc>
          <w:tcPr>
            <w:tcW w:w="810" w:type="dxa"/>
            <w:tcBorders>
              <w:top w:val="nil"/>
              <w:left w:val="nil"/>
              <w:bottom w:val="single" w:color="auto" w:sz="8" w:space="0"/>
              <w:right w:val="single" w:color="auto" w:sz="8" w:space="0"/>
            </w:tcBorders>
            <w:vAlign w:val="center"/>
          </w:tcPr>
          <w:p w14:paraId="7F6250C1">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80" w:type="dxa"/>
            <w:tcBorders>
              <w:top w:val="nil"/>
              <w:left w:val="nil"/>
              <w:bottom w:val="single" w:color="auto" w:sz="8" w:space="0"/>
              <w:right w:val="single" w:color="auto" w:sz="8" w:space="0"/>
            </w:tcBorders>
            <w:vAlign w:val="center"/>
          </w:tcPr>
          <w:p w14:paraId="79C0F019">
            <w:pPr>
              <w:widowControl/>
              <w:jc w:val="center"/>
              <w:rPr>
                <w:rFonts w:hint="eastAsia" w:ascii="宋体" w:hAnsi="宋体" w:cs="宋体"/>
                <w:color w:val="000000"/>
                <w:kern w:val="0"/>
                <w:sz w:val="24"/>
              </w:rPr>
            </w:pPr>
            <w:r>
              <w:rPr>
                <w:rFonts w:hint="eastAsia" w:ascii="宋体" w:hAnsi="宋体" w:cs="宋体"/>
                <w:color w:val="000000"/>
                <w:kern w:val="0"/>
                <w:sz w:val="24"/>
              </w:rPr>
              <w:t>次</w:t>
            </w:r>
          </w:p>
        </w:tc>
      </w:tr>
    </w:tbl>
    <w:p w14:paraId="073C095F">
      <w:pPr>
        <w:jc w:val="center"/>
        <w:rPr>
          <w:rFonts w:hint="eastAsia" w:ascii="宋体" w:hAnsi="宋体"/>
          <w:b/>
          <w:sz w:val="24"/>
        </w:rPr>
      </w:pPr>
    </w:p>
    <w:p w14:paraId="25404014">
      <w:pPr>
        <w:jc w:val="center"/>
        <w:rPr>
          <w:rFonts w:hint="eastAsia" w:ascii="宋体" w:hAnsi="宋体"/>
          <w:b/>
          <w:sz w:val="24"/>
        </w:rPr>
      </w:pPr>
    </w:p>
    <w:p w14:paraId="2CE70C71">
      <w:pPr>
        <w:rPr>
          <w:rFonts w:hint="eastAsia" w:ascii="宋体" w:hAnsi="宋体"/>
          <w:b/>
          <w:sz w:val="24"/>
        </w:rPr>
      </w:pPr>
      <w:r>
        <w:rPr>
          <w:rFonts w:hint="eastAsia" w:ascii="宋体" w:hAnsi="宋体"/>
          <w:b/>
          <w:sz w:val="24"/>
        </w:rPr>
        <w:t>五、项目服务内容</w:t>
      </w:r>
    </w:p>
    <w:p w14:paraId="36D52856">
      <w:pPr>
        <w:autoSpaceDE w:val="0"/>
        <w:autoSpaceDN w:val="0"/>
        <w:adjustRightInd w:val="0"/>
        <w:spacing w:line="360" w:lineRule="auto"/>
        <w:ind w:firstLine="420"/>
        <w:jc w:val="left"/>
        <w:rPr>
          <w:rFonts w:hint="eastAsia" w:ascii="宋体" w:hAnsi="宋体" w:cs="宋体"/>
          <w:sz w:val="24"/>
        </w:rPr>
      </w:pPr>
      <w:r>
        <w:rPr>
          <w:rFonts w:hint="eastAsia" w:ascii="宋体" w:hAnsi="宋体" w:cs="宋体"/>
          <w:sz w:val="24"/>
        </w:rPr>
        <w:t>（一）硬件设备维护内容</w:t>
      </w:r>
    </w:p>
    <w:p w14:paraId="2A794A8D">
      <w:pPr>
        <w:spacing w:line="360" w:lineRule="auto"/>
        <w:ind w:firstLine="482" w:firstLineChars="200"/>
        <w:rPr>
          <w:rFonts w:hint="eastAsia" w:ascii="宋体" w:hAnsi="宋体" w:cs="宋体"/>
          <w:b/>
          <w:sz w:val="24"/>
        </w:rPr>
      </w:pPr>
      <w:r>
        <w:rPr>
          <w:rFonts w:hint="eastAsia" w:ascii="宋体" w:hAnsi="宋体" w:cs="宋体"/>
          <w:b/>
          <w:sz w:val="24"/>
        </w:rPr>
        <w:t>1.服务器</w:t>
      </w:r>
    </w:p>
    <w:p w14:paraId="0A2DDEDD">
      <w:pPr>
        <w:spacing w:line="360" w:lineRule="auto"/>
        <w:ind w:firstLine="482" w:firstLineChars="200"/>
        <w:rPr>
          <w:rFonts w:hint="eastAsia" w:ascii="宋体" w:hAnsi="宋体" w:cs="宋体"/>
          <w:sz w:val="24"/>
        </w:rPr>
      </w:pPr>
      <w:r>
        <w:rPr>
          <w:rFonts w:hint="eastAsia" w:ascii="宋体" w:hAnsi="宋体" w:cs="宋体"/>
          <w:b/>
          <w:sz w:val="24"/>
        </w:rPr>
        <w:t>服务内容：</w:t>
      </w:r>
      <w:r>
        <w:rPr>
          <w:rFonts w:hint="eastAsia" w:ascii="宋体" w:hAnsi="宋体" w:cs="宋体"/>
          <w:sz w:val="24"/>
        </w:rPr>
        <w:t>清洁保养，清除机箱、滤清器内的灰尘与异物；系统优化，协助客户对进行系统性能调整和系统优化，提高系统效率。设备合计约＞20台。</w:t>
      </w:r>
    </w:p>
    <w:p w14:paraId="1CCB7D62">
      <w:pPr>
        <w:spacing w:line="360" w:lineRule="auto"/>
        <w:ind w:firstLine="482" w:firstLineChars="200"/>
        <w:rPr>
          <w:rFonts w:hint="eastAsia" w:ascii="宋体" w:hAnsi="宋体" w:cs="宋体"/>
          <w:sz w:val="24"/>
        </w:rPr>
      </w:pPr>
      <w:r>
        <w:rPr>
          <w:rFonts w:hint="eastAsia" w:ascii="宋体" w:hAnsi="宋体" w:cs="宋体"/>
          <w:b/>
          <w:sz w:val="24"/>
        </w:rPr>
        <w:t>巡检设备内容包括：</w:t>
      </w:r>
      <w:r>
        <w:rPr>
          <w:rFonts w:hint="eastAsia" w:ascii="宋体" w:hAnsi="宋体" w:cs="宋体"/>
          <w:sz w:val="24"/>
        </w:rPr>
        <w:t>设备外观状况，设备状态灯，设备之间链接是否正常。</w:t>
      </w:r>
    </w:p>
    <w:p w14:paraId="4595DBD0">
      <w:pPr>
        <w:spacing w:line="360" w:lineRule="auto"/>
        <w:ind w:firstLine="482" w:firstLineChars="200"/>
        <w:rPr>
          <w:rFonts w:hint="eastAsia" w:ascii="宋体" w:hAnsi="宋体" w:cs="宋体"/>
          <w:sz w:val="24"/>
        </w:rPr>
      </w:pPr>
      <w:r>
        <w:rPr>
          <w:rFonts w:hint="eastAsia" w:ascii="宋体" w:hAnsi="宋体" w:cs="宋体"/>
          <w:b/>
          <w:sz w:val="24"/>
        </w:rPr>
        <w:t>服务频率：</w:t>
      </w:r>
      <w:r>
        <w:rPr>
          <w:rFonts w:hint="eastAsia" w:ascii="宋体" w:hAnsi="宋体" w:cs="宋体"/>
          <w:sz w:val="24"/>
        </w:rPr>
        <w:t>市灾防所信息中心机房1次/季度，监测站信息中心机房1次/半年，服务期1年。</w:t>
      </w:r>
    </w:p>
    <w:p w14:paraId="211E91C8">
      <w:pPr>
        <w:spacing w:line="360" w:lineRule="auto"/>
        <w:ind w:firstLine="482" w:firstLineChars="200"/>
        <w:rPr>
          <w:rFonts w:hint="eastAsia" w:ascii="宋体" w:hAnsi="宋体" w:cs="宋体"/>
          <w:sz w:val="24"/>
        </w:rPr>
      </w:pPr>
      <w:r>
        <w:rPr>
          <w:rFonts w:hint="eastAsia" w:ascii="宋体" w:hAnsi="宋体" w:cs="宋体"/>
          <w:b/>
          <w:sz w:val="24"/>
        </w:rPr>
        <w:t>服务成果：</w:t>
      </w:r>
      <w:r>
        <w:rPr>
          <w:rFonts w:hint="eastAsia" w:ascii="宋体" w:hAnsi="宋体" w:cs="宋体"/>
          <w:sz w:val="24"/>
        </w:rPr>
        <w:t>《市灾防所服务器运维保养报告》。</w:t>
      </w:r>
    </w:p>
    <w:p w14:paraId="2CCB699E">
      <w:pPr>
        <w:spacing w:line="360" w:lineRule="auto"/>
        <w:ind w:firstLine="482" w:firstLineChars="200"/>
        <w:rPr>
          <w:rFonts w:hint="eastAsia" w:ascii="宋体" w:hAnsi="宋体" w:cs="宋体"/>
          <w:b/>
          <w:sz w:val="24"/>
        </w:rPr>
      </w:pPr>
      <w:r>
        <w:rPr>
          <w:rFonts w:hint="eastAsia" w:ascii="宋体" w:hAnsi="宋体" w:cs="宋体"/>
          <w:b/>
          <w:sz w:val="24"/>
        </w:rPr>
        <w:t>2.磁盘存储</w:t>
      </w:r>
    </w:p>
    <w:p w14:paraId="129FA293">
      <w:pPr>
        <w:spacing w:line="360" w:lineRule="auto"/>
        <w:ind w:firstLine="482" w:firstLineChars="200"/>
        <w:rPr>
          <w:rFonts w:hint="eastAsia" w:ascii="宋体" w:hAnsi="宋体" w:cs="宋体"/>
          <w:sz w:val="24"/>
        </w:rPr>
      </w:pPr>
      <w:r>
        <w:rPr>
          <w:rFonts w:hint="eastAsia" w:ascii="宋体" w:hAnsi="宋体" w:cs="宋体"/>
          <w:b/>
          <w:sz w:val="24"/>
        </w:rPr>
        <w:t>服务内容：</w:t>
      </w:r>
      <w:r>
        <w:rPr>
          <w:rFonts w:hint="eastAsia" w:ascii="宋体" w:hAnsi="宋体" w:cs="宋体"/>
          <w:sz w:val="24"/>
        </w:rPr>
        <w:t>清洁保养，清除机箱、滤清器内的灰尘与异物；系统优化，协助客户对进行系统性能调整和系统优化，提高系统效率。磁盘存储的维护、处置、配置、数据的安性全及备份等工作。异常情况处理。</w:t>
      </w:r>
    </w:p>
    <w:p w14:paraId="112CA285">
      <w:pPr>
        <w:spacing w:line="360" w:lineRule="auto"/>
        <w:ind w:firstLine="482" w:firstLineChars="200"/>
        <w:rPr>
          <w:rFonts w:hint="eastAsia" w:ascii="宋体" w:hAnsi="宋体" w:cs="宋体"/>
          <w:sz w:val="24"/>
        </w:rPr>
      </w:pPr>
      <w:r>
        <w:rPr>
          <w:rFonts w:hint="eastAsia" w:ascii="宋体" w:hAnsi="宋体" w:cs="宋体"/>
          <w:b/>
          <w:sz w:val="24"/>
        </w:rPr>
        <w:t>巡检设备内容包括：</w:t>
      </w:r>
      <w:r>
        <w:rPr>
          <w:rFonts w:hint="eastAsia" w:ascii="宋体" w:hAnsi="宋体" w:cs="宋体"/>
          <w:sz w:val="24"/>
        </w:rPr>
        <w:t>设备外观状况，设备状态灯，设备之间链接是否正常。</w:t>
      </w:r>
    </w:p>
    <w:p w14:paraId="786375DF">
      <w:pPr>
        <w:spacing w:line="360" w:lineRule="auto"/>
        <w:ind w:firstLine="482" w:firstLineChars="200"/>
        <w:rPr>
          <w:rFonts w:hint="eastAsia" w:ascii="宋体" w:hAnsi="宋体" w:cs="宋体"/>
          <w:sz w:val="24"/>
        </w:rPr>
      </w:pPr>
      <w:r>
        <w:rPr>
          <w:rFonts w:hint="eastAsia" w:ascii="宋体" w:hAnsi="宋体" w:cs="宋体"/>
          <w:b/>
          <w:sz w:val="24"/>
        </w:rPr>
        <w:t>服务频率：</w:t>
      </w:r>
      <w:r>
        <w:rPr>
          <w:rFonts w:hint="eastAsia" w:ascii="宋体" w:hAnsi="宋体" w:cs="宋体"/>
          <w:sz w:val="24"/>
        </w:rPr>
        <w:t>市灾防所信息中心机房1次/半年，监测站信息中心机房1次/半年，服务期1年。</w:t>
      </w:r>
    </w:p>
    <w:p w14:paraId="1AADD6A3">
      <w:pPr>
        <w:spacing w:line="360" w:lineRule="auto"/>
        <w:ind w:firstLine="482" w:firstLineChars="200"/>
        <w:rPr>
          <w:rFonts w:hint="eastAsia" w:ascii="宋体" w:hAnsi="宋体" w:cs="宋体"/>
          <w:sz w:val="24"/>
        </w:rPr>
      </w:pPr>
      <w:r>
        <w:rPr>
          <w:rFonts w:hint="eastAsia" w:ascii="宋体" w:hAnsi="宋体" w:cs="宋体"/>
          <w:b/>
          <w:sz w:val="24"/>
        </w:rPr>
        <w:t>服务成果：</w:t>
      </w:r>
      <w:r>
        <w:rPr>
          <w:rFonts w:hint="eastAsia" w:ascii="宋体" w:hAnsi="宋体" w:cs="宋体"/>
          <w:sz w:val="24"/>
        </w:rPr>
        <w:t>《市灾防所磁盘存储运维保养报告》。</w:t>
      </w:r>
    </w:p>
    <w:p w14:paraId="1A0FF0FA">
      <w:pPr>
        <w:spacing w:line="360" w:lineRule="auto"/>
        <w:ind w:firstLine="482" w:firstLineChars="200"/>
        <w:rPr>
          <w:rFonts w:hint="eastAsia" w:ascii="宋体" w:hAnsi="宋体" w:cs="宋体"/>
          <w:b/>
          <w:sz w:val="24"/>
        </w:rPr>
      </w:pPr>
      <w:r>
        <w:rPr>
          <w:rFonts w:hint="eastAsia" w:ascii="宋体" w:hAnsi="宋体" w:cs="宋体"/>
          <w:b/>
          <w:sz w:val="24"/>
        </w:rPr>
        <w:t>3.ATS配电柜</w:t>
      </w:r>
    </w:p>
    <w:p w14:paraId="709C5E6A">
      <w:pPr>
        <w:spacing w:line="360" w:lineRule="auto"/>
        <w:ind w:firstLine="482" w:firstLineChars="200"/>
        <w:rPr>
          <w:rFonts w:hint="eastAsia" w:ascii="宋体" w:hAnsi="宋体" w:cs="宋体"/>
          <w:sz w:val="24"/>
        </w:rPr>
      </w:pPr>
      <w:r>
        <w:rPr>
          <w:rFonts w:hint="eastAsia" w:ascii="宋体" w:hAnsi="宋体" w:cs="宋体"/>
          <w:b/>
          <w:sz w:val="24"/>
        </w:rPr>
        <w:t>服务内容：</w:t>
      </w:r>
      <w:r>
        <w:rPr>
          <w:rFonts w:hint="eastAsia" w:ascii="宋体" w:hAnsi="宋体" w:cs="宋体"/>
          <w:sz w:val="24"/>
        </w:rPr>
        <w:t>检测整个系统的运行参数，确保设备正常运行。</w:t>
      </w:r>
    </w:p>
    <w:p w14:paraId="39DF002B">
      <w:pPr>
        <w:spacing w:line="360" w:lineRule="auto"/>
        <w:ind w:firstLine="482" w:firstLineChars="200"/>
        <w:rPr>
          <w:rFonts w:hint="eastAsia" w:ascii="宋体" w:hAnsi="宋体" w:cs="宋体"/>
          <w:sz w:val="24"/>
        </w:rPr>
      </w:pPr>
      <w:r>
        <w:rPr>
          <w:rFonts w:hint="eastAsia" w:ascii="宋体" w:hAnsi="宋体" w:cs="宋体"/>
          <w:b/>
          <w:sz w:val="24"/>
        </w:rPr>
        <w:t>巡检设备内容包括：</w:t>
      </w:r>
      <w:r>
        <w:rPr>
          <w:rFonts w:hint="eastAsia" w:ascii="宋体" w:hAnsi="宋体" w:cs="宋体"/>
          <w:sz w:val="24"/>
        </w:rPr>
        <w:t>设备外观状况，设备状态灯，设备之间链接是否正常。</w:t>
      </w:r>
    </w:p>
    <w:p w14:paraId="3B164E9C">
      <w:pPr>
        <w:spacing w:line="360" w:lineRule="auto"/>
        <w:ind w:firstLine="482" w:firstLineChars="200"/>
        <w:rPr>
          <w:rFonts w:hint="eastAsia" w:ascii="宋体" w:hAnsi="宋体" w:cs="宋体"/>
          <w:sz w:val="24"/>
        </w:rPr>
      </w:pPr>
      <w:r>
        <w:rPr>
          <w:rFonts w:hint="eastAsia" w:ascii="宋体" w:hAnsi="宋体" w:cs="宋体"/>
          <w:b/>
          <w:sz w:val="24"/>
        </w:rPr>
        <w:t>服务频率：</w:t>
      </w:r>
      <w:r>
        <w:rPr>
          <w:rFonts w:hint="eastAsia" w:ascii="宋体" w:hAnsi="宋体" w:cs="宋体"/>
          <w:sz w:val="24"/>
        </w:rPr>
        <w:t>市灾防所信息中心机房1次/季度，监测站信息中心机房1次/半年，服务期1年。</w:t>
      </w:r>
    </w:p>
    <w:p w14:paraId="61D27A1B">
      <w:pPr>
        <w:spacing w:line="360" w:lineRule="auto"/>
        <w:ind w:firstLine="482" w:firstLineChars="200"/>
        <w:rPr>
          <w:rFonts w:hint="eastAsia" w:ascii="宋体" w:hAnsi="宋体" w:cs="宋体"/>
          <w:sz w:val="24"/>
        </w:rPr>
      </w:pPr>
      <w:r>
        <w:rPr>
          <w:rFonts w:hint="eastAsia" w:ascii="宋体" w:hAnsi="宋体" w:cs="宋体"/>
          <w:b/>
          <w:sz w:val="24"/>
        </w:rPr>
        <w:t>服务成果：</w:t>
      </w:r>
      <w:r>
        <w:rPr>
          <w:rFonts w:hint="eastAsia" w:ascii="宋体" w:hAnsi="宋体" w:cs="宋体"/>
          <w:sz w:val="24"/>
        </w:rPr>
        <w:t>《市灾防所ATS配电柜运维保养报告》。</w:t>
      </w:r>
    </w:p>
    <w:p w14:paraId="62A349EE">
      <w:pPr>
        <w:spacing w:line="360" w:lineRule="auto"/>
        <w:ind w:firstLine="482" w:firstLineChars="200"/>
        <w:rPr>
          <w:rFonts w:hint="eastAsia" w:ascii="宋体" w:hAnsi="宋体" w:cs="宋体"/>
          <w:b/>
          <w:sz w:val="24"/>
        </w:rPr>
      </w:pPr>
      <w:r>
        <w:rPr>
          <w:rFonts w:hint="eastAsia" w:ascii="宋体" w:hAnsi="宋体" w:cs="宋体"/>
          <w:b/>
          <w:sz w:val="24"/>
        </w:rPr>
        <w:t>4.UPS配电柜、UPS电池柜、UPS电池</w:t>
      </w:r>
    </w:p>
    <w:p w14:paraId="2D580D6C">
      <w:pPr>
        <w:spacing w:line="360" w:lineRule="auto"/>
        <w:ind w:firstLine="482" w:firstLineChars="200"/>
        <w:rPr>
          <w:rFonts w:hint="eastAsia" w:ascii="宋体" w:hAnsi="宋体" w:cs="宋体"/>
          <w:sz w:val="24"/>
        </w:rPr>
      </w:pPr>
      <w:r>
        <w:rPr>
          <w:rFonts w:hint="eastAsia" w:ascii="宋体" w:hAnsi="宋体" w:cs="宋体"/>
          <w:b/>
          <w:sz w:val="24"/>
        </w:rPr>
        <w:t>服务内容：</w:t>
      </w:r>
      <w:r>
        <w:rPr>
          <w:rFonts w:hint="eastAsia" w:ascii="宋体" w:hAnsi="宋体" w:cs="宋体"/>
          <w:sz w:val="24"/>
        </w:rPr>
        <w:t>对机组及电池柜进行内外部的彻底清扫。检测电池组/柜的完整性。测量设备的输入、输出电压及电流。对块电池进行充放电测试，根据UPS开始放电时间与UPS电池低压保护关机时间，算出电池的供电时间，查看是否满足时间的配置需求。出具检测报告。共计2套UPS设备。</w:t>
      </w:r>
    </w:p>
    <w:p w14:paraId="2607B989">
      <w:pPr>
        <w:spacing w:line="360" w:lineRule="auto"/>
        <w:ind w:firstLine="482" w:firstLineChars="200"/>
        <w:rPr>
          <w:rFonts w:hint="eastAsia" w:ascii="宋体" w:hAnsi="宋体" w:cs="宋体"/>
          <w:sz w:val="24"/>
        </w:rPr>
      </w:pPr>
      <w:r>
        <w:rPr>
          <w:rFonts w:hint="eastAsia" w:ascii="宋体" w:hAnsi="宋体" w:cs="宋体"/>
          <w:b/>
          <w:sz w:val="24"/>
        </w:rPr>
        <w:t>巡检设备内容包括：</w:t>
      </w:r>
      <w:r>
        <w:rPr>
          <w:rFonts w:hint="eastAsia" w:ascii="宋体" w:hAnsi="宋体" w:cs="宋体"/>
          <w:sz w:val="24"/>
        </w:rPr>
        <w:t>设备外观状况，设备状态灯，设备之间链接是否正常，蓄电池充放电测试等。</w:t>
      </w:r>
    </w:p>
    <w:p w14:paraId="11657352">
      <w:pPr>
        <w:spacing w:line="360" w:lineRule="auto"/>
        <w:ind w:firstLine="482" w:firstLineChars="200"/>
        <w:rPr>
          <w:rFonts w:hint="eastAsia" w:ascii="宋体" w:hAnsi="宋体" w:cs="宋体"/>
          <w:sz w:val="24"/>
        </w:rPr>
      </w:pPr>
      <w:r>
        <w:rPr>
          <w:rFonts w:hint="eastAsia" w:ascii="宋体" w:hAnsi="宋体" w:cs="宋体"/>
          <w:b/>
          <w:sz w:val="24"/>
        </w:rPr>
        <w:t>服务频率：</w:t>
      </w:r>
      <w:r>
        <w:rPr>
          <w:rFonts w:hint="eastAsia" w:ascii="宋体" w:hAnsi="宋体" w:cs="宋体"/>
          <w:sz w:val="24"/>
        </w:rPr>
        <w:t>市灾防所信息中心机房1次/季度，监测站信息中心机房1次/半年，服务期1年。</w:t>
      </w:r>
    </w:p>
    <w:p w14:paraId="7C05CD41">
      <w:pPr>
        <w:spacing w:line="360" w:lineRule="auto"/>
        <w:ind w:firstLine="482" w:firstLineChars="200"/>
        <w:rPr>
          <w:rFonts w:hint="eastAsia" w:ascii="宋体" w:hAnsi="宋体" w:cs="宋体"/>
          <w:sz w:val="24"/>
        </w:rPr>
      </w:pPr>
      <w:r>
        <w:rPr>
          <w:rFonts w:hint="eastAsia" w:ascii="宋体" w:hAnsi="宋体" w:cs="宋体"/>
          <w:b/>
          <w:sz w:val="24"/>
        </w:rPr>
        <w:t>服务成果：</w:t>
      </w:r>
      <w:r>
        <w:rPr>
          <w:rFonts w:hint="eastAsia" w:ascii="宋体" w:hAnsi="宋体" w:cs="宋体"/>
          <w:sz w:val="24"/>
        </w:rPr>
        <w:t>《市灾防所UPS配电柜、UPS电池柜、UPS电池运维保养报告》。</w:t>
      </w:r>
    </w:p>
    <w:p w14:paraId="05A026DC">
      <w:pPr>
        <w:spacing w:line="360" w:lineRule="auto"/>
        <w:ind w:firstLine="482" w:firstLineChars="200"/>
        <w:rPr>
          <w:rFonts w:hint="eastAsia" w:ascii="宋体" w:hAnsi="宋体" w:cs="宋体"/>
          <w:b/>
          <w:sz w:val="24"/>
        </w:rPr>
      </w:pPr>
      <w:r>
        <w:rPr>
          <w:rFonts w:hint="eastAsia" w:ascii="宋体" w:hAnsi="宋体" w:cs="宋体"/>
          <w:b/>
          <w:sz w:val="24"/>
        </w:rPr>
        <w:t>5.精密空调</w:t>
      </w:r>
    </w:p>
    <w:p w14:paraId="6BFF7D4B">
      <w:pPr>
        <w:spacing w:line="360" w:lineRule="auto"/>
        <w:ind w:firstLine="482" w:firstLineChars="200"/>
        <w:rPr>
          <w:rFonts w:hint="eastAsia" w:ascii="宋体" w:hAnsi="宋体" w:cs="宋体"/>
          <w:sz w:val="24"/>
        </w:rPr>
      </w:pPr>
      <w:r>
        <w:rPr>
          <w:rFonts w:hint="eastAsia" w:ascii="宋体" w:hAnsi="宋体" w:cs="宋体"/>
          <w:b/>
          <w:sz w:val="24"/>
        </w:rPr>
        <w:t>服务内容：</w:t>
      </w:r>
      <w:r>
        <w:rPr>
          <w:rFonts w:hint="eastAsia" w:ascii="宋体" w:hAnsi="宋体" w:cs="宋体"/>
          <w:sz w:val="24"/>
        </w:rPr>
        <w:t>空调控制系统的显示屏上检查空调系统的各项功能及参数是否正常，对压缩机和加湿器等部件进行检测维护。对室外室内机进行清洗，维护，进出水管道检查清洁，共计4台精密空调。</w:t>
      </w:r>
    </w:p>
    <w:p w14:paraId="43768900">
      <w:pPr>
        <w:spacing w:line="360" w:lineRule="auto"/>
        <w:ind w:firstLine="482" w:firstLineChars="200"/>
        <w:rPr>
          <w:rFonts w:hint="eastAsia" w:ascii="宋体" w:hAnsi="宋体" w:cs="宋体"/>
          <w:sz w:val="24"/>
        </w:rPr>
      </w:pPr>
      <w:r>
        <w:rPr>
          <w:rFonts w:hint="eastAsia" w:ascii="宋体" w:hAnsi="宋体" w:cs="宋体"/>
          <w:b/>
          <w:sz w:val="24"/>
        </w:rPr>
        <w:t>巡检设备内容包括：</w:t>
      </w:r>
      <w:r>
        <w:rPr>
          <w:rFonts w:hint="eastAsia" w:ascii="宋体" w:hAnsi="宋体" w:cs="宋体"/>
          <w:sz w:val="24"/>
        </w:rPr>
        <w:t>设备外观状况，设备状态灯，空调运行状态监测等。</w:t>
      </w:r>
    </w:p>
    <w:p w14:paraId="3572AE6D">
      <w:pPr>
        <w:spacing w:line="360" w:lineRule="auto"/>
        <w:ind w:firstLine="482" w:firstLineChars="200"/>
        <w:rPr>
          <w:rFonts w:hint="eastAsia" w:ascii="宋体" w:hAnsi="宋体" w:cs="宋体"/>
          <w:sz w:val="24"/>
        </w:rPr>
      </w:pPr>
      <w:r>
        <w:rPr>
          <w:rFonts w:hint="eastAsia" w:ascii="宋体" w:hAnsi="宋体" w:cs="宋体"/>
          <w:b/>
          <w:sz w:val="24"/>
        </w:rPr>
        <w:t>服务频率：</w:t>
      </w:r>
      <w:r>
        <w:rPr>
          <w:rFonts w:hint="eastAsia" w:ascii="宋体" w:hAnsi="宋体" w:cs="宋体"/>
          <w:sz w:val="24"/>
        </w:rPr>
        <w:t>市灾防所信息中心机房12次/年，监测站信息中心机房2次/年，服务期1年。</w:t>
      </w:r>
    </w:p>
    <w:p w14:paraId="0B9A54E2">
      <w:pPr>
        <w:spacing w:line="360" w:lineRule="auto"/>
        <w:ind w:firstLine="482" w:firstLineChars="200"/>
        <w:rPr>
          <w:rFonts w:hint="eastAsia" w:ascii="宋体" w:hAnsi="宋体" w:cs="宋体"/>
          <w:sz w:val="24"/>
        </w:rPr>
      </w:pPr>
      <w:r>
        <w:rPr>
          <w:rFonts w:hint="eastAsia" w:ascii="宋体" w:hAnsi="宋体" w:cs="宋体"/>
          <w:b/>
          <w:sz w:val="24"/>
        </w:rPr>
        <w:t>服务成果：</w:t>
      </w:r>
      <w:r>
        <w:rPr>
          <w:rFonts w:hint="eastAsia" w:ascii="宋体" w:hAnsi="宋体" w:cs="宋体"/>
          <w:sz w:val="24"/>
        </w:rPr>
        <w:t>《市灾防所精密空调运维保养报告》。</w:t>
      </w:r>
    </w:p>
    <w:p w14:paraId="3AB707F1">
      <w:pPr>
        <w:spacing w:line="360" w:lineRule="auto"/>
        <w:ind w:firstLine="482" w:firstLineChars="200"/>
        <w:rPr>
          <w:rFonts w:hint="eastAsia" w:ascii="宋体" w:hAnsi="宋体" w:cs="宋体"/>
          <w:b/>
          <w:sz w:val="24"/>
        </w:rPr>
      </w:pPr>
      <w:r>
        <w:rPr>
          <w:rFonts w:hint="eastAsia" w:ascii="宋体" w:hAnsi="宋体" w:cs="宋体"/>
          <w:b/>
          <w:sz w:val="24"/>
        </w:rPr>
        <w:t>6.网络及安全类设备</w:t>
      </w:r>
    </w:p>
    <w:p w14:paraId="1AB877FA">
      <w:pPr>
        <w:spacing w:line="360" w:lineRule="auto"/>
        <w:ind w:firstLine="482" w:firstLineChars="200"/>
        <w:rPr>
          <w:rFonts w:hint="eastAsia" w:ascii="宋体" w:hAnsi="宋体" w:cs="宋体"/>
          <w:sz w:val="24"/>
        </w:rPr>
      </w:pPr>
      <w:r>
        <w:rPr>
          <w:rFonts w:hint="eastAsia" w:ascii="宋体" w:hAnsi="宋体" w:cs="宋体"/>
          <w:b/>
          <w:sz w:val="24"/>
        </w:rPr>
        <w:t>服务内容：</w:t>
      </w:r>
      <w:r>
        <w:rPr>
          <w:rFonts w:hint="eastAsia" w:ascii="宋体" w:hAnsi="宋体" w:cs="宋体"/>
          <w:sz w:val="24"/>
        </w:rPr>
        <w:t>针对交换机，防火墙，堡垒机，审计等设备的清洁维护。设备合计约＞50台。并对每类设备进行逐一检测，保持防火墙等设备软件的及时更新和升级，以获取最新的漏洞修复和安全补丁。定期审核软件配置和规则，确保配置的正确性和完整性确保系统版本及授权等为最新版本。</w:t>
      </w:r>
    </w:p>
    <w:p w14:paraId="31DF79FA">
      <w:pPr>
        <w:spacing w:line="360" w:lineRule="auto"/>
        <w:ind w:firstLine="482" w:firstLineChars="200"/>
        <w:rPr>
          <w:rFonts w:hint="eastAsia" w:ascii="宋体" w:hAnsi="宋体" w:cs="宋体"/>
          <w:sz w:val="24"/>
        </w:rPr>
      </w:pPr>
      <w:r>
        <w:rPr>
          <w:rFonts w:hint="eastAsia" w:ascii="宋体" w:hAnsi="宋体" w:cs="宋体"/>
          <w:b/>
          <w:sz w:val="24"/>
        </w:rPr>
        <w:t>巡检设备内容包括：</w:t>
      </w:r>
      <w:r>
        <w:rPr>
          <w:rFonts w:hint="eastAsia" w:ascii="宋体" w:hAnsi="宋体" w:cs="宋体"/>
          <w:sz w:val="24"/>
        </w:rPr>
        <w:t>设备外观状况，设备状态灯，设备之间链接是否正常等。</w:t>
      </w:r>
    </w:p>
    <w:p w14:paraId="65574296">
      <w:pPr>
        <w:spacing w:line="360" w:lineRule="auto"/>
        <w:ind w:firstLine="482" w:firstLineChars="200"/>
        <w:rPr>
          <w:rFonts w:hint="eastAsia" w:ascii="宋体" w:hAnsi="宋体" w:cs="宋体"/>
          <w:sz w:val="24"/>
        </w:rPr>
      </w:pPr>
      <w:r>
        <w:rPr>
          <w:rFonts w:hint="eastAsia" w:ascii="宋体" w:hAnsi="宋体" w:cs="宋体"/>
          <w:b/>
          <w:sz w:val="24"/>
        </w:rPr>
        <w:t>服务频率：</w:t>
      </w:r>
      <w:r>
        <w:rPr>
          <w:rFonts w:hint="eastAsia" w:ascii="宋体" w:hAnsi="宋体" w:cs="宋体"/>
          <w:sz w:val="24"/>
        </w:rPr>
        <w:t>市灾防所信息中心机房1次/季度，监测站信息中心机房1次/半年，服务期1年。</w:t>
      </w:r>
    </w:p>
    <w:p w14:paraId="5FA25B5E">
      <w:pPr>
        <w:spacing w:line="360" w:lineRule="auto"/>
        <w:ind w:firstLine="482" w:firstLineChars="200"/>
        <w:rPr>
          <w:rFonts w:hint="eastAsia" w:ascii="宋体" w:hAnsi="宋体" w:cs="宋体"/>
          <w:sz w:val="24"/>
        </w:rPr>
      </w:pPr>
      <w:r>
        <w:rPr>
          <w:rFonts w:hint="eastAsia" w:ascii="宋体" w:hAnsi="宋体" w:cs="宋体"/>
          <w:b/>
          <w:sz w:val="24"/>
        </w:rPr>
        <w:t>服务成果：</w:t>
      </w:r>
      <w:r>
        <w:rPr>
          <w:rFonts w:hint="eastAsia" w:ascii="宋体" w:hAnsi="宋体" w:cs="宋体"/>
          <w:sz w:val="24"/>
        </w:rPr>
        <w:t>《市灾防所网络及安全类设备运维巡检报告》。</w:t>
      </w:r>
    </w:p>
    <w:p w14:paraId="72980E0C">
      <w:pPr>
        <w:autoSpaceDE w:val="0"/>
        <w:autoSpaceDN w:val="0"/>
        <w:adjustRightInd w:val="0"/>
        <w:spacing w:line="360" w:lineRule="auto"/>
        <w:ind w:firstLine="420"/>
        <w:jc w:val="left"/>
        <w:rPr>
          <w:rFonts w:hint="eastAsia" w:ascii="宋体" w:hAnsi="宋体" w:cs="宋体"/>
          <w:sz w:val="24"/>
        </w:rPr>
      </w:pPr>
      <w:r>
        <w:rPr>
          <w:rFonts w:hint="eastAsia" w:ascii="宋体" w:hAnsi="宋体" w:cs="宋体"/>
          <w:sz w:val="24"/>
        </w:rPr>
        <w:t>（二）安全运维</w:t>
      </w:r>
    </w:p>
    <w:p w14:paraId="4E5FC796">
      <w:pPr>
        <w:spacing w:line="360" w:lineRule="auto"/>
        <w:ind w:firstLine="482" w:firstLineChars="200"/>
        <w:rPr>
          <w:rFonts w:hint="eastAsia" w:ascii="宋体" w:hAnsi="宋体" w:cs="宋体"/>
          <w:b/>
          <w:sz w:val="24"/>
        </w:rPr>
      </w:pPr>
      <w:r>
        <w:rPr>
          <w:rFonts w:hint="eastAsia" w:ascii="宋体" w:hAnsi="宋体" w:cs="宋体"/>
          <w:b/>
          <w:sz w:val="24"/>
        </w:rPr>
        <w:t>1.渗透测试</w:t>
      </w:r>
    </w:p>
    <w:p w14:paraId="4B78AE9E">
      <w:pPr>
        <w:spacing w:line="360" w:lineRule="auto"/>
        <w:ind w:firstLine="482" w:firstLineChars="200"/>
        <w:rPr>
          <w:rFonts w:hint="eastAsia" w:ascii="宋体" w:hAnsi="宋体" w:cs="宋体"/>
          <w:sz w:val="24"/>
        </w:rPr>
      </w:pPr>
      <w:r>
        <w:rPr>
          <w:rFonts w:hint="eastAsia" w:ascii="宋体" w:hAnsi="宋体" w:cs="宋体"/>
          <w:b/>
          <w:sz w:val="24"/>
        </w:rPr>
        <w:t>服务内容：</w:t>
      </w:r>
      <w:r>
        <w:rPr>
          <w:rFonts w:hint="eastAsia" w:ascii="宋体" w:hAnsi="宋体" w:cs="宋体"/>
          <w:sz w:val="24"/>
        </w:rPr>
        <w:t>通过模拟真实黑客的攻击手法来对应用进行模拟攻击，由高级工程师进行深入的手工测试和分析，识别弱点扫描工具或者脆弱性扫描工具无法发现的问题工具弱点扫描无法发现的问题。主要分析内容包括逻辑设计缺陷、上传绕过输入输出校验绕过、数据算改、功能绕过、异常错误等以及其他专项内容测试与分析，了解应用系统可能存在的潜在漏洞以及发生漏洞利用时可能造成的危害，渗透结束后生成相关报告并提供修复建议。</w:t>
      </w:r>
    </w:p>
    <w:p w14:paraId="6FCFB72A">
      <w:pPr>
        <w:spacing w:line="360" w:lineRule="auto"/>
        <w:ind w:firstLine="482" w:firstLineChars="200"/>
        <w:rPr>
          <w:rFonts w:hint="eastAsia" w:ascii="宋体" w:hAnsi="宋体" w:cs="宋体"/>
          <w:sz w:val="24"/>
        </w:rPr>
      </w:pPr>
      <w:r>
        <w:rPr>
          <w:rFonts w:hint="eastAsia" w:ascii="宋体" w:hAnsi="宋体" w:cs="宋体"/>
          <w:b/>
          <w:sz w:val="24"/>
        </w:rPr>
        <w:t>服务范围：</w:t>
      </w:r>
      <w:r>
        <w:rPr>
          <w:rFonts w:hint="eastAsia" w:ascii="宋体" w:hAnsi="宋体" w:cs="宋体"/>
          <w:sz w:val="24"/>
        </w:rPr>
        <w:t>市灾防所重要信息系统。</w:t>
      </w:r>
    </w:p>
    <w:p w14:paraId="0EB2C950">
      <w:pPr>
        <w:spacing w:line="360" w:lineRule="auto"/>
        <w:ind w:firstLine="482" w:firstLineChars="200"/>
        <w:rPr>
          <w:rFonts w:hint="eastAsia" w:ascii="宋体" w:hAnsi="宋体" w:cs="宋体"/>
          <w:sz w:val="24"/>
        </w:rPr>
      </w:pPr>
      <w:r>
        <w:rPr>
          <w:rFonts w:hint="eastAsia" w:ascii="宋体" w:hAnsi="宋体" w:cs="宋体"/>
          <w:b/>
          <w:sz w:val="24"/>
        </w:rPr>
        <w:t>服务频率：</w:t>
      </w:r>
      <w:r>
        <w:rPr>
          <w:rFonts w:hint="eastAsia" w:ascii="宋体" w:hAnsi="宋体" w:cs="宋体"/>
          <w:sz w:val="24"/>
        </w:rPr>
        <w:t>每2月1次，全年共6次。</w:t>
      </w:r>
    </w:p>
    <w:p w14:paraId="7BE1A9B2">
      <w:pPr>
        <w:spacing w:line="360" w:lineRule="auto"/>
        <w:ind w:firstLine="482" w:firstLineChars="200"/>
        <w:rPr>
          <w:rFonts w:hint="eastAsia" w:ascii="宋体" w:hAnsi="宋体" w:cs="宋体"/>
          <w:sz w:val="24"/>
        </w:rPr>
      </w:pPr>
      <w:r>
        <w:rPr>
          <w:rFonts w:hint="eastAsia" w:ascii="宋体" w:hAnsi="宋体" w:cs="宋体"/>
          <w:b/>
          <w:sz w:val="24"/>
        </w:rPr>
        <w:t>服务成果：</w:t>
      </w:r>
      <w:r>
        <w:rPr>
          <w:rFonts w:hint="eastAsia" w:ascii="宋体" w:hAnsi="宋体" w:cs="宋体"/>
          <w:sz w:val="24"/>
        </w:rPr>
        <w:t>《市灾防所信息系统渗透测试报告》。</w:t>
      </w:r>
    </w:p>
    <w:p w14:paraId="1B38153E">
      <w:pPr>
        <w:spacing w:line="360" w:lineRule="auto"/>
        <w:ind w:firstLine="482" w:firstLineChars="200"/>
        <w:rPr>
          <w:rFonts w:hint="eastAsia" w:ascii="宋体" w:hAnsi="宋体" w:cs="宋体"/>
          <w:b/>
          <w:sz w:val="24"/>
        </w:rPr>
      </w:pPr>
      <w:r>
        <w:rPr>
          <w:rFonts w:hint="eastAsia" w:ascii="宋体" w:hAnsi="宋体" w:cs="宋体"/>
          <w:b/>
          <w:sz w:val="24"/>
        </w:rPr>
        <w:t>2.漏洞扫描</w:t>
      </w:r>
    </w:p>
    <w:p w14:paraId="51939D80">
      <w:pPr>
        <w:spacing w:line="360" w:lineRule="auto"/>
        <w:ind w:firstLine="482" w:firstLineChars="200"/>
        <w:rPr>
          <w:rFonts w:hint="eastAsia" w:ascii="宋体" w:hAnsi="宋体" w:cs="宋体"/>
          <w:sz w:val="24"/>
        </w:rPr>
      </w:pPr>
      <w:r>
        <w:rPr>
          <w:rFonts w:hint="eastAsia" w:ascii="宋体" w:hAnsi="宋体" w:cs="宋体"/>
          <w:b/>
          <w:sz w:val="24"/>
        </w:rPr>
        <w:t>服务内容：</w:t>
      </w:r>
      <w:r>
        <w:rPr>
          <w:rFonts w:hint="eastAsia" w:ascii="宋体" w:hAnsi="宋体" w:cs="宋体"/>
          <w:sz w:val="24"/>
        </w:rPr>
        <w:t>漏洞扫描，发现扫描对象存在的web应用漏洞、主机操作系统漏洞、数据库漏洞、逻辑缺陷、弱口令、信息泄露等脆弱性问题，生成相关报告并提供加固建议。</w:t>
      </w:r>
    </w:p>
    <w:p w14:paraId="270E1743">
      <w:pPr>
        <w:spacing w:line="360" w:lineRule="auto"/>
        <w:ind w:firstLine="482" w:firstLineChars="200"/>
        <w:rPr>
          <w:rFonts w:hint="eastAsia" w:ascii="宋体" w:hAnsi="宋体" w:cs="宋体"/>
          <w:sz w:val="24"/>
        </w:rPr>
      </w:pPr>
      <w:r>
        <w:rPr>
          <w:rFonts w:hint="eastAsia" w:ascii="宋体" w:hAnsi="宋体" w:cs="宋体"/>
          <w:b/>
          <w:sz w:val="24"/>
        </w:rPr>
        <w:t>服务范围：</w:t>
      </w:r>
      <w:r>
        <w:rPr>
          <w:rFonts w:hint="eastAsia" w:ascii="宋体" w:hAnsi="宋体" w:cs="宋体"/>
          <w:sz w:val="24"/>
        </w:rPr>
        <w:t>市灾防所信息中心所有设备。</w:t>
      </w:r>
    </w:p>
    <w:p w14:paraId="629F1E0F">
      <w:pPr>
        <w:spacing w:line="360" w:lineRule="auto"/>
        <w:ind w:firstLine="482" w:firstLineChars="200"/>
        <w:rPr>
          <w:rFonts w:hint="eastAsia" w:ascii="宋体" w:hAnsi="宋体" w:cs="宋体"/>
          <w:sz w:val="24"/>
        </w:rPr>
      </w:pPr>
      <w:r>
        <w:rPr>
          <w:rFonts w:hint="eastAsia" w:ascii="宋体" w:hAnsi="宋体" w:cs="宋体"/>
          <w:b/>
          <w:sz w:val="24"/>
        </w:rPr>
        <w:t>服务频率：</w:t>
      </w:r>
      <w:r>
        <w:rPr>
          <w:rFonts w:hint="eastAsia" w:ascii="宋体" w:hAnsi="宋体" w:cs="宋体"/>
          <w:sz w:val="24"/>
        </w:rPr>
        <w:t>每月1次，全年共12次。</w:t>
      </w:r>
    </w:p>
    <w:p w14:paraId="0D51128C">
      <w:pPr>
        <w:spacing w:line="360" w:lineRule="auto"/>
        <w:ind w:firstLine="482" w:firstLineChars="200"/>
        <w:rPr>
          <w:rFonts w:hint="eastAsia" w:ascii="宋体" w:hAnsi="宋体" w:cs="宋体"/>
          <w:sz w:val="24"/>
        </w:rPr>
      </w:pPr>
      <w:r>
        <w:rPr>
          <w:rFonts w:hint="eastAsia" w:ascii="宋体" w:hAnsi="宋体" w:cs="宋体"/>
          <w:b/>
          <w:sz w:val="24"/>
        </w:rPr>
        <w:t>服务成果：</w:t>
      </w:r>
      <w:r>
        <w:rPr>
          <w:rFonts w:hint="eastAsia" w:ascii="宋体" w:hAnsi="宋体" w:cs="宋体"/>
          <w:sz w:val="24"/>
        </w:rPr>
        <w:t>《市灾防所漏洞扫描报告》。</w:t>
      </w:r>
    </w:p>
    <w:p w14:paraId="7A414A51">
      <w:pPr>
        <w:spacing w:line="360" w:lineRule="auto"/>
        <w:ind w:firstLine="482" w:firstLineChars="200"/>
        <w:rPr>
          <w:rFonts w:hint="eastAsia" w:ascii="宋体" w:hAnsi="宋体" w:cs="宋体"/>
          <w:b/>
          <w:sz w:val="24"/>
        </w:rPr>
      </w:pPr>
      <w:r>
        <w:rPr>
          <w:rFonts w:hint="eastAsia" w:ascii="宋体" w:hAnsi="宋体" w:cs="宋体"/>
          <w:b/>
          <w:sz w:val="24"/>
        </w:rPr>
        <w:t>3.应急演练</w:t>
      </w:r>
    </w:p>
    <w:p w14:paraId="35CCEDE0">
      <w:pPr>
        <w:spacing w:line="360" w:lineRule="auto"/>
        <w:ind w:firstLine="482" w:firstLineChars="200"/>
        <w:rPr>
          <w:rFonts w:hint="eastAsia" w:ascii="宋体" w:hAnsi="宋体" w:cs="宋体"/>
          <w:sz w:val="24"/>
        </w:rPr>
      </w:pPr>
      <w:r>
        <w:rPr>
          <w:rFonts w:hint="eastAsia" w:ascii="宋体" w:hAnsi="宋体" w:cs="宋体"/>
          <w:b/>
          <w:sz w:val="24"/>
        </w:rPr>
        <w:t>服务内容：</w:t>
      </w:r>
      <w:r>
        <w:rPr>
          <w:rFonts w:hint="eastAsia" w:ascii="宋体" w:hAnsi="宋体" w:cs="宋体"/>
          <w:sz w:val="24"/>
        </w:rPr>
        <w:t>建立应急预案，并定期开展应急演练。通过实战演练来提高单位应对网络突发事件的行动力，根据出现的新的网络攻击手段或其他特殊情况，不断进行预案的调整完善。</w:t>
      </w:r>
    </w:p>
    <w:p w14:paraId="11CE8C4F">
      <w:pPr>
        <w:spacing w:line="360" w:lineRule="auto"/>
        <w:ind w:firstLine="482" w:firstLineChars="200"/>
        <w:rPr>
          <w:rFonts w:hint="eastAsia" w:ascii="宋体" w:hAnsi="宋体" w:cs="宋体"/>
          <w:sz w:val="24"/>
        </w:rPr>
      </w:pPr>
      <w:r>
        <w:rPr>
          <w:rFonts w:hint="eastAsia" w:ascii="宋体" w:hAnsi="宋体" w:cs="宋体"/>
          <w:b/>
          <w:sz w:val="24"/>
        </w:rPr>
        <w:t>服务范围：</w:t>
      </w:r>
      <w:r>
        <w:rPr>
          <w:rFonts w:hint="eastAsia" w:ascii="宋体" w:hAnsi="宋体" w:cs="宋体"/>
          <w:sz w:val="24"/>
        </w:rPr>
        <w:t>市灾防所信息系统。</w:t>
      </w:r>
    </w:p>
    <w:p w14:paraId="3BE975B0">
      <w:pPr>
        <w:spacing w:line="360" w:lineRule="auto"/>
        <w:ind w:firstLine="482" w:firstLineChars="200"/>
        <w:rPr>
          <w:rFonts w:hint="eastAsia" w:ascii="宋体" w:hAnsi="宋体" w:cs="宋体"/>
          <w:sz w:val="24"/>
        </w:rPr>
      </w:pPr>
      <w:r>
        <w:rPr>
          <w:rFonts w:hint="eastAsia" w:ascii="宋体" w:hAnsi="宋体" w:cs="宋体"/>
          <w:b/>
          <w:sz w:val="24"/>
        </w:rPr>
        <w:t>服务频率：</w:t>
      </w:r>
      <w:r>
        <w:rPr>
          <w:rFonts w:hint="eastAsia" w:ascii="宋体" w:hAnsi="宋体" w:cs="宋体"/>
          <w:sz w:val="24"/>
        </w:rPr>
        <w:t>每年1次，共1次。</w:t>
      </w:r>
    </w:p>
    <w:p w14:paraId="0654A341">
      <w:pPr>
        <w:spacing w:line="360" w:lineRule="auto"/>
        <w:ind w:firstLine="482" w:firstLineChars="200"/>
        <w:rPr>
          <w:rFonts w:hint="eastAsia" w:ascii="宋体" w:hAnsi="宋体" w:cs="宋体"/>
          <w:sz w:val="24"/>
        </w:rPr>
      </w:pPr>
      <w:r>
        <w:rPr>
          <w:rFonts w:hint="eastAsia" w:ascii="宋体" w:hAnsi="宋体" w:cs="宋体"/>
          <w:b/>
          <w:sz w:val="24"/>
        </w:rPr>
        <w:t>服务成果：</w:t>
      </w:r>
      <w:r>
        <w:rPr>
          <w:rFonts w:hint="eastAsia" w:ascii="宋体" w:hAnsi="宋体" w:cs="宋体"/>
          <w:sz w:val="24"/>
        </w:rPr>
        <w:t>演练后出具《市灾防所应急演练过程说明》，并更新《市灾防所应急预案》。</w:t>
      </w:r>
    </w:p>
    <w:p w14:paraId="78079E92">
      <w:pPr>
        <w:spacing w:line="360" w:lineRule="auto"/>
        <w:ind w:firstLine="482" w:firstLineChars="200"/>
        <w:rPr>
          <w:rFonts w:hint="eastAsia" w:ascii="宋体" w:hAnsi="宋体" w:cs="宋体"/>
          <w:b/>
          <w:sz w:val="24"/>
        </w:rPr>
      </w:pPr>
      <w:r>
        <w:rPr>
          <w:rFonts w:hint="eastAsia" w:ascii="宋体" w:hAnsi="宋体" w:cs="宋体"/>
          <w:b/>
          <w:sz w:val="24"/>
        </w:rPr>
        <w:t>4.脆弱性测试</w:t>
      </w:r>
    </w:p>
    <w:p w14:paraId="575B3C73">
      <w:pPr>
        <w:spacing w:line="360" w:lineRule="auto"/>
        <w:ind w:firstLine="482" w:firstLineChars="200"/>
        <w:rPr>
          <w:rFonts w:hint="eastAsia" w:ascii="宋体" w:hAnsi="宋体" w:cs="宋体"/>
          <w:sz w:val="24"/>
        </w:rPr>
      </w:pPr>
      <w:r>
        <w:rPr>
          <w:rFonts w:hint="eastAsia" w:ascii="宋体" w:hAnsi="宋体" w:cs="宋体"/>
          <w:b/>
          <w:sz w:val="24"/>
        </w:rPr>
        <w:t>服务内容：</w:t>
      </w:r>
      <w:r>
        <w:rPr>
          <w:rFonts w:hint="eastAsia" w:ascii="宋体" w:hAnsi="宋体" w:cs="宋体"/>
          <w:sz w:val="24"/>
        </w:rPr>
        <w:t>涵盖应用系统、数据库等，进行安全检测，以发现在网络、运维器策略配置等层面存在的安全隐患，为安全优化工作提供建设依据。</w:t>
      </w:r>
    </w:p>
    <w:p w14:paraId="622AF9E4">
      <w:pPr>
        <w:spacing w:line="360" w:lineRule="auto"/>
        <w:ind w:firstLine="482" w:firstLineChars="200"/>
        <w:rPr>
          <w:rFonts w:hint="eastAsia" w:ascii="宋体" w:hAnsi="宋体" w:cs="宋体"/>
          <w:sz w:val="24"/>
        </w:rPr>
      </w:pPr>
      <w:r>
        <w:rPr>
          <w:rFonts w:hint="eastAsia" w:ascii="宋体" w:hAnsi="宋体" w:cs="宋体"/>
          <w:b/>
          <w:sz w:val="24"/>
        </w:rPr>
        <w:t>服务范围：</w:t>
      </w:r>
      <w:r>
        <w:rPr>
          <w:rFonts w:hint="eastAsia" w:ascii="宋体" w:hAnsi="宋体" w:cs="宋体"/>
          <w:sz w:val="24"/>
        </w:rPr>
        <w:t>市灾防所信息系统。</w:t>
      </w:r>
    </w:p>
    <w:p w14:paraId="25C1922C">
      <w:pPr>
        <w:spacing w:line="360" w:lineRule="auto"/>
        <w:ind w:firstLine="482" w:firstLineChars="200"/>
        <w:rPr>
          <w:rFonts w:hint="eastAsia" w:ascii="宋体" w:hAnsi="宋体" w:cs="宋体"/>
          <w:sz w:val="24"/>
        </w:rPr>
      </w:pPr>
      <w:r>
        <w:rPr>
          <w:rFonts w:hint="eastAsia" w:ascii="宋体" w:hAnsi="宋体" w:cs="宋体"/>
          <w:b/>
          <w:sz w:val="24"/>
        </w:rPr>
        <w:t>服务频率：</w:t>
      </w:r>
      <w:r>
        <w:rPr>
          <w:rFonts w:hint="eastAsia" w:ascii="宋体" w:hAnsi="宋体" w:cs="宋体"/>
          <w:sz w:val="24"/>
        </w:rPr>
        <w:t>每半年1次，共2次。</w:t>
      </w:r>
    </w:p>
    <w:p w14:paraId="0E115C82">
      <w:pPr>
        <w:spacing w:line="360" w:lineRule="auto"/>
        <w:ind w:firstLine="482" w:firstLineChars="200"/>
        <w:rPr>
          <w:rFonts w:hint="eastAsia" w:ascii="宋体" w:hAnsi="宋体" w:cs="宋体"/>
          <w:sz w:val="24"/>
        </w:rPr>
      </w:pPr>
      <w:r>
        <w:rPr>
          <w:rFonts w:hint="eastAsia" w:ascii="宋体" w:hAnsi="宋体" w:cs="宋体"/>
          <w:b/>
          <w:sz w:val="24"/>
        </w:rPr>
        <w:t>服务成果：</w:t>
      </w:r>
      <w:r>
        <w:rPr>
          <w:rFonts w:hint="eastAsia" w:ascii="宋体" w:hAnsi="宋体" w:cs="宋体"/>
          <w:sz w:val="24"/>
        </w:rPr>
        <w:t>《脆弱性测试报告》。</w:t>
      </w:r>
    </w:p>
    <w:p w14:paraId="4B169562">
      <w:pPr>
        <w:spacing w:line="360" w:lineRule="auto"/>
        <w:ind w:firstLine="482" w:firstLineChars="200"/>
        <w:rPr>
          <w:rFonts w:hint="eastAsia" w:ascii="宋体" w:hAnsi="宋体" w:cs="宋体"/>
          <w:b/>
          <w:sz w:val="24"/>
        </w:rPr>
      </w:pPr>
      <w:r>
        <w:rPr>
          <w:rFonts w:hint="eastAsia" w:ascii="宋体" w:hAnsi="宋体" w:cs="宋体"/>
          <w:b/>
          <w:sz w:val="24"/>
        </w:rPr>
        <w:t>5.日志分析</w:t>
      </w:r>
    </w:p>
    <w:p w14:paraId="3C6DA63F">
      <w:pPr>
        <w:spacing w:line="360" w:lineRule="auto"/>
        <w:ind w:firstLine="482" w:firstLineChars="200"/>
        <w:rPr>
          <w:rFonts w:hint="eastAsia" w:ascii="宋体" w:hAnsi="宋体" w:cs="宋体"/>
          <w:sz w:val="24"/>
        </w:rPr>
      </w:pPr>
      <w:r>
        <w:rPr>
          <w:rFonts w:hint="eastAsia" w:ascii="宋体" w:hAnsi="宋体" w:cs="宋体"/>
          <w:b/>
          <w:sz w:val="24"/>
        </w:rPr>
        <w:t>服务内容：</w:t>
      </w:r>
      <w:r>
        <w:rPr>
          <w:rFonts w:hint="eastAsia" w:ascii="宋体" w:hAnsi="宋体" w:cs="宋体"/>
          <w:sz w:val="24"/>
        </w:rPr>
        <w:t>通过收集用户网络中的运维器、网络设备、安全设备等的日志信息，进行关联分析，发现潜在的威胁和未知的入侵行为。态势感知日志检索分析。日志检索分析运维器日志检索分析。</w:t>
      </w:r>
    </w:p>
    <w:p w14:paraId="558F89F7">
      <w:pPr>
        <w:spacing w:line="360" w:lineRule="auto"/>
        <w:ind w:firstLine="482" w:firstLineChars="200"/>
        <w:rPr>
          <w:rFonts w:hint="eastAsia" w:ascii="宋体" w:hAnsi="宋体" w:cs="宋体"/>
          <w:sz w:val="24"/>
        </w:rPr>
      </w:pPr>
      <w:r>
        <w:rPr>
          <w:rFonts w:hint="eastAsia" w:ascii="宋体" w:hAnsi="宋体" w:cs="宋体"/>
          <w:b/>
          <w:sz w:val="24"/>
        </w:rPr>
        <w:t>服务范围：</w:t>
      </w:r>
      <w:r>
        <w:rPr>
          <w:rFonts w:hint="eastAsia" w:ascii="宋体" w:hAnsi="宋体" w:cs="宋体"/>
          <w:sz w:val="24"/>
        </w:rPr>
        <w:t>市灾防所信息系统。</w:t>
      </w:r>
    </w:p>
    <w:p w14:paraId="7EACA2B7">
      <w:pPr>
        <w:spacing w:line="360" w:lineRule="auto"/>
        <w:ind w:firstLine="482" w:firstLineChars="200"/>
        <w:rPr>
          <w:rFonts w:hint="eastAsia" w:ascii="宋体" w:hAnsi="宋体" w:cs="宋体"/>
          <w:sz w:val="24"/>
        </w:rPr>
      </w:pPr>
      <w:r>
        <w:rPr>
          <w:rFonts w:hint="eastAsia" w:ascii="宋体" w:hAnsi="宋体" w:cs="宋体"/>
          <w:b/>
          <w:sz w:val="24"/>
        </w:rPr>
        <w:t>服务频率：</w:t>
      </w:r>
      <w:r>
        <w:rPr>
          <w:rFonts w:hint="eastAsia" w:ascii="宋体" w:hAnsi="宋体" w:cs="宋体"/>
          <w:sz w:val="24"/>
        </w:rPr>
        <w:t>每半年1次，共2次。</w:t>
      </w:r>
    </w:p>
    <w:p w14:paraId="3FEB4C74">
      <w:pPr>
        <w:spacing w:line="360" w:lineRule="auto"/>
        <w:ind w:firstLine="482" w:firstLineChars="200"/>
        <w:rPr>
          <w:rFonts w:hint="eastAsia" w:ascii="宋体" w:hAnsi="宋体" w:cs="宋体"/>
          <w:sz w:val="24"/>
        </w:rPr>
      </w:pPr>
      <w:r>
        <w:rPr>
          <w:rFonts w:hint="eastAsia" w:ascii="宋体" w:hAnsi="宋体" w:cs="宋体"/>
          <w:b/>
          <w:sz w:val="24"/>
        </w:rPr>
        <w:t>服务成果：</w:t>
      </w:r>
      <w:r>
        <w:rPr>
          <w:rFonts w:hint="eastAsia" w:ascii="宋体" w:hAnsi="宋体" w:cs="宋体"/>
          <w:sz w:val="24"/>
        </w:rPr>
        <w:t>《日志分析报告》。</w:t>
      </w:r>
    </w:p>
    <w:p w14:paraId="40E0CF4A">
      <w:pPr>
        <w:spacing w:line="360" w:lineRule="auto"/>
        <w:ind w:firstLine="482" w:firstLineChars="200"/>
        <w:rPr>
          <w:rFonts w:hint="eastAsia" w:ascii="宋体" w:hAnsi="宋体" w:cs="宋体"/>
          <w:b/>
          <w:sz w:val="24"/>
        </w:rPr>
      </w:pPr>
      <w:r>
        <w:rPr>
          <w:rFonts w:hint="eastAsia" w:ascii="宋体" w:hAnsi="宋体" w:cs="宋体"/>
          <w:b/>
          <w:sz w:val="24"/>
        </w:rPr>
        <w:t>6.安全加固</w:t>
      </w:r>
    </w:p>
    <w:p w14:paraId="0B7D18DC">
      <w:pPr>
        <w:spacing w:line="360" w:lineRule="auto"/>
        <w:ind w:firstLine="482" w:firstLineChars="200"/>
        <w:rPr>
          <w:rFonts w:hint="eastAsia" w:ascii="宋体" w:hAnsi="宋体" w:cs="宋体"/>
          <w:sz w:val="24"/>
        </w:rPr>
      </w:pPr>
      <w:r>
        <w:rPr>
          <w:rFonts w:hint="eastAsia" w:ascii="宋体" w:hAnsi="宋体" w:cs="宋体"/>
          <w:b/>
          <w:sz w:val="24"/>
        </w:rPr>
        <w:t>服务内容：</w:t>
      </w:r>
      <w:r>
        <w:rPr>
          <w:rFonts w:hint="eastAsia" w:ascii="宋体" w:hAnsi="宋体" w:cs="宋体"/>
          <w:sz w:val="24"/>
        </w:rPr>
        <w:t>参考国内国际权威的系统安全配置标准，并结合客户的实际业务需要，对重点运维器的操作系统和应用运维进行适度安全配置加固和系统安全优化。并包括基线安全检查后的安全配置修改。对网站/应用安全检查后的配置修改。对策略的实际情况进行配置修改。对安全风险进行整改。</w:t>
      </w:r>
    </w:p>
    <w:p w14:paraId="592F74A1">
      <w:pPr>
        <w:spacing w:line="360" w:lineRule="auto"/>
        <w:ind w:firstLine="482" w:firstLineChars="200"/>
        <w:rPr>
          <w:rFonts w:hint="eastAsia" w:ascii="宋体" w:hAnsi="宋体" w:cs="宋体"/>
          <w:sz w:val="24"/>
        </w:rPr>
      </w:pPr>
      <w:r>
        <w:rPr>
          <w:rFonts w:hint="eastAsia" w:ascii="宋体" w:hAnsi="宋体" w:cs="宋体"/>
          <w:b/>
          <w:sz w:val="24"/>
        </w:rPr>
        <w:t>服务范围：</w:t>
      </w:r>
      <w:r>
        <w:rPr>
          <w:rFonts w:hint="eastAsia" w:ascii="宋体" w:hAnsi="宋体" w:cs="宋体"/>
          <w:sz w:val="24"/>
        </w:rPr>
        <w:t>市灾防所信息系统。</w:t>
      </w:r>
    </w:p>
    <w:p w14:paraId="0C9A33FC">
      <w:pPr>
        <w:spacing w:line="360" w:lineRule="auto"/>
        <w:ind w:firstLine="482" w:firstLineChars="200"/>
        <w:rPr>
          <w:rFonts w:hint="eastAsia" w:ascii="宋体" w:hAnsi="宋体" w:cs="宋体"/>
          <w:sz w:val="24"/>
        </w:rPr>
      </w:pPr>
      <w:r>
        <w:rPr>
          <w:rFonts w:hint="eastAsia" w:ascii="宋体" w:hAnsi="宋体" w:cs="宋体"/>
          <w:b/>
          <w:sz w:val="24"/>
        </w:rPr>
        <w:t>服务频率：</w:t>
      </w:r>
      <w:r>
        <w:rPr>
          <w:rFonts w:hint="eastAsia" w:ascii="宋体" w:hAnsi="宋体" w:cs="宋体"/>
          <w:sz w:val="24"/>
        </w:rPr>
        <w:t>每半年1次，共2次。</w:t>
      </w:r>
    </w:p>
    <w:p w14:paraId="12C908D1">
      <w:pPr>
        <w:spacing w:line="360" w:lineRule="auto"/>
        <w:ind w:firstLine="482" w:firstLineChars="200"/>
        <w:rPr>
          <w:rFonts w:hint="eastAsia" w:ascii="宋体" w:hAnsi="宋体" w:cs="宋体"/>
          <w:sz w:val="24"/>
        </w:rPr>
      </w:pPr>
      <w:r>
        <w:rPr>
          <w:rFonts w:hint="eastAsia" w:ascii="宋体" w:hAnsi="宋体" w:cs="宋体"/>
          <w:b/>
          <w:sz w:val="24"/>
        </w:rPr>
        <w:t>服务成果：</w:t>
      </w:r>
      <w:r>
        <w:rPr>
          <w:rFonts w:hint="eastAsia" w:ascii="宋体" w:hAnsi="宋体" w:cs="宋体"/>
          <w:sz w:val="24"/>
        </w:rPr>
        <w:t>《安全加固报告》。</w:t>
      </w:r>
    </w:p>
    <w:p w14:paraId="4563EB3B">
      <w:pPr>
        <w:spacing w:line="360" w:lineRule="auto"/>
        <w:ind w:firstLine="482" w:firstLineChars="200"/>
        <w:rPr>
          <w:rFonts w:hint="eastAsia" w:ascii="宋体" w:hAnsi="宋体" w:cs="宋体"/>
          <w:b/>
          <w:sz w:val="24"/>
        </w:rPr>
      </w:pPr>
      <w:r>
        <w:rPr>
          <w:rFonts w:hint="eastAsia" w:ascii="宋体" w:hAnsi="宋体" w:cs="宋体"/>
          <w:b/>
          <w:sz w:val="24"/>
        </w:rPr>
        <w:t>7.安全培训</w:t>
      </w:r>
    </w:p>
    <w:p w14:paraId="2543FDD8">
      <w:pPr>
        <w:spacing w:line="360" w:lineRule="auto"/>
        <w:ind w:firstLine="482" w:firstLineChars="200"/>
        <w:rPr>
          <w:rFonts w:hint="eastAsia" w:ascii="宋体" w:hAnsi="宋体" w:cs="宋体"/>
          <w:sz w:val="24"/>
        </w:rPr>
      </w:pPr>
      <w:r>
        <w:rPr>
          <w:rFonts w:hint="eastAsia" w:ascii="宋体" w:hAnsi="宋体" w:cs="宋体"/>
          <w:b/>
          <w:sz w:val="24"/>
        </w:rPr>
        <w:t>服务内容：</w:t>
      </w:r>
      <w:r>
        <w:rPr>
          <w:rFonts w:hint="eastAsia" w:ascii="宋体" w:hAnsi="宋体" w:cs="宋体"/>
          <w:sz w:val="24"/>
        </w:rPr>
        <w:t>对用户进行安全意识培训，及国家制定的新的政策解读并提供建议方案。举办安全讲座，邮件，文本资料等方式，让员工深入了解网络安全的重要性，并学习实用的安全技能。并不定期邀请技术人员列席专业性的会议，切身感受新技术新产品的安全发展趋势。</w:t>
      </w:r>
    </w:p>
    <w:p w14:paraId="3C6DFEEB">
      <w:pPr>
        <w:spacing w:line="360" w:lineRule="auto"/>
        <w:ind w:firstLine="482" w:firstLineChars="200"/>
        <w:rPr>
          <w:rFonts w:hint="eastAsia" w:ascii="宋体" w:hAnsi="宋体" w:cs="宋体"/>
          <w:sz w:val="24"/>
        </w:rPr>
      </w:pPr>
      <w:r>
        <w:rPr>
          <w:rFonts w:hint="eastAsia" w:ascii="宋体" w:hAnsi="宋体" w:cs="宋体"/>
          <w:b/>
          <w:sz w:val="24"/>
        </w:rPr>
        <w:t>服务范围：</w:t>
      </w:r>
      <w:r>
        <w:rPr>
          <w:rFonts w:hint="eastAsia" w:ascii="宋体" w:hAnsi="宋体" w:cs="宋体"/>
          <w:sz w:val="24"/>
        </w:rPr>
        <w:t>市灾防所人员。</w:t>
      </w:r>
    </w:p>
    <w:p w14:paraId="62D940BB">
      <w:pPr>
        <w:spacing w:line="360" w:lineRule="auto"/>
        <w:ind w:firstLine="482" w:firstLineChars="200"/>
        <w:rPr>
          <w:rFonts w:hint="eastAsia" w:ascii="宋体" w:hAnsi="宋体" w:cs="宋体"/>
          <w:sz w:val="24"/>
        </w:rPr>
      </w:pPr>
      <w:r>
        <w:rPr>
          <w:rFonts w:hint="eastAsia" w:ascii="宋体" w:hAnsi="宋体" w:cs="宋体"/>
          <w:b/>
          <w:sz w:val="24"/>
        </w:rPr>
        <w:t>服务频率：</w:t>
      </w:r>
      <w:r>
        <w:rPr>
          <w:rFonts w:hint="eastAsia" w:ascii="宋体" w:hAnsi="宋体" w:cs="宋体"/>
          <w:sz w:val="24"/>
        </w:rPr>
        <w:t>2次/年</w:t>
      </w:r>
    </w:p>
    <w:p w14:paraId="43952B16">
      <w:pPr>
        <w:spacing w:line="360" w:lineRule="auto"/>
        <w:ind w:firstLine="482" w:firstLineChars="200"/>
        <w:rPr>
          <w:rFonts w:hint="eastAsia" w:ascii="宋体" w:hAnsi="宋体" w:cs="宋体"/>
          <w:sz w:val="24"/>
        </w:rPr>
      </w:pPr>
      <w:r>
        <w:rPr>
          <w:rFonts w:hint="eastAsia" w:ascii="宋体" w:hAnsi="宋体" w:cs="宋体"/>
          <w:b/>
          <w:sz w:val="24"/>
        </w:rPr>
        <w:t>服务成果：</w:t>
      </w:r>
      <w:r>
        <w:rPr>
          <w:rFonts w:hint="eastAsia" w:ascii="宋体" w:hAnsi="宋体" w:cs="宋体"/>
          <w:sz w:val="24"/>
        </w:rPr>
        <w:t>《市灾防所安全培训总结报告》。</w:t>
      </w:r>
    </w:p>
    <w:p w14:paraId="4CA2CD13">
      <w:pPr>
        <w:spacing w:line="360" w:lineRule="auto"/>
        <w:ind w:firstLine="482" w:firstLineChars="200"/>
        <w:rPr>
          <w:rFonts w:hint="eastAsia" w:ascii="宋体" w:hAnsi="宋体" w:cs="宋体"/>
          <w:b/>
          <w:sz w:val="24"/>
        </w:rPr>
      </w:pPr>
      <w:r>
        <w:rPr>
          <w:rFonts w:hint="eastAsia" w:ascii="宋体" w:hAnsi="宋体" w:cs="宋体"/>
          <w:b/>
          <w:sz w:val="24"/>
        </w:rPr>
        <w:t>8.风险评估</w:t>
      </w:r>
    </w:p>
    <w:p w14:paraId="1CA222D4">
      <w:pPr>
        <w:spacing w:line="360" w:lineRule="auto"/>
        <w:ind w:firstLine="482" w:firstLineChars="200"/>
        <w:rPr>
          <w:rFonts w:hint="eastAsia" w:ascii="宋体" w:hAnsi="宋体" w:cs="宋体"/>
          <w:sz w:val="24"/>
        </w:rPr>
      </w:pPr>
      <w:r>
        <w:rPr>
          <w:rFonts w:hint="eastAsia" w:ascii="宋体" w:hAnsi="宋体" w:cs="宋体"/>
          <w:b/>
          <w:sz w:val="24"/>
        </w:rPr>
        <w:t>服务内容：</w:t>
      </w:r>
      <w:r>
        <w:rPr>
          <w:rFonts w:hint="eastAsia" w:ascii="宋体" w:hAnsi="宋体" w:cs="宋体"/>
          <w:sz w:val="24"/>
        </w:rPr>
        <w:t>对重要信息系统开展风险评估工作，包括资产、威胁、脆弱性识别、风险分析、风险处置等。平衡安全风险与成本代价，提供有效的安全加固和改进建议，为以后的安全规划建设提供依据和参考，建立信息安全风险管理机制。</w:t>
      </w:r>
    </w:p>
    <w:p w14:paraId="131ED917">
      <w:pPr>
        <w:spacing w:line="360" w:lineRule="auto"/>
        <w:ind w:firstLine="482" w:firstLineChars="200"/>
        <w:rPr>
          <w:rFonts w:hint="eastAsia" w:ascii="宋体" w:hAnsi="宋体" w:cs="宋体"/>
          <w:sz w:val="24"/>
        </w:rPr>
      </w:pPr>
      <w:r>
        <w:rPr>
          <w:rFonts w:hint="eastAsia" w:ascii="宋体" w:hAnsi="宋体" w:cs="宋体"/>
          <w:b/>
          <w:sz w:val="24"/>
        </w:rPr>
        <w:t>服务范围：</w:t>
      </w:r>
      <w:r>
        <w:rPr>
          <w:rFonts w:hint="eastAsia" w:ascii="宋体" w:hAnsi="宋体" w:cs="宋体"/>
          <w:sz w:val="24"/>
        </w:rPr>
        <w:t>市灾防所信息系统</w:t>
      </w:r>
    </w:p>
    <w:p w14:paraId="217AF211">
      <w:pPr>
        <w:spacing w:line="360" w:lineRule="auto"/>
        <w:ind w:firstLine="482" w:firstLineChars="200"/>
        <w:rPr>
          <w:rFonts w:hint="eastAsia" w:ascii="宋体" w:hAnsi="宋体" w:cs="宋体"/>
          <w:sz w:val="24"/>
        </w:rPr>
      </w:pPr>
      <w:r>
        <w:rPr>
          <w:rFonts w:hint="eastAsia" w:ascii="宋体" w:hAnsi="宋体" w:cs="宋体"/>
          <w:b/>
          <w:sz w:val="24"/>
        </w:rPr>
        <w:t>服务频率：</w:t>
      </w:r>
      <w:r>
        <w:rPr>
          <w:rFonts w:hint="eastAsia" w:ascii="宋体" w:hAnsi="宋体" w:cs="宋体"/>
          <w:sz w:val="24"/>
        </w:rPr>
        <w:t>信息系统进行每半年1次，共2次。</w:t>
      </w:r>
    </w:p>
    <w:p w14:paraId="04A53E30">
      <w:pPr>
        <w:spacing w:line="360" w:lineRule="auto"/>
        <w:ind w:firstLine="482" w:firstLineChars="200"/>
        <w:rPr>
          <w:rFonts w:hint="eastAsia" w:ascii="宋体" w:hAnsi="宋体" w:cs="宋体"/>
          <w:sz w:val="24"/>
        </w:rPr>
      </w:pPr>
      <w:r>
        <w:rPr>
          <w:rFonts w:hint="eastAsia" w:ascii="宋体" w:hAnsi="宋体" w:cs="宋体"/>
          <w:b/>
          <w:sz w:val="24"/>
        </w:rPr>
        <w:t>服务成果：</w:t>
      </w:r>
      <w:r>
        <w:rPr>
          <w:rFonts w:hint="eastAsia" w:ascii="宋体" w:hAnsi="宋体" w:cs="宋体"/>
          <w:sz w:val="24"/>
        </w:rPr>
        <w:t>《市灾防所信息系统风险评估报告》。</w:t>
      </w:r>
    </w:p>
    <w:p w14:paraId="524F59E7">
      <w:pPr>
        <w:spacing w:line="360" w:lineRule="auto"/>
        <w:ind w:firstLine="482" w:firstLineChars="200"/>
        <w:rPr>
          <w:rFonts w:hint="eastAsia" w:ascii="宋体" w:hAnsi="宋体" w:cs="宋体"/>
          <w:b/>
          <w:sz w:val="24"/>
        </w:rPr>
      </w:pPr>
      <w:r>
        <w:rPr>
          <w:rFonts w:hint="eastAsia" w:ascii="宋体" w:hAnsi="宋体" w:cs="宋体"/>
          <w:b/>
          <w:sz w:val="24"/>
        </w:rPr>
        <w:t>9.网站安全监测</w:t>
      </w:r>
    </w:p>
    <w:p w14:paraId="4938E209">
      <w:pPr>
        <w:spacing w:line="360" w:lineRule="auto"/>
        <w:ind w:firstLine="482" w:firstLineChars="200"/>
        <w:rPr>
          <w:rFonts w:hint="eastAsia" w:ascii="宋体" w:hAnsi="宋体" w:cs="宋体"/>
          <w:sz w:val="24"/>
        </w:rPr>
      </w:pPr>
      <w:r>
        <w:rPr>
          <w:rFonts w:hint="eastAsia" w:ascii="宋体" w:hAnsi="宋体" w:cs="宋体"/>
          <w:b/>
          <w:sz w:val="24"/>
        </w:rPr>
        <w:t>服务内容：</w:t>
      </w:r>
      <w:r>
        <w:rPr>
          <w:rFonts w:hint="eastAsia" w:ascii="宋体" w:hAnsi="宋体" w:cs="宋体"/>
          <w:sz w:val="24"/>
        </w:rPr>
        <w:t>设置监测工具，实时监控网站流量和活动。识别异常流量和潜在攻击行为，如SQL注入、跨站脚本等。 一旦发现异常，立即生成警报并采取相应措施。</w:t>
      </w:r>
    </w:p>
    <w:p w14:paraId="26445B6C">
      <w:pPr>
        <w:spacing w:line="360" w:lineRule="auto"/>
        <w:ind w:firstLine="482" w:firstLineChars="200"/>
        <w:rPr>
          <w:rFonts w:hint="eastAsia" w:ascii="宋体" w:hAnsi="宋体" w:cs="宋体"/>
          <w:sz w:val="24"/>
        </w:rPr>
      </w:pPr>
      <w:r>
        <w:rPr>
          <w:rFonts w:hint="eastAsia" w:ascii="宋体" w:hAnsi="宋体" w:cs="宋体"/>
          <w:b/>
          <w:sz w:val="24"/>
        </w:rPr>
        <w:t>服务范围：</w:t>
      </w:r>
      <w:r>
        <w:rPr>
          <w:rFonts w:hint="eastAsia" w:ascii="宋体" w:hAnsi="宋体" w:cs="宋体"/>
          <w:sz w:val="24"/>
        </w:rPr>
        <w:t>市灾防所信息系统</w:t>
      </w:r>
    </w:p>
    <w:p w14:paraId="27740425">
      <w:pPr>
        <w:spacing w:line="360" w:lineRule="auto"/>
        <w:ind w:firstLine="482" w:firstLineChars="200"/>
        <w:rPr>
          <w:rFonts w:hint="eastAsia" w:ascii="宋体" w:hAnsi="宋体" w:cs="宋体"/>
          <w:sz w:val="24"/>
        </w:rPr>
      </w:pPr>
      <w:r>
        <w:rPr>
          <w:rFonts w:hint="eastAsia" w:ascii="宋体" w:hAnsi="宋体" w:cs="宋体"/>
          <w:b/>
          <w:sz w:val="24"/>
        </w:rPr>
        <w:t>服务频率：</w:t>
      </w:r>
      <w:r>
        <w:rPr>
          <w:rFonts w:hint="eastAsia" w:ascii="宋体" w:hAnsi="宋体" w:cs="宋体"/>
          <w:sz w:val="24"/>
        </w:rPr>
        <w:t>信息系统进行全年服务。</w:t>
      </w:r>
    </w:p>
    <w:p w14:paraId="28CFC4FA">
      <w:pPr>
        <w:spacing w:line="360" w:lineRule="auto"/>
        <w:ind w:firstLine="482" w:firstLineChars="200"/>
        <w:rPr>
          <w:rFonts w:hint="eastAsia" w:ascii="宋体" w:hAnsi="宋体" w:cs="宋体"/>
          <w:sz w:val="24"/>
        </w:rPr>
      </w:pPr>
      <w:r>
        <w:rPr>
          <w:rFonts w:hint="eastAsia" w:ascii="宋体" w:hAnsi="宋体" w:cs="宋体"/>
          <w:b/>
          <w:sz w:val="24"/>
        </w:rPr>
        <w:t>服务成果：</w:t>
      </w:r>
      <w:r>
        <w:rPr>
          <w:rFonts w:hint="eastAsia" w:ascii="宋体" w:hAnsi="宋体" w:cs="宋体"/>
          <w:sz w:val="24"/>
        </w:rPr>
        <w:t>《市灾防所信息系统网站安全监测报告》。</w:t>
      </w:r>
    </w:p>
    <w:p w14:paraId="45C473E0">
      <w:pPr>
        <w:spacing w:line="360" w:lineRule="auto"/>
        <w:ind w:firstLine="482" w:firstLineChars="200"/>
        <w:rPr>
          <w:rFonts w:hint="eastAsia" w:ascii="宋体" w:hAnsi="宋体" w:cs="宋体"/>
          <w:b/>
          <w:sz w:val="24"/>
        </w:rPr>
      </w:pPr>
      <w:r>
        <w:rPr>
          <w:rFonts w:hint="eastAsia" w:ascii="宋体" w:hAnsi="宋体" w:cs="宋体"/>
          <w:b/>
          <w:sz w:val="24"/>
        </w:rPr>
        <w:t>10.基线检查</w:t>
      </w:r>
    </w:p>
    <w:p w14:paraId="1C9E360A">
      <w:pPr>
        <w:spacing w:line="360" w:lineRule="auto"/>
        <w:ind w:firstLine="482" w:firstLineChars="200"/>
        <w:rPr>
          <w:rFonts w:hint="eastAsia" w:ascii="宋体" w:hAnsi="宋体" w:cs="宋体"/>
          <w:sz w:val="24"/>
        </w:rPr>
      </w:pPr>
      <w:r>
        <w:rPr>
          <w:rFonts w:hint="eastAsia" w:ascii="宋体" w:hAnsi="宋体" w:cs="宋体"/>
          <w:b/>
          <w:sz w:val="24"/>
        </w:rPr>
        <w:t>服务内容：</w:t>
      </w:r>
      <w:r>
        <w:rPr>
          <w:rFonts w:hint="eastAsia" w:ascii="宋体" w:hAnsi="宋体" w:cs="宋体"/>
          <w:sz w:val="24"/>
        </w:rPr>
        <w:t>结合国家和行业要求，通过工具+人工的方式对客户信息系统的资产进行安全基线核查与分析，并提供相应的安全整改建议。</w:t>
      </w:r>
    </w:p>
    <w:p w14:paraId="7C8BD30E">
      <w:pPr>
        <w:spacing w:line="360" w:lineRule="auto"/>
        <w:ind w:firstLine="482" w:firstLineChars="200"/>
        <w:rPr>
          <w:rFonts w:hint="eastAsia" w:ascii="宋体" w:hAnsi="宋体" w:cs="宋体"/>
          <w:sz w:val="24"/>
        </w:rPr>
      </w:pPr>
      <w:r>
        <w:rPr>
          <w:rFonts w:hint="eastAsia" w:ascii="宋体" w:hAnsi="宋体" w:cs="宋体"/>
          <w:b/>
          <w:sz w:val="24"/>
        </w:rPr>
        <w:t>服务范围：</w:t>
      </w:r>
      <w:r>
        <w:rPr>
          <w:rFonts w:hint="eastAsia" w:ascii="宋体" w:hAnsi="宋体" w:cs="宋体"/>
          <w:sz w:val="24"/>
        </w:rPr>
        <w:t>市灾防所信息系统</w:t>
      </w:r>
    </w:p>
    <w:p w14:paraId="1B2CAD7C">
      <w:pPr>
        <w:spacing w:line="360" w:lineRule="auto"/>
        <w:ind w:firstLine="482" w:firstLineChars="200"/>
        <w:rPr>
          <w:rFonts w:hint="eastAsia" w:ascii="宋体" w:hAnsi="宋体" w:cs="宋体"/>
          <w:sz w:val="24"/>
        </w:rPr>
      </w:pPr>
      <w:r>
        <w:rPr>
          <w:rFonts w:hint="eastAsia" w:ascii="宋体" w:hAnsi="宋体" w:cs="宋体"/>
          <w:b/>
          <w:sz w:val="24"/>
        </w:rPr>
        <w:t>服务频率：</w:t>
      </w:r>
      <w:r>
        <w:rPr>
          <w:rFonts w:hint="eastAsia" w:ascii="宋体" w:hAnsi="宋体" w:cs="宋体"/>
          <w:sz w:val="24"/>
        </w:rPr>
        <w:t>每季度1次，共4次。</w:t>
      </w:r>
    </w:p>
    <w:p w14:paraId="1C082905">
      <w:pPr>
        <w:spacing w:line="360" w:lineRule="auto"/>
        <w:ind w:firstLine="482" w:firstLineChars="200"/>
        <w:rPr>
          <w:rFonts w:hint="eastAsia" w:ascii="宋体" w:hAnsi="宋体" w:cs="宋体"/>
          <w:sz w:val="24"/>
        </w:rPr>
      </w:pPr>
      <w:r>
        <w:rPr>
          <w:rFonts w:hint="eastAsia" w:ascii="宋体" w:hAnsi="宋体" w:cs="宋体"/>
          <w:b/>
          <w:sz w:val="24"/>
        </w:rPr>
        <w:t>服务成果：</w:t>
      </w:r>
      <w:r>
        <w:rPr>
          <w:rFonts w:hint="eastAsia" w:ascii="宋体" w:hAnsi="宋体" w:cs="宋体"/>
          <w:sz w:val="24"/>
        </w:rPr>
        <w:t>《市灾防所信息系统基线检查报告》。</w:t>
      </w:r>
    </w:p>
    <w:p w14:paraId="001A566C">
      <w:pPr>
        <w:spacing w:line="360" w:lineRule="auto"/>
        <w:ind w:firstLine="482" w:firstLineChars="200"/>
        <w:rPr>
          <w:rFonts w:hint="eastAsia" w:ascii="宋体" w:hAnsi="宋体" w:cs="宋体"/>
          <w:b/>
          <w:sz w:val="24"/>
        </w:rPr>
      </w:pPr>
      <w:r>
        <w:rPr>
          <w:rFonts w:hint="eastAsia" w:ascii="宋体" w:hAnsi="宋体" w:cs="宋体"/>
          <w:b/>
          <w:sz w:val="24"/>
        </w:rPr>
        <w:t>11.弱口令检测</w:t>
      </w:r>
    </w:p>
    <w:p w14:paraId="0D722A28">
      <w:pPr>
        <w:spacing w:line="360" w:lineRule="auto"/>
        <w:ind w:firstLine="482" w:firstLineChars="200"/>
        <w:rPr>
          <w:rFonts w:hint="eastAsia" w:ascii="宋体" w:hAnsi="宋体" w:cs="宋体"/>
          <w:sz w:val="24"/>
        </w:rPr>
      </w:pPr>
      <w:r>
        <w:rPr>
          <w:rFonts w:hint="eastAsia" w:ascii="宋体" w:hAnsi="宋体" w:cs="宋体"/>
          <w:b/>
          <w:sz w:val="24"/>
        </w:rPr>
        <w:t>服务内容：</w:t>
      </w:r>
      <w:r>
        <w:rPr>
          <w:rFonts w:hint="eastAsia" w:ascii="宋体" w:hAnsi="宋体" w:cs="宋体"/>
          <w:sz w:val="24"/>
        </w:rPr>
        <w:t>针对内外网系统进行弱口令检测工作。每3月更换一次。</w:t>
      </w:r>
    </w:p>
    <w:p w14:paraId="6FC7E77E">
      <w:pPr>
        <w:spacing w:line="360" w:lineRule="auto"/>
        <w:ind w:firstLine="482" w:firstLineChars="200"/>
        <w:rPr>
          <w:rFonts w:hint="eastAsia" w:ascii="宋体" w:hAnsi="宋体" w:cs="宋体"/>
          <w:sz w:val="24"/>
        </w:rPr>
      </w:pPr>
      <w:r>
        <w:rPr>
          <w:rFonts w:hint="eastAsia" w:ascii="宋体" w:hAnsi="宋体" w:cs="宋体"/>
          <w:b/>
          <w:sz w:val="24"/>
        </w:rPr>
        <w:t>服务范围：</w:t>
      </w:r>
      <w:r>
        <w:rPr>
          <w:rFonts w:hint="eastAsia" w:ascii="宋体" w:hAnsi="宋体" w:cs="宋体"/>
          <w:sz w:val="24"/>
        </w:rPr>
        <w:t>市灾防所信息系统</w:t>
      </w:r>
    </w:p>
    <w:p w14:paraId="6308C65D">
      <w:pPr>
        <w:spacing w:line="360" w:lineRule="auto"/>
        <w:ind w:firstLine="482" w:firstLineChars="200"/>
        <w:rPr>
          <w:rFonts w:hint="eastAsia" w:ascii="宋体" w:hAnsi="宋体" w:cs="宋体"/>
          <w:sz w:val="24"/>
        </w:rPr>
      </w:pPr>
      <w:r>
        <w:rPr>
          <w:rFonts w:hint="eastAsia" w:ascii="宋体" w:hAnsi="宋体" w:cs="宋体"/>
          <w:b/>
          <w:sz w:val="24"/>
        </w:rPr>
        <w:t>服务频率：</w:t>
      </w:r>
      <w:r>
        <w:rPr>
          <w:rFonts w:hint="eastAsia" w:ascii="宋体" w:hAnsi="宋体" w:cs="宋体"/>
          <w:sz w:val="24"/>
        </w:rPr>
        <w:t>每季度1次，共4次。</w:t>
      </w:r>
    </w:p>
    <w:p w14:paraId="62AEB7EC">
      <w:pPr>
        <w:spacing w:line="360" w:lineRule="auto"/>
        <w:ind w:firstLine="482" w:firstLineChars="200"/>
        <w:rPr>
          <w:rFonts w:hint="eastAsia" w:ascii="宋体" w:hAnsi="宋体" w:cs="宋体"/>
          <w:sz w:val="24"/>
        </w:rPr>
      </w:pPr>
      <w:r>
        <w:rPr>
          <w:rFonts w:hint="eastAsia" w:ascii="宋体" w:hAnsi="宋体" w:cs="宋体"/>
          <w:b/>
          <w:sz w:val="24"/>
        </w:rPr>
        <w:t>服务成果：</w:t>
      </w:r>
      <w:r>
        <w:rPr>
          <w:rFonts w:hint="eastAsia" w:ascii="宋体" w:hAnsi="宋体" w:cs="宋体"/>
          <w:sz w:val="24"/>
        </w:rPr>
        <w:t>《市灾防所信息系统弱口令检测报告》。</w:t>
      </w:r>
    </w:p>
    <w:p w14:paraId="63D2C647">
      <w:pPr>
        <w:spacing w:line="360" w:lineRule="auto"/>
        <w:ind w:firstLine="482" w:firstLineChars="200"/>
        <w:rPr>
          <w:rFonts w:hint="eastAsia" w:ascii="宋体" w:hAnsi="宋体" w:cs="宋体"/>
          <w:b/>
          <w:sz w:val="24"/>
        </w:rPr>
      </w:pPr>
      <w:bookmarkStart w:id="830" w:name="_Hlk191288633"/>
      <w:r>
        <w:rPr>
          <w:rFonts w:hint="eastAsia" w:ascii="宋体" w:hAnsi="宋体" w:cs="宋体"/>
          <w:b/>
          <w:sz w:val="24"/>
        </w:rPr>
        <w:t>12.代码审计</w:t>
      </w:r>
    </w:p>
    <w:bookmarkEnd w:id="830"/>
    <w:p w14:paraId="280D8110">
      <w:pPr>
        <w:spacing w:line="360" w:lineRule="auto"/>
        <w:ind w:firstLine="482" w:firstLineChars="200"/>
        <w:rPr>
          <w:rFonts w:hint="eastAsia" w:ascii="宋体" w:hAnsi="宋体" w:cs="宋体"/>
          <w:sz w:val="24"/>
        </w:rPr>
      </w:pPr>
      <w:r>
        <w:rPr>
          <w:rFonts w:hint="eastAsia" w:ascii="宋体" w:hAnsi="宋体" w:cs="宋体"/>
          <w:b/>
          <w:sz w:val="24"/>
        </w:rPr>
        <w:t>服务内容：</w:t>
      </w:r>
      <w:r>
        <w:rPr>
          <w:rFonts w:hint="eastAsia" w:ascii="宋体" w:hAnsi="宋体" w:cs="宋体"/>
          <w:sz w:val="24"/>
        </w:rPr>
        <w:t>针对系统各各阶段源代码提供安全审计检测运维。利用数据流分析引擎、语义分析引擎、控制流分析引擎等技术，采用专业的源代码安全审计工具对源代码安全问题进行分析和检测并验证，从而对源代码安全漏洞进行定级，给出安全漏洞分析报告。采取自动化工具识别与人工审计相结合的方式，发现软件源代码的潜在风险。</w:t>
      </w:r>
    </w:p>
    <w:p w14:paraId="291D128A">
      <w:pPr>
        <w:spacing w:line="360" w:lineRule="auto"/>
        <w:ind w:firstLine="482" w:firstLineChars="200"/>
        <w:rPr>
          <w:rFonts w:hint="eastAsia" w:ascii="宋体" w:hAnsi="宋体" w:cs="宋体"/>
          <w:sz w:val="24"/>
        </w:rPr>
      </w:pPr>
      <w:r>
        <w:rPr>
          <w:rFonts w:hint="eastAsia" w:ascii="宋体" w:hAnsi="宋体" w:cs="宋体"/>
          <w:b/>
          <w:sz w:val="24"/>
        </w:rPr>
        <w:t>服务范围：</w:t>
      </w:r>
      <w:r>
        <w:rPr>
          <w:rFonts w:hint="eastAsia" w:ascii="宋体" w:hAnsi="宋体" w:cs="宋体"/>
          <w:sz w:val="24"/>
        </w:rPr>
        <w:t>市灾防所信息系统代码</w:t>
      </w:r>
    </w:p>
    <w:p w14:paraId="5B5CF5CC">
      <w:pPr>
        <w:spacing w:line="360" w:lineRule="auto"/>
        <w:ind w:firstLine="482" w:firstLineChars="200"/>
        <w:rPr>
          <w:rFonts w:hint="eastAsia" w:ascii="宋体" w:hAnsi="宋体" w:cs="宋体"/>
          <w:sz w:val="24"/>
        </w:rPr>
      </w:pPr>
      <w:r>
        <w:rPr>
          <w:rFonts w:hint="eastAsia" w:ascii="宋体" w:hAnsi="宋体" w:cs="宋体"/>
          <w:b/>
          <w:sz w:val="24"/>
        </w:rPr>
        <w:t>服务频率：</w:t>
      </w:r>
      <w:r>
        <w:rPr>
          <w:rFonts w:hint="eastAsia" w:ascii="宋体" w:hAnsi="宋体" w:cs="宋体"/>
          <w:sz w:val="24"/>
        </w:rPr>
        <w:t>全年共1次。</w:t>
      </w:r>
    </w:p>
    <w:p w14:paraId="184E7FC2">
      <w:pPr>
        <w:spacing w:line="360" w:lineRule="auto"/>
        <w:ind w:firstLine="482" w:firstLineChars="200"/>
        <w:rPr>
          <w:rFonts w:hint="eastAsia" w:ascii="宋体" w:hAnsi="宋体" w:cs="宋体"/>
          <w:sz w:val="24"/>
        </w:rPr>
      </w:pPr>
      <w:r>
        <w:rPr>
          <w:rFonts w:hint="eastAsia" w:ascii="宋体" w:hAnsi="宋体" w:cs="宋体"/>
          <w:b/>
          <w:sz w:val="24"/>
        </w:rPr>
        <w:t>服务成果：</w:t>
      </w:r>
      <w:r>
        <w:rPr>
          <w:rFonts w:hint="eastAsia" w:ascii="宋体" w:hAnsi="宋体" w:cs="宋体"/>
          <w:sz w:val="24"/>
        </w:rPr>
        <w:t>《市灾防所信息系统代码审计报告》。</w:t>
      </w:r>
    </w:p>
    <w:p w14:paraId="1687F77E">
      <w:pPr>
        <w:spacing w:line="360" w:lineRule="auto"/>
        <w:ind w:firstLine="482" w:firstLineChars="200"/>
        <w:rPr>
          <w:rFonts w:hint="eastAsia" w:ascii="宋体" w:hAnsi="宋体" w:cs="宋体"/>
          <w:b/>
          <w:sz w:val="24"/>
        </w:rPr>
      </w:pPr>
      <w:r>
        <w:rPr>
          <w:rFonts w:hint="eastAsia" w:ascii="宋体" w:hAnsi="宋体" w:cs="宋体"/>
          <w:b/>
          <w:sz w:val="24"/>
        </w:rPr>
        <w:t>13.安全通告</w:t>
      </w:r>
    </w:p>
    <w:p w14:paraId="792E5138">
      <w:pPr>
        <w:spacing w:line="360" w:lineRule="auto"/>
        <w:ind w:firstLine="482" w:firstLineChars="200"/>
        <w:rPr>
          <w:rFonts w:hint="eastAsia" w:ascii="宋体" w:hAnsi="宋体" w:cs="宋体"/>
          <w:sz w:val="24"/>
        </w:rPr>
      </w:pPr>
      <w:r>
        <w:rPr>
          <w:rFonts w:hint="eastAsia" w:ascii="宋体" w:hAnsi="宋体" w:cs="宋体"/>
          <w:b/>
          <w:sz w:val="24"/>
        </w:rPr>
        <w:t>服务内容：</w:t>
      </w:r>
      <w:r>
        <w:rPr>
          <w:rFonts w:hint="eastAsia" w:ascii="宋体" w:hAnsi="宋体" w:cs="宋体"/>
          <w:sz w:val="24"/>
        </w:rPr>
        <w:t>以邮件、文件、电话等方式，将安全技术和安全信息及时传递给客户，使客户能保持对信息安全最新动态的认识，提前预知风险，每月末以邮件方式提交安全月报。安全通告内容至少包括：目前主流操作系统的安全漏洞补丁；信息安全业界最新动态与技术；国内外最新信息安全趋势；紧急安全事件通告；最新的国内、外行业安全政策及法律法规。</w:t>
      </w:r>
    </w:p>
    <w:p w14:paraId="00EED73F">
      <w:pPr>
        <w:spacing w:line="360" w:lineRule="auto"/>
        <w:ind w:firstLine="482" w:firstLineChars="200"/>
        <w:rPr>
          <w:rFonts w:hint="eastAsia" w:ascii="宋体" w:hAnsi="宋体" w:cs="宋体"/>
          <w:sz w:val="24"/>
        </w:rPr>
      </w:pPr>
      <w:r>
        <w:rPr>
          <w:rFonts w:hint="eastAsia" w:ascii="宋体" w:hAnsi="宋体" w:cs="宋体"/>
          <w:b/>
          <w:sz w:val="24"/>
        </w:rPr>
        <w:t>服务频率：</w:t>
      </w:r>
      <w:r>
        <w:rPr>
          <w:rFonts w:hint="eastAsia" w:ascii="宋体" w:hAnsi="宋体" w:cs="宋体"/>
          <w:sz w:val="24"/>
        </w:rPr>
        <w:t>每月1次安全通告，全年共12次。</w:t>
      </w:r>
    </w:p>
    <w:p w14:paraId="65C42FC7">
      <w:pPr>
        <w:spacing w:line="360" w:lineRule="auto"/>
        <w:ind w:firstLine="482" w:firstLineChars="200"/>
        <w:rPr>
          <w:rFonts w:hint="eastAsia" w:ascii="宋体" w:hAnsi="宋体" w:cs="宋体"/>
          <w:sz w:val="24"/>
        </w:rPr>
      </w:pPr>
      <w:r>
        <w:rPr>
          <w:rFonts w:hint="eastAsia" w:ascii="宋体" w:hAnsi="宋体" w:cs="宋体"/>
          <w:b/>
          <w:sz w:val="24"/>
        </w:rPr>
        <w:t>服务成果：</w:t>
      </w:r>
      <w:r>
        <w:rPr>
          <w:rFonts w:hint="eastAsia" w:ascii="宋体" w:hAnsi="宋体" w:cs="宋体"/>
          <w:sz w:val="24"/>
        </w:rPr>
        <w:t>《信息安全通告》。</w:t>
      </w:r>
    </w:p>
    <w:p w14:paraId="3269BF5C">
      <w:pPr>
        <w:autoSpaceDE w:val="0"/>
        <w:autoSpaceDN w:val="0"/>
        <w:adjustRightInd w:val="0"/>
        <w:spacing w:line="360" w:lineRule="auto"/>
        <w:ind w:firstLine="420"/>
        <w:jc w:val="left"/>
        <w:rPr>
          <w:rFonts w:hint="eastAsia" w:ascii="宋体" w:hAnsi="宋体" w:cs="宋体"/>
          <w:sz w:val="24"/>
        </w:rPr>
      </w:pPr>
      <w:r>
        <w:rPr>
          <w:rFonts w:hint="eastAsia" w:ascii="宋体" w:hAnsi="宋体" w:cs="宋体"/>
          <w:sz w:val="24"/>
        </w:rPr>
        <w:t>（三）驻场人员</w:t>
      </w:r>
    </w:p>
    <w:p w14:paraId="1DDEF81A">
      <w:pPr>
        <w:spacing w:line="360" w:lineRule="auto"/>
        <w:ind w:firstLine="482" w:firstLineChars="200"/>
        <w:rPr>
          <w:rFonts w:hint="eastAsia" w:ascii="宋体" w:hAnsi="宋体" w:cs="宋体"/>
          <w:b/>
          <w:sz w:val="24"/>
        </w:rPr>
      </w:pPr>
      <w:r>
        <w:rPr>
          <w:rFonts w:hint="eastAsia" w:ascii="宋体" w:hAnsi="宋体" w:cs="宋体"/>
          <w:b/>
          <w:sz w:val="24"/>
        </w:rPr>
        <w:t>1.特殊应急</w:t>
      </w:r>
    </w:p>
    <w:p w14:paraId="0DE0C275">
      <w:pPr>
        <w:spacing w:line="360" w:lineRule="auto"/>
        <w:ind w:firstLine="482" w:firstLineChars="200"/>
        <w:rPr>
          <w:rFonts w:hint="eastAsia" w:ascii="宋体" w:hAnsi="宋体" w:cs="宋体"/>
          <w:sz w:val="24"/>
        </w:rPr>
      </w:pPr>
      <w:r>
        <w:rPr>
          <w:rFonts w:hint="eastAsia" w:ascii="宋体" w:hAnsi="宋体" w:cs="宋体"/>
          <w:b/>
          <w:sz w:val="24"/>
        </w:rPr>
        <w:t>服务内容：</w:t>
      </w:r>
      <w:r>
        <w:rPr>
          <w:rFonts w:hint="eastAsia" w:ascii="宋体" w:hAnsi="宋体" w:cs="宋体"/>
          <w:sz w:val="24"/>
        </w:rPr>
        <w:t>特殊情况需紧急应急</w:t>
      </w:r>
    </w:p>
    <w:p w14:paraId="0290C126">
      <w:pPr>
        <w:spacing w:line="360" w:lineRule="auto"/>
        <w:ind w:firstLine="482" w:firstLineChars="200"/>
        <w:rPr>
          <w:rFonts w:hint="eastAsia" w:ascii="宋体" w:hAnsi="宋体" w:cs="宋体"/>
          <w:sz w:val="24"/>
        </w:rPr>
      </w:pPr>
      <w:r>
        <w:rPr>
          <w:rFonts w:hint="eastAsia" w:ascii="宋体" w:hAnsi="宋体" w:cs="宋体"/>
          <w:b/>
          <w:sz w:val="24"/>
        </w:rPr>
        <w:t>服务范围：</w:t>
      </w:r>
      <w:r>
        <w:rPr>
          <w:rFonts w:hint="eastAsia" w:ascii="宋体" w:hAnsi="宋体" w:cs="宋体"/>
          <w:sz w:val="24"/>
        </w:rPr>
        <w:t>灾防所信息系统</w:t>
      </w:r>
    </w:p>
    <w:p w14:paraId="064E7C97">
      <w:pPr>
        <w:spacing w:line="360" w:lineRule="auto"/>
        <w:ind w:firstLine="482" w:firstLineChars="200"/>
        <w:rPr>
          <w:rFonts w:hint="eastAsia" w:ascii="宋体" w:hAnsi="宋体" w:cs="宋体"/>
          <w:sz w:val="24"/>
        </w:rPr>
      </w:pPr>
      <w:r>
        <w:rPr>
          <w:rFonts w:hint="eastAsia" w:ascii="宋体" w:hAnsi="宋体" w:cs="宋体"/>
          <w:b/>
          <w:sz w:val="24"/>
        </w:rPr>
        <w:t>服务频率：</w:t>
      </w:r>
      <w:r>
        <w:rPr>
          <w:rFonts w:hint="eastAsia" w:ascii="宋体" w:hAnsi="宋体" w:cs="宋体"/>
          <w:sz w:val="24"/>
        </w:rPr>
        <w:t>每年度2次。</w:t>
      </w:r>
    </w:p>
    <w:p w14:paraId="0C0E5FAA">
      <w:pPr>
        <w:spacing w:line="360" w:lineRule="auto"/>
        <w:ind w:firstLine="482" w:firstLineChars="200"/>
        <w:rPr>
          <w:rFonts w:hint="eastAsia" w:ascii="宋体" w:hAnsi="宋体" w:cs="宋体"/>
          <w:sz w:val="24"/>
        </w:rPr>
      </w:pPr>
      <w:r>
        <w:rPr>
          <w:rFonts w:hint="eastAsia" w:ascii="宋体" w:hAnsi="宋体" w:cs="宋体"/>
          <w:b/>
          <w:sz w:val="24"/>
        </w:rPr>
        <w:t>服务成果：</w:t>
      </w:r>
      <w:r>
        <w:rPr>
          <w:rFonts w:hint="eastAsia" w:ascii="宋体" w:hAnsi="宋体" w:cs="宋体"/>
          <w:sz w:val="24"/>
        </w:rPr>
        <w:t>《市灾防所特殊应急服务记录单》。</w:t>
      </w:r>
    </w:p>
    <w:p w14:paraId="1E78A6B6">
      <w:pPr>
        <w:spacing w:line="360" w:lineRule="auto"/>
        <w:ind w:firstLine="482" w:firstLineChars="200"/>
        <w:rPr>
          <w:rFonts w:hint="eastAsia" w:ascii="宋体" w:hAnsi="宋体" w:cs="宋体"/>
          <w:b/>
          <w:sz w:val="24"/>
        </w:rPr>
      </w:pPr>
      <w:r>
        <w:rPr>
          <w:rFonts w:hint="eastAsia" w:ascii="宋体" w:hAnsi="宋体" w:cs="宋体"/>
          <w:b/>
          <w:sz w:val="24"/>
        </w:rPr>
        <w:t>2.重要时期安全保障运维</w:t>
      </w:r>
    </w:p>
    <w:p w14:paraId="15A053EA">
      <w:pPr>
        <w:spacing w:line="360" w:lineRule="auto"/>
        <w:ind w:firstLine="482" w:firstLineChars="200"/>
        <w:rPr>
          <w:rFonts w:hint="eastAsia" w:ascii="宋体" w:hAnsi="宋体" w:cs="宋体"/>
          <w:sz w:val="24"/>
        </w:rPr>
      </w:pPr>
      <w:r>
        <w:rPr>
          <w:rFonts w:hint="eastAsia" w:ascii="宋体" w:hAnsi="宋体" w:cs="宋体"/>
          <w:b/>
          <w:sz w:val="24"/>
        </w:rPr>
        <w:t>服务内容：</w:t>
      </w:r>
      <w:r>
        <w:rPr>
          <w:rFonts w:hint="eastAsia" w:ascii="宋体" w:hAnsi="宋体" w:cs="宋体"/>
          <w:sz w:val="24"/>
        </w:rPr>
        <w:t>针对国家规定的法定节假日、重大会议、政治活动及其它具有广泛影响的活动，派遣高级安全运维专家，以现场方式提供安全保障工作，协助外理信息安全事件。包括前期重要业务的检查、安全扫描、网络安全加固等准备工作，确保在重要敏感时期的网络安全。初步确定五一和十一等重要时期进行重要时期安全保障运维。</w:t>
      </w:r>
    </w:p>
    <w:p w14:paraId="42BFE2A4">
      <w:pPr>
        <w:spacing w:line="360" w:lineRule="auto"/>
        <w:ind w:firstLine="482" w:firstLineChars="200"/>
        <w:rPr>
          <w:rFonts w:hint="eastAsia" w:ascii="宋体" w:hAnsi="宋体" w:cs="宋体"/>
          <w:sz w:val="24"/>
        </w:rPr>
      </w:pPr>
      <w:r>
        <w:rPr>
          <w:rFonts w:hint="eastAsia" w:ascii="宋体" w:hAnsi="宋体" w:cs="宋体"/>
          <w:b/>
          <w:sz w:val="24"/>
        </w:rPr>
        <w:t>服务范围：</w:t>
      </w:r>
      <w:r>
        <w:rPr>
          <w:rFonts w:hint="eastAsia" w:ascii="宋体" w:hAnsi="宋体" w:cs="宋体"/>
          <w:sz w:val="24"/>
        </w:rPr>
        <w:t>灾防所信息系统</w:t>
      </w:r>
    </w:p>
    <w:p w14:paraId="566694FA">
      <w:pPr>
        <w:spacing w:line="360" w:lineRule="auto"/>
        <w:ind w:firstLine="482" w:firstLineChars="200"/>
        <w:rPr>
          <w:rFonts w:hint="eastAsia" w:ascii="宋体" w:hAnsi="宋体" w:cs="宋体"/>
          <w:sz w:val="24"/>
        </w:rPr>
      </w:pPr>
      <w:r>
        <w:rPr>
          <w:rFonts w:hint="eastAsia" w:ascii="宋体" w:hAnsi="宋体" w:cs="宋体"/>
          <w:b/>
          <w:sz w:val="24"/>
        </w:rPr>
        <w:t>服务频率：</w:t>
      </w:r>
      <w:r>
        <w:rPr>
          <w:rFonts w:hint="eastAsia" w:ascii="宋体" w:hAnsi="宋体" w:cs="宋体"/>
          <w:sz w:val="24"/>
        </w:rPr>
        <w:t>全年共计21人天。</w:t>
      </w:r>
    </w:p>
    <w:p w14:paraId="386E2E23">
      <w:pPr>
        <w:spacing w:line="360" w:lineRule="auto"/>
        <w:ind w:firstLine="482" w:firstLineChars="200"/>
        <w:rPr>
          <w:rFonts w:hint="eastAsia" w:ascii="宋体" w:hAnsi="宋体" w:cs="宋体"/>
          <w:sz w:val="24"/>
        </w:rPr>
      </w:pPr>
      <w:r>
        <w:rPr>
          <w:rFonts w:hint="eastAsia" w:ascii="宋体" w:hAnsi="宋体" w:cs="宋体"/>
          <w:b/>
          <w:sz w:val="24"/>
        </w:rPr>
        <w:t>服务成果：</w:t>
      </w:r>
      <w:r>
        <w:rPr>
          <w:rFonts w:hint="eastAsia" w:ascii="宋体" w:hAnsi="宋体" w:cs="宋体"/>
          <w:sz w:val="24"/>
        </w:rPr>
        <w:t>《市灾防所重要时期安全保障运维报告》。</w:t>
      </w:r>
    </w:p>
    <w:p w14:paraId="75ECBD18">
      <w:pPr>
        <w:spacing w:line="360" w:lineRule="auto"/>
        <w:ind w:firstLine="482" w:firstLineChars="200"/>
        <w:rPr>
          <w:rFonts w:hint="eastAsia" w:ascii="宋体" w:hAnsi="宋体" w:cs="宋体"/>
          <w:b/>
          <w:sz w:val="24"/>
        </w:rPr>
      </w:pPr>
      <w:r>
        <w:rPr>
          <w:rFonts w:hint="eastAsia" w:ascii="宋体" w:hAnsi="宋体" w:cs="宋体"/>
          <w:b/>
          <w:sz w:val="24"/>
        </w:rPr>
        <w:t>3.驻场</w:t>
      </w:r>
    </w:p>
    <w:p w14:paraId="161F2D65">
      <w:pPr>
        <w:spacing w:line="360" w:lineRule="auto"/>
        <w:ind w:firstLine="482" w:firstLineChars="200"/>
        <w:rPr>
          <w:rFonts w:hint="eastAsia" w:ascii="宋体" w:hAnsi="宋体" w:cs="宋体"/>
          <w:sz w:val="24"/>
        </w:rPr>
      </w:pPr>
      <w:r>
        <w:rPr>
          <w:rFonts w:hint="eastAsia" w:ascii="宋体" w:hAnsi="宋体" w:cs="宋体"/>
          <w:b/>
          <w:sz w:val="24"/>
        </w:rPr>
        <w:t>服务内容：</w:t>
      </w:r>
      <w:r>
        <w:rPr>
          <w:rFonts w:hint="eastAsia" w:ascii="宋体" w:hAnsi="宋体" w:cs="宋体"/>
          <w:sz w:val="24"/>
        </w:rPr>
        <w:t>日常硬件设备的巡查工作，运维器，存储，交换机安全设备等；协助客户处理简单设备故障等；配合客户对接机房的其它工作。</w:t>
      </w:r>
    </w:p>
    <w:p w14:paraId="451D2FEB">
      <w:pPr>
        <w:spacing w:line="360" w:lineRule="auto"/>
        <w:ind w:firstLine="482" w:firstLineChars="200"/>
        <w:rPr>
          <w:rFonts w:hint="eastAsia" w:ascii="宋体" w:hAnsi="宋体" w:cs="宋体"/>
          <w:sz w:val="24"/>
        </w:rPr>
      </w:pPr>
      <w:r>
        <w:rPr>
          <w:rFonts w:hint="eastAsia" w:ascii="宋体" w:hAnsi="宋体" w:cs="宋体"/>
          <w:b/>
          <w:sz w:val="24"/>
        </w:rPr>
        <w:t>服务频率：</w:t>
      </w:r>
      <w:r>
        <w:rPr>
          <w:rFonts w:hint="eastAsia" w:ascii="宋体" w:hAnsi="宋体" w:cs="宋体"/>
          <w:sz w:val="24"/>
        </w:rPr>
        <w:t>全年5*8驻场。</w:t>
      </w:r>
    </w:p>
    <w:p w14:paraId="0BC41501">
      <w:pPr>
        <w:spacing w:line="360" w:lineRule="auto"/>
        <w:ind w:firstLine="482" w:firstLineChars="200"/>
        <w:rPr>
          <w:rFonts w:hint="eastAsia" w:ascii="宋体" w:hAnsi="宋体" w:cs="宋体"/>
          <w:b/>
          <w:sz w:val="24"/>
        </w:rPr>
      </w:pPr>
      <w:r>
        <w:rPr>
          <w:rFonts w:hint="eastAsia" w:ascii="宋体" w:hAnsi="宋体" w:cs="宋体"/>
          <w:b/>
          <w:sz w:val="24"/>
        </w:rPr>
        <w:t>服务成果：</w:t>
      </w:r>
      <w:r>
        <w:rPr>
          <w:rFonts w:hint="eastAsia" w:ascii="宋体" w:hAnsi="宋体" w:cs="宋体"/>
          <w:sz w:val="24"/>
        </w:rPr>
        <w:t>《市灾防所信息系统驻场运维报告》。</w:t>
      </w:r>
    </w:p>
    <w:p w14:paraId="7C66778A">
      <w:pPr>
        <w:spacing w:line="360" w:lineRule="auto"/>
        <w:rPr>
          <w:rFonts w:hint="eastAsia" w:ascii="宋体" w:hAnsi="宋体" w:cs="宋体"/>
          <w:b/>
          <w:sz w:val="24"/>
        </w:rPr>
      </w:pPr>
      <w:r>
        <w:rPr>
          <w:rFonts w:hint="eastAsia" w:ascii="宋体" w:hAnsi="宋体" w:cs="宋体"/>
          <w:b/>
          <w:sz w:val="24"/>
        </w:rPr>
        <w:t>六、服务团队</w:t>
      </w:r>
    </w:p>
    <w:p w14:paraId="0204E179">
      <w:pPr>
        <w:spacing w:line="360" w:lineRule="auto"/>
        <w:ind w:firstLine="480" w:firstLineChars="200"/>
        <w:rPr>
          <w:rFonts w:hint="eastAsia" w:ascii="宋体" w:hAnsi="宋体" w:cs="宋体"/>
          <w:sz w:val="24"/>
        </w:rPr>
      </w:pPr>
      <w:r>
        <w:rPr>
          <w:rFonts w:hint="eastAsia" w:ascii="宋体" w:hAnsi="宋体" w:cs="宋体"/>
          <w:sz w:val="24"/>
        </w:rPr>
        <w:t>投标方应具有有效的信息安全管理体系ISO27001证书；信息技术服务管理体系ISO20000证书；质量管理体系认证ISO9001证书；职业健康安全管理体系认证ISO45001证书；环境管理体系认证ISO14001证书。</w:t>
      </w:r>
    </w:p>
    <w:p w14:paraId="104A87A5">
      <w:pPr>
        <w:spacing w:line="360" w:lineRule="auto"/>
        <w:ind w:firstLine="480" w:firstLineChars="200"/>
        <w:rPr>
          <w:rFonts w:hint="eastAsia" w:ascii="宋体" w:hAnsi="宋体" w:cs="宋体"/>
          <w:sz w:val="24"/>
        </w:rPr>
      </w:pPr>
      <w:r>
        <w:rPr>
          <w:rFonts w:hint="eastAsia" w:ascii="宋体" w:hAnsi="宋体" w:cs="宋体"/>
          <w:sz w:val="24"/>
        </w:rPr>
        <w:t>1.投标方拟派不少于6人的服务团队，应详细列出运维团队的组织结构、人员的配备、岗位的设置、管理的职能、权力、责任和义务；</w:t>
      </w:r>
    </w:p>
    <w:p w14:paraId="164290A0">
      <w:pPr>
        <w:spacing w:line="360" w:lineRule="auto"/>
        <w:ind w:firstLine="480" w:firstLineChars="200"/>
        <w:rPr>
          <w:rFonts w:hint="eastAsia" w:ascii="宋体" w:hAnsi="宋体" w:cs="宋体"/>
          <w:sz w:val="24"/>
        </w:rPr>
      </w:pPr>
      <w:r>
        <w:rPr>
          <w:rFonts w:hint="eastAsia" w:ascii="宋体" w:hAnsi="宋体" w:cs="宋体"/>
          <w:sz w:val="24"/>
        </w:rPr>
        <w:t>2.投标方应为本项目设立项目经理，负责运维过程中关键技术问题的处理、重大事件现场处理和运维项目的有效运营管理；</w:t>
      </w:r>
    </w:p>
    <w:p w14:paraId="12B2FFC7">
      <w:pPr>
        <w:spacing w:line="360" w:lineRule="auto"/>
        <w:ind w:firstLine="480" w:firstLineChars="200"/>
        <w:rPr>
          <w:rFonts w:hint="eastAsia" w:ascii="宋体" w:hAnsi="宋体" w:cs="宋体"/>
          <w:sz w:val="24"/>
        </w:rPr>
      </w:pPr>
      <w:r>
        <w:rPr>
          <w:rFonts w:hint="eastAsia" w:ascii="宋体" w:hAnsi="宋体" w:cs="宋体"/>
          <w:sz w:val="24"/>
        </w:rPr>
        <w:t>3.项目经理需要具有3年以上运行维护经验，具有计算机软件与技术（高级）证书；</w:t>
      </w:r>
    </w:p>
    <w:p w14:paraId="780B2ADD">
      <w:pPr>
        <w:spacing w:line="360" w:lineRule="auto"/>
        <w:ind w:firstLine="480" w:firstLineChars="200"/>
        <w:rPr>
          <w:rFonts w:hint="eastAsia" w:ascii="宋体" w:hAnsi="宋体" w:cs="宋体"/>
          <w:sz w:val="24"/>
        </w:rPr>
      </w:pPr>
      <w:r>
        <w:rPr>
          <w:rFonts w:hint="eastAsia" w:ascii="宋体" w:hAnsi="宋体" w:cs="宋体"/>
          <w:sz w:val="24"/>
        </w:rPr>
        <w:t>4.服务器、磁盘阵列运行维护人员对于IBM、联想、华为等服务器不少于3年维护运行经历；</w:t>
      </w:r>
    </w:p>
    <w:p w14:paraId="5F785B9E">
      <w:pPr>
        <w:spacing w:line="360" w:lineRule="auto"/>
        <w:ind w:firstLine="480" w:firstLineChars="200"/>
        <w:rPr>
          <w:rFonts w:hint="eastAsia" w:ascii="宋体" w:hAnsi="宋体" w:cs="宋体"/>
          <w:sz w:val="24"/>
        </w:rPr>
      </w:pPr>
      <w:r>
        <w:rPr>
          <w:rFonts w:hint="eastAsia" w:ascii="宋体" w:hAnsi="宋体" w:cs="宋体"/>
          <w:sz w:val="24"/>
        </w:rPr>
        <w:t>5.网络运行维护人员对于华为、CISCO等设备不少于3年维护运行经历，具有华为或CISCO认证工程师认证；</w:t>
      </w:r>
    </w:p>
    <w:p w14:paraId="275F95A4">
      <w:pPr>
        <w:spacing w:line="360" w:lineRule="auto"/>
        <w:ind w:firstLine="480" w:firstLineChars="200"/>
        <w:rPr>
          <w:rFonts w:hint="eastAsia" w:ascii="宋体" w:hAnsi="宋体" w:cs="宋体"/>
          <w:sz w:val="24"/>
        </w:rPr>
      </w:pPr>
      <w:r>
        <w:rPr>
          <w:rFonts w:hint="eastAsia" w:ascii="宋体" w:hAnsi="宋体" w:cs="宋体"/>
          <w:sz w:val="24"/>
        </w:rPr>
        <w:t>6.安全设备运行维护人员对市面主流安全设备如山石、绿盟、天融信、思福迪等设备有不少于3年的运行维护经历；</w:t>
      </w:r>
    </w:p>
    <w:p w14:paraId="18FC74DF">
      <w:pPr>
        <w:spacing w:line="360" w:lineRule="auto"/>
        <w:ind w:firstLine="480" w:firstLineChars="200"/>
        <w:rPr>
          <w:rFonts w:hint="eastAsia" w:ascii="宋体" w:hAnsi="宋体" w:cs="宋体"/>
          <w:sz w:val="24"/>
        </w:rPr>
      </w:pPr>
      <w:r>
        <w:rPr>
          <w:rFonts w:hint="eastAsia" w:ascii="宋体" w:hAnsi="宋体" w:cs="宋体"/>
          <w:sz w:val="24"/>
        </w:rPr>
        <w:t>7.机房物理环境运行维护人员需要具有消防工程师、电工职业资格证书等安全上岗证件，且不少于3年的运行维护经历；</w:t>
      </w:r>
    </w:p>
    <w:p w14:paraId="281C3CA5">
      <w:pPr>
        <w:spacing w:line="360" w:lineRule="auto"/>
        <w:ind w:firstLine="480" w:firstLineChars="200"/>
        <w:rPr>
          <w:rFonts w:hint="eastAsia" w:ascii="宋体" w:hAnsi="宋体" w:cs="宋体"/>
          <w:sz w:val="24"/>
        </w:rPr>
      </w:pPr>
      <w:r>
        <w:rPr>
          <w:rFonts w:hint="eastAsia" w:ascii="宋体" w:hAnsi="宋体" w:cs="宋体"/>
          <w:sz w:val="24"/>
        </w:rPr>
        <w:t>8.驻场人员须负责软件、硬件的日常使用、日常巡检、运维管理，系统联调与现场保障。该人员在遇突发事件时，有快速定位故障、初步判断和紧急处理的能力，须熟悉计算机主机软、硬件，网络设备操作，熟悉常用办公软件（如OFFICE）使用，熟悉常用系统软件的基本使用（如WINDOWS\LINUX），了解机房基础设施环境（空调、UPS、强电、弱电、监控、安防、消防等）的使用及简单故障排除。能够按北京市灾防所要求对服务器、操作系统等硬件设备进行日常维护和管理，熟悉IP地址的分配规则，熟悉网线及拓扑图制作，掌握系统与网络故障排查方法，并能够现场解决用户的问题。并针对各系统制定相应的备份计划，定期对业务系统数据进行备份和数据完整性。承诺保持现有运维团队相对稳定性，合同期间未经甲方许可，投标方不得私自更换驻场人员。</w:t>
      </w:r>
    </w:p>
    <w:p w14:paraId="5E4F512B">
      <w:pPr>
        <w:spacing w:line="360" w:lineRule="auto"/>
        <w:rPr>
          <w:rFonts w:hint="eastAsia" w:ascii="宋体" w:hAnsi="宋体" w:cs="宋体"/>
          <w:b/>
          <w:sz w:val="24"/>
        </w:rPr>
      </w:pPr>
      <w:r>
        <w:rPr>
          <w:rFonts w:hint="eastAsia" w:ascii="宋体" w:hAnsi="宋体" w:cs="宋体"/>
          <w:b/>
          <w:sz w:val="24"/>
        </w:rPr>
        <w:t>七、服务质量</w:t>
      </w:r>
    </w:p>
    <w:p w14:paraId="23E9C68C">
      <w:pPr>
        <w:spacing w:line="360" w:lineRule="auto"/>
        <w:ind w:firstLine="480" w:firstLineChars="200"/>
        <w:rPr>
          <w:rFonts w:hint="eastAsia" w:ascii="宋体" w:hAnsi="宋体" w:cs="宋体"/>
          <w:sz w:val="24"/>
        </w:rPr>
      </w:pPr>
      <w:r>
        <w:rPr>
          <w:rFonts w:hint="eastAsia" w:ascii="宋体" w:hAnsi="宋体" w:cs="宋体"/>
          <w:sz w:val="24"/>
        </w:rPr>
        <w:t>投标方应建立严格的质量保证体系，制定项目建设的质量控制方案和实施措施，并督促落实各环节质量控制内容和目标；保证项目各个阶段工作满足采购人对质量的要求。</w:t>
      </w:r>
    </w:p>
    <w:p w14:paraId="5A72C039">
      <w:pPr>
        <w:spacing w:line="360" w:lineRule="auto"/>
        <w:ind w:firstLine="480" w:firstLineChars="200"/>
        <w:rPr>
          <w:rFonts w:hint="eastAsia" w:ascii="宋体" w:hAnsi="宋体" w:cs="宋体"/>
          <w:sz w:val="24"/>
        </w:rPr>
      </w:pPr>
      <w:r>
        <w:rPr>
          <w:rFonts w:hint="eastAsia" w:ascii="宋体" w:hAnsi="宋体" w:cs="宋体"/>
          <w:sz w:val="24"/>
        </w:rPr>
        <w:t>投标方应根据项目的工作计划，对阶段性工作成果进行审核，并向项目单位提交里程碑式工作成果。通过保证各阶段性成果的质量，最终保证整个项目的质量。</w:t>
      </w:r>
    </w:p>
    <w:p w14:paraId="7F4542F7">
      <w:pPr>
        <w:spacing w:line="360" w:lineRule="auto"/>
        <w:rPr>
          <w:rFonts w:hint="eastAsia" w:ascii="宋体" w:hAnsi="宋体" w:cs="宋体"/>
          <w:b/>
          <w:sz w:val="24"/>
        </w:rPr>
      </w:pPr>
      <w:r>
        <w:rPr>
          <w:rFonts w:hint="eastAsia" w:ascii="宋体" w:hAnsi="宋体" w:cs="宋体"/>
          <w:b/>
          <w:sz w:val="24"/>
        </w:rPr>
        <w:t>八、工期和工期保证</w:t>
      </w:r>
    </w:p>
    <w:p w14:paraId="1F26EC07">
      <w:pPr>
        <w:spacing w:line="360" w:lineRule="auto"/>
        <w:ind w:firstLine="480" w:firstLineChars="200"/>
        <w:rPr>
          <w:rFonts w:hint="eastAsia" w:ascii="宋体" w:hAnsi="宋体" w:cs="宋体"/>
          <w:sz w:val="24"/>
        </w:rPr>
      </w:pPr>
      <w:r>
        <w:rPr>
          <w:rFonts w:hint="eastAsia" w:ascii="宋体" w:hAnsi="宋体" w:cs="宋体"/>
          <w:sz w:val="24"/>
        </w:rPr>
        <w:t>在项目合同签订之后，应按合同规定的期限内完成项目全部工作内容。</w:t>
      </w:r>
    </w:p>
    <w:p w14:paraId="33398A68">
      <w:pPr>
        <w:spacing w:line="360" w:lineRule="auto"/>
        <w:ind w:firstLine="480" w:firstLineChars="200"/>
        <w:rPr>
          <w:rFonts w:hint="eastAsia" w:ascii="宋体" w:hAnsi="宋体" w:cs="宋体"/>
          <w:sz w:val="24"/>
        </w:rPr>
      </w:pPr>
      <w:r>
        <w:rPr>
          <w:rFonts w:hint="eastAsia" w:ascii="宋体" w:hAnsi="宋体" w:cs="宋体"/>
          <w:sz w:val="24"/>
        </w:rPr>
        <w:t>投标方的项目进度管理应该遵循以下原则：</w:t>
      </w:r>
    </w:p>
    <w:p w14:paraId="417F84A8">
      <w:pPr>
        <w:spacing w:line="360" w:lineRule="auto"/>
        <w:ind w:firstLine="480" w:firstLineChars="200"/>
        <w:rPr>
          <w:rFonts w:hint="eastAsia" w:ascii="宋体" w:hAnsi="宋体" w:cs="宋体"/>
          <w:sz w:val="24"/>
        </w:rPr>
      </w:pPr>
      <w:r>
        <w:rPr>
          <w:rFonts w:hint="eastAsia" w:ascii="宋体" w:hAnsi="宋体" w:cs="宋体"/>
          <w:sz w:val="24"/>
        </w:rPr>
        <w:t>1.项目进度管理的依据是项目要求的工期目标；</w:t>
      </w:r>
    </w:p>
    <w:p w14:paraId="541108CE">
      <w:pPr>
        <w:spacing w:line="360" w:lineRule="auto"/>
        <w:ind w:firstLine="480" w:firstLineChars="200"/>
        <w:rPr>
          <w:rFonts w:hint="eastAsia" w:ascii="宋体" w:hAnsi="宋体" w:cs="宋体"/>
          <w:sz w:val="24"/>
        </w:rPr>
      </w:pPr>
      <w:r>
        <w:rPr>
          <w:rFonts w:hint="eastAsia" w:ascii="宋体" w:hAnsi="宋体" w:cs="宋体"/>
          <w:sz w:val="24"/>
        </w:rPr>
        <w:t>2.在确保项目质量和安全的原则下，控制项目进度。</w:t>
      </w:r>
    </w:p>
    <w:p w14:paraId="2C8BB6A1">
      <w:pPr>
        <w:spacing w:line="360" w:lineRule="auto"/>
        <w:ind w:firstLine="480" w:firstLineChars="200"/>
        <w:rPr>
          <w:rFonts w:hint="eastAsia" w:ascii="宋体" w:hAnsi="宋体" w:cs="宋体"/>
          <w:sz w:val="24"/>
        </w:rPr>
      </w:pPr>
      <w:r>
        <w:rPr>
          <w:rFonts w:hint="eastAsia" w:ascii="宋体" w:hAnsi="宋体" w:cs="宋体"/>
          <w:sz w:val="24"/>
        </w:rPr>
        <w:t>投标方的项目进度管理应该至少包含以下内容：</w:t>
      </w:r>
    </w:p>
    <w:p w14:paraId="06EA18A1">
      <w:pPr>
        <w:spacing w:line="360" w:lineRule="auto"/>
        <w:ind w:firstLine="480" w:firstLineChars="200"/>
        <w:rPr>
          <w:rFonts w:hint="eastAsia" w:ascii="宋体" w:hAnsi="宋体" w:cs="宋体"/>
          <w:sz w:val="24"/>
        </w:rPr>
      </w:pPr>
      <w:r>
        <w:rPr>
          <w:rFonts w:hint="eastAsia" w:ascii="宋体" w:hAnsi="宋体" w:cs="宋体"/>
          <w:sz w:val="24"/>
        </w:rPr>
        <w:t>1.按照工期目标制定具体实施计划，明确各阶段工作任务；</w:t>
      </w:r>
    </w:p>
    <w:p w14:paraId="5DBF9FAB">
      <w:pPr>
        <w:spacing w:line="360" w:lineRule="auto"/>
        <w:ind w:firstLine="480" w:firstLineChars="200"/>
        <w:rPr>
          <w:rFonts w:hint="eastAsia" w:ascii="宋体" w:hAnsi="宋体" w:cs="宋体"/>
          <w:sz w:val="24"/>
        </w:rPr>
      </w:pPr>
      <w:r>
        <w:rPr>
          <w:rFonts w:hint="eastAsia" w:ascii="宋体" w:hAnsi="宋体" w:cs="宋体"/>
          <w:sz w:val="24"/>
        </w:rPr>
        <w:t>2.按照具体实施计划，定期跟踪检查，对可能发生的延误提出相应对策；定期或不定期地召开或参加项目例会、协调会议等，向采购人通报项目进展情况，提交进度报告，及时解决相关问题；</w:t>
      </w:r>
    </w:p>
    <w:p w14:paraId="1B5D5264">
      <w:pPr>
        <w:spacing w:line="360" w:lineRule="auto"/>
        <w:rPr>
          <w:rFonts w:hint="eastAsia" w:ascii="宋体" w:hAnsi="宋体" w:cs="宋体"/>
          <w:b/>
          <w:sz w:val="24"/>
        </w:rPr>
      </w:pPr>
      <w:r>
        <w:rPr>
          <w:rFonts w:hint="eastAsia" w:ascii="宋体" w:hAnsi="宋体" w:cs="宋体"/>
          <w:b/>
          <w:sz w:val="24"/>
        </w:rPr>
        <w:t>九、风险规避</w:t>
      </w:r>
    </w:p>
    <w:p w14:paraId="662E960D">
      <w:pPr>
        <w:spacing w:line="360" w:lineRule="auto"/>
        <w:ind w:firstLine="480" w:firstLineChars="200"/>
        <w:rPr>
          <w:rFonts w:hint="eastAsia" w:ascii="宋体" w:hAnsi="宋体" w:cs="宋体"/>
          <w:sz w:val="24"/>
        </w:rPr>
      </w:pPr>
      <w:r>
        <w:rPr>
          <w:rFonts w:hint="eastAsia" w:ascii="宋体" w:hAnsi="宋体" w:cs="宋体"/>
          <w:sz w:val="24"/>
        </w:rPr>
        <w:t>依据本项目的服务内容，明确提出本项目中在实施过程中的测试风险及测试风险相应的规避措施。</w:t>
      </w:r>
    </w:p>
    <w:p w14:paraId="243F54C1">
      <w:pPr>
        <w:spacing w:line="360" w:lineRule="auto"/>
        <w:rPr>
          <w:rFonts w:hint="eastAsia" w:ascii="宋体" w:hAnsi="宋体" w:cs="宋体"/>
          <w:b/>
          <w:sz w:val="24"/>
        </w:rPr>
      </w:pPr>
      <w:r>
        <w:rPr>
          <w:rFonts w:hint="eastAsia" w:ascii="宋体" w:hAnsi="宋体" w:cs="宋体"/>
          <w:b/>
          <w:sz w:val="24"/>
        </w:rPr>
        <w:t>十、售后服务</w:t>
      </w:r>
    </w:p>
    <w:p w14:paraId="2CA33666">
      <w:pPr>
        <w:spacing w:line="360" w:lineRule="auto"/>
        <w:ind w:firstLine="480" w:firstLineChars="200"/>
        <w:rPr>
          <w:rFonts w:hint="eastAsia" w:ascii="宋体" w:hAnsi="宋体" w:cs="宋体"/>
          <w:sz w:val="24"/>
        </w:rPr>
      </w:pPr>
      <w:r>
        <w:rPr>
          <w:rFonts w:hint="eastAsia" w:ascii="宋体" w:hAnsi="宋体" w:cs="宋体"/>
          <w:sz w:val="24"/>
        </w:rPr>
        <w:t>投标方应在售后服务方案中详细描述其售后服务体系、保证措施，其中应包含服务体系以及技术支持和服务保障模式、响应时间等说明。</w:t>
      </w:r>
    </w:p>
    <w:p w14:paraId="0C6AA912">
      <w:pPr>
        <w:spacing w:line="360" w:lineRule="auto"/>
        <w:rPr>
          <w:rFonts w:hint="eastAsia" w:ascii="宋体" w:hAnsi="宋体" w:cs="宋体"/>
          <w:b/>
          <w:sz w:val="24"/>
        </w:rPr>
      </w:pPr>
      <w:r>
        <w:rPr>
          <w:rFonts w:hint="eastAsia" w:ascii="宋体" w:hAnsi="宋体" w:cs="宋体"/>
          <w:b/>
          <w:sz w:val="24"/>
        </w:rPr>
        <w:t>十一、文档管理</w:t>
      </w:r>
    </w:p>
    <w:p w14:paraId="72E4CBFC">
      <w:pPr>
        <w:spacing w:line="360" w:lineRule="auto"/>
        <w:ind w:firstLine="480" w:firstLineChars="200"/>
        <w:rPr>
          <w:rFonts w:hint="eastAsia" w:ascii="宋体" w:hAnsi="宋体" w:cs="宋体"/>
          <w:sz w:val="24"/>
        </w:rPr>
      </w:pPr>
      <w:r>
        <w:rPr>
          <w:rFonts w:hint="eastAsia" w:ascii="宋体" w:hAnsi="宋体" w:cs="宋体"/>
          <w:sz w:val="24"/>
        </w:rPr>
        <w:t>对本项目制定文档管理制度和计划，对文档交接有相应流程记录。</w:t>
      </w:r>
    </w:p>
    <w:p w14:paraId="4E728871">
      <w:pPr>
        <w:spacing w:line="360" w:lineRule="auto"/>
        <w:rPr>
          <w:rFonts w:hint="eastAsia" w:ascii="宋体" w:hAnsi="宋体" w:cs="宋体"/>
          <w:b/>
          <w:sz w:val="24"/>
        </w:rPr>
      </w:pPr>
      <w:r>
        <w:rPr>
          <w:rFonts w:hint="eastAsia" w:ascii="宋体" w:hAnsi="宋体" w:cs="宋体"/>
          <w:b/>
          <w:sz w:val="24"/>
        </w:rPr>
        <w:t>十二、安全保密</w:t>
      </w:r>
    </w:p>
    <w:p w14:paraId="1AE947AC">
      <w:pPr>
        <w:spacing w:line="360" w:lineRule="auto"/>
        <w:ind w:firstLine="480" w:firstLineChars="200"/>
        <w:rPr>
          <w:rFonts w:hint="eastAsia" w:ascii="宋体" w:hAnsi="宋体" w:cs="宋体"/>
          <w:sz w:val="24"/>
        </w:rPr>
      </w:pPr>
      <w:r>
        <w:rPr>
          <w:rFonts w:hint="eastAsia" w:ascii="宋体" w:hAnsi="宋体" w:cs="宋体"/>
          <w:sz w:val="24"/>
        </w:rPr>
        <w:t>严格遵守合同规定，执行国家《保密法》及有关保密的法律法规，供应商应选派具有良好职业道德的人员参与和从事本项目工作，教育相关人员恪守职业道德，服从采购人的管理，严格遵守采购人的保密规定和工作制度，并承担相应的保密责任。</w:t>
      </w:r>
    </w:p>
    <w:p w14:paraId="026F4530">
      <w:pPr>
        <w:spacing w:line="360" w:lineRule="auto"/>
        <w:ind w:firstLine="480" w:firstLineChars="200"/>
        <w:rPr>
          <w:rFonts w:hint="eastAsia" w:ascii="宋体" w:hAnsi="宋体" w:cs="宋体"/>
          <w:sz w:val="24"/>
        </w:rPr>
      </w:pPr>
      <w:r>
        <w:rPr>
          <w:rFonts w:hint="eastAsia" w:ascii="宋体" w:hAnsi="宋体" w:cs="宋体"/>
          <w:sz w:val="24"/>
        </w:rPr>
        <w:t>项目实施过程中，乙方所收集、产生的所有与本项目相关文档、资料，包括文字、图片、表格、数字等各种形式所属权均归属甲方，乙方有义务对所涉及到的内容保密，乙方需按照甲方要求签署保密协议。</w:t>
      </w:r>
    </w:p>
    <w:p w14:paraId="01BE02A8">
      <w:pPr>
        <w:spacing w:line="360" w:lineRule="auto"/>
        <w:rPr>
          <w:rFonts w:hint="eastAsia" w:ascii="宋体" w:hAnsi="宋体" w:cs="宋体"/>
          <w:sz w:val="24"/>
        </w:rPr>
      </w:pPr>
      <w:r>
        <w:rPr>
          <w:rFonts w:hint="eastAsia" w:ascii="宋体" w:hAnsi="宋体" w:cs="宋体"/>
          <w:sz w:val="24"/>
        </w:rPr>
        <w:t>乙方自觉接受甲方的安全保密监督和管理，乙方如违反安全保密条款，甲方将追究其责任，对重大的泄密事件将移交司法部门追究其法律责任；对乙方泄露甲方资料，造成伤害的，除依据国家法律有关规定追究有关责任人员法律责任外，还将依法承担相应的责任。</w:t>
      </w:r>
    </w:p>
    <w:p w14:paraId="71788DB2">
      <w:pPr>
        <w:spacing w:line="360" w:lineRule="auto"/>
        <w:rPr>
          <w:rFonts w:hint="eastAsia" w:ascii="宋体" w:hAnsi="宋体" w:cs="宋体"/>
          <w:b/>
          <w:sz w:val="24"/>
        </w:rPr>
      </w:pPr>
      <w:r>
        <w:rPr>
          <w:rFonts w:hint="eastAsia" w:ascii="宋体" w:hAnsi="宋体" w:cs="宋体"/>
          <w:b/>
          <w:sz w:val="24"/>
        </w:rPr>
        <w:t>十三、投标人须在投标文件中提供如下技术方案</w:t>
      </w:r>
    </w:p>
    <w:p w14:paraId="38E0CC03">
      <w:pPr>
        <w:spacing w:line="360" w:lineRule="auto"/>
        <w:ind w:firstLine="480" w:firstLineChars="200"/>
        <w:rPr>
          <w:rFonts w:hint="eastAsia" w:ascii="宋体" w:hAnsi="宋体" w:cs="宋体"/>
          <w:sz w:val="24"/>
        </w:rPr>
      </w:pPr>
      <w:r>
        <w:rPr>
          <w:rFonts w:hint="eastAsia" w:ascii="宋体" w:hAnsi="宋体" w:cs="宋体"/>
          <w:sz w:val="24"/>
        </w:rPr>
        <w:t>1.项目服务方案</w:t>
      </w:r>
    </w:p>
    <w:p w14:paraId="22FF6615">
      <w:pPr>
        <w:spacing w:line="360" w:lineRule="auto"/>
        <w:ind w:firstLine="480" w:firstLineChars="200"/>
        <w:rPr>
          <w:rFonts w:hint="eastAsia" w:ascii="宋体" w:hAnsi="宋体" w:cs="宋体"/>
          <w:sz w:val="24"/>
        </w:rPr>
      </w:pPr>
      <w:r>
        <w:rPr>
          <w:rFonts w:hint="eastAsia" w:ascii="宋体" w:hAnsi="宋体" w:cs="宋体"/>
          <w:sz w:val="24"/>
        </w:rPr>
        <w:t>投标人须提供针对于本项目的项目服务方案，要求方案内容完整、描述清晰详实，考虑项目情况；</w:t>
      </w:r>
    </w:p>
    <w:p w14:paraId="3AFC090C">
      <w:pPr>
        <w:spacing w:line="360" w:lineRule="auto"/>
        <w:ind w:firstLine="480" w:firstLineChars="200"/>
        <w:rPr>
          <w:rFonts w:hint="eastAsia" w:ascii="宋体" w:hAnsi="宋体" w:cs="宋体"/>
          <w:sz w:val="24"/>
        </w:rPr>
      </w:pPr>
      <w:r>
        <w:rPr>
          <w:rFonts w:hint="eastAsia" w:ascii="宋体" w:hAnsi="宋体" w:cs="宋体"/>
          <w:sz w:val="24"/>
        </w:rPr>
        <w:t>2.团队服务能力方案</w:t>
      </w:r>
    </w:p>
    <w:p w14:paraId="71F3EDE5">
      <w:pPr>
        <w:spacing w:line="360" w:lineRule="auto"/>
        <w:ind w:firstLine="480" w:firstLineChars="200"/>
        <w:rPr>
          <w:rFonts w:hint="eastAsia" w:ascii="宋体" w:hAnsi="宋体" w:cs="宋体"/>
          <w:sz w:val="24"/>
        </w:rPr>
      </w:pPr>
      <w:r>
        <w:rPr>
          <w:rFonts w:hint="eastAsia" w:ascii="宋体" w:hAnsi="宋体" w:cs="宋体"/>
          <w:sz w:val="24"/>
        </w:rPr>
        <w:t>投标人须提供针对于本项目的团队服务能力方案，投标人须提供针对于本项目提供项目经理和拟派技术工程师的相关证书，要求人员组织架构合理、专业能力强；</w:t>
      </w:r>
    </w:p>
    <w:p w14:paraId="35FA508B">
      <w:pPr>
        <w:spacing w:line="360" w:lineRule="auto"/>
        <w:ind w:firstLine="480" w:firstLineChars="200"/>
        <w:rPr>
          <w:rFonts w:hint="eastAsia" w:ascii="宋体" w:hAnsi="宋体" w:cs="宋体"/>
          <w:sz w:val="24"/>
        </w:rPr>
      </w:pPr>
      <w:r>
        <w:rPr>
          <w:rFonts w:hint="eastAsia" w:ascii="宋体" w:hAnsi="宋体" w:cs="宋体"/>
          <w:sz w:val="24"/>
        </w:rPr>
        <w:t>3.项目质量管理方案</w:t>
      </w:r>
    </w:p>
    <w:p w14:paraId="5EF0C321">
      <w:pPr>
        <w:spacing w:line="360" w:lineRule="auto"/>
        <w:ind w:firstLine="480" w:firstLineChars="200"/>
        <w:rPr>
          <w:rFonts w:hint="eastAsia" w:ascii="宋体" w:hAnsi="宋体" w:cs="宋体"/>
          <w:sz w:val="24"/>
        </w:rPr>
      </w:pPr>
      <w:r>
        <w:rPr>
          <w:rFonts w:hint="eastAsia" w:ascii="宋体" w:hAnsi="宋体" w:cs="宋体"/>
          <w:sz w:val="24"/>
        </w:rPr>
        <w:t>投标人须提供针对于本项目的项目质量管理方案，要求方案内容完整、描述清晰详实，考虑项目情况；</w:t>
      </w:r>
    </w:p>
    <w:p w14:paraId="557AB2A3">
      <w:pPr>
        <w:spacing w:line="360" w:lineRule="auto"/>
        <w:ind w:firstLine="480" w:firstLineChars="200"/>
        <w:rPr>
          <w:rFonts w:hint="eastAsia" w:ascii="宋体" w:hAnsi="宋体" w:cs="宋体"/>
          <w:sz w:val="24"/>
        </w:rPr>
      </w:pPr>
      <w:r>
        <w:rPr>
          <w:rFonts w:hint="eastAsia" w:ascii="宋体" w:hAnsi="宋体" w:cs="宋体"/>
          <w:sz w:val="24"/>
        </w:rPr>
        <w:t>4.保密措施方案</w:t>
      </w:r>
    </w:p>
    <w:p w14:paraId="5F23F566">
      <w:pPr>
        <w:spacing w:line="360" w:lineRule="auto"/>
        <w:ind w:firstLine="480" w:firstLineChars="200"/>
        <w:rPr>
          <w:rFonts w:hint="eastAsia" w:ascii="宋体" w:hAnsi="宋体" w:cs="宋体"/>
          <w:sz w:val="24"/>
        </w:rPr>
      </w:pPr>
      <w:r>
        <w:rPr>
          <w:rFonts w:hint="eastAsia" w:ascii="宋体" w:hAnsi="宋体" w:cs="宋体"/>
          <w:sz w:val="24"/>
        </w:rPr>
        <w:t>投标人须提供针对于本项目的保密措施方案，要求方案内容完整、描述翔实具体、考虑周全合理可行、贴近项目实际针对性强；</w:t>
      </w:r>
    </w:p>
    <w:p w14:paraId="018A3043">
      <w:pPr>
        <w:spacing w:line="360" w:lineRule="auto"/>
        <w:ind w:firstLine="480" w:firstLineChars="200"/>
        <w:rPr>
          <w:rFonts w:hint="eastAsia" w:ascii="宋体" w:hAnsi="宋体" w:cs="宋体"/>
          <w:sz w:val="24"/>
        </w:rPr>
      </w:pPr>
      <w:r>
        <w:rPr>
          <w:rFonts w:hint="eastAsia" w:ascii="宋体" w:hAnsi="宋体" w:cs="宋体"/>
          <w:sz w:val="24"/>
        </w:rPr>
        <w:t>5.风险规避措施方案</w:t>
      </w:r>
    </w:p>
    <w:p w14:paraId="2D6A2487">
      <w:pPr>
        <w:spacing w:line="360" w:lineRule="auto"/>
        <w:ind w:firstLine="480" w:firstLineChars="200"/>
        <w:rPr>
          <w:rFonts w:hint="eastAsia" w:ascii="宋体" w:hAnsi="宋体" w:cs="宋体"/>
          <w:sz w:val="24"/>
        </w:rPr>
      </w:pPr>
      <w:r>
        <w:rPr>
          <w:rFonts w:hint="eastAsia" w:ascii="宋体" w:hAnsi="宋体" w:cs="宋体"/>
          <w:sz w:val="24"/>
        </w:rPr>
        <w:t>投标人须提供针对于本项目的风险规避措施方案，要求方案内容完整、描述清晰详实，考虑项目情况；</w:t>
      </w:r>
    </w:p>
    <w:p w14:paraId="5C080CA2">
      <w:pPr>
        <w:spacing w:line="360" w:lineRule="auto"/>
        <w:ind w:firstLine="480" w:firstLineChars="200"/>
        <w:rPr>
          <w:rFonts w:hint="eastAsia" w:ascii="宋体" w:hAnsi="宋体" w:cs="宋体"/>
          <w:sz w:val="24"/>
        </w:rPr>
      </w:pPr>
      <w:r>
        <w:rPr>
          <w:rFonts w:hint="eastAsia" w:ascii="宋体" w:hAnsi="宋体" w:cs="宋体"/>
          <w:sz w:val="24"/>
        </w:rPr>
        <w:t>6.售后服务方案</w:t>
      </w:r>
    </w:p>
    <w:p w14:paraId="3BD99408">
      <w:pPr>
        <w:spacing w:line="360" w:lineRule="auto"/>
        <w:ind w:firstLine="480" w:firstLineChars="200"/>
        <w:rPr>
          <w:rFonts w:hint="eastAsia" w:ascii="宋体" w:hAnsi="宋体" w:cs="宋体"/>
          <w:sz w:val="24"/>
        </w:rPr>
      </w:pPr>
      <w:r>
        <w:rPr>
          <w:rFonts w:hint="eastAsia" w:ascii="宋体" w:hAnsi="宋体" w:cs="宋体"/>
          <w:sz w:val="24"/>
        </w:rPr>
        <w:t>投标人须提供针对于本项目的售后服务方案，要求方案内容完整、描述翔实具体、考虑周全合理可行、贴近项目实际针对性强；</w:t>
      </w:r>
    </w:p>
    <w:p w14:paraId="2510CBBA">
      <w:pPr>
        <w:spacing w:line="360" w:lineRule="auto"/>
        <w:ind w:firstLine="480" w:firstLineChars="200"/>
        <w:rPr>
          <w:rFonts w:hint="eastAsia" w:ascii="宋体" w:hAnsi="宋体" w:cs="宋体"/>
          <w:sz w:val="24"/>
        </w:rPr>
      </w:pPr>
      <w:r>
        <w:rPr>
          <w:rFonts w:hint="eastAsia" w:ascii="宋体" w:hAnsi="宋体" w:cs="宋体"/>
          <w:sz w:val="24"/>
        </w:rPr>
        <w:t>7.文档管理方案</w:t>
      </w:r>
    </w:p>
    <w:p w14:paraId="106469BA">
      <w:pPr>
        <w:spacing w:line="360" w:lineRule="auto"/>
        <w:ind w:firstLine="480" w:firstLineChars="200"/>
        <w:rPr>
          <w:rFonts w:hint="eastAsia" w:ascii="宋体" w:hAnsi="宋体" w:cs="宋体"/>
          <w:sz w:val="24"/>
        </w:rPr>
      </w:pPr>
      <w:r>
        <w:rPr>
          <w:rFonts w:hint="eastAsia" w:ascii="宋体" w:hAnsi="宋体" w:cs="宋体"/>
          <w:sz w:val="24"/>
        </w:rPr>
        <w:t>投标人须提供针对于本项目的文档管理方案，要求方案内容完整、描述翔实具体、考虑周全合理可行、贴近项目实际针对性强。</w:t>
      </w:r>
    </w:p>
    <w:p w14:paraId="7738BF29">
      <w:pPr>
        <w:spacing w:line="360" w:lineRule="auto"/>
        <w:rPr>
          <w:rFonts w:hint="eastAsia" w:ascii="宋体" w:hAnsi="宋体" w:cs="宋体"/>
          <w:b/>
          <w:sz w:val="24"/>
        </w:rPr>
      </w:pPr>
      <w:r>
        <w:rPr>
          <w:rFonts w:hint="eastAsia" w:ascii="宋体" w:hAnsi="宋体" w:cs="宋体"/>
          <w:b/>
          <w:sz w:val="24"/>
        </w:rPr>
        <w:t>十四、设备列表</w:t>
      </w:r>
    </w:p>
    <w:p w14:paraId="570A89BF">
      <w:pPr>
        <w:jc w:val="center"/>
        <w:rPr>
          <w:rFonts w:hint="eastAsia" w:ascii="宋体" w:hAnsi="宋体" w:cs="宋体"/>
          <w:b/>
          <w:bCs/>
          <w:kern w:val="0"/>
          <w:sz w:val="24"/>
        </w:rPr>
      </w:pPr>
      <w:r>
        <w:rPr>
          <w:rFonts w:hint="eastAsia" w:ascii="宋体" w:hAnsi="宋体" w:cs="宋体"/>
          <w:b/>
          <w:bCs/>
          <w:kern w:val="0"/>
          <w:sz w:val="24"/>
        </w:rPr>
        <w:t>表14-1 地质灾害防治所数据中心机房</w:t>
      </w:r>
    </w:p>
    <w:tbl>
      <w:tblPr>
        <w:tblStyle w:val="42"/>
        <w:tblW w:w="8371" w:type="dxa"/>
        <w:jc w:val="center"/>
        <w:tblLayout w:type="autofit"/>
        <w:tblCellMar>
          <w:top w:w="0" w:type="dxa"/>
          <w:left w:w="108" w:type="dxa"/>
          <w:bottom w:w="0" w:type="dxa"/>
          <w:right w:w="108" w:type="dxa"/>
        </w:tblCellMar>
      </w:tblPr>
      <w:tblGrid>
        <w:gridCol w:w="851"/>
        <w:gridCol w:w="2889"/>
        <w:gridCol w:w="3915"/>
        <w:gridCol w:w="716"/>
      </w:tblGrid>
      <w:tr w14:paraId="4779C755">
        <w:tblPrEx>
          <w:tblCellMar>
            <w:top w:w="0" w:type="dxa"/>
            <w:left w:w="108" w:type="dxa"/>
            <w:bottom w:w="0" w:type="dxa"/>
            <w:right w:w="108" w:type="dxa"/>
          </w:tblCellMar>
        </w:tblPrEx>
        <w:trPr>
          <w:trHeight w:val="454" w:hRule="atLeast"/>
          <w:tblHeader/>
          <w:jc w:val="center"/>
        </w:trPr>
        <w:tc>
          <w:tcPr>
            <w:tcW w:w="851" w:type="dxa"/>
            <w:tcBorders>
              <w:top w:val="single" w:color="auto" w:sz="4" w:space="0"/>
              <w:left w:val="single" w:color="auto" w:sz="4" w:space="0"/>
              <w:bottom w:val="single" w:color="auto" w:sz="4" w:space="0"/>
              <w:right w:val="single" w:color="auto" w:sz="4" w:space="0"/>
            </w:tcBorders>
            <w:noWrap/>
            <w:vAlign w:val="center"/>
          </w:tcPr>
          <w:p w14:paraId="4A5335FC">
            <w:pPr>
              <w:widowControl/>
              <w:jc w:val="center"/>
              <w:rPr>
                <w:rFonts w:hint="eastAsia" w:ascii="宋体" w:hAnsi="宋体" w:cs="宋体"/>
                <w:b/>
                <w:kern w:val="0"/>
                <w:sz w:val="24"/>
              </w:rPr>
            </w:pPr>
            <w:r>
              <w:rPr>
                <w:rFonts w:hint="eastAsia" w:ascii="宋体" w:hAnsi="宋体" w:cs="宋体"/>
                <w:b/>
                <w:kern w:val="0"/>
                <w:sz w:val="24"/>
              </w:rPr>
              <w:t>序号</w:t>
            </w:r>
          </w:p>
        </w:tc>
        <w:tc>
          <w:tcPr>
            <w:tcW w:w="2889" w:type="dxa"/>
            <w:tcBorders>
              <w:top w:val="single" w:color="auto" w:sz="4" w:space="0"/>
              <w:left w:val="nil"/>
              <w:bottom w:val="single" w:color="auto" w:sz="4" w:space="0"/>
              <w:right w:val="single" w:color="auto" w:sz="4" w:space="0"/>
            </w:tcBorders>
            <w:noWrap/>
            <w:vAlign w:val="center"/>
          </w:tcPr>
          <w:p w14:paraId="754AD6F7">
            <w:pPr>
              <w:widowControl/>
              <w:jc w:val="center"/>
              <w:rPr>
                <w:rFonts w:hint="eastAsia" w:ascii="宋体" w:hAnsi="宋体" w:cs="宋体"/>
                <w:b/>
                <w:kern w:val="0"/>
                <w:sz w:val="24"/>
              </w:rPr>
            </w:pPr>
            <w:r>
              <w:rPr>
                <w:rFonts w:hint="eastAsia" w:ascii="宋体" w:hAnsi="宋体" w:cs="宋体"/>
                <w:b/>
                <w:kern w:val="0"/>
                <w:sz w:val="24"/>
              </w:rPr>
              <w:t>材料/设备名称</w:t>
            </w:r>
          </w:p>
        </w:tc>
        <w:tc>
          <w:tcPr>
            <w:tcW w:w="3915" w:type="dxa"/>
            <w:tcBorders>
              <w:top w:val="single" w:color="auto" w:sz="4" w:space="0"/>
              <w:left w:val="nil"/>
              <w:bottom w:val="single" w:color="auto" w:sz="4" w:space="0"/>
              <w:right w:val="single" w:color="auto" w:sz="4" w:space="0"/>
            </w:tcBorders>
            <w:noWrap/>
            <w:vAlign w:val="center"/>
          </w:tcPr>
          <w:p w14:paraId="5325BA70">
            <w:pPr>
              <w:widowControl/>
              <w:jc w:val="center"/>
              <w:rPr>
                <w:rFonts w:hint="eastAsia" w:ascii="宋体" w:hAnsi="宋体" w:cs="宋体"/>
                <w:b/>
                <w:kern w:val="0"/>
                <w:sz w:val="24"/>
              </w:rPr>
            </w:pPr>
            <w:r>
              <w:rPr>
                <w:rFonts w:hint="eastAsia" w:ascii="宋体" w:hAnsi="宋体" w:cs="宋体"/>
                <w:b/>
                <w:kern w:val="0"/>
                <w:sz w:val="24"/>
              </w:rPr>
              <w:t>品牌/型号/产地</w:t>
            </w:r>
          </w:p>
        </w:tc>
        <w:tc>
          <w:tcPr>
            <w:tcW w:w="716" w:type="dxa"/>
            <w:tcBorders>
              <w:top w:val="single" w:color="auto" w:sz="4" w:space="0"/>
              <w:left w:val="nil"/>
              <w:bottom w:val="single" w:color="auto" w:sz="4" w:space="0"/>
              <w:right w:val="single" w:color="auto" w:sz="4" w:space="0"/>
            </w:tcBorders>
            <w:noWrap/>
            <w:vAlign w:val="center"/>
          </w:tcPr>
          <w:p w14:paraId="696E4C80">
            <w:pPr>
              <w:widowControl/>
              <w:jc w:val="center"/>
              <w:rPr>
                <w:rFonts w:hint="eastAsia" w:ascii="宋体" w:hAnsi="宋体" w:cs="宋体"/>
                <w:b/>
                <w:kern w:val="0"/>
                <w:sz w:val="24"/>
              </w:rPr>
            </w:pPr>
            <w:r>
              <w:rPr>
                <w:rFonts w:hint="eastAsia" w:ascii="宋体" w:hAnsi="宋体" w:cs="宋体"/>
                <w:b/>
                <w:kern w:val="0"/>
                <w:sz w:val="24"/>
              </w:rPr>
              <w:t>数量</w:t>
            </w:r>
          </w:p>
        </w:tc>
      </w:tr>
      <w:tr w14:paraId="3A570ADB">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25E0D2E2">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3D06FB1F">
            <w:pPr>
              <w:widowControl/>
              <w:jc w:val="center"/>
              <w:rPr>
                <w:rFonts w:hint="eastAsia" w:ascii="宋体" w:hAnsi="宋体" w:cs="宋体"/>
                <w:kern w:val="0"/>
                <w:sz w:val="24"/>
              </w:rPr>
            </w:pPr>
            <w:r>
              <w:rPr>
                <w:rFonts w:hint="eastAsia" w:ascii="宋体" w:hAnsi="宋体" w:cs="宋体"/>
                <w:kern w:val="0"/>
                <w:sz w:val="24"/>
              </w:rPr>
              <w:t>电磁屏蔽机柜</w:t>
            </w:r>
          </w:p>
        </w:tc>
        <w:tc>
          <w:tcPr>
            <w:tcW w:w="3915" w:type="dxa"/>
            <w:tcBorders>
              <w:top w:val="nil"/>
              <w:left w:val="nil"/>
              <w:bottom w:val="single" w:color="auto" w:sz="4" w:space="0"/>
              <w:right w:val="single" w:color="auto" w:sz="4" w:space="0"/>
            </w:tcBorders>
            <w:noWrap/>
            <w:vAlign w:val="center"/>
          </w:tcPr>
          <w:p w14:paraId="4FDCB7FE">
            <w:pPr>
              <w:widowControl/>
              <w:jc w:val="center"/>
              <w:rPr>
                <w:rFonts w:hint="eastAsia" w:ascii="宋体" w:hAnsi="宋体" w:cs="宋体"/>
                <w:kern w:val="0"/>
                <w:sz w:val="24"/>
              </w:rPr>
            </w:pPr>
            <w:r>
              <w:rPr>
                <w:rFonts w:hint="eastAsia" w:ascii="宋体" w:hAnsi="宋体" w:cs="宋体"/>
                <w:kern w:val="0"/>
                <w:sz w:val="24"/>
              </w:rPr>
              <w:t>北京纵横九天/中国</w:t>
            </w:r>
          </w:p>
        </w:tc>
        <w:tc>
          <w:tcPr>
            <w:tcW w:w="716" w:type="dxa"/>
            <w:tcBorders>
              <w:top w:val="nil"/>
              <w:left w:val="nil"/>
              <w:bottom w:val="single" w:color="auto" w:sz="4" w:space="0"/>
              <w:right w:val="single" w:color="auto" w:sz="4" w:space="0"/>
            </w:tcBorders>
            <w:noWrap/>
            <w:vAlign w:val="center"/>
          </w:tcPr>
          <w:p w14:paraId="618B5C0B">
            <w:pPr>
              <w:widowControl/>
              <w:jc w:val="center"/>
              <w:rPr>
                <w:rFonts w:hint="eastAsia" w:ascii="宋体" w:hAnsi="宋体" w:cs="宋体"/>
                <w:kern w:val="0"/>
                <w:sz w:val="24"/>
              </w:rPr>
            </w:pPr>
            <w:r>
              <w:rPr>
                <w:rFonts w:hint="eastAsia" w:ascii="宋体" w:hAnsi="宋体" w:cs="宋体"/>
                <w:kern w:val="0"/>
                <w:sz w:val="24"/>
              </w:rPr>
              <w:t>1</w:t>
            </w:r>
          </w:p>
        </w:tc>
      </w:tr>
      <w:tr w14:paraId="6BD9A563">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38484CE0">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48B9F4A2">
            <w:pPr>
              <w:widowControl/>
              <w:jc w:val="center"/>
              <w:rPr>
                <w:rFonts w:hint="eastAsia" w:ascii="宋体" w:hAnsi="宋体" w:cs="宋体"/>
                <w:kern w:val="0"/>
                <w:sz w:val="24"/>
              </w:rPr>
            </w:pPr>
            <w:r>
              <w:rPr>
                <w:rFonts w:hint="eastAsia" w:ascii="宋体" w:hAnsi="宋体" w:cs="宋体"/>
                <w:kern w:val="0"/>
                <w:sz w:val="24"/>
              </w:rPr>
              <w:t>服务器</w:t>
            </w:r>
          </w:p>
        </w:tc>
        <w:tc>
          <w:tcPr>
            <w:tcW w:w="3915" w:type="dxa"/>
            <w:tcBorders>
              <w:top w:val="nil"/>
              <w:left w:val="nil"/>
              <w:bottom w:val="single" w:color="auto" w:sz="4" w:space="0"/>
              <w:right w:val="single" w:color="auto" w:sz="4" w:space="0"/>
            </w:tcBorders>
            <w:noWrap/>
            <w:vAlign w:val="center"/>
          </w:tcPr>
          <w:p w14:paraId="20EABABA">
            <w:pPr>
              <w:widowControl/>
              <w:jc w:val="center"/>
              <w:rPr>
                <w:rFonts w:hint="eastAsia" w:ascii="宋体" w:hAnsi="宋体" w:cs="宋体"/>
                <w:kern w:val="0"/>
                <w:sz w:val="24"/>
              </w:rPr>
            </w:pPr>
            <w:r>
              <w:rPr>
                <w:rFonts w:hint="eastAsia" w:ascii="宋体" w:hAnsi="宋体" w:cs="宋体"/>
                <w:kern w:val="0"/>
                <w:sz w:val="24"/>
              </w:rPr>
              <w:t>华为/RH5885V3/中国</w:t>
            </w:r>
          </w:p>
        </w:tc>
        <w:tc>
          <w:tcPr>
            <w:tcW w:w="716" w:type="dxa"/>
            <w:tcBorders>
              <w:top w:val="nil"/>
              <w:left w:val="nil"/>
              <w:bottom w:val="single" w:color="auto" w:sz="4" w:space="0"/>
              <w:right w:val="single" w:color="auto" w:sz="4" w:space="0"/>
            </w:tcBorders>
            <w:noWrap/>
            <w:vAlign w:val="center"/>
          </w:tcPr>
          <w:p w14:paraId="680A3D2C">
            <w:pPr>
              <w:widowControl/>
              <w:jc w:val="center"/>
              <w:rPr>
                <w:rFonts w:hint="eastAsia" w:ascii="宋体" w:hAnsi="宋体" w:cs="宋体"/>
                <w:kern w:val="0"/>
                <w:sz w:val="24"/>
              </w:rPr>
            </w:pPr>
            <w:r>
              <w:rPr>
                <w:rFonts w:hint="eastAsia" w:ascii="宋体" w:hAnsi="宋体" w:cs="宋体"/>
                <w:kern w:val="0"/>
                <w:sz w:val="24"/>
              </w:rPr>
              <w:t>9</w:t>
            </w:r>
          </w:p>
        </w:tc>
      </w:tr>
      <w:tr w14:paraId="358C685B">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17AAB018">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0A323634">
            <w:pPr>
              <w:widowControl/>
              <w:jc w:val="center"/>
              <w:rPr>
                <w:rFonts w:hint="eastAsia" w:ascii="宋体" w:hAnsi="宋体" w:cs="宋体"/>
                <w:kern w:val="0"/>
                <w:sz w:val="24"/>
              </w:rPr>
            </w:pPr>
            <w:r>
              <w:rPr>
                <w:rFonts w:hint="eastAsia" w:ascii="宋体" w:hAnsi="宋体" w:cs="宋体"/>
                <w:kern w:val="0"/>
                <w:sz w:val="24"/>
              </w:rPr>
              <w:t>服务器</w:t>
            </w:r>
          </w:p>
        </w:tc>
        <w:tc>
          <w:tcPr>
            <w:tcW w:w="3915" w:type="dxa"/>
            <w:tcBorders>
              <w:top w:val="nil"/>
              <w:left w:val="nil"/>
              <w:bottom w:val="single" w:color="auto" w:sz="4" w:space="0"/>
              <w:right w:val="single" w:color="auto" w:sz="4" w:space="0"/>
            </w:tcBorders>
            <w:noWrap/>
            <w:vAlign w:val="center"/>
          </w:tcPr>
          <w:p w14:paraId="4356262F">
            <w:pPr>
              <w:widowControl/>
              <w:jc w:val="center"/>
              <w:rPr>
                <w:rFonts w:hint="eastAsia" w:ascii="宋体" w:hAnsi="宋体" w:cs="宋体"/>
                <w:kern w:val="0"/>
                <w:sz w:val="24"/>
              </w:rPr>
            </w:pPr>
            <w:r>
              <w:rPr>
                <w:rFonts w:hint="eastAsia" w:ascii="宋体" w:hAnsi="宋体" w:cs="宋体"/>
                <w:kern w:val="0"/>
                <w:sz w:val="24"/>
              </w:rPr>
              <w:t>华为/RH2288HV3/中国</w:t>
            </w:r>
          </w:p>
        </w:tc>
        <w:tc>
          <w:tcPr>
            <w:tcW w:w="716" w:type="dxa"/>
            <w:tcBorders>
              <w:top w:val="nil"/>
              <w:left w:val="nil"/>
              <w:bottom w:val="single" w:color="auto" w:sz="4" w:space="0"/>
              <w:right w:val="single" w:color="auto" w:sz="4" w:space="0"/>
            </w:tcBorders>
            <w:noWrap/>
            <w:vAlign w:val="center"/>
          </w:tcPr>
          <w:p w14:paraId="5B03A2E1">
            <w:pPr>
              <w:widowControl/>
              <w:jc w:val="center"/>
              <w:rPr>
                <w:rFonts w:hint="eastAsia" w:ascii="宋体" w:hAnsi="宋体" w:cs="宋体"/>
                <w:kern w:val="0"/>
                <w:sz w:val="24"/>
              </w:rPr>
            </w:pPr>
            <w:r>
              <w:rPr>
                <w:rFonts w:hint="eastAsia" w:ascii="宋体" w:hAnsi="宋体" w:cs="宋体"/>
                <w:kern w:val="0"/>
                <w:sz w:val="24"/>
              </w:rPr>
              <w:t>1</w:t>
            </w:r>
          </w:p>
        </w:tc>
      </w:tr>
      <w:tr w14:paraId="18C7000C">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668C43FF">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2E197EC8">
            <w:pPr>
              <w:widowControl/>
              <w:jc w:val="center"/>
              <w:rPr>
                <w:rFonts w:hint="eastAsia" w:ascii="宋体" w:hAnsi="宋体" w:cs="宋体"/>
                <w:kern w:val="0"/>
                <w:sz w:val="24"/>
              </w:rPr>
            </w:pPr>
            <w:r>
              <w:rPr>
                <w:rFonts w:hint="eastAsia" w:ascii="宋体" w:hAnsi="宋体" w:cs="宋体"/>
                <w:kern w:val="0"/>
                <w:sz w:val="24"/>
              </w:rPr>
              <w:t>服务器</w:t>
            </w:r>
          </w:p>
        </w:tc>
        <w:tc>
          <w:tcPr>
            <w:tcW w:w="3915" w:type="dxa"/>
            <w:tcBorders>
              <w:top w:val="nil"/>
              <w:left w:val="nil"/>
              <w:bottom w:val="single" w:color="auto" w:sz="4" w:space="0"/>
              <w:right w:val="single" w:color="auto" w:sz="4" w:space="0"/>
            </w:tcBorders>
            <w:noWrap/>
            <w:vAlign w:val="center"/>
          </w:tcPr>
          <w:p w14:paraId="23217CC6">
            <w:pPr>
              <w:widowControl/>
              <w:jc w:val="center"/>
              <w:rPr>
                <w:rFonts w:hint="eastAsia" w:ascii="宋体" w:hAnsi="宋体" w:cs="宋体"/>
                <w:kern w:val="0"/>
                <w:sz w:val="24"/>
              </w:rPr>
            </w:pPr>
            <w:r>
              <w:rPr>
                <w:rFonts w:hint="eastAsia" w:ascii="宋体" w:hAnsi="宋体" w:cs="宋体"/>
                <w:kern w:val="0"/>
                <w:sz w:val="24"/>
              </w:rPr>
              <w:t>联想/SR590/中国</w:t>
            </w:r>
          </w:p>
        </w:tc>
        <w:tc>
          <w:tcPr>
            <w:tcW w:w="716" w:type="dxa"/>
            <w:tcBorders>
              <w:top w:val="nil"/>
              <w:left w:val="nil"/>
              <w:bottom w:val="single" w:color="auto" w:sz="4" w:space="0"/>
              <w:right w:val="single" w:color="auto" w:sz="4" w:space="0"/>
            </w:tcBorders>
            <w:noWrap/>
            <w:vAlign w:val="center"/>
          </w:tcPr>
          <w:p w14:paraId="56BC81A8">
            <w:pPr>
              <w:widowControl/>
              <w:jc w:val="center"/>
              <w:rPr>
                <w:rFonts w:hint="eastAsia" w:ascii="宋体" w:hAnsi="宋体" w:cs="宋体"/>
                <w:kern w:val="0"/>
                <w:sz w:val="24"/>
              </w:rPr>
            </w:pPr>
            <w:r>
              <w:rPr>
                <w:rFonts w:hint="eastAsia" w:ascii="宋体" w:hAnsi="宋体" w:cs="宋体"/>
                <w:kern w:val="0"/>
                <w:sz w:val="24"/>
              </w:rPr>
              <w:t>2</w:t>
            </w:r>
          </w:p>
        </w:tc>
      </w:tr>
      <w:tr w14:paraId="3398F347">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2559830F">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7605A0DA">
            <w:pPr>
              <w:widowControl/>
              <w:jc w:val="center"/>
              <w:rPr>
                <w:rFonts w:hint="eastAsia" w:ascii="宋体" w:hAnsi="宋体" w:cs="宋体"/>
                <w:kern w:val="0"/>
                <w:sz w:val="24"/>
              </w:rPr>
            </w:pPr>
            <w:r>
              <w:rPr>
                <w:rFonts w:hint="eastAsia" w:ascii="宋体" w:hAnsi="宋体" w:cs="宋体"/>
                <w:kern w:val="0"/>
                <w:sz w:val="24"/>
              </w:rPr>
              <w:t>路由交换机</w:t>
            </w:r>
          </w:p>
        </w:tc>
        <w:tc>
          <w:tcPr>
            <w:tcW w:w="3915" w:type="dxa"/>
            <w:tcBorders>
              <w:top w:val="nil"/>
              <w:left w:val="nil"/>
              <w:bottom w:val="single" w:color="auto" w:sz="4" w:space="0"/>
              <w:right w:val="single" w:color="auto" w:sz="4" w:space="0"/>
            </w:tcBorders>
            <w:noWrap/>
            <w:vAlign w:val="center"/>
          </w:tcPr>
          <w:p w14:paraId="50F8B332">
            <w:pPr>
              <w:widowControl/>
              <w:jc w:val="center"/>
              <w:rPr>
                <w:rFonts w:hint="eastAsia" w:ascii="宋体" w:hAnsi="宋体" w:cs="宋体"/>
                <w:kern w:val="0"/>
                <w:sz w:val="24"/>
              </w:rPr>
            </w:pPr>
            <w:r>
              <w:rPr>
                <w:rFonts w:hint="eastAsia" w:ascii="宋体" w:hAnsi="宋体" w:cs="宋体"/>
                <w:kern w:val="0"/>
                <w:sz w:val="24"/>
              </w:rPr>
              <w:t>中兴/ZXR10 8902/中国</w:t>
            </w:r>
          </w:p>
        </w:tc>
        <w:tc>
          <w:tcPr>
            <w:tcW w:w="716" w:type="dxa"/>
            <w:tcBorders>
              <w:top w:val="nil"/>
              <w:left w:val="nil"/>
              <w:bottom w:val="single" w:color="auto" w:sz="4" w:space="0"/>
              <w:right w:val="single" w:color="auto" w:sz="4" w:space="0"/>
            </w:tcBorders>
            <w:noWrap/>
            <w:vAlign w:val="center"/>
          </w:tcPr>
          <w:p w14:paraId="6FFF637F">
            <w:pPr>
              <w:widowControl/>
              <w:jc w:val="center"/>
              <w:rPr>
                <w:rFonts w:hint="eastAsia" w:ascii="宋体" w:hAnsi="宋体" w:cs="宋体"/>
                <w:kern w:val="0"/>
                <w:sz w:val="24"/>
              </w:rPr>
            </w:pPr>
            <w:r>
              <w:rPr>
                <w:rFonts w:hint="eastAsia" w:ascii="宋体" w:hAnsi="宋体" w:cs="宋体"/>
                <w:kern w:val="0"/>
                <w:sz w:val="24"/>
              </w:rPr>
              <w:t>1</w:t>
            </w:r>
          </w:p>
        </w:tc>
      </w:tr>
      <w:tr w14:paraId="2697D75A">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0DB9B341">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281E6A87">
            <w:pPr>
              <w:widowControl/>
              <w:jc w:val="center"/>
              <w:rPr>
                <w:rFonts w:hint="eastAsia" w:ascii="宋体" w:hAnsi="宋体" w:cs="宋体"/>
                <w:kern w:val="0"/>
                <w:sz w:val="24"/>
              </w:rPr>
            </w:pPr>
            <w:r>
              <w:rPr>
                <w:rFonts w:hint="eastAsia" w:ascii="宋体" w:hAnsi="宋体" w:cs="宋体"/>
                <w:kern w:val="0"/>
                <w:sz w:val="24"/>
              </w:rPr>
              <w:t>路由器</w:t>
            </w:r>
          </w:p>
        </w:tc>
        <w:tc>
          <w:tcPr>
            <w:tcW w:w="3915" w:type="dxa"/>
            <w:tcBorders>
              <w:top w:val="nil"/>
              <w:left w:val="nil"/>
              <w:bottom w:val="single" w:color="auto" w:sz="4" w:space="0"/>
              <w:right w:val="single" w:color="auto" w:sz="4" w:space="0"/>
            </w:tcBorders>
            <w:noWrap/>
            <w:vAlign w:val="center"/>
          </w:tcPr>
          <w:p w14:paraId="31E99370">
            <w:pPr>
              <w:widowControl/>
              <w:jc w:val="center"/>
              <w:rPr>
                <w:rFonts w:hint="eastAsia" w:ascii="宋体" w:hAnsi="宋体" w:cs="宋体"/>
                <w:kern w:val="0"/>
                <w:sz w:val="24"/>
              </w:rPr>
            </w:pPr>
            <w:r>
              <w:rPr>
                <w:rFonts w:hint="eastAsia" w:ascii="宋体" w:hAnsi="宋体" w:cs="宋体"/>
                <w:kern w:val="0"/>
                <w:sz w:val="24"/>
              </w:rPr>
              <w:t>华为/AR2200 Series/中国</w:t>
            </w:r>
          </w:p>
        </w:tc>
        <w:tc>
          <w:tcPr>
            <w:tcW w:w="716" w:type="dxa"/>
            <w:tcBorders>
              <w:top w:val="nil"/>
              <w:left w:val="nil"/>
              <w:bottom w:val="single" w:color="auto" w:sz="4" w:space="0"/>
              <w:right w:val="single" w:color="auto" w:sz="4" w:space="0"/>
            </w:tcBorders>
            <w:noWrap/>
            <w:vAlign w:val="center"/>
          </w:tcPr>
          <w:p w14:paraId="68C9F3B8">
            <w:pPr>
              <w:widowControl/>
              <w:jc w:val="center"/>
              <w:rPr>
                <w:rFonts w:hint="eastAsia" w:ascii="宋体" w:hAnsi="宋体" w:cs="宋体"/>
                <w:kern w:val="0"/>
                <w:sz w:val="24"/>
              </w:rPr>
            </w:pPr>
            <w:r>
              <w:rPr>
                <w:rFonts w:hint="eastAsia" w:ascii="宋体" w:hAnsi="宋体" w:cs="宋体"/>
                <w:kern w:val="0"/>
                <w:sz w:val="24"/>
              </w:rPr>
              <w:t>2</w:t>
            </w:r>
          </w:p>
        </w:tc>
      </w:tr>
      <w:tr w14:paraId="2DD8397C">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2A2D54B0">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2816B83C">
            <w:pPr>
              <w:widowControl/>
              <w:jc w:val="center"/>
              <w:rPr>
                <w:rFonts w:hint="eastAsia" w:ascii="宋体" w:hAnsi="宋体" w:cs="宋体"/>
                <w:kern w:val="0"/>
                <w:sz w:val="24"/>
              </w:rPr>
            </w:pPr>
            <w:r>
              <w:rPr>
                <w:rFonts w:hint="eastAsia" w:ascii="宋体" w:hAnsi="宋体" w:cs="宋体"/>
                <w:kern w:val="0"/>
                <w:sz w:val="24"/>
              </w:rPr>
              <w:t>交换机</w:t>
            </w:r>
          </w:p>
        </w:tc>
        <w:tc>
          <w:tcPr>
            <w:tcW w:w="3915" w:type="dxa"/>
            <w:tcBorders>
              <w:top w:val="nil"/>
              <w:left w:val="nil"/>
              <w:bottom w:val="single" w:color="auto" w:sz="4" w:space="0"/>
              <w:right w:val="single" w:color="auto" w:sz="4" w:space="0"/>
            </w:tcBorders>
            <w:noWrap/>
            <w:vAlign w:val="center"/>
          </w:tcPr>
          <w:p w14:paraId="0AA6968A">
            <w:pPr>
              <w:widowControl/>
              <w:jc w:val="center"/>
              <w:rPr>
                <w:rFonts w:hint="eastAsia" w:ascii="宋体" w:hAnsi="宋体" w:cs="宋体"/>
                <w:kern w:val="0"/>
                <w:sz w:val="24"/>
              </w:rPr>
            </w:pPr>
            <w:r>
              <w:rPr>
                <w:rFonts w:hint="eastAsia" w:ascii="宋体" w:hAnsi="宋体" w:cs="宋体"/>
                <w:kern w:val="0"/>
                <w:sz w:val="24"/>
              </w:rPr>
              <w:t>华为/S5720-28P-LI-AC/中国</w:t>
            </w:r>
          </w:p>
        </w:tc>
        <w:tc>
          <w:tcPr>
            <w:tcW w:w="716" w:type="dxa"/>
            <w:tcBorders>
              <w:top w:val="nil"/>
              <w:left w:val="nil"/>
              <w:bottom w:val="single" w:color="auto" w:sz="4" w:space="0"/>
              <w:right w:val="single" w:color="auto" w:sz="4" w:space="0"/>
            </w:tcBorders>
            <w:noWrap/>
            <w:vAlign w:val="center"/>
          </w:tcPr>
          <w:p w14:paraId="33E9DD36">
            <w:pPr>
              <w:widowControl/>
              <w:jc w:val="center"/>
              <w:rPr>
                <w:rFonts w:hint="eastAsia" w:ascii="宋体" w:hAnsi="宋体" w:cs="宋体"/>
                <w:kern w:val="0"/>
                <w:sz w:val="24"/>
              </w:rPr>
            </w:pPr>
            <w:r>
              <w:rPr>
                <w:rFonts w:hint="eastAsia" w:ascii="宋体" w:hAnsi="宋体" w:cs="宋体"/>
                <w:kern w:val="0"/>
                <w:sz w:val="24"/>
              </w:rPr>
              <w:t>10</w:t>
            </w:r>
          </w:p>
        </w:tc>
      </w:tr>
      <w:tr w14:paraId="5CCC9989">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5B220DDB">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447A7329">
            <w:pPr>
              <w:widowControl/>
              <w:jc w:val="center"/>
              <w:rPr>
                <w:rFonts w:hint="eastAsia" w:ascii="宋体" w:hAnsi="宋体" w:cs="宋体"/>
                <w:kern w:val="0"/>
                <w:sz w:val="24"/>
              </w:rPr>
            </w:pPr>
            <w:r>
              <w:rPr>
                <w:rFonts w:hint="eastAsia" w:ascii="宋体" w:hAnsi="宋体" w:cs="宋体"/>
                <w:kern w:val="0"/>
                <w:sz w:val="24"/>
              </w:rPr>
              <w:t>交换机</w:t>
            </w:r>
          </w:p>
        </w:tc>
        <w:tc>
          <w:tcPr>
            <w:tcW w:w="3915" w:type="dxa"/>
            <w:tcBorders>
              <w:top w:val="nil"/>
              <w:left w:val="nil"/>
              <w:bottom w:val="single" w:color="auto" w:sz="4" w:space="0"/>
              <w:right w:val="single" w:color="auto" w:sz="4" w:space="0"/>
            </w:tcBorders>
            <w:noWrap/>
            <w:vAlign w:val="center"/>
          </w:tcPr>
          <w:p w14:paraId="28A0B540">
            <w:pPr>
              <w:widowControl/>
              <w:jc w:val="center"/>
              <w:rPr>
                <w:rFonts w:hint="eastAsia" w:ascii="宋体" w:hAnsi="宋体" w:cs="宋体"/>
                <w:kern w:val="0"/>
                <w:sz w:val="24"/>
              </w:rPr>
            </w:pPr>
            <w:r>
              <w:rPr>
                <w:rFonts w:hint="eastAsia" w:ascii="宋体" w:hAnsi="宋体" w:cs="宋体"/>
                <w:kern w:val="0"/>
                <w:sz w:val="24"/>
              </w:rPr>
              <w:t>华为/QUIDWAY S7703/中国</w:t>
            </w:r>
          </w:p>
        </w:tc>
        <w:tc>
          <w:tcPr>
            <w:tcW w:w="716" w:type="dxa"/>
            <w:tcBorders>
              <w:top w:val="nil"/>
              <w:left w:val="nil"/>
              <w:bottom w:val="single" w:color="auto" w:sz="4" w:space="0"/>
              <w:right w:val="single" w:color="auto" w:sz="4" w:space="0"/>
            </w:tcBorders>
            <w:noWrap/>
            <w:vAlign w:val="center"/>
          </w:tcPr>
          <w:p w14:paraId="38562B6C">
            <w:pPr>
              <w:widowControl/>
              <w:jc w:val="center"/>
              <w:rPr>
                <w:rFonts w:hint="eastAsia" w:ascii="宋体" w:hAnsi="宋体" w:cs="宋体"/>
                <w:kern w:val="0"/>
                <w:sz w:val="24"/>
              </w:rPr>
            </w:pPr>
            <w:r>
              <w:rPr>
                <w:rFonts w:hint="eastAsia" w:ascii="宋体" w:hAnsi="宋体" w:cs="宋体"/>
                <w:kern w:val="0"/>
                <w:sz w:val="24"/>
              </w:rPr>
              <w:t>2</w:t>
            </w:r>
          </w:p>
        </w:tc>
      </w:tr>
      <w:tr w14:paraId="44B28E90">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302B0BAA">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7E6B4C00">
            <w:pPr>
              <w:widowControl/>
              <w:jc w:val="center"/>
              <w:rPr>
                <w:rFonts w:hint="eastAsia" w:ascii="宋体" w:hAnsi="宋体" w:cs="宋体"/>
                <w:kern w:val="0"/>
                <w:sz w:val="24"/>
              </w:rPr>
            </w:pPr>
            <w:r>
              <w:rPr>
                <w:rFonts w:hint="eastAsia" w:ascii="宋体" w:hAnsi="宋体" w:cs="宋体"/>
                <w:kern w:val="0"/>
                <w:sz w:val="24"/>
              </w:rPr>
              <w:t>交换机</w:t>
            </w:r>
          </w:p>
        </w:tc>
        <w:tc>
          <w:tcPr>
            <w:tcW w:w="3915" w:type="dxa"/>
            <w:tcBorders>
              <w:top w:val="nil"/>
              <w:left w:val="nil"/>
              <w:bottom w:val="single" w:color="auto" w:sz="4" w:space="0"/>
              <w:right w:val="single" w:color="auto" w:sz="4" w:space="0"/>
            </w:tcBorders>
            <w:noWrap/>
            <w:vAlign w:val="center"/>
          </w:tcPr>
          <w:p w14:paraId="754F94A2">
            <w:pPr>
              <w:widowControl/>
              <w:jc w:val="center"/>
              <w:rPr>
                <w:rFonts w:hint="eastAsia" w:ascii="宋体" w:hAnsi="宋体" w:cs="宋体"/>
                <w:kern w:val="0"/>
                <w:sz w:val="24"/>
              </w:rPr>
            </w:pPr>
            <w:r>
              <w:rPr>
                <w:rFonts w:hint="eastAsia" w:ascii="宋体" w:hAnsi="宋体" w:cs="宋体"/>
                <w:kern w:val="0"/>
                <w:sz w:val="24"/>
              </w:rPr>
              <w:t>锐捷/STAR-S2126G/中国</w:t>
            </w:r>
          </w:p>
        </w:tc>
        <w:tc>
          <w:tcPr>
            <w:tcW w:w="716" w:type="dxa"/>
            <w:tcBorders>
              <w:top w:val="nil"/>
              <w:left w:val="nil"/>
              <w:bottom w:val="single" w:color="auto" w:sz="4" w:space="0"/>
              <w:right w:val="single" w:color="auto" w:sz="4" w:space="0"/>
            </w:tcBorders>
            <w:noWrap/>
            <w:vAlign w:val="center"/>
          </w:tcPr>
          <w:p w14:paraId="0905F5C7">
            <w:pPr>
              <w:widowControl/>
              <w:jc w:val="center"/>
              <w:rPr>
                <w:rFonts w:hint="eastAsia" w:ascii="宋体" w:hAnsi="宋体" w:cs="宋体"/>
                <w:kern w:val="0"/>
                <w:sz w:val="24"/>
              </w:rPr>
            </w:pPr>
            <w:r>
              <w:rPr>
                <w:rFonts w:hint="eastAsia" w:ascii="宋体" w:hAnsi="宋体" w:cs="宋体"/>
                <w:kern w:val="0"/>
                <w:sz w:val="24"/>
              </w:rPr>
              <w:t>1</w:t>
            </w:r>
          </w:p>
        </w:tc>
      </w:tr>
      <w:tr w14:paraId="1A0C93A8">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1113F7CB">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4615D32E">
            <w:pPr>
              <w:widowControl/>
              <w:jc w:val="center"/>
              <w:rPr>
                <w:rFonts w:hint="eastAsia" w:ascii="宋体" w:hAnsi="宋体" w:cs="宋体"/>
                <w:kern w:val="0"/>
                <w:sz w:val="24"/>
              </w:rPr>
            </w:pPr>
            <w:r>
              <w:rPr>
                <w:rFonts w:hint="eastAsia" w:ascii="宋体" w:hAnsi="宋体" w:cs="宋体"/>
                <w:kern w:val="0"/>
                <w:sz w:val="24"/>
              </w:rPr>
              <w:t>防火墙</w:t>
            </w:r>
          </w:p>
        </w:tc>
        <w:tc>
          <w:tcPr>
            <w:tcW w:w="3915" w:type="dxa"/>
            <w:tcBorders>
              <w:top w:val="nil"/>
              <w:left w:val="nil"/>
              <w:bottom w:val="single" w:color="auto" w:sz="4" w:space="0"/>
              <w:right w:val="single" w:color="auto" w:sz="4" w:space="0"/>
            </w:tcBorders>
            <w:noWrap/>
            <w:vAlign w:val="center"/>
          </w:tcPr>
          <w:p w14:paraId="4E535A89">
            <w:pPr>
              <w:widowControl/>
              <w:jc w:val="center"/>
              <w:rPr>
                <w:rFonts w:hint="eastAsia" w:ascii="宋体" w:hAnsi="宋体" w:cs="宋体"/>
                <w:kern w:val="0"/>
                <w:sz w:val="24"/>
              </w:rPr>
            </w:pPr>
            <w:r>
              <w:rPr>
                <w:rFonts w:hint="eastAsia" w:ascii="宋体" w:hAnsi="宋体" w:cs="宋体"/>
                <w:kern w:val="0"/>
                <w:sz w:val="24"/>
              </w:rPr>
              <w:t>山石/SG-6000-1242/中国</w:t>
            </w:r>
          </w:p>
        </w:tc>
        <w:tc>
          <w:tcPr>
            <w:tcW w:w="716" w:type="dxa"/>
            <w:tcBorders>
              <w:top w:val="nil"/>
              <w:left w:val="nil"/>
              <w:bottom w:val="single" w:color="auto" w:sz="4" w:space="0"/>
              <w:right w:val="single" w:color="auto" w:sz="4" w:space="0"/>
            </w:tcBorders>
            <w:noWrap/>
            <w:vAlign w:val="center"/>
          </w:tcPr>
          <w:p w14:paraId="6EC516E7">
            <w:pPr>
              <w:widowControl/>
              <w:jc w:val="center"/>
              <w:rPr>
                <w:rFonts w:hint="eastAsia" w:ascii="宋体" w:hAnsi="宋体" w:cs="宋体"/>
                <w:kern w:val="0"/>
                <w:sz w:val="24"/>
              </w:rPr>
            </w:pPr>
            <w:r>
              <w:rPr>
                <w:rFonts w:hint="eastAsia" w:ascii="宋体" w:hAnsi="宋体" w:cs="宋体"/>
                <w:kern w:val="0"/>
                <w:sz w:val="24"/>
              </w:rPr>
              <w:t>3</w:t>
            </w:r>
          </w:p>
        </w:tc>
      </w:tr>
      <w:tr w14:paraId="2E6C52CD">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6F8951B2">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02100650">
            <w:pPr>
              <w:widowControl/>
              <w:jc w:val="center"/>
              <w:rPr>
                <w:rFonts w:hint="eastAsia" w:ascii="宋体" w:hAnsi="宋体" w:cs="宋体"/>
                <w:kern w:val="0"/>
                <w:sz w:val="24"/>
              </w:rPr>
            </w:pPr>
            <w:r>
              <w:rPr>
                <w:rFonts w:hint="eastAsia" w:ascii="宋体" w:hAnsi="宋体" w:cs="宋体"/>
                <w:kern w:val="0"/>
                <w:sz w:val="24"/>
              </w:rPr>
              <w:t>防火墙</w:t>
            </w:r>
          </w:p>
        </w:tc>
        <w:tc>
          <w:tcPr>
            <w:tcW w:w="3915" w:type="dxa"/>
            <w:tcBorders>
              <w:top w:val="nil"/>
              <w:left w:val="nil"/>
              <w:bottom w:val="single" w:color="auto" w:sz="4" w:space="0"/>
              <w:right w:val="single" w:color="auto" w:sz="4" w:space="0"/>
            </w:tcBorders>
            <w:noWrap/>
            <w:vAlign w:val="center"/>
          </w:tcPr>
          <w:p w14:paraId="3BCEED3A">
            <w:pPr>
              <w:widowControl/>
              <w:jc w:val="center"/>
              <w:rPr>
                <w:rFonts w:hint="eastAsia" w:ascii="宋体" w:hAnsi="宋体" w:cs="宋体"/>
                <w:kern w:val="0"/>
                <w:sz w:val="24"/>
              </w:rPr>
            </w:pPr>
            <w:r>
              <w:rPr>
                <w:rFonts w:hint="eastAsia" w:ascii="宋体" w:hAnsi="宋体" w:cs="宋体"/>
                <w:kern w:val="0"/>
                <w:sz w:val="24"/>
              </w:rPr>
              <w:t>山石/SG-6000-P935/中国</w:t>
            </w:r>
          </w:p>
        </w:tc>
        <w:tc>
          <w:tcPr>
            <w:tcW w:w="716" w:type="dxa"/>
            <w:tcBorders>
              <w:top w:val="nil"/>
              <w:left w:val="nil"/>
              <w:bottom w:val="single" w:color="auto" w:sz="4" w:space="0"/>
              <w:right w:val="single" w:color="auto" w:sz="4" w:space="0"/>
            </w:tcBorders>
            <w:noWrap/>
            <w:vAlign w:val="center"/>
          </w:tcPr>
          <w:p w14:paraId="0C6F8C76">
            <w:pPr>
              <w:widowControl/>
              <w:jc w:val="center"/>
              <w:rPr>
                <w:rFonts w:hint="eastAsia" w:ascii="宋体" w:hAnsi="宋体" w:cs="宋体"/>
                <w:kern w:val="0"/>
                <w:sz w:val="24"/>
              </w:rPr>
            </w:pPr>
            <w:r>
              <w:rPr>
                <w:rFonts w:hint="eastAsia" w:ascii="宋体" w:hAnsi="宋体" w:cs="宋体"/>
                <w:kern w:val="0"/>
                <w:sz w:val="24"/>
              </w:rPr>
              <w:t>3</w:t>
            </w:r>
          </w:p>
        </w:tc>
      </w:tr>
      <w:tr w14:paraId="4237A5EF">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0CB14457">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0797641F">
            <w:pPr>
              <w:widowControl/>
              <w:jc w:val="center"/>
              <w:rPr>
                <w:rFonts w:hint="eastAsia" w:ascii="宋体" w:hAnsi="宋体" w:cs="宋体"/>
                <w:kern w:val="0"/>
                <w:sz w:val="24"/>
              </w:rPr>
            </w:pPr>
            <w:r>
              <w:rPr>
                <w:rFonts w:hint="eastAsia" w:ascii="宋体" w:hAnsi="宋体" w:cs="宋体"/>
                <w:kern w:val="0"/>
                <w:sz w:val="24"/>
              </w:rPr>
              <w:t>入侵防御设备</w:t>
            </w:r>
          </w:p>
        </w:tc>
        <w:tc>
          <w:tcPr>
            <w:tcW w:w="3915" w:type="dxa"/>
            <w:tcBorders>
              <w:top w:val="nil"/>
              <w:left w:val="nil"/>
              <w:bottom w:val="single" w:color="auto" w:sz="4" w:space="0"/>
              <w:right w:val="single" w:color="auto" w:sz="4" w:space="0"/>
            </w:tcBorders>
            <w:noWrap/>
            <w:vAlign w:val="center"/>
          </w:tcPr>
          <w:p w14:paraId="55E8BAAC">
            <w:pPr>
              <w:widowControl/>
              <w:jc w:val="center"/>
              <w:rPr>
                <w:rFonts w:hint="eastAsia" w:ascii="宋体" w:hAnsi="宋体" w:cs="宋体"/>
                <w:kern w:val="0"/>
                <w:sz w:val="24"/>
              </w:rPr>
            </w:pPr>
            <w:r>
              <w:rPr>
                <w:rFonts w:hint="eastAsia" w:ascii="宋体" w:hAnsi="宋体" w:cs="宋体"/>
                <w:kern w:val="0"/>
                <w:sz w:val="24"/>
              </w:rPr>
              <w:t>山石/SG-6000-D860/中国</w:t>
            </w:r>
          </w:p>
        </w:tc>
        <w:tc>
          <w:tcPr>
            <w:tcW w:w="716" w:type="dxa"/>
            <w:tcBorders>
              <w:top w:val="nil"/>
              <w:left w:val="nil"/>
              <w:bottom w:val="single" w:color="auto" w:sz="4" w:space="0"/>
              <w:right w:val="single" w:color="auto" w:sz="4" w:space="0"/>
            </w:tcBorders>
            <w:noWrap/>
            <w:vAlign w:val="center"/>
          </w:tcPr>
          <w:p w14:paraId="5C4E4847">
            <w:pPr>
              <w:widowControl/>
              <w:jc w:val="center"/>
              <w:rPr>
                <w:rFonts w:hint="eastAsia" w:ascii="宋体" w:hAnsi="宋体" w:cs="宋体"/>
                <w:kern w:val="0"/>
                <w:sz w:val="24"/>
              </w:rPr>
            </w:pPr>
            <w:r>
              <w:rPr>
                <w:rFonts w:hint="eastAsia" w:ascii="宋体" w:hAnsi="宋体" w:cs="宋体"/>
                <w:kern w:val="0"/>
                <w:sz w:val="24"/>
              </w:rPr>
              <w:t>4</w:t>
            </w:r>
          </w:p>
        </w:tc>
      </w:tr>
      <w:tr w14:paraId="4E7EB97F">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6BE58901">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5FC5DAA1">
            <w:pPr>
              <w:widowControl/>
              <w:jc w:val="center"/>
              <w:rPr>
                <w:rFonts w:hint="eastAsia" w:ascii="宋体" w:hAnsi="宋体" w:cs="宋体"/>
                <w:kern w:val="0"/>
                <w:sz w:val="24"/>
              </w:rPr>
            </w:pPr>
            <w:r>
              <w:rPr>
                <w:rFonts w:hint="eastAsia" w:ascii="宋体" w:hAnsi="宋体" w:cs="宋体"/>
                <w:kern w:val="0"/>
                <w:sz w:val="24"/>
              </w:rPr>
              <w:t>防火墙</w:t>
            </w:r>
          </w:p>
        </w:tc>
        <w:tc>
          <w:tcPr>
            <w:tcW w:w="3915" w:type="dxa"/>
            <w:tcBorders>
              <w:top w:val="nil"/>
              <w:left w:val="nil"/>
              <w:bottom w:val="single" w:color="auto" w:sz="4" w:space="0"/>
              <w:right w:val="single" w:color="auto" w:sz="4" w:space="0"/>
            </w:tcBorders>
            <w:noWrap/>
            <w:vAlign w:val="center"/>
          </w:tcPr>
          <w:p w14:paraId="446148A6">
            <w:pPr>
              <w:widowControl/>
              <w:jc w:val="center"/>
              <w:rPr>
                <w:rFonts w:hint="eastAsia" w:ascii="宋体" w:hAnsi="宋体" w:cs="宋体"/>
                <w:kern w:val="0"/>
                <w:sz w:val="24"/>
              </w:rPr>
            </w:pPr>
            <w:r>
              <w:rPr>
                <w:rFonts w:hint="eastAsia" w:ascii="宋体" w:hAnsi="宋体" w:cs="宋体"/>
                <w:kern w:val="0"/>
                <w:sz w:val="24"/>
              </w:rPr>
              <w:t>山石/SG-6000-E2800-AD/中国</w:t>
            </w:r>
          </w:p>
        </w:tc>
        <w:tc>
          <w:tcPr>
            <w:tcW w:w="716" w:type="dxa"/>
            <w:tcBorders>
              <w:top w:val="nil"/>
              <w:left w:val="nil"/>
              <w:bottom w:val="single" w:color="auto" w:sz="4" w:space="0"/>
              <w:right w:val="single" w:color="auto" w:sz="4" w:space="0"/>
            </w:tcBorders>
            <w:noWrap/>
            <w:vAlign w:val="center"/>
          </w:tcPr>
          <w:p w14:paraId="632CF34D">
            <w:pPr>
              <w:widowControl/>
              <w:jc w:val="center"/>
              <w:rPr>
                <w:rFonts w:hint="eastAsia" w:ascii="宋体" w:hAnsi="宋体" w:cs="宋体"/>
                <w:kern w:val="0"/>
                <w:sz w:val="24"/>
              </w:rPr>
            </w:pPr>
            <w:r>
              <w:rPr>
                <w:rFonts w:hint="eastAsia" w:ascii="宋体" w:hAnsi="宋体" w:cs="宋体"/>
                <w:kern w:val="0"/>
                <w:sz w:val="24"/>
              </w:rPr>
              <w:t>2</w:t>
            </w:r>
          </w:p>
        </w:tc>
      </w:tr>
      <w:tr w14:paraId="54027B1F">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6E9F25E2">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6A7D4CC1">
            <w:pPr>
              <w:widowControl/>
              <w:jc w:val="center"/>
              <w:rPr>
                <w:rFonts w:hint="eastAsia" w:ascii="宋体" w:hAnsi="宋体" w:cs="宋体"/>
                <w:kern w:val="0"/>
                <w:sz w:val="24"/>
              </w:rPr>
            </w:pPr>
            <w:r>
              <w:rPr>
                <w:rFonts w:hint="eastAsia" w:ascii="宋体" w:hAnsi="宋体" w:cs="宋体"/>
                <w:kern w:val="0"/>
                <w:sz w:val="24"/>
              </w:rPr>
              <w:t>防火墙</w:t>
            </w:r>
          </w:p>
        </w:tc>
        <w:tc>
          <w:tcPr>
            <w:tcW w:w="3915" w:type="dxa"/>
            <w:tcBorders>
              <w:top w:val="nil"/>
              <w:left w:val="nil"/>
              <w:bottom w:val="single" w:color="auto" w:sz="4" w:space="0"/>
              <w:right w:val="single" w:color="auto" w:sz="4" w:space="0"/>
            </w:tcBorders>
            <w:noWrap/>
            <w:vAlign w:val="center"/>
          </w:tcPr>
          <w:p w14:paraId="63F6797A">
            <w:pPr>
              <w:widowControl/>
              <w:jc w:val="center"/>
              <w:rPr>
                <w:rFonts w:hint="eastAsia" w:ascii="宋体" w:hAnsi="宋体" w:cs="宋体"/>
                <w:kern w:val="0"/>
                <w:sz w:val="24"/>
              </w:rPr>
            </w:pPr>
            <w:r>
              <w:rPr>
                <w:rFonts w:hint="eastAsia" w:ascii="宋体" w:hAnsi="宋体" w:cs="宋体"/>
                <w:kern w:val="0"/>
                <w:sz w:val="24"/>
              </w:rPr>
              <w:t>山石/SG-6000-E2300-AD/中国</w:t>
            </w:r>
          </w:p>
        </w:tc>
        <w:tc>
          <w:tcPr>
            <w:tcW w:w="716" w:type="dxa"/>
            <w:tcBorders>
              <w:top w:val="nil"/>
              <w:left w:val="nil"/>
              <w:bottom w:val="single" w:color="auto" w:sz="4" w:space="0"/>
              <w:right w:val="single" w:color="auto" w:sz="4" w:space="0"/>
            </w:tcBorders>
            <w:noWrap/>
            <w:vAlign w:val="center"/>
          </w:tcPr>
          <w:p w14:paraId="019F36B5">
            <w:pPr>
              <w:widowControl/>
              <w:jc w:val="center"/>
              <w:rPr>
                <w:rFonts w:hint="eastAsia" w:ascii="宋体" w:hAnsi="宋体" w:cs="宋体"/>
                <w:kern w:val="0"/>
                <w:sz w:val="24"/>
              </w:rPr>
            </w:pPr>
            <w:r>
              <w:rPr>
                <w:rFonts w:hint="eastAsia" w:ascii="宋体" w:hAnsi="宋体" w:cs="宋体"/>
                <w:kern w:val="0"/>
                <w:sz w:val="24"/>
              </w:rPr>
              <w:t>2</w:t>
            </w:r>
          </w:p>
        </w:tc>
      </w:tr>
      <w:tr w14:paraId="09C35F16">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7E3A2508">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17ABA83B">
            <w:pPr>
              <w:widowControl/>
              <w:jc w:val="center"/>
              <w:rPr>
                <w:rFonts w:hint="eastAsia" w:ascii="宋体" w:hAnsi="宋体" w:cs="宋体"/>
                <w:kern w:val="0"/>
                <w:sz w:val="24"/>
              </w:rPr>
            </w:pPr>
            <w:r>
              <w:rPr>
                <w:rFonts w:hint="eastAsia" w:ascii="宋体" w:hAnsi="宋体" w:cs="宋体"/>
                <w:kern w:val="0"/>
                <w:sz w:val="24"/>
              </w:rPr>
              <w:t>堡垒机</w:t>
            </w:r>
          </w:p>
        </w:tc>
        <w:tc>
          <w:tcPr>
            <w:tcW w:w="3915" w:type="dxa"/>
            <w:tcBorders>
              <w:top w:val="nil"/>
              <w:left w:val="nil"/>
              <w:bottom w:val="single" w:color="auto" w:sz="4" w:space="0"/>
              <w:right w:val="single" w:color="auto" w:sz="4" w:space="0"/>
            </w:tcBorders>
            <w:noWrap/>
            <w:vAlign w:val="center"/>
          </w:tcPr>
          <w:p w14:paraId="2F61B0E2">
            <w:pPr>
              <w:widowControl/>
              <w:jc w:val="center"/>
              <w:rPr>
                <w:rFonts w:hint="eastAsia" w:ascii="宋体" w:hAnsi="宋体" w:cs="宋体"/>
                <w:kern w:val="0"/>
                <w:sz w:val="24"/>
              </w:rPr>
            </w:pPr>
            <w:r>
              <w:rPr>
                <w:rFonts w:hint="eastAsia" w:ascii="宋体" w:hAnsi="宋体" w:cs="宋体"/>
                <w:kern w:val="0"/>
                <w:sz w:val="24"/>
              </w:rPr>
              <w:t>思福迪/LogBase B1890/中国</w:t>
            </w:r>
          </w:p>
        </w:tc>
        <w:tc>
          <w:tcPr>
            <w:tcW w:w="716" w:type="dxa"/>
            <w:tcBorders>
              <w:top w:val="nil"/>
              <w:left w:val="nil"/>
              <w:bottom w:val="single" w:color="auto" w:sz="4" w:space="0"/>
              <w:right w:val="single" w:color="auto" w:sz="4" w:space="0"/>
            </w:tcBorders>
            <w:noWrap/>
            <w:vAlign w:val="center"/>
          </w:tcPr>
          <w:p w14:paraId="51CB9296">
            <w:pPr>
              <w:widowControl/>
              <w:jc w:val="center"/>
              <w:rPr>
                <w:rFonts w:hint="eastAsia" w:ascii="宋体" w:hAnsi="宋体" w:cs="宋体"/>
                <w:kern w:val="0"/>
                <w:sz w:val="24"/>
              </w:rPr>
            </w:pPr>
            <w:r>
              <w:rPr>
                <w:rFonts w:hint="eastAsia" w:ascii="宋体" w:hAnsi="宋体" w:cs="宋体"/>
                <w:kern w:val="0"/>
                <w:sz w:val="24"/>
              </w:rPr>
              <w:t>1</w:t>
            </w:r>
          </w:p>
        </w:tc>
      </w:tr>
      <w:tr w14:paraId="674552C2">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27237342">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16098186">
            <w:pPr>
              <w:widowControl/>
              <w:jc w:val="center"/>
              <w:rPr>
                <w:rFonts w:hint="eastAsia" w:ascii="宋体" w:hAnsi="宋体" w:cs="宋体"/>
                <w:kern w:val="0"/>
                <w:sz w:val="24"/>
              </w:rPr>
            </w:pPr>
            <w:r>
              <w:rPr>
                <w:rFonts w:hint="eastAsia" w:ascii="宋体" w:hAnsi="宋体" w:cs="宋体"/>
                <w:kern w:val="0"/>
                <w:sz w:val="24"/>
              </w:rPr>
              <w:t>综合审计系统</w:t>
            </w:r>
          </w:p>
        </w:tc>
        <w:tc>
          <w:tcPr>
            <w:tcW w:w="3915" w:type="dxa"/>
            <w:tcBorders>
              <w:top w:val="nil"/>
              <w:left w:val="nil"/>
              <w:bottom w:val="single" w:color="auto" w:sz="4" w:space="0"/>
              <w:right w:val="single" w:color="auto" w:sz="4" w:space="0"/>
            </w:tcBorders>
            <w:noWrap/>
            <w:vAlign w:val="center"/>
          </w:tcPr>
          <w:p w14:paraId="05BA9D4B">
            <w:pPr>
              <w:widowControl/>
              <w:jc w:val="center"/>
              <w:rPr>
                <w:rFonts w:hint="eastAsia" w:ascii="宋体" w:hAnsi="宋体" w:cs="宋体"/>
                <w:kern w:val="0"/>
                <w:sz w:val="24"/>
              </w:rPr>
            </w:pPr>
            <w:r>
              <w:rPr>
                <w:rFonts w:hint="eastAsia" w:ascii="宋体" w:hAnsi="宋体" w:cs="宋体"/>
                <w:kern w:val="0"/>
                <w:sz w:val="24"/>
              </w:rPr>
              <w:t>思福迪/LogBase A1890/中国</w:t>
            </w:r>
          </w:p>
        </w:tc>
        <w:tc>
          <w:tcPr>
            <w:tcW w:w="716" w:type="dxa"/>
            <w:tcBorders>
              <w:top w:val="nil"/>
              <w:left w:val="nil"/>
              <w:bottom w:val="single" w:color="auto" w:sz="4" w:space="0"/>
              <w:right w:val="single" w:color="auto" w:sz="4" w:space="0"/>
            </w:tcBorders>
            <w:noWrap/>
            <w:vAlign w:val="center"/>
          </w:tcPr>
          <w:p w14:paraId="6330EEC8">
            <w:pPr>
              <w:widowControl/>
              <w:jc w:val="center"/>
              <w:rPr>
                <w:rFonts w:hint="eastAsia" w:ascii="宋体" w:hAnsi="宋体" w:cs="宋体"/>
                <w:kern w:val="0"/>
                <w:sz w:val="24"/>
              </w:rPr>
            </w:pPr>
            <w:r>
              <w:rPr>
                <w:rFonts w:hint="eastAsia" w:ascii="宋体" w:hAnsi="宋体" w:cs="宋体"/>
                <w:kern w:val="0"/>
                <w:sz w:val="24"/>
              </w:rPr>
              <w:t>2</w:t>
            </w:r>
          </w:p>
        </w:tc>
      </w:tr>
      <w:tr w14:paraId="1DC924C3">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6984D017">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272FE69D">
            <w:pPr>
              <w:widowControl/>
              <w:jc w:val="center"/>
              <w:rPr>
                <w:rFonts w:hint="eastAsia" w:ascii="宋体" w:hAnsi="宋体" w:cs="宋体"/>
                <w:kern w:val="0"/>
                <w:sz w:val="24"/>
              </w:rPr>
            </w:pPr>
            <w:r>
              <w:rPr>
                <w:rFonts w:hint="eastAsia" w:ascii="宋体" w:hAnsi="宋体" w:cs="宋体"/>
                <w:kern w:val="0"/>
                <w:sz w:val="24"/>
              </w:rPr>
              <w:t>磁盘阵列</w:t>
            </w:r>
          </w:p>
        </w:tc>
        <w:tc>
          <w:tcPr>
            <w:tcW w:w="3915" w:type="dxa"/>
            <w:tcBorders>
              <w:top w:val="nil"/>
              <w:left w:val="nil"/>
              <w:bottom w:val="single" w:color="auto" w:sz="4" w:space="0"/>
              <w:right w:val="single" w:color="auto" w:sz="4" w:space="0"/>
            </w:tcBorders>
            <w:noWrap/>
            <w:vAlign w:val="center"/>
          </w:tcPr>
          <w:p w14:paraId="73AEC9DB">
            <w:pPr>
              <w:widowControl/>
              <w:jc w:val="center"/>
              <w:rPr>
                <w:rFonts w:hint="eastAsia" w:ascii="宋体" w:hAnsi="宋体" w:cs="宋体"/>
                <w:kern w:val="0"/>
                <w:sz w:val="24"/>
              </w:rPr>
            </w:pPr>
            <w:r>
              <w:rPr>
                <w:rFonts w:hint="eastAsia" w:ascii="宋体" w:hAnsi="宋体" w:cs="宋体"/>
                <w:kern w:val="0"/>
                <w:sz w:val="24"/>
              </w:rPr>
              <w:t>联想/V3700 V2/中国</w:t>
            </w:r>
          </w:p>
        </w:tc>
        <w:tc>
          <w:tcPr>
            <w:tcW w:w="716" w:type="dxa"/>
            <w:tcBorders>
              <w:top w:val="nil"/>
              <w:left w:val="nil"/>
              <w:bottom w:val="single" w:color="auto" w:sz="4" w:space="0"/>
              <w:right w:val="single" w:color="auto" w:sz="4" w:space="0"/>
            </w:tcBorders>
            <w:noWrap/>
            <w:vAlign w:val="center"/>
          </w:tcPr>
          <w:p w14:paraId="1382D8F0">
            <w:pPr>
              <w:widowControl/>
              <w:jc w:val="center"/>
              <w:rPr>
                <w:rFonts w:hint="eastAsia" w:ascii="宋体" w:hAnsi="宋体" w:cs="宋体"/>
                <w:kern w:val="0"/>
                <w:sz w:val="24"/>
              </w:rPr>
            </w:pPr>
            <w:r>
              <w:rPr>
                <w:rFonts w:hint="eastAsia" w:ascii="宋体" w:hAnsi="宋体" w:cs="宋体"/>
                <w:kern w:val="0"/>
                <w:sz w:val="24"/>
              </w:rPr>
              <w:t>1</w:t>
            </w:r>
          </w:p>
        </w:tc>
      </w:tr>
      <w:tr w14:paraId="4AC135D8">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489421CF">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75E1DB49">
            <w:pPr>
              <w:widowControl/>
              <w:jc w:val="center"/>
              <w:rPr>
                <w:rFonts w:hint="eastAsia" w:ascii="宋体" w:hAnsi="宋体" w:cs="宋体"/>
                <w:kern w:val="0"/>
                <w:sz w:val="24"/>
              </w:rPr>
            </w:pPr>
            <w:r>
              <w:rPr>
                <w:rFonts w:hint="eastAsia" w:ascii="宋体" w:hAnsi="宋体" w:cs="宋体"/>
                <w:kern w:val="0"/>
                <w:sz w:val="24"/>
              </w:rPr>
              <w:t>KVM</w:t>
            </w:r>
          </w:p>
        </w:tc>
        <w:tc>
          <w:tcPr>
            <w:tcW w:w="3915" w:type="dxa"/>
            <w:tcBorders>
              <w:top w:val="nil"/>
              <w:left w:val="nil"/>
              <w:bottom w:val="single" w:color="auto" w:sz="4" w:space="0"/>
              <w:right w:val="single" w:color="auto" w:sz="4" w:space="0"/>
            </w:tcBorders>
            <w:noWrap/>
            <w:vAlign w:val="center"/>
          </w:tcPr>
          <w:p w14:paraId="74A67E98">
            <w:pPr>
              <w:widowControl/>
              <w:jc w:val="center"/>
              <w:rPr>
                <w:rFonts w:hint="eastAsia" w:ascii="宋体" w:hAnsi="宋体" w:cs="宋体"/>
                <w:kern w:val="0"/>
                <w:sz w:val="24"/>
              </w:rPr>
            </w:pPr>
            <w:r>
              <w:rPr>
                <w:rFonts w:hint="eastAsia" w:ascii="宋体" w:hAnsi="宋体" w:cs="宋体"/>
                <w:kern w:val="0"/>
                <w:sz w:val="24"/>
              </w:rPr>
              <w:t>迈拓维矩/MT-810UK-L/中国</w:t>
            </w:r>
          </w:p>
        </w:tc>
        <w:tc>
          <w:tcPr>
            <w:tcW w:w="716" w:type="dxa"/>
            <w:tcBorders>
              <w:top w:val="nil"/>
              <w:left w:val="nil"/>
              <w:bottom w:val="single" w:color="auto" w:sz="4" w:space="0"/>
              <w:right w:val="single" w:color="auto" w:sz="4" w:space="0"/>
            </w:tcBorders>
            <w:noWrap/>
            <w:vAlign w:val="center"/>
          </w:tcPr>
          <w:p w14:paraId="32538FD2">
            <w:pPr>
              <w:widowControl/>
              <w:jc w:val="center"/>
              <w:rPr>
                <w:rFonts w:hint="eastAsia" w:ascii="宋体" w:hAnsi="宋体" w:cs="宋体"/>
                <w:kern w:val="0"/>
                <w:sz w:val="24"/>
              </w:rPr>
            </w:pPr>
            <w:r>
              <w:rPr>
                <w:rFonts w:hint="eastAsia" w:ascii="宋体" w:hAnsi="宋体" w:cs="宋体"/>
                <w:kern w:val="0"/>
                <w:sz w:val="24"/>
              </w:rPr>
              <w:t>1</w:t>
            </w:r>
          </w:p>
        </w:tc>
      </w:tr>
      <w:tr w14:paraId="1B444989">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713B6F0A">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101FCF18">
            <w:pPr>
              <w:widowControl/>
              <w:jc w:val="center"/>
              <w:rPr>
                <w:rFonts w:hint="eastAsia" w:ascii="宋体" w:hAnsi="宋体" w:cs="宋体"/>
                <w:kern w:val="0"/>
                <w:sz w:val="24"/>
              </w:rPr>
            </w:pPr>
            <w:r>
              <w:rPr>
                <w:rFonts w:hint="eastAsia" w:ascii="宋体" w:hAnsi="宋体" w:cs="宋体"/>
                <w:kern w:val="0"/>
                <w:sz w:val="24"/>
              </w:rPr>
              <w:t>北斗卫星专用设备</w:t>
            </w:r>
          </w:p>
        </w:tc>
        <w:tc>
          <w:tcPr>
            <w:tcW w:w="3915" w:type="dxa"/>
            <w:tcBorders>
              <w:top w:val="nil"/>
              <w:left w:val="nil"/>
              <w:bottom w:val="single" w:color="auto" w:sz="4" w:space="0"/>
              <w:right w:val="single" w:color="auto" w:sz="4" w:space="0"/>
            </w:tcBorders>
            <w:noWrap/>
            <w:vAlign w:val="center"/>
          </w:tcPr>
          <w:p w14:paraId="2F5873F5">
            <w:pPr>
              <w:widowControl/>
              <w:jc w:val="center"/>
              <w:rPr>
                <w:rFonts w:hint="eastAsia" w:ascii="宋体" w:hAnsi="宋体" w:cs="宋体"/>
                <w:kern w:val="0"/>
                <w:sz w:val="24"/>
              </w:rPr>
            </w:pPr>
            <w:r>
              <w:rPr>
                <w:rFonts w:hint="eastAsia" w:ascii="宋体" w:hAnsi="宋体" w:cs="宋体"/>
                <w:kern w:val="0"/>
                <w:sz w:val="24"/>
              </w:rPr>
              <w:t>华力创通/HWA-RDSS-500/中国</w:t>
            </w:r>
          </w:p>
        </w:tc>
        <w:tc>
          <w:tcPr>
            <w:tcW w:w="716" w:type="dxa"/>
            <w:tcBorders>
              <w:top w:val="nil"/>
              <w:left w:val="nil"/>
              <w:bottom w:val="single" w:color="auto" w:sz="4" w:space="0"/>
              <w:right w:val="single" w:color="auto" w:sz="4" w:space="0"/>
            </w:tcBorders>
            <w:noWrap/>
            <w:vAlign w:val="center"/>
          </w:tcPr>
          <w:p w14:paraId="6F65463B">
            <w:pPr>
              <w:widowControl/>
              <w:jc w:val="center"/>
              <w:rPr>
                <w:rFonts w:hint="eastAsia" w:ascii="宋体" w:hAnsi="宋体" w:cs="宋体"/>
                <w:kern w:val="0"/>
                <w:sz w:val="24"/>
              </w:rPr>
            </w:pPr>
            <w:r>
              <w:rPr>
                <w:rFonts w:hint="eastAsia" w:ascii="宋体" w:hAnsi="宋体" w:cs="宋体"/>
                <w:kern w:val="0"/>
                <w:sz w:val="24"/>
              </w:rPr>
              <w:t>2</w:t>
            </w:r>
          </w:p>
        </w:tc>
      </w:tr>
      <w:tr w14:paraId="31E48F69">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25C5C93D">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2FC5F30A">
            <w:pPr>
              <w:widowControl/>
              <w:jc w:val="center"/>
              <w:rPr>
                <w:rFonts w:hint="eastAsia" w:ascii="宋体" w:hAnsi="宋体" w:cs="宋体"/>
                <w:kern w:val="0"/>
                <w:sz w:val="24"/>
              </w:rPr>
            </w:pPr>
            <w:r>
              <w:rPr>
                <w:rFonts w:hint="eastAsia" w:ascii="宋体" w:hAnsi="宋体" w:cs="宋体"/>
                <w:kern w:val="0"/>
                <w:sz w:val="24"/>
              </w:rPr>
              <w:t>空调</w:t>
            </w:r>
          </w:p>
        </w:tc>
        <w:tc>
          <w:tcPr>
            <w:tcW w:w="3915" w:type="dxa"/>
            <w:tcBorders>
              <w:top w:val="nil"/>
              <w:left w:val="nil"/>
              <w:bottom w:val="single" w:color="auto" w:sz="4" w:space="0"/>
              <w:right w:val="single" w:color="auto" w:sz="4" w:space="0"/>
            </w:tcBorders>
            <w:noWrap/>
            <w:vAlign w:val="center"/>
          </w:tcPr>
          <w:p w14:paraId="5809A438">
            <w:pPr>
              <w:widowControl/>
              <w:jc w:val="center"/>
              <w:rPr>
                <w:rFonts w:hint="eastAsia" w:ascii="宋体" w:hAnsi="宋体" w:cs="宋体"/>
                <w:kern w:val="0"/>
                <w:sz w:val="24"/>
              </w:rPr>
            </w:pPr>
            <w:r>
              <w:rPr>
                <w:rFonts w:hint="eastAsia" w:ascii="宋体" w:hAnsi="宋体" w:cs="宋体"/>
                <w:kern w:val="0"/>
                <w:sz w:val="24"/>
              </w:rPr>
              <w:t>依米康/SDA121U/中国</w:t>
            </w:r>
          </w:p>
        </w:tc>
        <w:tc>
          <w:tcPr>
            <w:tcW w:w="716" w:type="dxa"/>
            <w:tcBorders>
              <w:top w:val="nil"/>
              <w:left w:val="nil"/>
              <w:bottom w:val="single" w:color="auto" w:sz="4" w:space="0"/>
              <w:right w:val="single" w:color="auto" w:sz="4" w:space="0"/>
            </w:tcBorders>
            <w:noWrap/>
            <w:vAlign w:val="center"/>
          </w:tcPr>
          <w:p w14:paraId="04EDCD2B">
            <w:pPr>
              <w:widowControl/>
              <w:jc w:val="center"/>
              <w:rPr>
                <w:rFonts w:hint="eastAsia" w:ascii="宋体" w:hAnsi="宋体" w:cs="宋体"/>
                <w:kern w:val="0"/>
                <w:sz w:val="24"/>
              </w:rPr>
            </w:pPr>
            <w:r>
              <w:rPr>
                <w:rFonts w:hint="eastAsia" w:ascii="宋体" w:hAnsi="宋体" w:cs="宋体"/>
                <w:kern w:val="0"/>
                <w:sz w:val="24"/>
              </w:rPr>
              <w:t>2</w:t>
            </w:r>
          </w:p>
        </w:tc>
      </w:tr>
      <w:tr w14:paraId="51CF747C">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285E901A">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4ECB10EF">
            <w:pPr>
              <w:widowControl/>
              <w:jc w:val="center"/>
              <w:rPr>
                <w:rFonts w:hint="eastAsia" w:ascii="宋体" w:hAnsi="宋体" w:cs="宋体"/>
                <w:kern w:val="0"/>
                <w:sz w:val="24"/>
              </w:rPr>
            </w:pPr>
            <w:r>
              <w:rPr>
                <w:rFonts w:hint="eastAsia" w:ascii="宋体" w:hAnsi="宋体" w:cs="宋体"/>
                <w:kern w:val="0"/>
                <w:sz w:val="24"/>
              </w:rPr>
              <w:t>ATS 配电</w:t>
            </w:r>
          </w:p>
        </w:tc>
        <w:tc>
          <w:tcPr>
            <w:tcW w:w="3915" w:type="dxa"/>
            <w:tcBorders>
              <w:top w:val="nil"/>
              <w:left w:val="nil"/>
              <w:bottom w:val="single" w:color="auto" w:sz="4" w:space="0"/>
              <w:right w:val="single" w:color="auto" w:sz="4" w:space="0"/>
            </w:tcBorders>
            <w:noWrap/>
            <w:vAlign w:val="center"/>
          </w:tcPr>
          <w:p w14:paraId="5F557258">
            <w:pPr>
              <w:widowControl/>
              <w:jc w:val="center"/>
              <w:rPr>
                <w:rFonts w:hint="eastAsia" w:ascii="宋体" w:hAnsi="宋体" w:cs="宋体"/>
                <w:kern w:val="0"/>
                <w:sz w:val="24"/>
              </w:rPr>
            </w:pPr>
            <w:r>
              <w:rPr>
                <w:rFonts w:hint="eastAsia" w:ascii="宋体" w:hAnsi="宋体" w:cs="宋体"/>
                <w:kern w:val="0"/>
                <w:sz w:val="24"/>
              </w:rPr>
              <w:t>定制</w:t>
            </w:r>
          </w:p>
        </w:tc>
        <w:tc>
          <w:tcPr>
            <w:tcW w:w="716" w:type="dxa"/>
            <w:tcBorders>
              <w:top w:val="nil"/>
              <w:left w:val="nil"/>
              <w:bottom w:val="single" w:color="auto" w:sz="4" w:space="0"/>
              <w:right w:val="single" w:color="auto" w:sz="4" w:space="0"/>
            </w:tcBorders>
            <w:noWrap/>
            <w:vAlign w:val="center"/>
          </w:tcPr>
          <w:p w14:paraId="6C108BC8">
            <w:pPr>
              <w:widowControl/>
              <w:jc w:val="center"/>
              <w:rPr>
                <w:rFonts w:hint="eastAsia" w:ascii="宋体" w:hAnsi="宋体" w:cs="宋体"/>
                <w:kern w:val="0"/>
                <w:sz w:val="24"/>
              </w:rPr>
            </w:pPr>
            <w:r>
              <w:rPr>
                <w:rFonts w:hint="eastAsia" w:ascii="宋体" w:hAnsi="宋体" w:cs="宋体"/>
                <w:kern w:val="0"/>
                <w:sz w:val="24"/>
              </w:rPr>
              <w:t>1</w:t>
            </w:r>
          </w:p>
        </w:tc>
      </w:tr>
      <w:tr w14:paraId="1D4367A1">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1EB4AA91">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14003746">
            <w:pPr>
              <w:widowControl/>
              <w:jc w:val="center"/>
              <w:rPr>
                <w:rFonts w:hint="eastAsia" w:ascii="宋体" w:hAnsi="宋体" w:cs="宋体"/>
                <w:kern w:val="0"/>
                <w:sz w:val="24"/>
              </w:rPr>
            </w:pPr>
            <w:r>
              <w:rPr>
                <w:rFonts w:hint="eastAsia" w:ascii="宋体" w:hAnsi="宋体" w:cs="宋体"/>
                <w:kern w:val="0"/>
                <w:sz w:val="24"/>
              </w:rPr>
              <w:t>UPS 配电柜</w:t>
            </w:r>
          </w:p>
        </w:tc>
        <w:tc>
          <w:tcPr>
            <w:tcW w:w="3915" w:type="dxa"/>
            <w:tcBorders>
              <w:top w:val="nil"/>
              <w:left w:val="nil"/>
              <w:bottom w:val="single" w:color="auto" w:sz="4" w:space="0"/>
              <w:right w:val="single" w:color="auto" w:sz="4" w:space="0"/>
            </w:tcBorders>
            <w:noWrap/>
            <w:vAlign w:val="center"/>
          </w:tcPr>
          <w:p w14:paraId="67552D8D">
            <w:pPr>
              <w:widowControl/>
              <w:jc w:val="center"/>
              <w:rPr>
                <w:rFonts w:hint="eastAsia" w:ascii="宋体" w:hAnsi="宋体" w:cs="宋体"/>
                <w:kern w:val="0"/>
                <w:sz w:val="24"/>
              </w:rPr>
            </w:pPr>
            <w:r>
              <w:rPr>
                <w:rFonts w:hint="eastAsia" w:ascii="宋体" w:hAnsi="宋体" w:cs="宋体"/>
                <w:kern w:val="0"/>
                <w:sz w:val="24"/>
              </w:rPr>
              <w:t>定制</w:t>
            </w:r>
          </w:p>
        </w:tc>
        <w:tc>
          <w:tcPr>
            <w:tcW w:w="716" w:type="dxa"/>
            <w:tcBorders>
              <w:top w:val="nil"/>
              <w:left w:val="nil"/>
              <w:bottom w:val="single" w:color="auto" w:sz="4" w:space="0"/>
              <w:right w:val="single" w:color="auto" w:sz="4" w:space="0"/>
            </w:tcBorders>
            <w:noWrap/>
            <w:vAlign w:val="center"/>
          </w:tcPr>
          <w:p w14:paraId="49C1721C">
            <w:pPr>
              <w:widowControl/>
              <w:jc w:val="center"/>
              <w:rPr>
                <w:rFonts w:hint="eastAsia" w:ascii="宋体" w:hAnsi="宋体" w:cs="宋体"/>
                <w:kern w:val="0"/>
                <w:sz w:val="24"/>
              </w:rPr>
            </w:pPr>
            <w:r>
              <w:rPr>
                <w:rFonts w:hint="eastAsia" w:ascii="宋体" w:hAnsi="宋体" w:cs="宋体"/>
                <w:kern w:val="0"/>
                <w:sz w:val="24"/>
              </w:rPr>
              <w:t>1</w:t>
            </w:r>
          </w:p>
        </w:tc>
      </w:tr>
      <w:tr w14:paraId="2BD23BBF">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3DEB3B98">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045A013A">
            <w:pPr>
              <w:widowControl/>
              <w:jc w:val="center"/>
              <w:rPr>
                <w:rFonts w:hint="eastAsia" w:ascii="宋体" w:hAnsi="宋体" w:cs="宋体"/>
                <w:kern w:val="0"/>
                <w:sz w:val="24"/>
              </w:rPr>
            </w:pPr>
            <w:r>
              <w:rPr>
                <w:rFonts w:hint="eastAsia" w:ascii="宋体" w:hAnsi="宋体" w:cs="宋体"/>
                <w:kern w:val="0"/>
                <w:sz w:val="24"/>
              </w:rPr>
              <w:t>安防系统</w:t>
            </w:r>
          </w:p>
        </w:tc>
        <w:tc>
          <w:tcPr>
            <w:tcW w:w="3915" w:type="dxa"/>
            <w:tcBorders>
              <w:top w:val="nil"/>
              <w:left w:val="nil"/>
              <w:bottom w:val="single" w:color="auto" w:sz="4" w:space="0"/>
              <w:right w:val="single" w:color="auto" w:sz="4" w:space="0"/>
            </w:tcBorders>
            <w:noWrap/>
            <w:vAlign w:val="center"/>
          </w:tcPr>
          <w:p w14:paraId="0BEDBABB">
            <w:pPr>
              <w:widowControl/>
              <w:jc w:val="center"/>
              <w:rPr>
                <w:rFonts w:hint="eastAsia" w:ascii="宋体" w:hAnsi="宋体" w:cs="宋体"/>
                <w:kern w:val="0"/>
                <w:sz w:val="24"/>
              </w:rPr>
            </w:pPr>
            <w:r>
              <w:rPr>
                <w:rFonts w:hint="eastAsia" w:ascii="宋体" w:hAnsi="宋体" w:cs="宋体"/>
                <w:kern w:val="0"/>
                <w:sz w:val="24"/>
              </w:rPr>
              <w:t>定制</w:t>
            </w:r>
          </w:p>
        </w:tc>
        <w:tc>
          <w:tcPr>
            <w:tcW w:w="716" w:type="dxa"/>
            <w:tcBorders>
              <w:top w:val="nil"/>
              <w:left w:val="nil"/>
              <w:bottom w:val="single" w:color="auto" w:sz="4" w:space="0"/>
              <w:right w:val="single" w:color="auto" w:sz="4" w:space="0"/>
            </w:tcBorders>
            <w:noWrap/>
            <w:vAlign w:val="center"/>
          </w:tcPr>
          <w:p w14:paraId="3A21554D">
            <w:pPr>
              <w:widowControl/>
              <w:jc w:val="center"/>
              <w:rPr>
                <w:rFonts w:hint="eastAsia" w:ascii="宋体" w:hAnsi="宋体" w:cs="宋体"/>
                <w:kern w:val="0"/>
                <w:sz w:val="24"/>
              </w:rPr>
            </w:pPr>
            <w:r>
              <w:rPr>
                <w:rFonts w:hint="eastAsia" w:ascii="宋体" w:hAnsi="宋体" w:cs="宋体"/>
                <w:kern w:val="0"/>
                <w:sz w:val="24"/>
              </w:rPr>
              <w:t>1</w:t>
            </w:r>
          </w:p>
        </w:tc>
      </w:tr>
      <w:tr w14:paraId="3698C9E4">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3B4AE0E2">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42A2176B">
            <w:pPr>
              <w:widowControl/>
              <w:jc w:val="center"/>
              <w:rPr>
                <w:rFonts w:hint="eastAsia" w:ascii="宋体" w:hAnsi="宋体" w:cs="宋体"/>
                <w:kern w:val="0"/>
                <w:sz w:val="24"/>
              </w:rPr>
            </w:pPr>
            <w:r>
              <w:rPr>
                <w:rFonts w:hint="eastAsia" w:ascii="宋体" w:hAnsi="宋体" w:cs="宋体"/>
                <w:kern w:val="0"/>
                <w:sz w:val="24"/>
              </w:rPr>
              <w:t>消防系统</w:t>
            </w:r>
          </w:p>
        </w:tc>
        <w:tc>
          <w:tcPr>
            <w:tcW w:w="3915" w:type="dxa"/>
            <w:tcBorders>
              <w:top w:val="nil"/>
              <w:left w:val="nil"/>
              <w:bottom w:val="single" w:color="auto" w:sz="4" w:space="0"/>
              <w:right w:val="single" w:color="auto" w:sz="4" w:space="0"/>
            </w:tcBorders>
            <w:noWrap/>
            <w:vAlign w:val="center"/>
          </w:tcPr>
          <w:p w14:paraId="5F692B20">
            <w:pPr>
              <w:widowControl/>
              <w:jc w:val="center"/>
              <w:rPr>
                <w:rFonts w:hint="eastAsia" w:ascii="宋体" w:hAnsi="宋体" w:cs="宋体"/>
                <w:kern w:val="0"/>
                <w:sz w:val="24"/>
              </w:rPr>
            </w:pPr>
            <w:r>
              <w:rPr>
                <w:rFonts w:hint="eastAsia" w:ascii="宋体" w:hAnsi="宋体" w:cs="宋体"/>
                <w:kern w:val="0"/>
                <w:sz w:val="24"/>
              </w:rPr>
              <w:t>利达/中国</w:t>
            </w:r>
          </w:p>
        </w:tc>
        <w:tc>
          <w:tcPr>
            <w:tcW w:w="716" w:type="dxa"/>
            <w:tcBorders>
              <w:top w:val="nil"/>
              <w:left w:val="nil"/>
              <w:bottom w:val="single" w:color="auto" w:sz="4" w:space="0"/>
              <w:right w:val="single" w:color="auto" w:sz="4" w:space="0"/>
            </w:tcBorders>
            <w:noWrap/>
            <w:vAlign w:val="center"/>
          </w:tcPr>
          <w:p w14:paraId="60A860DC">
            <w:pPr>
              <w:widowControl/>
              <w:jc w:val="center"/>
              <w:rPr>
                <w:rFonts w:hint="eastAsia" w:ascii="宋体" w:hAnsi="宋体" w:cs="宋体"/>
                <w:kern w:val="0"/>
                <w:sz w:val="24"/>
              </w:rPr>
            </w:pPr>
            <w:r>
              <w:rPr>
                <w:rFonts w:hint="eastAsia" w:ascii="宋体" w:hAnsi="宋体" w:cs="宋体"/>
                <w:kern w:val="0"/>
                <w:sz w:val="24"/>
              </w:rPr>
              <w:t>1</w:t>
            </w:r>
          </w:p>
        </w:tc>
      </w:tr>
      <w:tr w14:paraId="716DE27A">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1E85EDDF">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130346C7">
            <w:pPr>
              <w:widowControl/>
              <w:jc w:val="center"/>
              <w:rPr>
                <w:rFonts w:hint="eastAsia" w:ascii="宋体" w:hAnsi="宋体" w:cs="宋体"/>
                <w:kern w:val="0"/>
                <w:sz w:val="24"/>
              </w:rPr>
            </w:pPr>
            <w:r>
              <w:rPr>
                <w:rFonts w:hint="eastAsia" w:ascii="宋体" w:hAnsi="宋体" w:cs="宋体"/>
                <w:kern w:val="0"/>
                <w:sz w:val="24"/>
              </w:rPr>
              <w:t>新风系统</w:t>
            </w:r>
          </w:p>
        </w:tc>
        <w:tc>
          <w:tcPr>
            <w:tcW w:w="3915" w:type="dxa"/>
            <w:tcBorders>
              <w:top w:val="nil"/>
              <w:left w:val="nil"/>
              <w:bottom w:val="single" w:color="auto" w:sz="4" w:space="0"/>
              <w:right w:val="single" w:color="auto" w:sz="4" w:space="0"/>
            </w:tcBorders>
            <w:noWrap/>
            <w:vAlign w:val="center"/>
          </w:tcPr>
          <w:p w14:paraId="7FBEEDB2">
            <w:pPr>
              <w:widowControl/>
              <w:jc w:val="center"/>
              <w:rPr>
                <w:rFonts w:hint="eastAsia" w:ascii="宋体" w:hAnsi="宋体" w:cs="宋体"/>
                <w:kern w:val="0"/>
                <w:sz w:val="24"/>
              </w:rPr>
            </w:pPr>
            <w:r>
              <w:rPr>
                <w:rFonts w:hint="eastAsia" w:ascii="宋体" w:hAnsi="宋体" w:cs="宋体"/>
                <w:kern w:val="0"/>
                <w:sz w:val="24"/>
              </w:rPr>
              <w:t>天方/中国</w:t>
            </w:r>
          </w:p>
        </w:tc>
        <w:tc>
          <w:tcPr>
            <w:tcW w:w="716" w:type="dxa"/>
            <w:tcBorders>
              <w:top w:val="nil"/>
              <w:left w:val="nil"/>
              <w:bottom w:val="single" w:color="auto" w:sz="4" w:space="0"/>
              <w:right w:val="single" w:color="auto" w:sz="4" w:space="0"/>
            </w:tcBorders>
            <w:noWrap/>
            <w:vAlign w:val="center"/>
          </w:tcPr>
          <w:p w14:paraId="5AB1C8B6">
            <w:pPr>
              <w:widowControl/>
              <w:jc w:val="center"/>
              <w:rPr>
                <w:rFonts w:hint="eastAsia" w:ascii="宋体" w:hAnsi="宋体" w:cs="宋体"/>
                <w:kern w:val="0"/>
                <w:sz w:val="24"/>
              </w:rPr>
            </w:pPr>
            <w:r>
              <w:rPr>
                <w:rFonts w:hint="eastAsia" w:ascii="宋体" w:hAnsi="宋体" w:cs="宋体"/>
                <w:kern w:val="0"/>
                <w:sz w:val="24"/>
              </w:rPr>
              <w:t>1</w:t>
            </w:r>
          </w:p>
        </w:tc>
      </w:tr>
      <w:tr w14:paraId="39C483B4">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1F9665E6">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67CFDA88">
            <w:pPr>
              <w:widowControl/>
              <w:jc w:val="center"/>
              <w:rPr>
                <w:rFonts w:hint="eastAsia" w:ascii="宋体" w:hAnsi="宋体" w:cs="宋体"/>
                <w:kern w:val="0"/>
                <w:sz w:val="24"/>
              </w:rPr>
            </w:pPr>
            <w:r>
              <w:rPr>
                <w:rFonts w:hint="eastAsia" w:ascii="宋体" w:hAnsi="宋体" w:cs="宋体"/>
                <w:kern w:val="0"/>
                <w:sz w:val="24"/>
              </w:rPr>
              <w:t>UPS</w:t>
            </w:r>
          </w:p>
        </w:tc>
        <w:tc>
          <w:tcPr>
            <w:tcW w:w="3915" w:type="dxa"/>
            <w:tcBorders>
              <w:top w:val="nil"/>
              <w:left w:val="nil"/>
              <w:bottom w:val="single" w:color="auto" w:sz="4" w:space="0"/>
              <w:right w:val="single" w:color="auto" w:sz="4" w:space="0"/>
            </w:tcBorders>
            <w:noWrap/>
            <w:vAlign w:val="center"/>
          </w:tcPr>
          <w:p w14:paraId="2BFF732B">
            <w:pPr>
              <w:widowControl/>
              <w:jc w:val="center"/>
              <w:rPr>
                <w:rFonts w:hint="eastAsia" w:ascii="宋体" w:hAnsi="宋体" w:cs="宋体"/>
                <w:kern w:val="0"/>
                <w:sz w:val="24"/>
              </w:rPr>
            </w:pPr>
            <w:r>
              <w:rPr>
                <w:rFonts w:hint="eastAsia" w:ascii="宋体" w:hAnsi="宋体" w:cs="宋体"/>
                <w:kern w:val="0"/>
                <w:sz w:val="24"/>
              </w:rPr>
              <w:t>先控/CMS-150(100)KVA/中国</w:t>
            </w:r>
          </w:p>
        </w:tc>
        <w:tc>
          <w:tcPr>
            <w:tcW w:w="716" w:type="dxa"/>
            <w:tcBorders>
              <w:top w:val="nil"/>
              <w:left w:val="nil"/>
              <w:bottom w:val="single" w:color="auto" w:sz="4" w:space="0"/>
              <w:right w:val="single" w:color="auto" w:sz="4" w:space="0"/>
            </w:tcBorders>
            <w:noWrap/>
            <w:vAlign w:val="center"/>
          </w:tcPr>
          <w:p w14:paraId="01F1F159">
            <w:pPr>
              <w:widowControl/>
              <w:jc w:val="center"/>
              <w:rPr>
                <w:rFonts w:hint="eastAsia" w:ascii="宋体" w:hAnsi="宋体" w:cs="宋体"/>
                <w:kern w:val="0"/>
                <w:sz w:val="24"/>
              </w:rPr>
            </w:pPr>
            <w:r>
              <w:rPr>
                <w:rFonts w:hint="eastAsia" w:ascii="宋体" w:hAnsi="宋体" w:cs="宋体"/>
                <w:kern w:val="0"/>
                <w:sz w:val="24"/>
              </w:rPr>
              <w:t>1</w:t>
            </w:r>
          </w:p>
        </w:tc>
      </w:tr>
      <w:tr w14:paraId="1D751FC0">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42FD55DA">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0BD3654A">
            <w:pPr>
              <w:widowControl/>
              <w:jc w:val="center"/>
              <w:rPr>
                <w:rFonts w:hint="eastAsia" w:ascii="宋体" w:hAnsi="宋体" w:cs="宋体"/>
                <w:kern w:val="0"/>
                <w:sz w:val="24"/>
              </w:rPr>
            </w:pPr>
            <w:r>
              <w:rPr>
                <w:rFonts w:hint="eastAsia" w:ascii="宋体" w:hAnsi="宋体" w:cs="宋体"/>
                <w:kern w:val="0"/>
                <w:sz w:val="24"/>
              </w:rPr>
              <w:t>服务器</w:t>
            </w:r>
          </w:p>
        </w:tc>
        <w:tc>
          <w:tcPr>
            <w:tcW w:w="3915" w:type="dxa"/>
            <w:tcBorders>
              <w:top w:val="nil"/>
              <w:left w:val="nil"/>
              <w:bottom w:val="single" w:color="auto" w:sz="4" w:space="0"/>
              <w:right w:val="single" w:color="auto" w:sz="4" w:space="0"/>
            </w:tcBorders>
            <w:noWrap/>
            <w:vAlign w:val="center"/>
          </w:tcPr>
          <w:p w14:paraId="47E17A3C">
            <w:pPr>
              <w:widowControl/>
              <w:jc w:val="center"/>
              <w:rPr>
                <w:rFonts w:hint="eastAsia" w:ascii="宋体" w:hAnsi="宋体" w:cs="宋体"/>
                <w:kern w:val="0"/>
                <w:sz w:val="24"/>
              </w:rPr>
            </w:pPr>
            <w:r>
              <w:rPr>
                <w:rFonts w:hint="eastAsia" w:ascii="宋体" w:hAnsi="宋体" w:cs="宋体"/>
                <w:kern w:val="0"/>
                <w:sz w:val="24"/>
              </w:rPr>
              <w:t>IBM/x3850 X5/中国</w:t>
            </w:r>
          </w:p>
        </w:tc>
        <w:tc>
          <w:tcPr>
            <w:tcW w:w="716" w:type="dxa"/>
            <w:tcBorders>
              <w:top w:val="nil"/>
              <w:left w:val="nil"/>
              <w:bottom w:val="single" w:color="auto" w:sz="4" w:space="0"/>
              <w:right w:val="single" w:color="auto" w:sz="4" w:space="0"/>
            </w:tcBorders>
            <w:noWrap/>
            <w:vAlign w:val="center"/>
          </w:tcPr>
          <w:p w14:paraId="301B2C09">
            <w:pPr>
              <w:widowControl/>
              <w:jc w:val="center"/>
              <w:rPr>
                <w:rFonts w:hint="eastAsia" w:ascii="宋体" w:hAnsi="宋体" w:cs="宋体"/>
                <w:kern w:val="0"/>
                <w:sz w:val="24"/>
              </w:rPr>
            </w:pPr>
            <w:r>
              <w:rPr>
                <w:rFonts w:hint="eastAsia" w:ascii="宋体" w:hAnsi="宋体" w:cs="宋体"/>
                <w:kern w:val="0"/>
                <w:sz w:val="24"/>
              </w:rPr>
              <w:t>3</w:t>
            </w:r>
          </w:p>
        </w:tc>
      </w:tr>
      <w:tr w14:paraId="58958E41">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314FD15B">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5E1F6A45">
            <w:pPr>
              <w:widowControl/>
              <w:jc w:val="center"/>
              <w:rPr>
                <w:rFonts w:hint="eastAsia" w:ascii="宋体" w:hAnsi="宋体" w:cs="宋体"/>
                <w:kern w:val="0"/>
                <w:sz w:val="24"/>
              </w:rPr>
            </w:pPr>
            <w:r>
              <w:rPr>
                <w:rFonts w:hint="eastAsia" w:ascii="宋体" w:hAnsi="宋体" w:cs="宋体"/>
                <w:kern w:val="0"/>
                <w:sz w:val="24"/>
              </w:rPr>
              <w:t>服务器</w:t>
            </w:r>
          </w:p>
        </w:tc>
        <w:tc>
          <w:tcPr>
            <w:tcW w:w="3915" w:type="dxa"/>
            <w:tcBorders>
              <w:top w:val="nil"/>
              <w:left w:val="nil"/>
              <w:bottom w:val="single" w:color="auto" w:sz="4" w:space="0"/>
              <w:right w:val="single" w:color="auto" w:sz="4" w:space="0"/>
            </w:tcBorders>
            <w:noWrap/>
            <w:vAlign w:val="center"/>
          </w:tcPr>
          <w:p w14:paraId="763CCD94">
            <w:pPr>
              <w:widowControl/>
              <w:jc w:val="center"/>
              <w:rPr>
                <w:rFonts w:hint="eastAsia" w:ascii="宋体" w:hAnsi="宋体" w:cs="宋体"/>
                <w:kern w:val="0"/>
                <w:sz w:val="24"/>
              </w:rPr>
            </w:pPr>
            <w:r>
              <w:rPr>
                <w:rFonts w:hint="eastAsia" w:ascii="宋体" w:hAnsi="宋体" w:cs="宋体"/>
                <w:kern w:val="0"/>
                <w:sz w:val="24"/>
              </w:rPr>
              <w:t>惠普/Proliant ML350p Gen8/中国</w:t>
            </w:r>
          </w:p>
        </w:tc>
        <w:tc>
          <w:tcPr>
            <w:tcW w:w="716" w:type="dxa"/>
            <w:tcBorders>
              <w:top w:val="nil"/>
              <w:left w:val="nil"/>
              <w:bottom w:val="single" w:color="auto" w:sz="4" w:space="0"/>
              <w:right w:val="single" w:color="auto" w:sz="4" w:space="0"/>
            </w:tcBorders>
            <w:noWrap/>
            <w:vAlign w:val="center"/>
          </w:tcPr>
          <w:p w14:paraId="15A791EA">
            <w:pPr>
              <w:widowControl/>
              <w:jc w:val="center"/>
              <w:rPr>
                <w:rFonts w:hint="eastAsia" w:ascii="宋体" w:hAnsi="宋体" w:cs="宋体"/>
                <w:kern w:val="0"/>
                <w:sz w:val="24"/>
              </w:rPr>
            </w:pPr>
            <w:r>
              <w:rPr>
                <w:rFonts w:hint="eastAsia" w:ascii="宋体" w:hAnsi="宋体" w:cs="宋体"/>
                <w:kern w:val="0"/>
                <w:sz w:val="24"/>
              </w:rPr>
              <w:t>3</w:t>
            </w:r>
          </w:p>
        </w:tc>
      </w:tr>
      <w:tr w14:paraId="44FFDAC4">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7C7F420E">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39160940">
            <w:pPr>
              <w:widowControl/>
              <w:jc w:val="center"/>
              <w:rPr>
                <w:rFonts w:hint="eastAsia" w:ascii="宋体" w:hAnsi="宋体" w:cs="宋体"/>
                <w:kern w:val="0"/>
                <w:sz w:val="24"/>
              </w:rPr>
            </w:pPr>
            <w:r>
              <w:rPr>
                <w:rFonts w:hint="eastAsia" w:ascii="宋体" w:hAnsi="宋体" w:cs="宋体"/>
                <w:kern w:val="0"/>
                <w:sz w:val="24"/>
              </w:rPr>
              <w:t>台式机</w:t>
            </w:r>
          </w:p>
        </w:tc>
        <w:tc>
          <w:tcPr>
            <w:tcW w:w="3915" w:type="dxa"/>
            <w:tcBorders>
              <w:top w:val="nil"/>
              <w:left w:val="nil"/>
              <w:bottom w:val="single" w:color="auto" w:sz="4" w:space="0"/>
              <w:right w:val="single" w:color="auto" w:sz="4" w:space="0"/>
            </w:tcBorders>
            <w:noWrap/>
            <w:vAlign w:val="center"/>
          </w:tcPr>
          <w:p w14:paraId="1D6DA0F6">
            <w:pPr>
              <w:widowControl/>
              <w:jc w:val="center"/>
              <w:rPr>
                <w:rFonts w:hint="eastAsia" w:ascii="宋体" w:hAnsi="宋体" w:cs="宋体"/>
                <w:kern w:val="0"/>
                <w:sz w:val="24"/>
              </w:rPr>
            </w:pPr>
            <w:r>
              <w:rPr>
                <w:rFonts w:hint="eastAsia" w:ascii="宋体" w:hAnsi="宋体" w:cs="宋体"/>
                <w:kern w:val="0"/>
                <w:sz w:val="24"/>
              </w:rPr>
              <w:t>戴尔/Optiplex 3020MT/中国</w:t>
            </w:r>
          </w:p>
        </w:tc>
        <w:tc>
          <w:tcPr>
            <w:tcW w:w="716" w:type="dxa"/>
            <w:tcBorders>
              <w:top w:val="nil"/>
              <w:left w:val="nil"/>
              <w:bottom w:val="single" w:color="auto" w:sz="4" w:space="0"/>
              <w:right w:val="single" w:color="auto" w:sz="4" w:space="0"/>
            </w:tcBorders>
            <w:noWrap/>
            <w:vAlign w:val="center"/>
          </w:tcPr>
          <w:p w14:paraId="11C4C680">
            <w:pPr>
              <w:widowControl/>
              <w:jc w:val="center"/>
              <w:rPr>
                <w:rFonts w:hint="eastAsia" w:ascii="宋体" w:hAnsi="宋体" w:cs="宋体"/>
                <w:kern w:val="0"/>
                <w:sz w:val="24"/>
              </w:rPr>
            </w:pPr>
            <w:r>
              <w:rPr>
                <w:rFonts w:hint="eastAsia" w:ascii="宋体" w:hAnsi="宋体" w:cs="宋体"/>
                <w:kern w:val="0"/>
                <w:sz w:val="24"/>
              </w:rPr>
              <w:t>18</w:t>
            </w:r>
          </w:p>
        </w:tc>
      </w:tr>
      <w:tr w14:paraId="2A5CB9FB">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267868DF">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745BFA6A">
            <w:pPr>
              <w:widowControl/>
              <w:jc w:val="center"/>
              <w:rPr>
                <w:rFonts w:hint="eastAsia" w:ascii="宋体" w:hAnsi="宋体" w:cs="宋体"/>
                <w:kern w:val="0"/>
                <w:sz w:val="24"/>
              </w:rPr>
            </w:pPr>
            <w:r>
              <w:rPr>
                <w:rFonts w:hint="eastAsia" w:ascii="宋体" w:hAnsi="宋体" w:cs="宋体"/>
                <w:kern w:val="0"/>
                <w:sz w:val="24"/>
              </w:rPr>
              <w:t>服务器</w:t>
            </w:r>
          </w:p>
        </w:tc>
        <w:tc>
          <w:tcPr>
            <w:tcW w:w="3915" w:type="dxa"/>
            <w:tcBorders>
              <w:top w:val="nil"/>
              <w:left w:val="nil"/>
              <w:bottom w:val="single" w:color="auto" w:sz="4" w:space="0"/>
              <w:right w:val="single" w:color="auto" w:sz="4" w:space="0"/>
            </w:tcBorders>
            <w:noWrap/>
            <w:vAlign w:val="center"/>
          </w:tcPr>
          <w:p w14:paraId="07A2B8AF">
            <w:pPr>
              <w:widowControl/>
              <w:jc w:val="center"/>
              <w:rPr>
                <w:rFonts w:hint="eastAsia" w:ascii="宋体" w:hAnsi="宋体" w:cs="宋体"/>
                <w:kern w:val="0"/>
                <w:sz w:val="24"/>
              </w:rPr>
            </w:pPr>
            <w:r>
              <w:rPr>
                <w:rFonts w:hint="eastAsia" w:ascii="宋体" w:hAnsi="宋体" w:cs="宋体"/>
                <w:kern w:val="0"/>
                <w:sz w:val="24"/>
              </w:rPr>
              <w:t>联想/ST550/中国</w:t>
            </w:r>
          </w:p>
        </w:tc>
        <w:tc>
          <w:tcPr>
            <w:tcW w:w="716" w:type="dxa"/>
            <w:tcBorders>
              <w:top w:val="nil"/>
              <w:left w:val="nil"/>
              <w:bottom w:val="single" w:color="auto" w:sz="4" w:space="0"/>
              <w:right w:val="single" w:color="auto" w:sz="4" w:space="0"/>
            </w:tcBorders>
            <w:noWrap/>
            <w:vAlign w:val="center"/>
          </w:tcPr>
          <w:p w14:paraId="0893D4F0">
            <w:pPr>
              <w:widowControl/>
              <w:jc w:val="center"/>
              <w:rPr>
                <w:rFonts w:hint="eastAsia" w:ascii="宋体" w:hAnsi="宋体" w:cs="宋体"/>
                <w:kern w:val="0"/>
                <w:sz w:val="24"/>
              </w:rPr>
            </w:pPr>
            <w:r>
              <w:rPr>
                <w:rFonts w:hint="eastAsia" w:ascii="宋体" w:hAnsi="宋体" w:cs="宋体"/>
                <w:kern w:val="0"/>
                <w:sz w:val="24"/>
              </w:rPr>
              <w:t>1</w:t>
            </w:r>
          </w:p>
        </w:tc>
      </w:tr>
      <w:tr w14:paraId="3B4BF769">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42578DE7">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33EBA7D7">
            <w:pPr>
              <w:widowControl/>
              <w:jc w:val="center"/>
              <w:rPr>
                <w:rFonts w:hint="eastAsia" w:ascii="宋体" w:hAnsi="宋体" w:cs="宋体"/>
                <w:kern w:val="0"/>
                <w:sz w:val="24"/>
              </w:rPr>
            </w:pPr>
            <w:r>
              <w:rPr>
                <w:rFonts w:hint="eastAsia" w:ascii="宋体" w:hAnsi="宋体" w:cs="宋体"/>
                <w:kern w:val="0"/>
                <w:sz w:val="24"/>
              </w:rPr>
              <w:t>服务器</w:t>
            </w:r>
          </w:p>
        </w:tc>
        <w:tc>
          <w:tcPr>
            <w:tcW w:w="3915" w:type="dxa"/>
            <w:tcBorders>
              <w:top w:val="nil"/>
              <w:left w:val="nil"/>
              <w:bottom w:val="single" w:color="auto" w:sz="4" w:space="0"/>
              <w:right w:val="single" w:color="auto" w:sz="4" w:space="0"/>
            </w:tcBorders>
            <w:noWrap/>
            <w:vAlign w:val="center"/>
          </w:tcPr>
          <w:p w14:paraId="7292C389">
            <w:pPr>
              <w:widowControl/>
              <w:jc w:val="center"/>
              <w:rPr>
                <w:rFonts w:hint="eastAsia" w:ascii="宋体" w:hAnsi="宋体" w:cs="宋体"/>
                <w:kern w:val="0"/>
                <w:sz w:val="24"/>
              </w:rPr>
            </w:pPr>
            <w:r>
              <w:rPr>
                <w:rFonts w:hint="eastAsia" w:ascii="宋体" w:hAnsi="宋体" w:cs="宋体"/>
                <w:kern w:val="0"/>
                <w:sz w:val="24"/>
              </w:rPr>
              <w:t>联想/SR860/中国</w:t>
            </w:r>
          </w:p>
        </w:tc>
        <w:tc>
          <w:tcPr>
            <w:tcW w:w="716" w:type="dxa"/>
            <w:tcBorders>
              <w:top w:val="nil"/>
              <w:left w:val="nil"/>
              <w:bottom w:val="single" w:color="auto" w:sz="4" w:space="0"/>
              <w:right w:val="single" w:color="auto" w:sz="4" w:space="0"/>
            </w:tcBorders>
            <w:noWrap/>
            <w:vAlign w:val="center"/>
          </w:tcPr>
          <w:p w14:paraId="03645636">
            <w:pPr>
              <w:widowControl/>
              <w:jc w:val="center"/>
              <w:rPr>
                <w:rFonts w:hint="eastAsia" w:ascii="宋体" w:hAnsi="宋体" w:cs="宋体"/>
                <w:kern w:val="0"/>
                <w:sz w:val="24"/>
              </w:rPr>
            </w:pPr>
            <w:r>
              <w:rPr>
                <w:rFonts w:hint="eastAsia" w:ascii="宋体" w:hAnsi="宋体" w:cs="宋体"/>
                <w:kern w:val="0"/>
                <w:sz w:val="24"/>
              </w:rPr>
              <w:t>1</w:t>
            </w:r>
          </w:p>
        </w:tc>
      </w:tr>
      <w:tr w14:paraId="0FBEBC33">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6C5F4DE9">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1F3CCA86">
            <w:pPr>
              <w:widowControl/>
              <w:jc w:val="center"/>
              <w:rPr>
                <w:rFonts w:hint="eastAsia" w:ascii="宋体" w:hAnsi="宋体" w:cs="宋体"/>
                <w:kern w:val="0"/>
                <w:sz w:val="24"/>
              </w:rPr>
            </w:pPr>
            <w:r>
              <w:rPr>
                <w:rFonts w:hint="eastAsia" w:ascii="宋体" w:hAnsi="宋体" w:cs="宋体"/>
                <w:kern w:val="0"/>
                <w:sz w:val="24"/>
              </w:rPr>
              <w:t>入侵防御设备</w:t>
            </w:r>
          </w:p>
        </w:tc>
        <w:tc>
          <w:tcPr>
            <w:tcW w:w="3915" w:type="dxa"/>
            <w:tcBorders>
              <w:top w:val="nil"/>
              <w:left w:val="nil"/>
              <w:bottom w:val="single" w:color="auto" w:sz="4" w:space="0"/>
              <w:right w:val="single" w:color="auto" w:sz="4" w:space="0"/>
            </w:tcBorders>
            <w:noWrap/>
            <w:vAlign w:val="center"/>
          </w:tcPr>
          <w:p w14:paraId="7A32394A">
            <w:pPr>
              <w:widowControl/>
              <w:jc w:val="center"/>
              <w:rPr>
                <w:rFonts w:hint="eastAsia" w:ascii="宋体" w:hAnsi="宋体" w:cs="宋体"/>
                <w:kern w:val="0"/>
                <w:sz w:val="24"/>
              </w:rPr>
            </w:pPr>
            <w:r>
              <w:rPr>
                <w:rFonts w:hint="eastAsia" w:ascii="宋体" w:hAnsi="宋体" w:cs="宋体"/>
                <w:kern w:val="0"/>
                <w:sz w:val="24"/>
              </w:rPr>
              <w:t>绿盟/NISPNX3-HD1200C/中国</w:t>
            </w:r>
          </w:p>
        </w:tc>
        <w:tc>
          <w:tcPr>
            <w:tcW w:w="716" w:type="dxa"/>
            <w:tcBorders>
              <w:top w:val="nil"/>
              <w:left w:val="nil"/>
              <w:bottom w:val="single" w:color="auto" w:sz="4" w:space="0"/>
              <w:right w:val="single" w:color="auto" w:sz="4" w:space="0"/>
            </w:tcBorders>
            <w:noWrap/>
            <w:vAlign w:val="center"/>
          </w:tcPr>
          <w:p w14:paraId="73CCB814">
            <w:pPr>
              <w:widowControl/>
              <w:jc w:val="center"/>
              <w:rPr>
                <w:rFonts w:hint="eastAsia" w:ascii="宋体" w:hAnsi="宋体" w:cs="宋体"/>
                <w:kern w:val="0"/>
                <w:sz w:val="24"/>
              </w:rPr>
            </w:pPr>
            <w:r>
              <w:rPr>
                <w:rFonts w:hint="eastAsia" w:ascii="宋体" w:hAnsi="宋体" w:cs="宋体"/>
                <w:kern w:val="0"/>
                <w:sz w:val="24"/>
              </w:rPr>
              <w:t>2</w:t>
            </w:r>
          </w:p>
        </w:tc>
      </w:tr>
      <w:tr w14:paraId="180F4487">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2346976B">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662BA1C3">
            <w:pPr>
              <w:widowControl/>
              <w:jc w:val="center"/>
              <w:rPr>
                <w:rFonts w:hint="eastAsia" w:ascii="宋体" w:hAnsi="宋体" w:cs="宋体"/>
                <w:kern w:val="0"/>
                <w:sz w:val="24"/>
              </w:rPr>
            </w:pPr>
            <w:r>
              <w:rPr>
                <w:rFonts w:hint="eastAsia" w:ascii="宋体" w:hAnsi="宋体" w:cs="宋体"/>
                <w:kern w:val="0"/>
                <w:sz w:val="24"/>
              </w:rPr>
              <w:t>上网行为管理</w:t>
            </w:r>
          </w:p>
        </w:tc>
        <w:tc>
          <w:tcPr>
            <w:tcW w:w="3915" w:type="dxa"/>
            <w:tcBorders>
              <w:top w:val="nil"/>
              <w:left w:val="nil"/>
              <w:bottom w:val="single" w:color="auto" w:sz="4" w:space="0"/>
              <w:right w:val="single" w:color="auto" w:sz="4" w:space="0"/>
            </w:tcBorders>
            <w:noWrap/>
            <w:vAlign w:val="center"/>
          </w:tcPr>
          <w:p w14:paraId="32E99107">
            <w:pPr>
              <w:widowControl/>
              <w:jc w:val="center"/>
              <w:rPr>
                <w:rFonts w:hint="eastAsia" w:ascii="宋体" w:hAnsi="宋体" w:cs="宋体"/>
                <w:kern w:val="0"/>
                <w:sz w:val="24"/>
              </w:rPr>
            </w:pPr>
            <w:r>
              <w:rPr>
                <w:rFonts w:hint="eastAsia" w:ascii="宋体" w:hAnsi="宋体" w:cs="宋体"/>
                <w:kern w:val="0"/>
                <w:sz w:val="24"/>
              </w:rPr>
              <w:t>山石/SG-6000-ICM1100-AC/中国</w:t>
            </w:r>
          </w:p>
        </w:tc>
        <w:tc>
          <w:tcPr>
            <w:tcW w:w="716" w:type="dxa"/>
            <w:tcBorders>
              <w:top w:val="nil"/>
              <w:left w:val="nil"/>
              <w:bottom w:val="single" w:color="auto" w:sz="4" w:space="0"/>
              <w:right w:val="single" w:color="auto" w:sz="4" w:space="0"/>
            </w:tcBorders>
            <w:noWrap/>
            <w:vAlign w:val="center"/>
          </w:tcPr>
          <w:p w14:paraId="456D958E">
            <w:pPr>
              <w:widowControl/>
              <w:jc w:val="center"/>
              <w:rPr>
                <w:rFonts w:hint="eastAsia" w:ascii="宋体" w:hAnsi="宋体" w:cs="宋体"/>
                <w:kern w:val="0"/>
                <w:sz w:val="24"/>
              </w:rPr>
            </w:pPr>
            <w:r>
              <w:rPr>
                <w:rFonts w:hint="eastAsia" w:ascii="宋体" w:hAnsi="宋体" w:cs="宋体"/>
                <w:kern w:val="0"/>
                <w:sz w:val="24"/>
              </w:rPr>
              <w:t>1</w:t>
            </w:r>
          </w:p>
        </w:tc>
      </w:tr>
      <w:tr w14:paraId="1689D15F">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1CC49DA7">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3DE0C265">
            <w:pPr>
              <w:widowControl/>
              <w:jc w:val="center"/>
              <w:rPr>
                <w:rFonts w:hint="eastAsia" w:ascii="宋体" w:hAnsi="宋体" w:cs="宋体"/>
                <w:kern w:val="0"/>
                <w:sz w:val="24"/>
              </w:rPr>
            </w:pPr>
            <w:r>
              <w:rPr>
                <w:rFonts w:hint="eastAsia" w:ascii="宋体" w:hAnsi="宋体" w:cs="宋体"/>
                <w:kern w:val="0"/>
                <w:sz w:val="24"/>
              </w:rPr>
              <w:t>日志审计</w:t>
            </w:r>
          </w:p>
        </w:tc>
        <w:tc>
          <w:tcPr>
            <w:tcW w:w="3915" w:type="dxa"/>
            <w:tcBorders>
              <w:top w:val="nil"/>
              <w:left w:val="nil"/>
              <w:bottom w:val="single" w:color="auto" w:sz="4" w:space="0"/>
              <w:right w:val="single" w:color="auto" w:sz="4" w:space="0"/>
            </w:tcBorders>
            <w:noWrap/>
            <w:vAlign w:val="center"/>
          </w:tcPr>
          <w:p w14:paraId="728E7567">
            <w:pPr>
              <w:widowControl/>
              <w:jc w:val="center"/>
              <w:rPr>
                <w:rFonts w:hint="eastAsia" w:ascii="宋体" w:hAnsi="宋体" w:cs="宋体"/>
                <w:kern w:val="0"/>
                <w:sz w:val="24"/>
              </w:rPr>
            </w:pPr>
            <w:r>
              <w:rPr>
                <w:rFonts w:hint="eastAsia" w:ascii="宋体" w:hAnsi="宋体" w:cs="宋体"/>
                <w:kern w:val="0"/>
                <w:sz w:val="24"/>
              </w:rPr>
              <w:t>绿盟/LAS NX3 SERIES/中国</w:t>
            </w:r>
          </w:p>
        </w:tc>
        <w:tc>
          <w:tcPr>
            <w:tcW w:w="716" w:type="dxa"/>
            <w:tcBorders>
              <w:top w:val="nil"/>
              <w:left w:val="nil"/>
              <w:bottom w:val="single" w:color="auto" w:sz="4" w:space="0"/>
              <w:right w:val="single" w:color="auto" w:sz="4" w:space="0"/>
            </w:tcBorders>
            <w:noWrap/>
            <w:vAlign w:val="center"/>
          </w:tcPr>
          <w:p w14:paraId="5E3AF304">
            <w:pPr>
              <w:widowControl/>
              <w:jc w:val="center"/>
              <w:rPr>
                <w:rFonts w:hint="eastAsia" w:ascii="宋体" w:hAnsi="宋体" w:cs="宋体"/>
                <w:kern w:val="0"/>
                <w:sz w:val="24"/>
              </w:rPr>
            </w:pPr>
            <w:r>
              <w:rPr>
                <w:rFonts w:hint="eastAsia" w:ascii="宋体" w:hAnsi="宋体" w:cs="宋体"/>
                <w:kern w:val="0"/>
                <w:sz w:val="24"/>
              </w:rPr>
              <w:t>1</w:t>
            </w:r>
          </w:p>
        </w:tc>
      </w:tr>
      <w:tr w14:paraId="24AEFFA0">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4031F916">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582D9715">
            <w:pPr>
              <w:widowControl/>
              <w:jc w:val="center"/>
              <w:rPr>
                <w:rFonts w:hint="eastAsia" w:ascii="宋体" w:hAnsi="宋体" w:cs="宋体"/>
                <w:kern w:val="0"/>
                <w:sz w:val="24"/>
              </w:rPr>
            </w:pPr>
            <w:r>
              <w:rPr>
                <w:rFonts w:hint="eastAsia" w:ascii="宋体" w:hAnsi="宋体" w:cs="宋体"/>
                <w:kern w:val="0"/>
                <w:sz w:val="24"/>
              </w:rPr>
              <w:t>漏洞扫描</w:t>
            </w:r>
          </w:p>
        </w:tc>
        <w:tc>
          <w:tcPr>
            <w:tcW w:w="3915" w:type="dxa"/>
            <w:tcBorders>
              <w:top w:val="nil"/>
              <w:left w:val="nil"/>
              <w:bottom w:val="single" w:color="auto" w:sz="4" w:space="0"/>
              <w:right w:val="single" w:color="auto" w:sz="4" w:space="0"/>
            </w:tcBorders>
            <w:noWrap/>
            <w:vAlign w:val="center"/>
          </w:tcPr>
          <w:p w14:paraId="6809F584">
            <w:pPr>
              <w:widowControl/>
              <w:jc w:val="center"/>
              <w:rPr>
                <w:rFonts w:hint="eastAsia" w:ascii="宋体" w:hAnsi="宋体" w:cs="宋体"/>
                <w:kern w:val="0"/>
                <w:sz w:val="24"/>
              </w:rPr>
            </w:pPr>
            <w:r>
              <w:rPr>
                <w:rFonts w:hint="eastAsia" w:ascii="宋体" w:hAnsi="宋体" w:cs="宋体"/>
                <w:kern w:val="0"/>
                <w:sz w:val="24"/>
              </w:rPr>
              <w:t>绿盟/RSAS NX3 SERIES/中国</w:t>
            </w:r>
          </w:p>
        </w:tc>
        <w:tc>
          <w:tcPr>
            <w:tcW w:w="716" w:type="dxa"/>
            <w:tcBorders>
              <w:top w:val="nil"/>
              <w:left w:val="nil"/>
              <w:bottom w:val="single" w:color="auto" w:sz="4" w:space="0"/>
              <w:right w:val="single" w:color="auto" w:sz="4" w:space="0"/>
            </w:tcBorders>
            <w:noWrap/>
            <w:vAlign w:val="center"/>
          </w:tcPr>
          <w:p w14:paraId="611CB094">
            <w:pPr>
              <w:widowControl/>
              <w:jc w:val="center"/>
              <w:rPr>
                <w:rFonts w:hint="eastAsia" w:ascii="宋体" w:hAnsi="宋体" w:cs="宋体"/>
                <w:kern w:val="0"/>
                <w:sz w:val="24"/>
              </w:rPr>
            </w:pPr>
            <w:r>
              <w:rPr>
                <w:rFonts w:hint="eastAsia" w:ascii="宋体" w:hAnsi="宋体" w:cs="宋体"/>
                <w:kern w:val="0"/>
                <w:sz w:val="24"/>
              </w:rPr>
              <w:t>1</w:t>
            </w:r>
          </w:p>
        </w:tc>
      </w:tr>
      <w:tr w14:paraId="3A44FAA4">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68915924">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2B15A6E0">
            <w:pPr>
              <w:widowControl/>
              <w:jc w:val="center"/>
              <w:rPr>
                <w:rFonts w:hint="eastAsia" w:ascii="宋体" w:hAnsi="宋体" w:cs="宋体"/>
                <w:kern w:val="0"/>
                <w:sz w:val="24"/>
              </w:rPr>
            </w:pPr>
            <w:r>
              <w:rPr>
                <w:rFonts w:hint="eastAsia" w:ascii="宋体" w:hAnsi="宋体" w:cs="宋体"/>
                <w:kern w:val="0"/>
                <w:sz w:val="24"/>
              </w:rPr>
              <w:t>堡垒机</w:t>
            </w:r>
          </w:p>
        </w:tc>
        <w:tc>
          <w:tcPr>
            <w:tcW w:w="3915" w:type="dxa"/>
            <w:tcBorders>
              <w:top w:val="nil"/>
              <w:left w:val="nil"/>
              <w:bottom w:val="single" w:color="auto" w:sz="4" w:space="0"/>
              <w:right w:val="single" w:color="auto" w:sz="4" w:space="0"/>
            </w:tcBorders>
            <w:noWrap/>
            <w:vAlign w:val="center"/>
          </w:tcPr>
          <w:p w14:paraId="78AFAF52">
            <w:pPr>
              <w:widowControl/>
              <w:jc w:val="center"/>
              <w:rPr>
                <w:rFonts w:hint="eastAsia" w:ascii="宋体" w:hAnsi="宋体" w:cs="宋体"/>
                <w:kern w:val="0"/>
                <w:sz w:val="24"/>
              </w:rPr>
            </w:pPr>
            <w:r>
              <w:rPr>
                <w:rFonts w:hint="eastAsia" w:ascii="宋体" w:hAnsi="宋体" w:cs="宋体"/>
                <w:kern w:val="0"/>
                <w:sz w:val="24"/>
              </w:rPr>
              <w:t>天融信/Top SAG TSAG-43128/中国</w:t>
            </w:r>
          </w:p>
        </w:tc>
        <w:tc>
          <w:tcPr>
            <w:tcW w:w="716" w:type="dxa"/>
            <w:tcBorders>
              <w:top w:val="nil"/>
              <w:left w:val="nil"/>
              <w:bottom w:val="single" w:color="auto" w:sz="4" w:space="0"/>
              <w:right w:val="single" w:color="auto" w:sz="4" w:space="0"/>
            </w:tcBorders>
            <w:noWrap/>
            <w:vAlign w:val="center"/>
          </w:tcPr>
          <w:p w14:paraId="06E5D5BA">
            <w:pPr>
              <w:widowControl/>
              <w:jc w:val="center"/>
              <w:rPr>
                <w:rFonts w:hint="eastAsia" w:ascii="宋体" w:hAnsi="宋体" w:cs="宋体"/>
                <w:kern w:val="0"/>
                <w:sz w:val="24"/>
              </w:rPr>
            </w:pPr>
            <w:r>
              <w:rPr>
                <w:rFonts w:hint="eastAsia" w:ascii="宋体" w:hAnsi="宋体" w:cs="宋体"/>
                <w:kern w:val="0"/>
                <w:sz w:val="24"/>
              </w:rPr>
              <w:t>1</w:t>
            </w:r>
          </w:p>
        </w:tc>
      </w:tr>
      <w:tr w14:paraId="452C2C2E">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035036A8">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374D6CAD">
            <w:pPr>
              <w:widowControl/>
              <w:jc w:val="center"/>
              <w:rPr>
                <w:rFonts w:hint="eastAsia" w:ascii="宋体" w:hAnsi="宋体" w:cs="宋体"/>
                <w:kern w:val="0"/>
                <w:sz w:val="24"/>
              </w:rPr>
            </w:pPr>
            <w:r>
              <w:rPr>
                <w:rFonts w:hint="eastAsia" w:ascii="宋体" w:hAnsi="宋体" w:cs="宋体"/>
                <w:kern w:val="0"/>
                <w:sz w:val="24"/>
              </w:rPr>
              <w:t>磁盘阵列</w:t>
            </w:r>
          </w:p>
        </w:tc>
        <w:tc>
          <w:tcPr>
            <w:tcW w:w="3915" w:type="dxa"/>
            <w:tcBorders>
              <w:top w:val="nil"/>
              <w:left w:val="nil"/>
              <w:bottom w:val="single" w:color="auto" w:sz="4" w:space="0"/>
              <w:right w:val="single" w:color="auto" w:sz="4" w:space="0"/>
            </w:tcBorders>
            <w:noWrap/>
            <w:vAlign w:val="center"/>
          </w:tcPr>
          <w:p w14:paraId="304EF1AE">
            <w:pPr>
              <w:widowControl/>
              <w:jc w:val="center"/>
              <w:rPr>
                <w:rFonts w:hint="eastAsia" w:ascii="宋体" w:hAnsi="宋体" w:cs="宋体"/>
                <w:kern w:val="0"/>
                <w:sz w:val="24"/>
              </w:rPr>
            </w:pPr>
            <w:r>
              <w:rPr>
                <w:rFonts w:hint="eastAsia" w:ascii="宋体" w:hAnsi="宋体" w:cs="宋体"/>
                <w:kern w:val="0"/>
                <w:sz w:val="24"/>
              </w:rPr>
              <w:t>IBM/IBM V3700/中国</w:t>
            </w:r>
          </w:p>
        </w:tc>
        <w:tc>
          <w:tcPr>
            <w:tcW w:w="716" w:type="dxa"/>
            <w:tcBorders>
              <w:top w:val="nil"/>
              <w:left w:val="nil"/>
              <w:bottom w:val="single" w:color="auto" w:sz="4" w:space="0"/>
              <w:right w:val="single" w:color="auto" w:sz="4" w:space="0"/>
            </w:tcBorders>
            <w:noWrap/>
            <w:vAlign w:val="center"/>
          </w:tcPr>
          <w:p w14:paraId="5F9A7FF8">
            <w:pPr>
              <w:widowControl/>
              <w:jc w:val="center"/>
              <w:rPr>
                <w:rFonts w:hint="eastAsia" w:ascii="宋体" w:hAnsi="宋体" w:cs="宋体"/>
                <w:kern w:val="0"/>
                <w:sz w:val="24"/>
              </w:rPr>
            </w:pPr>
            <w:r>
              <w:rPr>
                <w:rFonts w:hint="eastAsia" w:ascii="宋体" w:hAnsi="宋体" w:cs="宋体"/>
                <w:kern w:val="0"/>
                <w:sz w:val="24"/>
              </w:rPr>
              <w:t>1</w:t>
            </w:r>
          </w:p>
        </w:tc>
      </w:tr>
      <w:tr w14:paraId="453BCFB8">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4AA7A771">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1CCF85E0">
            <w:pPr>
              <w:widowControl/>
              <w:jc w:val="center"/>
              <w:rPr>
                <w:rFonts w:hint="eastAsia" w:ascii="宋体" w:hAnsi="宋体" w:cs="宋体"/>
                <w:kern w:val="0"/>
                <w:sz w:val="24"/>
              </w:rPr>
            </w:pPr>
            <w:r>
              <w:rPr>
                <w:rFonts w:hint="eastAsia" w:ascii="宋体" w:hAnsi="宋体" w:cs="宋体"/>
                <w:kern w:val="0"/>
                <w:sz w:val="24"/>
              </w:rPr>
              <w:t>北斗中心接收前置机</w:t>
            </w:r>
          </w:p>
        </w:tc>
        <w:tc>
          <w:tcPr>
            <w:tcW w:w="3915" w:type="dxa"/>
            <w:tcBorders>
              <w:top w:val="nil"/>
              <w:left w:val="nil"/>
              <w:bottom w:val="single" w:color="auto" w:sz="4" w:space="0"/>
              <w:right w:val="single" w:color="auto" w:sz="4" w:space="0"/>
            </w:tcBorders>
            <w:noWrap/>
            <w:vAlign w:val="center"/>
          </w:tcPr>
          <w:p w14:paraId="604FA476">
            <w:pPr>
              <w:widowControl/>
              <w:jc w:val="center"/>
              <w:rPr>
                <w:rFonts w:hint="eastAsia" w:ascii="宋体" w:hAnsi="宋体" w:cs="宋体"/>
                <w:kern w:val="0"/>
                <w:sz w:val="24"/>
              </w:rPr>
            </w:pPr>
            <w:r>
              <w:rPr>
                <w:rFonts w:hint="eastAsia" w:ascii="宋体" w:hAnsi="宋体" w:cs="宋体"/>
                <w:kern w:val="0"/>
                <w:sz w:val="24"/>
              </w:rPr>
              <w:t>北斗公司/中国</w:t>
            </w:r>
          </w:p>
        </w:tc>
        <w:tc>
          <w:tcPr>
            <w:tcW w:w="716" w:type="dxa"/>
            <w:tcBorders>
              <w:top w:val="nil"/>
              <w:left w:val="nil"/>
              <w:bottom w:val="single" w:color="auto" w:sz="4" w:space="0"/>
              <w:right w:val="single" w:color="auto" w:sz="4" w:space="0"/>
            </w:tcBorders>
            <w:noWrap/>
            <w:vAlign w:val="center"/>
          </w:tcPr>
          <w:p w14:paraId="6A6524A5">
            <w:pPr>
              <w:widowControl/>
              <w:jc w:val="center"/>
              <w:rPr>
                <w:rFonts w:hint="eastAsia" w:ascii="宋体" w:hAnsi="宋体" w:cs="宋体"/>
                <w:kern w:val="0"/>
                <w:sz w:val="24"/>
              </w:rPr>
            </w:pPr>
            <w:r>
              <w:rPr>
                <w:rFonts w:hint="eastAsia" w:ascii="宋体" w:hAnsi="宋体" w:cs="宋体"/>
                <w:kern w:val="0"/>
                <w:sz w:val="24"/>
              </w:rPr>
              <w:t>1</w:t>
            </w:r>
          </w:p>
        </w:tc>
      </w:tr>
      <w:tr w14:paraId="53A9562A">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229C9066">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6B5C68A0">
            <w:pPr>
              <w:widowControl/>
              <w:jc w:val="center"/>
              <w:rPr>
                <w:rFonts w:hint="eastAsia" w:ascii="宋体" w:hAnsi="宋体" w:cs="宋体"/>
                <w:kern w:val="0"/>
                <w:sz w:val="24"/>
              </w:rPr>
            </w:pPr>
            <w:r>
              <w:rPr>
                <w:rFonts w:hint="eastAsia" w:ascii="宋体" w:hAnsi="宋体" w:cs="宋体"/>
                <w:kern w:val="0"/>
                <w:sz w:val="24"/>
              </w:rPr>
              <w:t>KVM</w:t>
            </w:r>
          </w:p>
        </w:tc>
        <w:tc>
          <w:tcPr>
            <w:tcW w:w="3915" w:type="dxa"/>
            <w:tcBorders>
              <w:top w:val="nil"/>
              <w:left w:val="nil"/>
              <w:bottom w:val="single" w:color="auto" w:sz="4" w:space="0"/>
              <w:right w:val="single" w:color="auto" w:sz="4" w:space="0"/>
            </w:tcBorders>
            <w:noWrap/>
            <w:vAlign w:val="center"/>
          </w:tcPr>
          <w:p w14:paraId="5326BE94">
            <w:pPr>
              <w:widowControl/>
              <w:jc w:val="center"/>
              <w:rPr>
                <w:rFonts w:hint="eastAsia" w:ascii="宋体" w:hAnsi="宋体" w:cs="宋体"/>
                <w:kern w:val="0"/>
                <w:sz w:val="24"/>
              </w:rPr>
            </w:pPr>
            <w:r>
              <w:rPr>
                <w:rFonts w:hint="eastAsia" w:ascii="宋体" w:hAnsi="宋体" w:cs="宋体"/>
                <w:kern w:val="0"/>
                <w:sz w:val="24"/>
              </w:rPr>
              <w:t>迈拓维矩/MT-801UK-L/中国</w:t>
            </w:r>
          </w:p>
        </w:tc>
        <w:tc>
          <w:tcPr>
            <w:tcW w:w="716" w:type="dxa"/>
            <w:tcBorders>
              <w:top w:val="nil"/>
              <w:left w:val="nil"/>
              <w:bottom w:val="single" w:color="auto" w:sz="4" w:space="0"/>
              <w:right w:val="single" w:color="auto" w:sz="4" w:space="0"/>
            </w:tcBorders>
            <w:noWrap/>
            <w:vAlign w:val="center"/>
          </w:tcPr>
          <w:p w14:paraId="106A28BB">
            <w:pPr>
              <w:widowControl/>
              <w:jc w:val="center"/>
              <w:rPr>
                <w:rFonts w:hint="eastAsia" w:ascii="宋体" w:hAnsi="宋体" w:cs="宋体"/>
                <w:kern w:val="0"/>
                <w:sz w:val="24"/>
              </w:rPr>
            </w:pPr>
            <w:r>
              <w:rPr>
                <w:rFonts w:hint="eastAsia" w:ascii="宋体" w:hAnsi="宋体" w:cs="宋体"/>
                <w:kern w:val="0"/>
                <w:sz w:val="24"/>
              </w:rPr>
              <w:t>2</w:t>
            </w:r>
          </w:p>
        </w:tc>
      </w:tr>
      <w:tr w14:paraId="121B044D">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225B66FF">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278B0108">
            <w:pPr>
              <w:widowControl/>
              <w:jc w:val="center"/>
              <w:rPr>
                <w:rFonts w:hint="eastAsia" w:ascii="宋体" w:hAnsi="宋体" w:cs="宋体"/>
                <w:kern w:val="0"/>
                <w:sz w:val="24"/>
              </w:rPr>
            </w:pPr>
            <w:r>
              <w:rPr>
                <w:rFonts w:hint="eastAsia" w:ascii="宋体" w:hAnsi="宋体" w:cs="宋体"/>
                <w:kern w:val="0"/>
                <w:sz w:val="24"/>
              </w:rPr>
              <w:t>KVM</w:t>
            </w:r>
          </w:p>
        </w:tc>
        <w:tc>
          <w:tcPr>
            <w:tcW w:w="3915" w:type="dxa"/>
            <w:tcBorders>
              <w:top w:val="nil"/>
              <w:left w:val="nil"/>
              <w:bottom w:val="single" w:color="auto" w:sz="4" w:space="0"/>
              <w:right w:val="single" w:color="auto" w:sz="4" w:space="0"/>
            </w:tcBorders>
            <w:noWrap/>
            <w:vAlign w:val="center"/>
          </w:tcPr>
          <w:p w14:paraId="1AB352D2">
            <w:pPr>
              <w:widowControl/>
              <w:jc w:val="center"/>
              <w:rPr>
                <w:rFonts w:hint="eastAsia" w:ascii="宋体" w:hAnsi="宋体" w:cs="宋体"/>
                <w:kern w:val="0"/>
                <w:sz w:val="24"/>
              </w:rPr>
            </w:pPr>
            <w:r>
              <w:rPr>
                <w:rFonts w:hint="eastAsia" w:ascii="宋体" w:hAnsi="宋体" w:cs="宋体"/>
                <w:kern w:val="0"/>
                <w:sz w:val="24"/>
              </w:rPr>
              <w:t>睿讯/AB1108N/中国</w:t>
            </w:r>
          </w:p>
        </w:tc>
        <w:tc>
          <w:tcPr>
            <w:tcW w:w="716" w:type="dxa"/>
            <w:tcBorders>
              <w:top w:val="nil"/>
              <w:left w:val="nil"/>
              <w:bottom w:val="single" w:color="auto" w:sz="4" w:space="0"/>
              <w:right w:val="single" w:color="auto" w:sz="4" w:space="0"/>
            </w:tcBorders>
            <w:noWrap/>
            <w:vAlign w:val="center"/>
          </w:tcPr>
          <w:p w14:paraId="6C7CFDA1">
            <w:pPr>
              <w:widowControl/>
              <w:jc w:val="center"/>
              <w:rPr>
                <w:rFonts w:hint="eastAsia" w:ascii="宋体" w:hAnsi="宋体" w:cs="宋体"/>
                <w:kern w:val="0"/>
                <w:sz w:val="24"/>
              </w:rPr>
            </w:pPr>
            <w:r>
              <w:rPr>
                <w:rFonts w:hint="eastAsia" w:ascii="宋体" w:hAnsi="宋体" w:cs="宋体"/>
                <w:kern w:val="0"/>
                <w:sz w:val="24"/>
              </w:rPr>
              <w:t>2</w:t>
            </w:r>
          </w:p>
        </w:tc>
      </w:tr>
      <w:tr w14:paraId="2CADEFFA">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3180A65C">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2F7AED97">
            <w:pPr>
              <w:widowControl/>
              <w:jc w:val="center"/>
              <w:rPr>
                <w:rFonts w:hint="eastAsia" w:ascii="宋体" w:hAnsi="宋体" w:cs="宋体"/>
                <w:kern w:val="0"/>
                <w:sz w:val="24"/>
              </w:rPr>
            </w:pPr>
            <w:r>
              <w:rPr>
                <w:rFonts w:hint="eastAsia" w:ascii="宋体" w:hAnsi="宋体" w:cs="宋体"/>
                <w:kern w:val="0"/>
                <w:sz w:val="24"/>
              </w:rPr>
              <w:t>UPS</w:t>
            </w:r>
          </w:p>
        </w:tc>
        <w:tc>
          <w:tcPr>
            <w:tcW w:w="3915" w:type="dxa"/>
            <w:tcBorders>
              <w:top w:val="nil"/>
              <w:left w:val="nil"/>
              <w:bottom w:val="single" w:color="auto" w:sz="4" w:space="0"/>
              <w:right w:val="single" w:color="auto" w:sz="4" w:space="0"/>
            </w:tcBorders>
            <w:noWrap/>
            <w:vAlign w:val="center"/>
          </w:tcPr>
          <w:p w14:paraId="19F98F5A">
            <w:pPr>
              <w:widowControl/>
              <w:jc w:val="center"/>
              <w:rPr>
                <w:rFonts w:hint="eastAsia" w:ascii="宋体" w:hAnsi="宋体" w:cs="宋体"/>
                <w:kern w:val="0"/>
                <w:sz w:val="24"/>
              </w:rPr>
            </w:pPr>
            <w:r>
              <w:rPr>
                <w:rFonts w:hint="eastAsia" w:ascii="宋体" w:hAnsi="宋体" w:cs="宋体"/>
                <w:kern w:val="0"/>
                <w:sz w:val="24"/>
              </w:rPr>
              <w:t>山特/3c3 pro/中国</w:t>
            </w:r>
          </w:p>
        </w:tc>
        <w:tc>
          <w:tcPr>
            <w:tcW w:w="716" w:type="dxa"/>
            <w:tcBorders>
              <w:top w:val="nil"/>
              <w:left w:val="nil"/>
              <w:bottom w:val="single" w:color="auto" w:sz="4" w:space="0"/>
              <w:right w:val="single" w:color="auto" w:sz="4" w:space="0"/>
            </w:tcBorders>
            <w:noWrap/>
            <w:vAlign w:val="center"/>
          </w:tcPr>
          <w:p w14:paraId="15FD2CD7">
            <w:pPr>
              <w:widowControl/>
              <w:jc w:val="center"/>
              <w:rPr>
                <w:rFonts w:hint="eastAsia" w:ascii="宋体" w:hAnsi="宋体" w:cs="宋体"/>
                <w:kern w:val="0"/>
                <w:sz w:val="24"/>
              </w:rPr>
            </w:pPr>
            <w:r>
              <w:rPr>
                <w:rFonts w:hint="eastAsia" w:ascii="宋体" w:hAnsi="宋体" w:cs="宋体"/>
                <w:kern w:val="0"/>
                <w:sz w:val="24"/>
              </w:rPr>
              <w:t>1</w:t>
            </w:r>
          </w:p>
        </w:tc>
      </w:tr>
      <w:tr w14:paraId="59700B77">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27DC0251">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3E51B59E">
            <w:pPr>
              <w:widowControl/>
              <w:jc w:val="center"/>
              <w:rPr>
                <w:rFonts w:hint="eastAsia" w:ascii="宋体" w:hAnsi="宋体" w:cs="宋体"/>
                <w:kern w:val="0"/>
                <w:sz w:val="24"/>
              </w:rPr>
            </w:pPr>
            <w:r>
              <w:rPr>
                <w:rFonts w:hint="eastAsia" w:ascii="宋体" w:hAnsi="宋体" w:cs="宋体"/>
                <w:kern w:val="0"/>
                <w:sz w:val="24"/>
              </w:rPr>
              <w:t>北斗卫星专用设备</w:t>
            </w:r>
          </w:p>
        </w:tc>
        <w:tc>
          <w:tcPr>
            <w:tcW w:w="3915" w:type="dxa"/>
            <w:tcBorders>
              <w:top w:val="nil"/>
              <w:left w:val="nil"/>
              <w:bottom w:val="single" w:color="auto" w:sz="4" w:space="0"/>
              <w:right w:val="single" w:color="auto" w:sz="4" w:space="0"/>
            </w:tcBorders>
            <w:noWrap/>
            <w:vAlign w:val="center"/>
          </w:tcPr>
          <w:p w14:paraId="5FB14038">
            <w:pPr>
              <w:widowControl/>
              <w:jc w:val="center"/>
              <w:rPr>
                <w:rFonts w:hint="eastAsia" w:ascii="宋体" w:hAnsi="宋体" w:cs="宋体"/>
                <w:kern w:val="0"/>
                <w:sz w:val="24"/>
              </w:rPr>
            </w:pPr>
            <w:r>
              <w:rPr>
                <w:rFonts w:hint="eastAsia" w:ascii="宋体" w:hAnsi="宋体" w:cs="宋体"/>
                <w:kern w:val="0"/>
                <w:sz w:val="24"/>
              </w:rPr>
              <w:t>华力创通/HWA-RDSS-500/中国</w:t>
            </w:r>
          </w:p>
        </w:tc>
        <w:tc>
          <w:tcPr>
            <w:tcW w:w="716" w:type="dxa"/>
            <w:tcBorders>
              <w:top w:val="nil"/>
              <w:left w:val="nil"/>
              <w:bottom w:val="single" w:color="auto" w:sz="4" w:space="0"/>
              <w:right w:val="single" w:color="auto" w:sz="4" w:space="0"/>
            </w:tcBorders>
            <w:noWrap/>
            <w:vAlign w:val="center"/>
          </w:tcPr>
          <w:p w14:paraId="2DF98BAC">
            <w:pPr>
              <w:widowControl/>
              <w:jc w:val="center"/>
              <w:rPr>
                <w:rFonts w:hint="eastAsia" w:ascii="宋体" w:hAnsi="宋体" w:cs="宋体"/>
                <w:kern w:val="0"/>
                <w:sz w:val="24"/>
              </w:rPr>
            </w:pPr>
            <w:r>
              <w:rPr>
                <w:rFonts w:hint="eastAsia" w:ascii="宋体" w:hAnsi="宋体" w:cs="宋体"/>
                <w:kern w:val="0"/>
                <w:sz w:val="24"/>
              </w:rPr>
              <w:t>7</w:t>
            </w:r>
          </w:p>
        </w:tc>
      </w:tr>
      <w:tr w14:paraId="6CB8A6C9">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3A74C719">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2D06CF04">
            <w:pPr>
              <w:widowControl/>
              <w:jc w:val="center"/>
              <w:rPr>
                <w:rFonts w:hint="eastAsia" w:ascii="宋体" w:hAnsi="宋体" w:cs="宋体"/>
                <w:kern w:val="0"/>
                <w:sz w:val="24"/>
              </w:rPr>
            </w:pPr>
            <w:r>
              <w:rPr>
                <w:rFonts w:hint="eastAsia" w:ascii="宋体" w:hAnsi="宋体" w:cs="宋体"/>
                <w:kern w:val="0"/>
                <w:sz w:val="24"/>
              </w:rPr>
              <w:t>北斗卫星专用设备</w:t>
            </w:r>
          </w:p>
        </w:tc>
        <w:tc>
          <w:tcPr>
            <w:tcW w:w="3915" w:type="dxa"/>
            <w:tcBorders>
              <w:top w:val="nil"/>
              <w:left w:val="nil"/>
              <w:bottom w:val="single" w:color="auto" w:sz="4" w:space="0"/>
              <w:right w:val="single" w:color="auto" w:sz="4" w:space="0"/>
            </w:tcBorders>
            <w:noWrap/>
            <w:vAlign w:val="center"/>
          </w:tcPr>
          <w:p w14:paraId="7940AA7C">
            <w:pPr>
              <w:widowControl/>
              <w:jc w:val="center"/>
              <w:rPr>
                <w:rFonts w:hint="eastAsia" w:ascii="宋体" w:hAnsi="宋体" w:cs="宋体"/>
                <w:kern w:val="0"/>
                <w:sz w:val="24"/>
              </w:rPr>
            </w:pPr>
            <w:r>
              <w:rPr>
                <w:rFonts w:hint="eastAsia" w:ascii="宋体" w:hAnsi="宋体" w:cs="宋体"/>
                <w:kern w:val="0"/>
                <w:sz w:val="24"/>
              </w:rPr>
              <w:t>北斗星通/2100-M/中国</w:t>
            </w:r>
          </w:p>
        </w:tc>
        <w:tc>
          <w:tcPr>
            <w:tcW w:w="716" w:type="dxa"/>
            <w:tcBorders>
              <w:top w:val="nil"/>
              <w:left w:val="nil"/>
              <w:bottom w:val="single" w:color="auto" w:sz="4" w:space="0"/>
              <w:right w:val="single" w:color="auto" w:sz="4" w:space="0"/>
            </w:tcBorders>
            <w:noWrap/>
            <w:vAlign w:val="center"/>
          </w:tcPr>
          <w:p w14:paraId="40D955AD">
            <w:pPr>
              <w:widowControl/>
              <w:jc w:val="center"/>
              <w:rPr>
                <w:rFonts w:hint="eastAsia" w:ascii="宋体" w:hAnsi="宋体" w:cs="宋体"/>
                <w:kern w:val="0"/>
                <w:sz w:val="24"/>
              </w:rPr>
            </w:pPr>
            <w:r>
              <w:rPr>
                <w:rFonts w:hint="eastAsia" w:ascii="宋体" w:hAnsi="宋体" w:cs="宋体"/>
                <w:kern w:val="0"/>
                <w:sz w:val="24"/>
              </w:rPr>
              <w:t>5</w:t>
            </w:r>
          </w:p>
        </w:tc>
      </w:tr>
      <w:tr w14:paraId="6E5468C4">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02E35E2A">
            <w:pPr>
              <w:widowControl/>
              <w:numPr>
                <w:ilvl w:val="0"/>
                <w:numId w:val="15"/>
              </w:numPr>
              <w:jc w:val="center"/>
              <w:rPr>
                <w:rFonts w:hint="eastAsia" w:ascii="宋体" w:hAnsi="宋体" w:cs="宋体"/>
                <w:kern w:val="0"/>
                <w:sz w:val="24"/>
              </w:rPr>
            </w:pPr>
          </w:p>
        </w:tc>
        <w:tc>
          <w:tcPr>
            <w:tcW w:w="2889" w:type="dxa"/>
            <w:tcBorders>
              <w:top w:val="nil"/>
              <w:left w:val="nil"/>
              <w:bottom w:val="single" w:color="auto" w:sz="4" w:space="0"/>
              <w:right w:val="single" w:color="auto" w:sz="4" w:space="0"/>
            </w:tcBorders>
            <w:noWrap/>
            <w:vAlign w:val="center"/>
          </w:tcPr>
          <w:p w14:paraId="67A02F85">
            <w:pPr>
              <w:widowControl/>
              <w:jc w:val="center"/>
              <w:rPr>
                <w:rFonts w:hint="eastAsia" w:ascii="宋体" w:hAnsi="宋体" w:cs="宋体"/>
                <w:kern w:val="0"/>
                <w:sz w:val="24"/>
              </w:rPr>
            </w:pPr>
            <w:r>
              <w:rPr>
                <w:rFonts w:hint="eastAsia" w:ascii="宋体" w:hAnsi="宋体" w:cs="宋体"/>
                <w:kern w:val="0"/>
                <w:sz w:val="24"/>
              </w:rPr>
              <w:t>空调</w:t>
            </w:r>
          </w:p>
        </w:tc>
        <w:tc>
          <w:tcPr>
            <w:tcW w:w="3915" w:type="dxa"/>
            <w:tcBorders>
              <w:top w:val="nil"/>
              <w:left w:val="nil"/>
              <w:bottom w:val="single" w:color="auto" w:sz="4" w:space="0"/>
              <w:right w:val="single" w:color="auto" w:sz="4" w:space="0"/>
            </w:tcBorders>
            <w:noWrap/>
            <w:vAlign w:val="center"/>
          </w:tcPr>
          <w:p w14:paraId="074BFF5A">
            <w:pPr>
              <w:widowControl/>
              <w:jc w:val="center"/>
              <w:rPr>
                <w:rFonts w:hint="eastAsia" w:ascii="宋体" w:hAnsi="宋体" w:cs="宋体"/>
                <w:kern w:val="0"/>
                <w:sz w:val="24"/>
              </w:rPr>
            </w:pPr>
            <w:r>
              <w:rPr>
                <w:rFonts w:hint="eastAsia" w:ascii="宋体" w:hAnsi="宋体" w:cs="宋体"/>
                <w:kern w:val="0"/>
                <w:sz w:val="24"/>
              </w:rPr>
              <w:t>维谛/DME12MHP5/中国</w:t>
            </w:r>
          </w:p>
        </w:tc>
        <w:tc>
          <w:tcPr>
            <w:tcW w:w="716" w:type="dxa"/>
            <w:tcBorders>
              <w:top w:val="nil"/>
              <w:left w:val="nil"/>
              <w:bottom w:val="single" w:color="auto" w:sz="4" w:space="0"/>
              <w:right w:val="single" w:color="auto" w:sz="4" w:space="0"/>
            </w:tcBorders>
            <w:noWrap/>
            <w:vAlign w:val="center"/>
          </w:tcPr>
          <w:p w14:paraId="098FD7BF">
            <w:pPr>
              <w:widowControl/>
              <w:jc w:val="center"/>
              <w:rPr>
                <w:rFonts w:hint="eastAsia" w:ascii="宋体" w:hAnsi="宋体" w:cs="宋体"/>
                <w:kern w:val="0"/>
                <w:sz w:val="24"/>
              </w:rPr>
            </w:pPr>
            <w:r>
              <w:rPr>
                <w:rFonts w:hint="eastAsia" w:ascii="宋体" w:hAnsi="宋体" w:cs="宋体"/>
                <w:kern w:val="0"/>
                <w:sz w:val="24"/>
              </w:rPr>
              <w:t>2</w:t>
            </w:r>
          </w:p>
        </w:tc>
      </w:tr>
    </w:tbl>
    <w:p w14:paraId="374411C1">
      <w:pPr>
        <w:jc w:val="center"/>
        <w:rPr>
          <w:rFonts w:hint="eastAsia" w:ascii="宋体" w:hAnsi="宋体"/>
          <w:b/>
          <w:sz w:val="24"/>
        </w:rPr>
      </w:pPr>
    </w:p>
    <w:p w14:paraId="4969D7FA">
      <w:pPr>
        <w:jc w:val="center"/>
        <w:rPr>
          <w:rFonts w:hint="eastAsia" w:ascii="宋体" w:hAnsi="宋体"/>
          <w:b/>
          <w:sz w:val="24"/>
        </w:rPr>
      </w:pPr>
      <w:r>
        <w:rPr>
          <w:rFonts w:hint="eastAsia" w:ascii="宋体" w:hAnsi="宋体" w:cs="宋体"/>
          <w:b/>
          <w:bCs/>
          <w:kern w:val="0"/>
          <w:sz w:val="24"/>
        </w:rPr>
        <w:t>表14-2 监测站（密云、门头沟监测站）数据中心机房</w:t>
      </w:r>
    </w:p>
    <w:tbl>
      <w:tblPr>
        <w:tblStyle w:val="42"/>
        <w:tblW w:w="845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926"/>
        <w:gridCol w:w="2836"/>
        <w:gridCol w:w="3969"/>
        <w:gridCol w:w="726"/>
      </w:tblGrid>
      <w:tr w14:paraId="572D64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926" w:type="dxa"/>
            <w:vAlign w:val="center"/>
          </w:tcPr>
          <w:p w14:paraId="7C8F7ADE">
            <w:pPr>
              <w:widowControl/>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2836" w:type="dxa"/>
            <w:vAlign w:val="center"/>
          </w:tcPr>
          <w:p w14:paraId="276989D1">
            <w:pPr>
              <w:widowControl/>
              <w:jc w:val="center"/>
              <w:rPr>
                <w:rFonts w:hint="eastAsia" w:ascii="宋体" w:hAnsi="宋体" w:cs="宋体"/>
                <w:b/>
                <w:color w:val="000000"/>
                <w:kern w:val="0"/>
                <w:sz w:val="24"/>
              </w:rPr>
            </w:pPr>
            <w:r>
              <w:rPr>
                <w:rFonts w:hint="eastAsia" w:ascii="宋体" w:hAnsi="宋体" w:cs="宋体"/>
                <w:b/>
                <w:color w:val="000000"/>
                <w:kern w:val="0"/>
                <w:sz w:val="24"/>
              </w:rPr>
              <w:t>材料/设备名称</w:t>
            </w:r>
          </w:p>
        </w:tc>
        <w:tc>
          <w:tcPr>
            <w:tcW w:w="3969" w:type="dxa"/>
            <w:vAlign w:val="center"/>
          </w:tcPr>
          <w:p w14:paraId="16D8D173">
            <w:pPr>
              <w:widowControl/>
              <w:jc w:val="center"/>
              <w:rPr>
                <w:rFonts w:hint="eastAsia" w:ascii="宋体" w:hAnsi="宋体" w:cs="宋体"/>
                <w:b/>
                <w:color w:val="000000"/>
                <w:kern w:val="0"/>
                <w:sz w:val="24"/>
              </w:rPr>
            </w:pPr>
            <w:r>
              <w:rPr>
                <w:rFonts w:hint="eastAsia" w:ascii="宋体" w:hAnsi="宋体" w:cs="宋体"/>
                <w:b/>
                <w:color w:val="000000"/>
                <w:kern w:val="0"/>
                <w:sz w:val="24"/>
              </w:rPr>
              <w:t>品牌/型号/产地</w:t>
            </w:r>
          </w:p>
        </w:tc>
        <w:tc>
          <w:tcPr>
            <w:tcW w:w="726" w:type="dxa"/>
            <w:vAlign w:val="center"/>
          </w:tcPr>
          <w:p w14:paraId="16E7D6F0">
            <w:pPr>
              <w:widowControl/>
              <w:jc w:val="center"/>
              <w:rPr>
                <w:rFonts w:hint="eastAsia" w:ascii="宋体" w:hAnsi="宋体" w:cs="宋体"/>
                <w:b/>
                <w:color w:val="000000"/>
                <w:kern w:val="0"/>
                <w:sz w:val="24"/>
              </w:rPr>
            </w:pPr>
            <w:r>
              <w:rPr>
                <w:rFonts w:hint="eastAsia" w:ascii="宋体" w:hAnsi="宋体" w:cs="宋体"/>
                <w:b/>
                <w:color w:val="000000"/>
                <w:kern w:val="0"/>
                <w:sz w:val="24"/>
              </w:rPr>
              <w:t>数量</w:t>
            </w:r>
          </w:p>
        </w:tc>
      </w:tr>
      <w:tr w14:paraId="62700F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926" w:type="dxa"/>
            <w:vAlign w:val="center"/>
          </w:tcPr>
          <w:p w14:paraId="03741AAD">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2836" w:type="dxa"/>
            <w:vAlign w:val="center"/>
          </w:tcPr>
          <w:p w14:paraId="1830127A">
            <w:pPr>
              <w:widowControl/>
              <w:jc w:val="center"/>
              <w:rPr>
                <w:rFonts w:hint="eastAsia" w:ascii="宋体" w:hAnsi="宋体" w:cs="宋体"/>
                <w:color w:val="000000"/>
                <w:kern w:val="0"/>
                <w:sz w:val="24"/>
              </w:rPr>
            </w:pPr>
            <w:r>
              <w:rPr>
                <w:rFonts w:hint="eastAsia" w:ascii="宋体" w:hAnsi="宋体" w:cs="宋体"/>
                <w:color w:val="000000"/>
                <w:kern w:val="0"/>
                <w:sz w:val="24"/>
              </w:rPr>
              <w:t>路由器</w:t>
            </w:r>
          </w:p>
        </w:tc>
        <w:tc>
          <w:tcPr>
            <w:tcW w:w="3969" w:type="dxa"/>
            <w:vAlign w:val="center"/>
          </w:tcPr>
          <w:p w14:paraId="07418B92">
            <w:pPr>
              <w:widowControl/>
              <w:jc w:val="center"/>
              <w:rPr>
                <w:rFonts w:hint="eastAsia" w:ascii="宋体" w:hAnsi="宋体" w:cs="宋体"/>
                <w:color w:val="000000"/>
                <w:kern w:val="0"/>
                <w:sz w:val="24"/>
              </w:rPr>
            </w:pPr>
            <w:r>
              <w:rPr>
                <w:rFonts w:hint="eastAsia" w:ascii="宋体" w:hAnsi="宋体" w:cs="宋体"/>
                <w:color w:val="000000"/>
                <w:kern w:val="0"/>
                <w:sz w:val="24"/>
              </w:rPr>
              <w:t>华为/AR2200 Series/中国</w:t>
            </w:r>
          </w:p>
        </w:tc>
        <w:tc>
          <w:tcPr>
            <w:tcW w:w="726" w:type="dxa"/>
            <w:vAlign w:val="center"/>
          </w:tcPr>
          <w:p w14:paraId="78940AD2">
            <w:pPr>
              <w:widowControl/>
              <w:jc w:val="center"/>
              <w:rPr>
                <w:rFonts w:hint="eastAsia" w:ascii="宋体" w:hAnsi="宋体" w:cs="宋体"/>
                <w:color w:val="000000"/>
                <w:kern w:val="0"/>
                <w:sz w:val="24"/>
              </w:rPr>
            </w:pPr>
            <w:r>
              <w:rPr>
                <w:rFonts w:hint="eastAsia" w:ascii="宋体" w:hAnsi="宋体" w:cs="宋体"/>
                <w:color w:val="000000"/>
                <w:kern w:val="0"/>
                <w:sz w:val="24"/>
              </w:rPr>
              <w:t>4</w:t>
            </w:r>
          </w:p>
        </w:tc>
      </w:tr>
      <w:tr w14:paraId="5F9DF5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926" w:type="dxa"/>
            <w:vAlign w:val="center"/>
          </w:tcPr>
          <w:p w14:paraId="0014585A">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2836" w:type="dxa"/>
            <w:vAlign w:val="center"/>
          </w:tcPr>
          <w:p w14:paraId="278E2567">
            <w:pPr>
              <w:widowControl/>
              <w:jc w:val="center"/>
              <w:rPr>
                <w:rFonts w:hint="eastAsia" w:ascii="宋体" w:hAnsi="宋体" w:cs="宋体"/>
                <w:color w:val="000000"/>
                <w:kern w:val="0"/>
                <w:sz w:val="24"/>
              </w:rPr>
            </w:pPr>
            <w:r>
              <w:rPr>
                <w:rFonts w:hint="eastAsia" w:ascii="宋体" w:hAnsi="宋体" w:cs="宋体"/>
                <w:color w:val="000000"/>
                <w:kern w:val="0"/>
                <w:sz w:val="24"/>
              </w:rPr>
              <w:t>交换机</w:t>
            </w:r>
          </w:p>
        </w:tc>
        <w:tc>
          <w:tcPr>
            <w:tcW w:w="3969" w:type="dxa"/>
            <w:vAlign w:val="center"/>
          </w:tcPr>
          <w:p w14:paraId="133D9672">
            <w:pPr>
              <w:widowControl/>
              <w:jc w:val="center"/>
              <w:rPr>
                <w:rFonts w:hint="eastAsia" w:ascii="宋体" w:hAnsi="宋体" w:cs="宋体"/>
                <w:color w:val="000000"/>
                <w:kern w:val="0"/>
                <w:sz w:val="24"/>
              </w:rPr>
            </w:pPr>
            <w:r>
              <w:rPr>
                <w:rFonts w:hint="eastAsia" w:ascii="宋体" w:hAnsi="宋体" w:cs="宋体"/>
                <w:color w:val="000000"/>
                <w:kern w:val="0"/>
                <w:sz w:val="24"/>
              </w:rPr>
              <w:t>华为/S5720-28P-LI-AC/中国</w:t>
            </w:r>
          </w:p>
        </w:tc>
        <w:tc>
          <w:tcPr>
            <w:tcW w:w="726" w:type="dxa"/>
            <w:vAlign w:val="center"/>
          </w:tcPr>
          <w:p w14:paraId="3CC1531B">
            <w:pPr>
              <w:widowControl/>
              <w:jc w:val="center"/>
              <w:rPr>
                <w:rFonts w:hint="eastAsia" w:ascii="宋体" w:hAnsi="宋体" w:cs="宋体"/>
                <w:color w:val="000000"/>
                <w:kern w:val="0"/>
                <w:sz w:val="24"/>
              </w:rPr>
            </w:pPr>
            <w:r>
              <w:rPr>
                <w:rFonts w:hint="eastAsia" w:ascii="宋体" w:hAnsi="宋体" w:cs="宋体"/>
                <w:color w:val="000000"/>
                <w:kern w:val="0"/>
                <w:sz w:val="24"/>
              </w:rPr>
              <w:t>4</w:t>
            </w:r>
          </w:p>
        </w:tc>
      </w:tr>
      <w:tr w14:paraId="06F68D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926" w:type="dxa"/>
            <w:vAlign w:val="center"/>
          </w:tcPr>
          <w:p w14:paraId="49DCF611">
            <w:pPr>
              <w:widowControl/>
              <w:jc w:val="center"/>
              <w:rPr>
                <w:rFonts w:hint="eastAsia" w:ascii="宋体" w:hAnsi="宋体" w:cs="宋体"/>
                <w:color w:val="000000"/>
                <w:kern w:val="0"/>
                <w:sz w:val="24"/>
              </w:rPr>
            </w:pPr>
            <w:r>
              <w:rPr>
                <w:rFonts w:hint="eastAsia" w:ascii="宋体" w:hAnsi="宋体" w:cs="宋体"/>
                <w:color w:val="000000"/>
                <w:kern w:val="0"/>
                <w:sz w:val="24"/>
              </w:rPr>
              <w:t>3</w:t>
            </w:r>
          </w:p>
        </w:tc>
        <w:tc>
          <w:tcPr>
            <w:tcW w:w="2836" w:type="dxa"/>
            <w:vAlign w:val="center"/>
          </w:tcPr>
          <w:p w14:paraId="3CD8CF1B">
            <w:pPr>
              <w:widowControl/>
              <w:jc w:val="center"/>
              <w:rPr>
                <w:rFonts w:hint="eastAsia" w:ascii="宋体" w:hAnsi="宋体" w:cs="宋体"/>
                <w:color w:val="000000"/>
                <w:kern w:val="0"/>
                <w:sz w:val="24"/>
              </w:rPr>
            </w:pPr>
            <w:r>
              <w:rPr>
                <w:rFonts w:hint="eastAsia" w:ascii="宋体" w:hAnsi="宋体" w:cs="宋体"/>
                <w:color w:val="000000"/>
                <w:kern w:val="0"/>
                <w:sz w:val="24"/>
              </w:rPr>
              <w:t>防火墙</w:t>
            </w:r>
          </w:p>
        </w:tc>
        <w:tc>
          <w:tcPr>
            <w:tcW w:w="3969" w:type="dxa"/>
            <w:vAlign w:val="center"/>
          </w:tcPr>
          <w:p w14:paraId="648E0BFC">
            <w:pPr>
              <w:widowControl/>
              <w:jc w:val="center"/>
              <w:rPr>
                <w:rFonts w:hint="eastAsia" w:ascii="宋体" w:hAnsi="宋体" w:cs="宋体"/>
                <w:color w:val="000000"/>
                <w:kern w:val="0"/>
                <w:sz w:val="24"/>
              </w:rPr>
            </w:pPr>
            <w:r>
              <w:rPr>
                <w:rFonts w:hint="eastAsia" w:ascii="宋体" w:hAnsi="宋体" w:cs="宋体"/>
                <w:color w:val="000000"/>
                <w:kern w:val="0"/>
                <w:sz w:val="24"/>
              </w:rPr>
              <w:t>山石/SG-6000-P935/中国</w:t>
            </w:r>
          </w:p>
        </w:tc>
        <w:tc>
          <w:tcPr>
            <w:tcW w:w="726" w:type="dxa"/>
            <w:vAlign w:val="center"/>
          </w:tcPr>
          <w:p w14:paraId="386E9FD5">
            <w:pPr>
              <w:widowControl/>
              <w:jc w:val="center"/>
              <w:rPr>
                <w:rFonts w:hint="eastAsia" w:ascii="宋体" w:hAnsi="宋体" w:cs="宋体"/>
                <w:color w:val="000000"/>
                <w:kern w:val="0"/>
                <w:sz w:val="24"/>
              </w:rPr>
            </w:pPr>
            <w:r>
              <w:rPr>
                <w:rFonts w:hint="eastAsia" w:ascii="宋体" w:hAnsi="宋体" w:cs="宋体"/>
                <w:color w:val="000000"/>
                <w:kern w:val="0"/>
                <w:sz w:val="24"/>
              </w:rPr>
              <w:t>6</w:t>
            </w:r>
          </w:p>
        </w:tc>
      </w:tr>
      <w:tr w14:paraId="4EDD24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926" w:type="dxa"/>
            <w:vAlign w:val="center"/>
          </w:tcPr>
          <w:p w14:paraId="3BA67493">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2836" w:type="dxa"/>
            <w:vAlign w:val="center"/>
          </w:tcPr>
          <w:p w14:paraId="7BD30ADC">
            <w:pPr>
              <w:widowControl/>
              <w:jc w:val="center"/>
              <w:rPr>
                <w:rFonts w:hint="eastAsia" w:ascii="宋体" w:hAnsi="宋体" w:cs="宋体"/>
                <w:color w:val="000000"/>
                <w:kern w:val="0"/>
                <w:sz w:val="24"/>
              </w:rPr>
            </w:pPr>
            <w:r>
              <w:rPr>
                <w:rFonts w:hint="eastAsia" w:ascii="宋体" w:hAnsi="宋体" w:cs="宋体"/>
                <w:color w:val="000000"/>
                <w:kern w:val="0"/>
                <w:sz w:val="24"/>
              </w:rPr>
              <w:t>入侵防御设备</w:t>
            </w:r>
          </w:p>
        </w:tc>
        <w:tc>
          <w:tcPr>
            <w:tcW w:w="3969" w:type="dxa"/>
            <w:vAlign w:val="center"/>
          </w:tcPr>
          <w:p w14:paraId="6A54837E">
            <w:pPr>
              <w:widowControl/>
              <w:jc w:val="center"/>
              <w:rPr>
                <w:rFonts w:hint="eastAsia" w:ascii="宋体" w:hAnsi="宋体" w:cs="宋体"/>
                <w:color w:val="000000"/>
                <w:kern w:val="0"/>
                <w:sz w:val="24"/>
              </w:rPr>
            </w:pPr>
            <w:r>
              <w:rPr>
                <w:rFonts w:hint="eastAsia" w:ascii="宋体" w:hAnsi="宋体" w:cs="宋体"/>
                <w:color w:val="000000"/>
                <w:kern w:val="0"/>
                <w:sz w:val="24"/>
              </w:rPr>
              <w:t>山石/SG-6000-D860/中国</w:t>
            </w:r>
          </w:p>
        </w:tc>
        <w:tc>
          <w:tcPr>
            <w:tcW w:w="726" w:type="dxa"/>
            <w:vAlign w:val="center"/>
          </w:tcPr>
          <w:p w14:paraId="4745766E">
            <w:pPr>
              <w:widowControl/>
              <w:jc w:val="center"/>
              <w:rPr>
                <w:rFonts w:hint="eastAsia" w:ascii="宋体" w:hAnsi="宋体" w:cs="宋体"/>
                <w:color w:val="000000"/>
                <w:kern w:val="0"/>
                <w:sz w:val="24"/>
              </w:rPr>
            </w:pPr>
            <w:r>
              <w:rPr>
                <w:rFonts w:hint="eastAsia" w:ascii="宋体" w:hAnsi="宋体" w:cs="宋体"/>
                <w:color w:val="000000"/>
                <w:kern w:val="0"/>
                <w:sz w:val="24"/>
              </w:rPr>
              <w:t>4</w:t>
            </w:r>
          </w:p>
        </w:tc>
      </w:tr>
      <w:tr w14:paraId="4D0A53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926" w:type="dxa"/>
            <w:vAlign w:val="center"/>
          </w:tcPr>
          <w:p w14:paraId="14DD0AE2">
            <w:pPr>
              <w:widowControl/>
              <w:jc w:val="center"/>
              <w:rPr>
                <w:rFonts w:hint="eastAsia" w:ascii="宋体" w:hAnsi="宋体" w:cs="宋体"/>
                <w:color w:val="000000"/>
                <w:kern w:val="0"/>
                <w:sz w:val="24"/>
              </w:rPr>
            </w:pPr>
            <w:r>
              <w:rPr>
                <w:rFonts w:hint="eastAsia" w:ascii="宋体" w:hAnsi="宋体" w:cs="宋体"/>
                <w:color w:val="000000"/>
                <w:kern w:val="0"/>
                <w:sz w:val="24"/>
              </w:rPr>
              <w:t>5</w:t>
            </w:r>
          </w:p>
        </w:tc>
        <w:tc>
          <w:tcPr>
            <w:tcW w:w="2836" w:type="dxa"/>
            <w:vAlign w:val="center"/>
          </w:tcPr>
          <w:p w14:paraId="7EF74196">
            <w:pPr>
              <w:widowControl/>
              <w:jc w:val="center"/>
              <w:rPr>
                <w:rFonts w:hint="eastAsia" w:ascii="宋体" w:hAnsi="宋体" w:cs="宋体"/>
                <w:color w:val="000000"/>
                <w:kern w:val="0"/>
                <w:sz w:val="24"/>
              </w:rPr>
            </w:pPr>
            <w:r>
              <w:rPr>
                <w:rFonts w:hint="eastAsia" w:ascii="宋体" w:hAnsi="宋体" w:cs="宋体"/>
                <w:color w:val="000000"/>
                <w:kern w:val="0"/>
                <w:sz w:val="24"/>
              </w:rPr>
              <w:t>防火墙</w:t>
            </w:r>
          </w:p>
        </w:tc>
        <w:tc>
          <w:tcPr>
            <w:tcW w:w="3969" w:type="dxa"/>
            <w:vAlign w:val="center"/>
          </w:tcPr>
          <w:p w14:paraId="6E9C0E40">
            <w:pPr>
              <w:widowControl/>
              <w:jc w:val="center"/>
              <w:rPr>
                <w:rFonts w:hint="eastAsia" w:ascii="宋体" w:hAnsi="宋体" w:cs="宋体"/>
                <w:color w:val="000000"/>
                <w:kern w:val="0"/>
                <w:sz w:val="24"/>
              </w:rPr>
            </w:pPr>
            <w:r>
              <w:rPr>
                <w:rFonts w:hint="eastAsia" w:ascii="宋体" w:hAnsi="宋体" w:cs="宋体"/>
                <w:color w:val="000000"/>
                <w:kern w:val="0"/>
                <w:sz w:val="24"/>
              </w:rPr>
              <w:t>山石/SG-6000-E2300-AD/中国</w:t>
            </w:r>
          </w:p>
        </w:tc>
        <w:tc>
          <w:tcPr>
            <w:tcW w:w="726" w:type="dxa"/>
            <w:vAlign w:val="center"/>
          </w:tcPr>
          <w:p w14:paraId="73DBA9B4">
            <w:pPr>
              <w:widowControl/>
              <w:jc w:val="center"/>
              <w:rPr>
                <w:rFonts w:hint="eastAsia" w:ascii="宋体" w:hAnsi="宋体" w:cs="宋体"/>
                <w:color w:val="000000"/>
                <w:kern w:val="0"/>
                <w:sz w:val="24"/>
              </w:rPr>
            </w:pPr>
            <w:r>
              <w:rPr>
                <w:rFonts w:hint="eastAsia" w:ascii="宋体" w:hAnsi="宋体" w:cs="宋体"/>
                <w:color w:val="000000"/>
                <w:kern w:val="0"/>
                <w:sz w:val="24"/>
              </w:rPr>
              <w:t>2</w:t>
            </w:r>
          </w:p>
        </w:tc>
      </w:tr>
      <w:tr w14:paraId="4B72CB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926" w:type="dxa"/>
            <w:vAlign w:val="center"/>
          </w:tcPr>
          <w:p w14:paraId="202C925E">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2836" w:type="dxa"/>
            <w:vAlign w:val="center"/>
          </w:tcPr>
          <w:p w14:paraId="68F7DE7D">
            <w:pPr>
              <w:widowControl/>
              <w:jc w:val="center"/>
              <w:rPr>
                <w:rFonts w:hint="eastAsia" w:ascii="宋体" w:hAnsi="宋体" w:cs="宋体"/>
                <w:color w:val="000000"/>
                <w:kern w:val="0"/>
                <w:sz w:val="24"/>
              </w:rPr>
            </w:pPr>
            <w:r>
              <w:rPr>
                <w:rFonts w:hint="eastAsia" w:ascii="宋体" w:hAnsi="宋体" w:cs="宋体"/>
                <w:color w:val="000000"/>
                <w:kern w:val="0"/>
                <w:sz w:val="24"/>
              </w:rPr>
              <w:t>综合审计系统</w:t>
            </w:r>
          </w:p>
        </w:tc>
        <w:tc>
          <w:tcPr>
            <w:tcW w:w="3969" w:type="dxa"/>
            <w:vAlign w:val="center"/>
          </w:tcPr>
          <w:p w14:paraId="081F400C">
            <w:pPr>
              <w:widowControl/>
              <w:jc w:val="center"/>
              <w:rPr>
                <w:rFonts w:hint="eastAsia" w:ascii="宋体" w:hAnsi="宋体" w:cs="宋体"/>
                <w:color w:val="000000"/>
                <w:kern w:val="0"/>
                <w:sz w:val="24"/>
              </w:rPr>
            </w:pPr>
            <w:r>
              <w:rPr>
                <w:rFonts w:hint="eastAsia" w:ascii="宋体" w:hAnsi="宋体" w:cs="宋体"/>
                <w:color w:val="000000"/>
                <w:kern w:val="0"/>
                <w:sz w:val="24"/>
              </w:rPr>
              <w:t>思福迪/LogBase A1890/中国</w:t>
            </w:r>
          </w:p>
        </w:tc>
        <w:tc>
          <w:tcPr>
            <w:tcW w:w="726" w:type="dxa"/>
            <w:vAlign w:val="center"/>
          </w:tcPr>
          <w:p w14:paraId="31E8CFA5">
            <w:pPr>
              <w:widowControl/>
              <w:jc w:val="center"/>
              <w:rPr>
                <w:rFonts w:hint="eastAsia" w:ascii="宋体" w:hAnsi="宋体" w:cs="宋体"/>
                <w:color w:val="000000"/>
                <w:kern w:val="0"/>
                <w:sz w:val="24"/>
              </w:rPr>
            </w:pPr>
            <w:r>
              <w:rPr>
                <w:rFonts w:hint="eastAsia" w:ascii="宋体" w:hAnsi="宋体" w:cs="宋体"/>
                <w:color w:val="000000"/>
                <w:kern w:val="0"/>
                <w:sz w:val="24"/>
              </w:rPr>
              <w:t>2</w:t>
            </w:r>
          </w:p>
        </w:tc>
      </w:tr>
      <w:tr w14:paraId="4BB41B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926" w:type="dxa"/>
            <w:vAlign w:val="center"/>
          </w:tcPr>
          <w:p w14:paraId="0DE770D5">
            <w:pPr>
              <w:widowControl/>
              <w:jc w:val="center"/>
              <w:rPr>
                <w:rFonts w:hint="eastAsia" w:ascii="宋体" w:hAnsi="宋体" w:cs="宋体"/>
                <w:color w:val="000000"/>
                <w:kern w:val="0"/>
                <w:sz w:val="24"/>
              </w:rPr>
            </w:pPr>
            <w:r>
              <w:rPr>
                <w:rFonts w:hint="eastAsia" w:ascii="宋体" w:hAnsi="宋体" w:cs="宋体"/>
                <w:color w:val="000000"/>
                <w:kern w:val="0"/>
                <w:sz w:val="24"/>
              </w:rPr>
              <w:t>7</w:t>
            </w:r>
          </w:p>
        </w:tc>
        <w:tc>
          <w:tcPr>
            <w:tcW w:w="2836" w:type="dxa"/>
            <w:vAlign w:val="center"/>
          </w:tcPr>
          <w:p w14:paraId="02E04591">
            <w:pPr>
              <w:widowControl/>
              <w:jc w:val="center"/>
              <w:rPr>
                <w:rFonts w:hint="eastAsia" w:ascii="宋体" w:hAnsi="宋体" w:cs="宋体"/>
                <w:color w:val="000000"/>
                <w:kern w:val="0"/>
                <w:sz w:val="24"/>
              </w:rPr>
            </w:pPr>
            <w:r>
              <w:rPr>
                <w:rFonts w:hint="eastAsia" w:ascii="宋体" w:hAnsi="宋体" w:cs="宋体"/>
                <w:color w:val="000000"/>
                <w:kern w:val="0"/>
                <w:sz w:val="24"/>
              </w:rPr>
              <w:t>机柜</w:t>
            </w:r>
          </w:p>
        </w:tc>
        <w:tc>
          <w:tcPr>
            <w:tcW w:w="3969" w:type="dxa"/>
            <w:vAlign w:val="center"/>
          </w:tcPr>
          <w:p w14:paraId="70D98944">
            <w:pPr>
              <w:widowControl/>
              <w:jc w:val="center"/>
              <w:rPr>
                <w:rFonts w:hint="eastAsia" w:ascii="宋体" w:hAnsi="宋体" w:cs="宋体"/>
                <w:color w:val="000000"/>
                <w:kern w:val="0"/>
                <w:sz w:val="24"/>
              </w:rPr>
            </w:pPr>
            <w:r>
              <w:rPr>
                <w:rFonts w:hint="eastAsia" w:ascii="宋体" w:hAnsi="宋体" w:cs="宋体"/>
                <w:color w:val="000000"/>
                <w:kern w:val="0"/>
                <w:sz w:val="24"/>
              </w:rPr>
              <w:t>图腾/42U/中国</w:t>
            </w:r>
          </w:p>
        </w:tc>
        <w:tc>
          <w:tcPr>
            <w:tcW w:w="726" w:type="dxa"/>
            <w:vAlign w:val="center"/>
          </w:tcPr>
          <w:p w14:paraId="6473DB62">
            <w:pPr>
              <w:widowControl/>
              <w:jc w:val="center"/>
              <w:rPr>
                <w:rFonts w:hint="eastAsia" w:ascii="宋体" w:hAnsi="宋体" w:cs="宋体"/>
                <w:color w:val="000000"/>
                <w:kern w:val="0"/>
                <w:sz w:val="24"/>
              </w:rPr>
            </w:pPr>
            <w:r>
              <w:rPr>
                <w:rFonts w:hint="eastAsia" w:ascii="宋体" w:hAnsi="宋体" w:cs="宋体"/>
                <w:color w:val="000000"/>
                <w:kern w:val="0"/>
                <w:sz w:val="24"/>
              </w:rPr>
              <w:t>4</w:t>
            </w:r>
          </w:p>
        </w:tc>
      </w:tr>
      <w:tr w14:paraId="746B11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926" w:type="dxa"/>
            <w:vAlign w:val="center"/>
          </w:tcPr>
          <w:p w14:paraId="5798F308">
            <w:pPr>
              <w:widowControl/>
              <w:jc w:val="center"/>
              <w:rPr>
                <w:rFonts w:hint="eastAsia" w:ascii="宋体" w:hAnsi="宋体" w:cs="宋体"/>
                <w:color w:val="000000"/>
                <w:kern w:val="0"/>
                <w:sz w:val="24"/>
              </w:rPr>
            </w:pPr>
            <w:r>
              <w:rPr>
                <w:rFonts w:hint="eastAsia" w:ascii="宋体" w:hAnsi="宋体" w:cs="宋体"/>
                <w:color w:val="000000"/>
                <w:kern w:val="0"/>
                <w:sz w:val="24"/>
              </w:rPr>
              <w:t>8</w:t>
            </w:r>
          </w:p>
        </w:tc>
        <w:tc>
          <w:tcPr>
            <w:tcW w:w="2836" w:type="dxa"/>
            <w:vAlign w:val="center"/>
          </w:tcPr>
          <w:p w14:paraId="21B05DCA">
            <w:pPr>
              <w:widowControl/>
              <w:jc w:val="center"/>
              <w:rPr>
                <w:rFonts w:hint="eastAsia" w:ascii="宋体" w:hAnsi="宋体" w:cs="宋体"/>
                <w:color w:val="000000"/>
                <w:kern w:val="0"/>
                <w:sz w:val="24"/>
              </w:rPr>
            </w:pPr>
            <w:r>
              <w:rPr>
                <w:rFonts w:hint="eastAsia" w:ascii="宋体" w:hAnsi="宋体" w:cs="宋体"/>
                <w:color w:val="000000"/>
                <w:kern w:val="0"/>
                <w:sz w:val="24"/>
              </w:rPr>
              <w:t>UPS</w:t>
            </w:r>
          </w:p>
        </w:tc>
        <w:tc>
          <w:tcPr>
            <w:tcW w:w="3969" w:type="dxa"/>
            <w:vAlign w:val="center"/>
          </w:tcPr>
          <w:p w14:paraId="060AC6BC">
            <w:pPr>
              <w:widowControl/>
              <w:jc w:val="center"/>
              <w:rPr>
                <w:rFonts w:hint="eastAsia" w:ascii="宋体" w:hAnsi="宋体" w:cs="宋体"/>
                <w:color w:val="000000"/>
                <w:kern w:val="0"/>
                <w:sz w:val="24"/>
              </w:rPr>
            </w:pPr>
            <w:r>
              <w:rPr>
                <w:rFonts w:hint="eastAsia" w:ascii="宋体" w:hAnsi="宋体" w:cs="宋体"/>
                <w:color w:val="000000"/>
                <w:kern w:val="0"/>
                <w:sz w:val="24"/>
              </w:rPr>
              <w:t>先控/DPS-20KVA/中国</w:t>
            </w:r>
          </w:p>
        </w:tc>
        <w:tc>
          <w:tcPr>
            <w:tcW w:w="726" w:type="dxa"/>
            <w:vAlign w:val="center"/>
          </w:tcPr>
          <w:p w14:paraId="6676BE2F">
            <w:pPr>
              <w:widowControl/>
              <w:jc w:val="center"/>
              <w:rPr>
                <w:rFonts w:hint="eastAsia" w:ascii="宋体" w:hAnsi="宋体" w:cs="宋体"/>
                <w:color w:val="000000"/>
                <w:kern w:val="0"/>
                <w:sz w:val="24"/>
              </w:rPr>
            </w:pPr>
            <w:r>
              <w:rPr>
                <w:rFonts w:hint="eastAsia" w:ascii="宋体" w:hAnsi="宋体" w:cs="宋体"/>
                <w:color w:val="000000"/>
                <w:kern w:val="0"/>
                <w:sz w:val="24"/>
              </w:rPr>
              <w:t>2</w:t>
            </w:r>
          </w:p>
        </w:tc>
      </w:tr>
      <w:tr w14:paraId="66EC30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926" w:type="dxa"/>
            <w:vAlign w:val="center"/>
          </w:tcPr>
          <w:p w14:paraId="4A8B4214">
            <w:pPr>
              <w:widowControl/>
              <w:jc w:val="center"/>
              <w:rPr>
                <w:rFonts w:hint="eastAsia" w:ascii="宋体" w:hAnsi="宋体" w:cs="宋体"/>
                <w:color w:val="000000"/>
                <w:kern w:val="0"/>
                <w:sz w:val="24"/>
              </w:rPr>
            </w:pPr>
            <w:r>
              <w:rPr>
                <w:rFonts w:hint="eastAsia" w:ascii="宋体" w:hAnsi="宋体" w:cs="宋体"/>
                <w:color w:val="000000"/>
                <w:kern w:val="0"/>
                <w:sz w:val="24"/>
              </w:rPr>
              <w:t>9</w:t>
            </w:r>
          </w:p>
        </w:tc>
        <w:tc>
          <w:tcPr>
            <w:tcW w:w="2836" w:type="dxa"/>
            <w:vAlign w:val="center"/>
          </w:tcPr>
          <w:p w14:paraId="5B72C65E">
            <w:pPr>
              <w:widowControl/>
              <w:jc w:val="center"/>
              <w:rPr>
                <w:rFonts w:hint="eastAsia" w:ascii="宋体" w:hAnsi="宋体" w:cs="宋体"/>
                <w:color w:val="000000"/>
                <w:kern w:val="0"/>
                <w:sz w:val="24"/>
              </w:rPr>
            </w:pPr>
            <w:r>
              <w:rPr>
                <w:rFonts w:hint="eastAsia" w:ascii="宋体" w:hAnsi="宋体" w:cs="宋体"/>
                <w:color w:val="000000"/>
                <w:kern w:val="0"/>
                <w:sz w:val="24"/>
              </w:rPr>
              <w:t>ATS 配电</w:t>
            </w:r>
          </w:p>
        </w:tc>
        <w:tc>
          <w:tcPr>
            <w:tcW w:w="3969" w:type="dxa"/>
            <w:vAlign w:val="center"/>
          </w:tcPr>
          <w:p w14:paraId="5D30DA77">
            <w:pPr>
              <w:widowControl/>
              <w:jc w:val="center"/>
              <w:rPr>
                <w:rFonts w:hint="eastAsia" w:ascii="宋体" w:hAnsi="宋体" w:cs="宋体"/>
                <w:color w:val="000000"/>
                <w:kern w:val="0"/>
                <w:sz w:val="24"/>
              </w:rPr>
            </w:pPr>
            <w:r>
              <w:rPr>
                <w:rFonts w:hint="eastAsia" w:ascii="宋体" w:hAnsi="宋体" w:cs="宋体"/>
                <w:color w:val="000000"/>
                <w:kern w:val="0"/>
                <w:sz w:val="24"/>
              </w:rPr>
              <w:t>定制</w:t>
            </w:r>
          </w:p>
        </w:tc>
        <w:tc>
          <w:tcPr>
            <w:tcW w:w="726" w:type="dxa"/>
            <w:vAlign w:val="center"/>
          </w:tcPr>
          <w:p w14:paraId="3639EAA9">
            <w:pPr>
              <w:widowControl/>
              <w:jc w:val="center"/>
              <w:rPr>
                <w:rFonts w:hint="eastAsia" w:ascii="宋体" w:hAnsi="宋体" w:cs="宋体"/>
                <w:color w:val="000000"/>
                <w:kern w:val="0"/>
                <w:sz w:val="24"/>
              </w:rPr>
            </w:pPr>
            <w:r>
              <w:rPr>
                <w:rFonts w:hint="eastAsia" w:ascii="宋体" w:hAnsi="宋体" w:cs="宋体"/>
                <w:color w:val="000000"/>
                <w:kern w:val="0"/>
                <w:sz w:val="24"/>
              </w:rPr>
              <w:t>2</w:t>
            </w:r>
          </w:p>
        </w:tc>
      </w:tr>
      <w:tr w14:paraId="4F12B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926" w:type="dxa"/>
            <w:vAlign w:val="center"/>
          </w:tcPr>
          <w:p w14:paraId="0E138004">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2836" w:type="dxa"/>
            <w:vAlign w:val="center"/>
          </w:tcPr>
          <w:p w14:paraId="1D22CAE9">
            <w:pPr>
              <w:widowControl/>
              <w:jc w:val="center"/>
              <w:rPr>
                <w:rFonts w:hint="eastAsia" w:ascii="宋体" w:hAnsi="宋体" w:cs="宋体"/>
                <w:color w:val="000000"/>
                <w:kern w:val="0"/>
                <w:sz w:val="24"/>
              </w:rPr>
            </w:pPr>
            <w:r>
              <w:rPr>
                <w:rFonts w:hint="eastAsia" w:ascii="宋体" w:hAnsi="宋体" w:cs="宋体"/>
                <w:color w:val="000000"/>
                <w:kern w:val="0"/>
                <w:sz w:val="24"/>
              </w:rPr>
              <w:t>UPS 配电柜</w:t>
            </w:r>
          </w:p>
        </w:tc>
        <w:tc>
          <w:tcPr>
            <w:tcW w:w="3969" w:type="dxa"/>
            <w:vAlign w:val="center"/>
          </w:tcPr>
          <w:p w14:paraId="5ACEFBA0">
            <w:pPr>
              <w:widowControl/>
              <w:jc w:val="center"/>
              <w:rPr>
                <w:rFonts w:hint="eastAsia" w:ascii="宋体" w:hAnsi="宋体" w:cs="宋体"/>
                <w:color w:val="000000"/>
                <w:kern w:val="0"/>
                <w:sz w:val="24"/>
              </w:rPr>
            </w:pPr>
            <w:r>
              <w:rPr>
                <w:rFonts w:hint="eastAsia" w:ascii="宋体" w:hAnsi="宋体" w:cs="宋体"/>
                <w:color w:val="000000"/>
                <w:kern w:val="0"/>
                <w:sz w:val="24"/>
              </w:rPr>
              <w:t>定制</w:t>
            </w:r>
          </w:p>
        </w:tc>
        <w:tc>
          <w:tcPr>
            <w:tcW w:w="726" w:type="dxa"/>
            <w:vAlign w:val="center"/>
          </w:tcPr>
          <w:p w14:paraId="5197FEB1">
            <w:pPr>
              <w:widowControl/>
              <w:jc w:val="center"/>
              <w:rPr>
                <w:rFonts w:hint="eastAsia" w:ascii="宋体" w:hAnsi="宋体" w:cs="宋体"/>
                <w:color w:val="000000"/>
                <w:kern w:val="0"/>
                <w:sz w:val="24"/>
              </w:rPr>
            </w:pPr>
            <w:r>
              <w:rPr>
                <w:rFonts w:hint="eastAsia" w:ascii="宋体" w:hAnsi="宋体" w:cs="宋体"/>
                <w:color w:val="000000"/>
                <w:kern w:val="0"/>
                <w:sz w:val="24"/>
              </w:rPr>
              <w:t>2</w:t>
            </w:r>
          </w:p>
        </w:tc>
      </w:tr>
      <w:tr w14:paraId="1CCDF9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926" w:type="dxa"/>
            <w:vAlign w:val="center"/>
          </w:tcPr>
          <w:p w14:paraId="1BFAA80B">
            <w:pPr>
              <w:widowControl/>
              <w:jc w:val="center"/>
              <w:rPr>
                <w:rFonts w:hint="eastAsia" w:ascii="宋体" w:hAnsi="宋体" w:cs="宋体"/>
                <w:color w:val="000000"/>
                <w:kern w:val="0"/>
                <w:sz w:val="24"/>
              </w:rPr>
            </w:pPr>
            <w:r>
              <w:rPr>
                <w:rFonts w:hint="eastAsia" w:ascii="宋体" w:hAnsi="宋体" w:cs="宋体"/>
                <w:color w:val="000000"/>
                <w:kern w:val="0"/>
                <w:sz w:val="24"/>
              </w:rPr>
              <w:t>11</w:t>
            </w:r>
          </w:p>
        </w:tc>
        <w:tc>
          <w:tcPr>
            <w:tcW w:w="2836" w:type="dxa"/>
            <w:vAlign w:val="center"/>
          </w:tcPr>
          <w:p w14:paraId="7A0D66DD">
            <w:pPr>
              <w:widowControl/>
              <w:jc w:val="center"/>
              <w:rPr>
                <w:rFonts w:hint="eastAsia" w:ascii="宋体" w:hAnsi="宋体" w:cs="宋体"/>
                <w:color w:val="000000"/>
                <w:kern w:val="0"/>
                <w:sz w:val="24"/>
              </w:rPr>
            </w:pPr>
            <w:r>
              <w:rPr>
                <w:rFonts w:hint="eastAsia" w:ascii="宋体" w:hAnsi="宋体" w:cs="宋体"/>
                <w:color w:val="000000"/>
                <w:kern w:val="0"/>
                <w:sz w:val="24"/>
              </w:rPr>
              <w:t>空调</w:t>
            </w:r>
          </w:p>
        </w:tc>
        <w:tc>
          <w:tcPr>
            <w:tcW w:w="3969" w:type="dxa"/>
            <w:vAlign w:val="center"/>
          </w:tcPr>
          <w:p w14:paraId="6F302751">
            <w:pPr>
              <w:widowControl/>
              <w:jc w:val="center"/>
              <w:rPr>
                <w:rFonts w:hint="eastAsia" w:ascii="宋体" w:hAnsi="宋体" w:cs="宋体"/>
                <w:color w:val="000000"/>
                <w:kern w:val="0"/>
                <w:sz w:val="24"/>
              </w:rPr>
            </w:pPr>
            <w:r>
              <w:rPr>
                <w:rFonts w:hint="eastAsia" w:ascii="宋体" w:hAnsi="宋体" w:cs="宋体"/>
                <w:color w:val="000000"/>
                <w:kern w:val="0"/>
                <w:sz w:val="24"/>
              </w:rPr>
              <w:t>依米康/SDA121U/中国</w:t>
            </w:r>
          </w:p>
        </w:tc>
        <w:tc>
          <w:tcPr>
            <w:tcW w:w="726" w:type="dxa"/>
            <w:vAlign w:val="center"/>
          </w:tcPr>
          <w:p w14:paraId="25613228">
            <w:pPr>
              <w:widowControl/>
              <w:jc w:val="center"/>
              <w:rPr>
                <w:rFonts w:hint="eastAsia" w:ascii="宋体" w:hAnsi="宋体" w:cs="宋体"/>
                <w:color w:val="000000"/>
                <w:kern w:val="0"/>
                <w:sz w:val="24"/>
              </w:rPr>
            </w:pPr>
            <w:r>
              <w:rPr>
                <w:rFonts w:hint="eastAsia" w:ascii="宋体" w:hAnsi="宋体" w:cs="宋体"/>
                <w:color w:val="000000"/>
                <w:kern w:val="0"/>
                <w:sz w:val="24"/>
              </w:rPr>
              <w:t>4</w:t>
            </w:r>
          </w:p>
        </w:tc>
      </w:tr>
    </w:tbl>
    <w:p w14:paraId="24E4D7B4">
      <w:pPr>
        <w:spacing w:after="240" w:afterLines="100" w:line="360" w:lineRule="auto"/>
        <w:rPr>
          <w:rFonts w:hint="eastAsia" w:ascii="宋体" w:hAnsi="宋体" w:cs="宋体"/>
          <w:b/>
          <w:color w:val="000000"/>
          <w:sz w:val="24"/>
          <w:highlight w:val="yellow"/>
        </w:rPr>
      </w:pPr>
    </w:p>
    <w:p w14:paraId="7A33E995">
      <w:pPr>
        <w:spacing w:after="240" w:afterLines="100" w:line="360" w:lineRule="auto"/>
        <w:rPr>
          <w:rFonts w:hint="eastAsia" w:ascii="宋体" w:hAnsi="宋体" w:cs="宋体"/>
          <w:b/>
          <w:color w:val="000000"/>
          <w:sz w:val="24"/>
          <w:highlight w:val="yellow"/>
        </w:rPr>
      </w:pPr>
    </w:p>
    <w:p w14:paraId="3494E720">
      <w:pPr>
        <w:spacing w:after="240" w:afterLines="100" w:line="360" w:lineRule="auto"/>
        <w:outlineLvl w:val="2"/>
        <w:rPr>
          <w:rFonts w:hint="eastAsia" w:ascii="宋体" w:hAnsi="宋体" w:cs="宋体"/>
          <w:b/>
          <w:color w:val="000000"/>
          <w:sz w:val="24"/>
        </w:rPr>
      </w:pPr>
      <w:r>
        <w:rPr>
          <w:rFonts w:hint="eastAsia" w:ascii="宋体" w:hAnsi="宋体" w:cs="宋体"/>
          <w:b/>
          <w:color w:val="000000"/>
          <w:sz w:val="24"/>
        </w:rPr>
        <w:t>第五包：</w:t>
      </w:r>
    </w:p>
    <w:p w14:paraId="4F7382FA">
      <w:pPr>
        <w:widowControl/>
        <w:spacing w:line="360" w:lineRule="auto"/>
        <w:ind w:firstLine="480" w:firstLineChars="200"/>
        <w:jc w:val="left"/>
        <w:textAlignment w:val="baseline"/>
        <w:rPr>
          <w:rFonts w:hint="eastAsia" w:ascii="宋体" w:hAnsi="宋体" w:cs="宋体"/>
          <w:sz w:val="24"/>
        </w:rPr>
      </w:pPr>
      <w:r>
        <w:rPr>
          <w:rFonts w:hint="eastAsia" w:ascii="宋体" w:hAnsi="宋体" w:cs="宋体"/>
          <w:kern w:val="0"/>
          <w:sz w:val="24"/>
        </w:rPr>
        <w:t>北京市突发地质灾害监测预警信息系统，是北京市突发地质灾害监测预警系统（二期）工程项目的重点建设内容之一。监测预警信息系统</w:t>
      </w:r>
      <w:r>
        <w:rPr>
          <w:rFonts w:hint="eastAsia" w:ascii="宋体" w:hAnsi="宋体" w:cs="宋体"/>
          <w:sz w:val="24"/>
        </w:rPr>
        <w:t>部署于政务外网云，实现非涉密信息的存储、分析和共享，系统通过政务外网实现用户与政务云、灾防所数据中心间的数据传输，实现监测数据采集及存储、视频数据采集及分发、业务应用及预警分析等功能。</w:t>
      </w:r>
      <w:r>
        <w:rPr>
          <w:rFonts w:hint="eastAsia" w:ascii="宋体" w:hAnsi="宋体" w:cs="宋体"/>
          <w:kern w:val="0"/>
          <w:sz w:val="24"/>
        </w:rPr>
        <w:t>监测预警信息系统的备份系统</w:t>
      </w:r>
      <w:r>
        <w:rPr>
          <w:rFonts w:hint="eastAsia" w:ascii="宋体" w:hAnsi="宋体" w:cs="宋体"/>
          <w:sz w:val="24"/>
        </w:rPr>
        <w:t>部署于灾防所数据中心。</w:t>
      </w:r>
    </w:p>
    <w:p w14:paraId="1D748E2F">
      <w:pPr>
        <w:spacing w:line="360" w:lineRule="auto"/>
        <w:ind w:firstLine="480" w:firstLineChars="200"/>
        <w:rPr>
          <w:rFonts w:hint="eastAsia" w:ascii="宋体" w:hAnsi="宋体" w:cs="宋体"/>
          <w:sz w:val="24"/>
        </w:rPr>
      </w:pPr>
      <w:r>
        <w:rPr>
          <w:rFonts w:hint="eastAsia" w:ascii="宋体" w:hAnsi="宋体" w:cs="宋体"/>
          <w:sz w:val="24"/>
        </w:rPr>
        <w:t>监测预警信息系统的基本功能包括前端地质灾害隐患点监测设备监测数据的接收、处理、入库，前端视频设备数据的接入、浏览，实现对野外监测设备仪器的远程监控及监测数据的动态展示和管理，实现预警模型的建立并进行预警预报分析、预警信息发布，应急会商和基础数据的共享等。具体模块包括：监测设备管理子系统、数据管理子系统、动态监测子系统、预警分析子系统、预警预报子系统、应急管理子系统、三维展示子系统、系统管理子系统、监测预警APP应用子系统和辅助功能模块、Oracle数据库运行维护。</w:t>
      </w:r>
    </w:p>
    <w:p w14:paraId="1B7F60FE">
      <w:pPr>
        <w:spacing w:line="360" w:lineRule="auto"/>
        <w:ind w:firstLine="480" w:firstLineChars="200"/>
        <w:rPr>
          <w:rFonts w:hint="eastAsia" w:ascii="宋体" w:hAnsi="宋体" w:cs="宋体"/>
          <w:sz w:val="24"/>
        </w:rPr>
      </w:pPr>
      <w:r>
        <w:rPr>
          <w:rFonts w:hint="eastAsia" w:ascii="宋体" w:hAnsi="宋体" w:cs="宋体"/>
          <w:sz w:val="24"/>
        </w:rPr>
        <w:t>为做好监测预警信息系统的运行维护工作，确保地质灾害隐患点监测数据的正常接收、解译和入库，确保信息系统整体运行正常，确保信息系统各子系统运行稳定，招标人对监测预警信息系统的运维服务进行2026年的招标工作。</w:t>
      </w:r>
    </w:p>
    <w:p w14:paraId="00B8A16E">
      <w:pPr>
        <w:numPr>
          <w:ilvl w:val="0"/>
          <w:numId w:val="16"/>
        </w:numPr>
        <w:spacing w:line="360" w:lineRule="auto"/>
        <w:rPr>
          <w:rFonts w:hint="eastAsia" w:ascii="宋体" w:hAnsi="宋体" w:cs="宋体"/>
          <w:b/>
          <w:sz w:val="24"/>
        </w:rPr>
      </w:pPr>
      <w:r>
        <w:rPr>
          <w:rFonts w:hint="eastAsia" w:ascii="宋体" w:hAnsi="宋体" w:cs="宋体"/>
          <w:b/>
          <w:sz w:val="24"/>
        </w:rPr>
        <w:t>总体要求</w:t>
      </w:r>
    </w:p>
    <w:p w14:paraId="4615B26E">
      <w:pPr>
        <w:spacing w:line="360" w:lineRule="auto"/>
        <w:ind w:firstLine="566" w:firstLineChars="236"/>
        <w:rPr>
          <w:rFonts w:hint="eastAsia" w:ascii="宋体" w:hAnsi="宋体" w:cs="宋体"/>
          <w:sz w:val="24"/>
        </w:rPr>
      </w:pPr>
      <w:r>
        <w:rPr>
          <w:rFonts w:hint="eastAsia" w:ascii="宋体" w:hAnsi="宋体" w:cs="宋体"/>
          <w:sz w:val="24"/>
        </w:rPr>
        <w:t>投标时供应商应按本项目服务要求编制项目服务承诺书，在中标后20个工作日内提交可行的项目《实施组织方案》并通过招标方组织的审查后方可实施。</w:t>
      </w:r>
    </w:p>
    <w:p w14:paraId="496B0C04">
      <w:pPr>
        <w:spacing w:line="360" w:lineRule="auto"/>
        <w:rPr>
          <w:rFonts w:hint="eastAsia" w:ascii="宋体" w:hAnsi="宋体" w:cs="宋体"/>
          <w:b/>
          <w:sz w:val="24"/>
        </w:rPr>
      </w:pPr>
      <w:r>
        <w:rPr>
          <w:rFonts w:hint="eastAsia" w:ascii="宋体" w:hAnsi="宋体" w:cs="宋体"/>
          <w:b/>
          <w:sz w:val="24"/>
        </w:rPr>
        <w:t>二、信息系统运行维护总体要求：</w:t>
      </w:r>
    </w:p>
    <w:p w14:paraId="2AB8C388">
      <w:pPr>
        <w:numPr>
          <w:ilvl w:val="0"/>
          <w:numId w:val="17"/>
        </w:numPr>
        <w:spacing w:line="360" w:lineRule="auto"/>
        <w:rPr>
          <w:rFonts w:hint="eastAsia" w:ascii="宋体" w:hAnsi="宋体" w:cs="宋体"/>
          <w:sz w:val="24"/>
        </w:rPr>
      </w:pPr>
      <w:r>
        <w:rPr>
          <w:rFonts w:hint="eastAsia" w:ascii="宋体" w:hAnsi="宋体" w:cs="宋体"/>
          <w:sz w:val="24"/>
        </w:rPr>
        <w:t>负责</w:t>
      </w:r>
      <w:r>
        <w:rPr>
          <w:rFonts w:hint="eastAsia" w:ascii="宋体" w:hAnsi="宋体" w:cs="宋体"/>
          <w:color w:val="000000"/>
          <w:sz w:val="24"/>
        </w:rPr>
        <w:t>北京市突发地质灾害监测预警信息系统各子系统的运行维护；</w:t>
      </w:r>
    </w:p>
    <w:p w14:paraId="0D31F63A">
      <w:pPr>
        <w:numPr>
          <w:ilvl w:val="0"/>
          <w:numId w:val="17"/>
        </w:numPr>
        <w:spacing w:line="360" w:lineRule="auto"/>
        <w:rPr>
          <w:rFonts w:hint="eastAsia" w:ascii="宋体" w:hAnsi="宋体" w:cs="宋体"/>
          <w:sz w:val="24"/>
        </w:rPr>
      </w:pPr>
      <w:r>
        <w:rPr>
          <w:rFonts w:hint="eastAsia" w:ascii="宋体" w:hAnsi="宋体" w:cs="宋体"/>
          <w:sz w:val="24"/>
        </w:rPr>
        <w:t>保障信息系统整体运行正常，确保监测数据的接收、解译、入库稳定，确保信息系统的各子系统运行稳定，</w:t>
      </w:r>
      <w:r>
        <w:rPr>
          <w:rFonts w:hint="eastAsia" w:ascii="宋体" w:hAnsi="宋体" w:cs="宋体"/>
          <w:color w:val="000000"/>
          <w:sz w:val="24"/>
        </w:rPr>
        <w:t>提高系统运行效率；</w:t>
      </w:r>
      <w:r>
        <w:rPr>
          <w:rFonts w:hint="eastAsia" w:ascii="宋体" w:hAnsi="宋体" w:cs="宋体"/>
          <w:sz w:val="24"/>
        </w:rPr>
        <w:t xml:space="preserve"> </w:t>
      </w:r>
    </w:p>
    <w:p w14:paraId="50BFBCED">
      <w:pPr>
        <w:numPr>
          <w:ilvl w:val="0"/>
          <w:numId w:val="17"/>
        </w:numPr>
        <w:spacing w:line="360" w:lineRule="auto"/>
        <w:rPr>
          <w:rFonts w:hint="eastAsia" w:ascii="宋体" w:hAnsi="宋体" w:cs="宋体"/>
          <w:sz w:val="24"/>
        </w:rPr>
      </w:pPr>
      <w:r>
        <w:rPr>
          <w:rFonts w:hint="eastAsia" w:ascii="宋体" w:hAnsi="宋体" w:cs="宋体"/>
          <w:color w:val="000000"/>
          <w:sz w:val="24"/>
        </w:rPr>
        <w:t>信息系统的运维，包括对地质灾害隐患点监测数据的接收解译入库软件、监测设备管理子系统、数据管理子系统、动态监测子系统、预警分析子系统、预警预报子系统、应急管理子系统、三维展示子系统、视频监控子系统、APP应用子系统等进行运维；</w:t>
      </w:r>
    </w:p>
    <w:p w14:paraId="66BFB03B">
      <w:pPr>
        <w:numPr>
          <w:ilvl w:val="0"/>
          <w:numId w:val="17"/>
        </w:numPr>
        <w:spacing w:line="360" w:lineRule="auto"/>
        <w:rPr>
          <w:rFonts w:hint="eastAsia" w:ascii="宋体" w:hAnsi="宋体" w:cs="宋体"/>
          <w:sz w:val="24"/>
        </w:rPr>
      </w:pPr>
      <w:r>
        <w:rPr>
          <w:rFonts w:hint="eastAsia" w:ascii="宋体" w:hAnsi="宋体" w:cs="宋体"/>
          <w:color w:val="000000"/>
          <w:sz w:val="24"/>
        </w:rPr>
        <w:t>信息系统的基本运维工作，是对系统各子系统的运行状态进行例行的全面检查，对系统的关键功能进行例行测试；运维团队需及时全面掌握信息系统的运行状态，并保障系统以最优的状态运行；例行检查中，若发现系统某子系统、或某模块、或监测数据接收软件等运行不正常或出现故障，运维团队需立即排查、诊断、并及时处理，以使系统尽快恢复正常运行状态；基本运维的系统检查工作和系统关键功能的测试工作，需严格按要求实行定期检查（汛期每日至少进行1次，非汛期每周不少于2次），并记录检查结果（填写“</w:t>
      </w:r>
      <w:r>
        <w:rPr>
          <w:rFonts w:hint="eastAsia" w:ascii="宋体" w:hAnsi="宋体" w:cs="宋体"/>
          <w:bCs/>
          <w:snapToGrid w:val="0"/>
          <w:kern w:val="0"/>
          <w:sz w:val="24"/>
        </w:rPr>
        <w:t>信息系统子系统运维检查表</w:t>
      </w:r>
      <w:r>
        <w:rPr>
          <w:rFonts w:hint="eastAsia" w:ascii="宋体" w:hAnsi="宋体" w:cs="宋体"/>
          <w:color w:val="000000"/>
          <w:sz w:val="24"/>
        </w:rPr>
        <w:t>”）；若检查中发现系统故障或异常，需记录故障或异常的发生或发现时间、系统维护和问题解决的过程（填写“信息系统故障处理单”）；汛期，如遇大雨天气、极端天气，或灾防所认为需重点值守的时段，运维团队需安排运维人员24小时值班。同时，信息系统的运维，需按要求和系统运行实际情况，对系统现有部分模块和子系统等进行必要的调整、配置和开发（填写“信息系统优化记录单”），以提高系统稳定性及运行效率；</w:t>
      </w:r>
      <w:r>
        <w:rPr>
          <w:rFonts w:hint="eastAsia" w:ascii="宋体" w:hAnsi="宋体" w:cs="宋体"/>
          <w:sz w:val="24"/>
        </w:rPr>
        <w:t>如系统模块或系统数据库表、结构等调整较大或预计工作量较大，需编制概要设计文档，经市灾防所技术人员确认后方可实施。</w:t>
      </w:r>
    </w:p>
    <w:p w14:paraId="62D8A2FF">
      <w:pPr>
        <w:numPr>
          <w:ilvl w:val="0"/>
          <w:numId w:val="17"/>
        </w:numPr>
        <w:spacing w:line="360" w:lineRule="auto"/>
        <w:rPr>
          <w:rFonts w:hint="eastAsia" w:ascii="宋体" w:hAnsi="宋体" w:cs="宋体"/>
          <w:sz w:val="24"/>
        </w:rPr>
      </w:pPr>
      <w:bookmarkStart w:id="831" w:name="OLE_LINK15"/>
      <w:r>
        <w:rPr>
          <w:rFonts w:hint="eastAsia" w:ascii="宋体" w:hAnsi="宋体" w:cs="宋体"/>
          <w:sz w:val="24"/>
        </w:rPr>
        <w:t>Oracle数据库运行维护</w:t>
      </w:r>
      <w:bookmarkEnd w:id="831"/>
      <w:r>
        <w:rPr>
          <w:rFonts w:hint="eastAsia" w:ascii="宋体" w:hAnsi="宋体" w:cs="宋体"/>
          <w:sz w:val="24"/>
        </w:rPr>
        <w:t>，保障野外监测设备数据接收及及时入库，完成日常数据库</w:t>
      </w:r>
    </w:p>
    <w:p w14:paraId="2BF1E921">
      <w:pPr>
        <w:spacing w:line="360" w:lineRule="auto"/>
        <w:rPr>
          <w:rFonts w:hint="eastAsia" w:ascii="宋体" w:hAnsi="宋体" w:cs="宋体"/>
          <w:sz w:val="24"/>
        </w:rPr>
      </w:pPr>
      <w:r>
        <w:rPr>
          <w:rFonts w:hint="eastAsia" w:ascii="宋体" w:hAnsi="宋体" w:cs="宋体"/>
          <w:sz w:val="24"/>
        </w:rPr>
        <w:t>检查和运维。</w:t>
      </w:r>
    </w:p>
    <w:p w14:paraId="7A895E51">
      <w:pPr>
        <w:widowControl/>
        <w:autoSpaceDE w:val="0"/>
        <w:autoSpaceDN w:val="0"/>
        <w:spacing w:line="360" w:lineRule="auto"/>
        <w:rPr>
          <w:rFonts w:hint="eastAsia" w:ascii="宋体" w:hAnsi="宋体" w:cs="宋体"/>
          <w:b/>
          <w:kern w:val="0"/>
          <w:sz w:val="24"/>
        </w:rPr>
      </w:pPr>
      <w:r>
        <w:rPr>
          <w:rFonts w:hint="eastAsia" w:ascii="宋体" w:hAnsi="宋体" w:cs="宋体"/>
          <w:b/>
          <w:kern w:val="0"/>
          <w:sz w:val="24"/>
        </w:rPr>
        <w:t>三、运维要求</w:t>
      </w:r>
      <w:bookmarkStart w:id="832" w:name="_Hlk99006231"/>
      <w:bookmarkStart w:id="833" w:name="_Hlk99006258"/>
      <w:bookmarkStart w:id="834" w:name="_Hlk99011943"/>
    </w:p>
    <w:p w14:paraId="02F446A3">
      <w:pPr>
        <w:widowControl/>
        <w:autoSpaceDE w:val="0"/>
        <w:autoSpaceDN w:val="0"/>
        <w:spacing w:line="360" w:lineRule="auto"/>
        <w:ind w:firstLine="482" w:firstLineChars="200"/>
        <w:rPr>
          <w:rFonts w:hint="eastAsia" w:ascii="宋体" w:hAnsi="宋体" w:cs="宋体"/>
          <w:b/>
          <w:kern w:val="0"/>
          <w:sz w:val="24"/>
        </w:rPr>
      </w:pPr>
      <w:r>
        <w:rPr>
          <w:rFonts w:hint="eastAsia" w:ascii="宋体" w:hAnsi="宋体" w:cs="宋体"/>
          <w:b/>
          <w:kern w:val="0"/>
          <w:sz w:val="24"/>
        </w:rPr>
        <w:t>1、监测设备管理子系统运维：</w:t>
      </w:r>
    </w:p>
    <w:p w14:paraId="70467C68">
      <w:pPr>
        <w:widowControl/>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1）监测数据接收软件运维：数据接收软件的运行是否正常，关系到监测数据能否接收，能否解译、能否入库的关键。如果检查发现数据接收软件运行不正常，需马上查找问题原因，并及时进行问题处理。根据检查结果，填写“监测数据接收（解译、入库）软件检查表”。</w:t>
      </w:r>
    </w:p>
    <w:p w14:paraId="5B1F8D87">
      <w:pPr>
        <w:widowControl/>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2）监测设备维护维修管理运维：信息系统可以检测监测设备是否正常传输数据，并对传回的监测数据是否异常可做初步判断，结合人工诊断，可判断监测设备是否故障。对于出现故障的设备（包括人工上报的故障），要求及时提交维护维修申请；要求在每年的汛前和汛后，配合相关部门下达针对所有监测设备的维护单。</w:t>
      </w:r>
    </w:p>
    <w:p w14:paraId="64856C9A">
      <w:pPr>
        <w:widowControl/>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（3）监测设备参数配置模块运维： 对于需更新或新增参数的监测设备，需按要求及时在系统中进行参数配置，并检查配置结果。</w:t>
      </w:r>
    </w:p>
    <w:p w14:paraId="6DA433BF">
      <w:pPr>
        <w:widowControl/>
        <w:autoSpaceDE w:val="0"/>
        <w:autoSpaceDN w:val="0"/>
        <w:spacing w:line="360" w:lineRule="auto"/>
        <w:ind w:firstLine="482" w:firstLineChars="200"/>
        <w:rPr>
          <w:rFonts w:hint="eastAsia" w:ascii="宋体" w:hAnsi="宋体" w:cs="宋体"/>
          <w:b/>
          <w:kern w:val="0"/>
          <w:sz w:val="24"/>
        </w:rPr>
      </w:pPr>
      <w:r>
        <w:rPr>
          <w:rFonts w:hint="eastAsia" w:ascii="宋体" w:hAnsi="宋体" w:cs="宋体"/>
          <w:b/>
          <w:kern w:val="0"/>
          <w:sz w:val="24"/>
        </w:rPr>
        <w:t>2、数据管理子系统运维</w:t>
      </w:r>
    </w:p>
    <w:p w14:paraId="4F62247E">
      <w:pPr>
        <w:spacing w:line="360" w:lineRule="auto"/>
        <w:ind w:firstLine="638" w:firstLineChars="266"/>
        <w:rPr>
          <w:rFonts w:hint="eastAsia" w:ascii="宋体" w:hAnsi="宋体" w:cs="宋体"/>
          <w:sz w:val="24"/>
        </w:rPr>
      </w:pPr>
      <w:r>
        <w:rPr>
          <w:rFonts w:hint="eastAsia" w:ascii="宋体" w:hAnsi="宋体" w:cs="宋体"/>
          <w:sz w:val="24"/>
        </w:rPr>
        <w:t>（1）系统空间数据和属性数据维护管理：对于系统接入的监测设备和系统管理的地质灾害隐患点、监控点等的空间数据和属性数据，需进行及时的维护管理，包括新增、更新、重新发布等，并填写运维记录。</w:t>
      </w:r>
    </w:p>
    <w:p w14:paraId="031EC43A">
      <w:pPr>
        <w:spacing w:line="360" w:lineRule="auto"/>
        <w:ind w:firstLine="638" w:firstLineChars="266"/>
        <w:rPr>
          <w:rFonts w:hint="eastAsia" w:ascii="宋体" w:hAnsi="宋体" w:cs="宋体"/>
          <w:sz w:val="24"/>
        </w:rPr>
      </w:pPr>
      <w:r>
        <w:rPr>
          <w:rFonts w:hint="eastAsia" w:ascii="宋体" w:hAnsi="宋体" w:cs="宋体"/>
          <w:sz w:val="24"/>
        </w:rPr>
        <w:t>（2）监测数据定期迁移、备份：定期检查系统数据库，定期对系统数据库进行冷备份，备份数据需专门存放并文档说明。定期检查系统数据库热备份情况。</w:t>
      </w:r>
    </w:p>
    <w:p w14:paraId="4E5A9F5D">
      <w:pPr>
        <w:spacing w:line="360" w:lineRule="auto"/>
        <w:ind w:firstLine="638" w:firstLineChars="266"/>
        <w:rPr>
          <w:rFonts w:hint="eastAsia" w:ascii="宋体" w:hAnsi="宋体" w:cs="宋体"/>
          <w:sz w:val="24"/>
        </w:rPr>
      </w:pPr>
      <w:r>
        <w:rPr>
          <w:rFonts w:hint="eastAsia" w:ascii="宋体" w:hAnsi="宋体" w:cs="宋体"/>
          <w:sz w:val="24"/>
        </w:rPr>
        <w:t>（3）数据质量监测及分析运维:每季度末对监测数据的质量进行分析小结，针对不同厂商的监测设备进行评价；每个运维年度，对不同的监测设备和监测数据的质量进行总体分析和评价。</w:t>
      </w:r>
    </w:p>
    <w:p w14:paraId="05A098C5">
      <w:pPr>
        <w:spacing w:line="360" w:lineRule="auto"/>
        <w:ind w:firstLine="638" w:firstLineChars="266"/>
        <w:rPr>
          <w:rFonts w:hint="eastAsia" w:ascii="宋体" w:hAnsi="宋体" w:cs="宋体"/>
          <w:sz w:val="24"/>
        </w:rPr>
      </w:pPr>
      <w:r>
        <w:rPr>
          <w:rFonts w:hint="eastAsia" w:ascii="宋体" w:hAnsi="宋体" w:cs="宋体"/>
          <w:sz w:val="24"/>
        </w:rPr>
        <w:t>（4）系统功能配置及数据共享运维:按照要求，对系统需要进行必要的配置调整，包括数据库存储策略的调整、数据共享策略调整、视频分享策略调整、系统帐号的调整等，并检查新配置后的系统运行情况。</w:t>
      </w:r>
    </w:p>
    <w:p w14:paraId="7D1169D8">
      <w:pPr>
        <w:widowControl/>
        <w:autoSpaceDE w:val="0"/>
        <w:autoSpaceDN w:val="0"/>
        <w:spacing w:line="360" w:lineRule="auto"/>
        <w:ind w:firstLine="482" w:firstLineChars="200"/>
        <w:rPr>
          <w:rFonts w:hint="eastAsia" w:ascii="宋体" w:hAnsi="宋体" w:cs="宋体"/>
          <w:b/>
          <w:kern w:val="0"/>
          <w:sz w:val="24"/>
        </w:rPr>
      </w:pPr>
      <w:r>
        <w:rPr>
          <w:rFonts w:hint="eastAsia" w:ascii="宋体" w:hAnsi="宋体" w:cs="宋体"/>
          <w:b/>
          <w:kern w:val="0"/>
          <w:sz w:val="24"/>
        </w:rPr>
        <w:t>3、动态监测子系统运维</w:t>
      </w:r>
    </w:p>
    <w:p w14:paraId="20169116">
      <w:pPr>
        <w:spacing w:line="360" w:lineRule="auto"/>
        <w:ind w:firstLine="638" w:firstLineChars="266"/>
        <w:rPr>
          <w:rFonts w:hint="eastAsia" w:ascii="宋体" w:hAnsi="宋体" w:cs="宋体"/>
          <w:sz w:val="24"/>
        </w:rPr>
      </w:pPr>
      <w:r>
        <w:rPr>
          <w:rFonts w:hint="eastAsia" w:ascii="宋体" w:hAnsi="宋体" w:cs="宋体"/>
          <w:sz w:val="24"/>
        </w:rPr>
        <w:t xml:space="preserve">（1）监测数据统计及分析：根据防汛、防灾要求，不定期对监测数据进行统计与分析； </w:t>
      </w:r>
    </w:p>
    <w:p w14:paraId="1CC8B829">
      <w:pPr>
        <w:spacing w:line="360" w:lineRule="auto"/>
        <w:ind w:firstLine="638" w:firstLineChars="266"/>
        <w:rPr>
          <w:rFonts w:hint="eastAsia" w:ascii="宋体" w:hAnsi="宋体" w:cs="宋体"/>
          <w:sz w:val="24"/>
        </w:rPr>
      </w:pPr>
      <w:r>
        <w:rPr>
          <w:rFonts w:hint="eastAsia" w:ascii="宋体" w:hAnsi="宋体" w:cs="宋体"/>
          <w:sz w:val="24"/>
        </w:rPr>
        <w:t>（2）监测设备故障处置运维：按要求及需要，及时进行设备维护维修人员角色的分配和配置，统计、反馈故障设备维修完成情况。</w:t>
      </w:r>
    </w:p>
    <w:p w14:paraId="5B4DB517">
      <w:pPr>
        <w:widowControl/>
        <w:autoSpaceDE w:val="0"/>
        <w:autoSpaceDN w:val="0"/>
        <w:spacing w:line="360" w:lineRule="auto"/>
        <w:ind w:firstLine="482" w:firstLineChars="200"/>
        <w:rPr>
          <w:rFonts w:hint="eastAsia" w:ascii="宋体" w:hAnsi="宋体" w:cs="宋体"/>
          <w:b/>
          <w:kern w:val="0"/>
          <w:sz w:val="24"/>
        </w:rPr>
      </w:pPr>
      <w:r>
        <w:rPr>
          <w:rFonts w:hint="eastAsia" w:ascii="宋体" w:hAnsi="宋体" w:cs="宋体"/>
          <w:b/>
          <w:kern w:val="0"/>
          <w:sz w:val="24"/>
        </w:rPr>
        <w:t>4、预警分析子系统运维</w:t>
      </w:r>
    </w:p>
    <w:p w14:paraId="4F291609">
      <w:pPr>
        <w:spacing w:line="360" w:lineRule="auto"/>
        <w:ind w:firstLine="480" w:firstLineChars="200"/>
        <w:rPr>
          <w:rFonts w:hint="eastAsia" w:ascii="宋体" w:hAnsi="宋体" w:cs="宋体"/>
          <w:sz w:val="24"/>
        </w:rPr>
      </w:pPr>
      <w:r>
        <w:rPr>
          <w:rFonts w:hint="eastAsia" w:ascii="宋体" w:hAnsi="宋体" w:cs="宋体"/>
          <w:sz w:val="24"/>
        </w:rPr>
        <w:t>（1）前端专业监测数据分析管理：定期检查监测数据分析模块运行情况，保障分析模块运行正常。汛期，每日至少检查一次；非汛期，每个工作日检查一次。如果运行不正常，要及时解除故障。</w:t>
      </w:r>
    </w:p>
    <w:p w14:paraId="763F3993">
      <w:pPr>
        <w:spacing w:line="360" w:lineRule="auto"/>
        <w:ind w:firstLine="480" w:firstLineChars="200"/>
        <w:rPr>
          <w:rFonts w:hint="eastAsia" w:ascii="宋体" w:hAnsi="宋体" w:cs="宋体"/>
          <w:sz w:val="24"/>
        </w:rPr>
      </w:pPr>
      <w:r>
        <w:rPr>
          <w:rFonts w:hint="eastAsia" w:ascii="宋体" w:hAnsi="宋体" w:cs="宋体"/>
          <w:sz w:val="24"/>
        </w:rPr>
        <w:t>（2）气象数据分析管理：定期检查气象数据分析模块运行情况，保障分析模块运行正常。汛期，每日至少检查一次；非汛期，每个工作日检查一次。如果运行不正常，要及时解除故障。</w:t>
      </w:r>
    </w:p>
    <w:p w14:paraId="7290A23A">
      <w:pPr>
        <w:spacing w:line="360" w:lineRule="auto"/>
        <w:ind w:firstLine="480" w:firstLineChars="200"/>
        <w:rPr>
          <w:rFonts w:hint="eastAsia" w:ascii="宋体" w:hAnsi="宋体" w:cs="宋体"/>
          <w:sz w:val="24"/>
        </w:rPr>
      </w:pPr>
      <w:r>
        <w:rPr>
          <w:rFonts w:hint="eastAsia" w:ascii="宋体" w:hAnsi="宋体" w:cs="宋体"/>
          <w:sz w:val="24"/>
        </w:rPr>
        <w:t>（3）预警区划分析管理：对预警区划分析模块的参数、指标进行调整、研究、测试。</w:t>
      </w:r>
    </w:p>
    <w:p w14:paraId="31AC8594">
      <w:pPr>
        <w:widowControl/>
        <w:autoSpaceDE w:val="0"/>
        <w:autoSpaceDN w:val="0"/>
        <w:spacing w:line="360" w:lineRule="auto"/>
        <w:ind w:firstLine="482" w:firstLineChars="200"/>
        <w:rPr>
          <w:rFonts w:hint="eastAsia" w:ascii="宋体" w:hAnsi="宋体" w:cs="宋体"/>
          <w:b/>
          <w:kern w:val="0"/>
          <w:sz w:val="24"/>
        </w:rPr>
      </w:pPr>
      <w:r>
        <w:rPr>
          <w:rFonts w:hint="eastAsia" w:ascii="宋体" w:hAnsi="宋体" w:cs="宋体"/>
          <w:b/>
          <w:kern w:val="0"/>
          <w:sz w:val="24"/>
        </w:rPr>
        <w:t>5、预警预报子系统运维</w:t>
      </w:r>
    </w:p>
    <w:p w14:paraId="428D5801">
      <w:pPr>
        <w:spacing w:line="360" w:lineRule="auto"/>
        <w:ind w:firstLine="480" w:firstLineChars="200"/>
        <w:rPr>
          <w:rFonts w:hint="eastAsia" w:ascii="宋体" w:hAnsi="宋体" w:cs="宋体"/>
          <w:sz w:val="24"/>
        </w:rPr>
      </w:pPr>
      <w:r>
        <w:rPr>
          <w:rFonts w:hint="eastAsia" w:ascii="宋体" w:hAnsi="宋体" w:cs="宋体"/>
          <w:sz w:val="24"/>
        </w:rPr>
        <w:t>（1）预警信息分析运维：预警模型的参数录入、条件录入及测试。</w:t>
      </w:r>
    </w:p>
    <w:p w14:paraId="43760504">
      <w:pPr>
        <w:widowControl/>
        <w:autoSpaceDE w:val="0"/>
        <w:autoSpaceDN w:val="0"/>
        <w:spacing w:line="360" w:lineRule="auto"/>
        <w:ind w:firstLine="556" w:firstLineChars="232"/>
        <w:rPr>
          <w:rFonts w:hint="eastAsia" w:ascii="宋体" w:hAnsi="宋体" w:cs="宋体"/>
          <w:kern w:val="0"/>
          <w:sz w:val="24"/>
        </w:rPr>
      </w:pPr>
      <w:r>
        <w:rPr>
          <w:rFonts w:hint="eastAsia" w:ascii="宋体" w:hAnsi="宋体" w:cs="宋体"/>
          <w:kern w:val="0"/>
          <w:sz w:val="24"/>
        </w:rPr>
        <w:t>（2）预警信息管理运维：预警模型的预警信息，需及时通知灾防所技术人员，并检查预警信息在多种设备多种途径预警发布情况。</w:t>
      </w:r>
    </w:p>
    <w:p w14:paraId="21AB3E73">
      <w:pPr>
        <w:widowControl/>
        <w:autoSpaceDE w:val="0"/>
        <w:autoSpaceDN w:val="0"/>
        <w:spacing w:line="360" w:lineRule="auto"/>
        <w:ind w:firstLine="482" w:firstLineChars="200"/>
        <w:rPr>
          <w:rFonts w:hint="eastAsia" w:ascii="宋体" w:hAnsi="宋体" w:cs="宋体"/>
          <w:b/>
          <w:kern w:val="0"/>
          <w:sz w:val="24"/>
        </w:rPr>
      </w:pPr>
      <w:r>
        <w:rPr>
          <w:rFonts w:hint="eastAsia" w:ascii="宋体" w:hAnsi="宋体" w:cs="宋体"/>
          <w:b/>
          <w:kern w:val="0"/>
          <w:sz w:val="24"/>
        </w:rPr>
        <w:t>6、应急管理子系统运维</w:t>
      </w:r>
    </w:p>
    <w:p w14:paraId="41878D01">
      <w:pPr>
        <w:spacing w:line="360" w:lineRule="auto"/>
        <w:ind w:firstLine="480" w:firstLineChars="200"/>
        <w:rPr>
          <w:rFonts w:hint="eastAsia" w:ascii="宋体" w:hAnsi="宋体" w:cs="宋体"/>
          <w:sz w:val="24"/>
        </w:rPr>
      </w:pPr>
      <w:r>
        <w:rPr>
          <w:rFonts w:hint="eastAsia" w:ascii="宋体" w:hAnsi="宋体" w:cs="宋体"/>
          <w:sz w:val="24"/>
        </w:rPr>
        <w:t>（1）应急体系数据运维：按要求，在系统中更新应急体系相关数据并发布；按要求，进行汛期值班数据的录入和统计。</w:t>
      </w:r>
    </w:p>
    <w:p w14:paraId="0839474B">
      <w:pPr>
        <w:spacing w:line="360" w:lineRule="auto"/>
        <w:ind w:firstLine="480" w:firstLineChars="200"/>
        <w:rPr>
          <w:rFonts w:hint="eastAsia" w:ascii="宋体" w:hAnsi="宋体" w:cs="宋体"/>
          <w:sz w:val="24"/>
        </w:rPr>
      </w:pPr>
      <w:r>
        <w:rPr>
          <w:rFonts w:hint="eastAsia" w:ascii="宋体" w:hAnsi="宋体" w:cs="宋体"/>
          <w:sz w:val="24"/>
        </w:rPr>
        <w:t>（2）汛期值班数据运维：按要求进行及时录入汛期值班数据（值班人员排班信息、值班记录）和值班信息统计。</w:t>
      </w:r>
    </w:p>
    <w:p w14:paraId="1870B940">
      <w:pPr>
        <w:spacing w:line="360" w:lineRule="auto"/>
        <w:ind w:firstLine="480" w:firstLineChars="200"/>
        <w:rPr>
          <w:rFonts w:hint="eastAsia" w:ascii="宋体" w:hAnsi="宋体" w:cs="宋体"/>
          <w:sz w:val="24"/>
        </w:rPr>
      </w:pPr>
      <w:r>
        <w:rPr>
          <w:rFonts w:hint="eastAsia" w:ascii="宋体" w:hAnsi="宋体" w:cs="宋体"/>
          <w:sz w:val="24"/>
        </w:rPr>
        <w:t>（3）应急调查险情数据运维：根据每年的应急调查情况，整理、录入应急调查数据。</w:t>
      </w:r>
    </w:p>
    <w:p w14:paraId="377F9E26">
      <w:pPr>
        <w:widowControl/>
        <w:autoSpaceDE w:val="0"/>
        <w:autoSpaceDN w:val="0"/>
        <w:spacing w:line="360" w:lineRule="auto"/>
        <w:ind w:firstLine="482" w:firstLineChars="200"/>
        <w:rPr>
          <w:rFonts w:hint="eastAsia" w:ascii="宋体" w:hAnsi="宋体" w:cs="宋体"/>
          <w:b/>
          <w:kern w:val="0"/>
          <w:sz w:val="24"/>
        </w:rPr>
      </w:pPr>
      <w:r>
        <w:rPr>
          <w:rFonts w:hint="eastAsia" w:ascii="宋体" w:hAnsi="宋体" w:cs="宋体"/>
          <w:b/>
          <w:kern w:val="0"/>
          <w:sz w:val="24"/>
        </w:rPr>
        <w:t>7、三维展示子系统运维</w:t>
      </w:r>
    </w:p>
    <w:p w14:paraId="35E2DFBD">
      <w:pPr>
        <w:spacing w:line="360" w:lineRule="auto"/>
        <w:ind w:firstLine="480" w:firstLineChars="200"/>
        <w:rPr>
          <w:rFonts w:hint="eastAsia" w:ascii="宋体" w:hAnsi="宋体" w:cs="宋体"/>
          <w:sz w:val="24"/>
        </w:rPr>
      </w:pPr>
      <w:r>
        <w:rPr>
          <w:rFonts w:hint="eastAsia" w:ascii="宋体" w:hAnsi="宋体" w:cs="宋体"/>
          <w:sz w:val="24"/>
        </w:rPr>
        <w:t>（1）三维空间数据管理运维：制做监测区域内监测设备、监测隐患点、重点区域沟域等的三维空间数据，并进行管理。</w:t>
      </w:r>
    </w:p>
    <w:p w14:paraId="5BAE1785">
      <w:pPr>
        <w:spacing w:line="360" w:lineRule="auto"/>
        <w:ind w:firstLine="480" w:firstLineChars="200"/>
        <w:rPr>
          <w:rFonts w:hint="eastAsia" w:ascii="宋体" w:hAnsi="宋体" w:cs="宋体"/>
          <w:sz w:val="24"/>
        </w:rPr>
      </w:pPr>
      <w:r>
        <w:rPr>
          <w:rFonts w:hint="eastAsia" w:ascii="宋体" w:hAnsi="宋体" w:cs="宋体"/>
          <w:sz w:val="24"/>
        </w:rPr>
        <w:t>（2）三维空间分析管理运维：按要求对三维数据进行空间分析，包括：测量、对象空间计算、剖面分析、坡度分析等。</w:t>
      </w:r>
    </w:p>
    <w:p w14:paraId="40C93C8E">
      <w:pPr>
        <w:widowControl/>
        <w:autoSpaceDE w:val="0"/>
        <w:autoSpaceDN w:val="0"/>
        <w:spacing w:line="360" w:lineRule="auto"/>
        <w:ind w:firstLine="482" w:firstLineChars="200"/>
        <w:rPr>
          <w:rFonts w:hint="eastAsia" w:ascii="宋体" w:hAnsi="宋体" w:cs="宋体"/>
          <w:b/>
          <w:kern w:val="0"/>
          <w:sz w:val="24"/>
        </w:rPr>
      </w:pPr>
      <w:r>
        <w:rPr>
          <w:rFonts w:hint="eastAsia" w:ascii="宋体" w:hAnsi="宋体" w:cs="宋体"/>
          <w:b/>
          <w:kern w:val="0"/>
          <w:sz w:val="24"/>
        </w:rPr>
        <w:t>8、APP应用子系统运维</w:t>
      </w:r>
    </w:p>
    <w:p w14:paraId="0324FB5E">
      <w:pPr>
        <w:widowControl/>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（1）北京地灾APP数据管理模块运维:保障地灾APP的正常运行，不定期检查APP运行状态，及时解决软件故障。</w:t>
      </w:r>
    </w:p>
    <w:p w14:paraId="3CCBE837">
      <w:pPr>
        <w:widowControl/>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（2）北京地灾APP设备维护维修管理模块运维:保障APP中设备维护维修模块的正常运行，保障申请审批流程运行及检测数据的正常展示，及时解决可能出现的模块故障，保障设备维护维修工作顺利进行。</w:t>
      </w:r>
    </w:p>
    <w:p w14:paraId="7598601E">
      <w:pPr>
        <w:widowControl/>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（3）北京地灾APP界面调查、安全维护：</w:t>
      </w:r>
      <w:r>
        <w:rPr>
          <w:rFonts w:hint="eastAsia" w:ascii="宋体" w:hAnsi="宋体" w:cs="宋体"/>
          <w:color w:val="000000"/>
          <w:kern w:val="0"/>
          <w:sz w:val="24"/>
        </w:rPr>
        <w:t>对北京地灾APP进行界面调整，以方便操作使用，提高使用者工作效率。对北京地灾APP进行定期安全维护，提高APP安全性；加强漏洞检查和修复工作等。</w:t>
      </w:r>
    </w:p>
    <w:p w14:paraId="71AC6372">
      <w:pPr>
        <w:widowControl/>
        <w:autoSpaceDE w:val="0"/>
        <w:autoSpaceDN w:val="0"/>
        <w:spacing w:line="360" w:lineRule="auto"/>
        <w:ind w:firstLine="482" w:firstLineChars="200"/>
        <w:rPr>
          <w:rFonts w:hint="eastAsia" w:ascii="宋体" w:hAnsi="宋体" w:cs="宋体"/>
          <w:b/>
          <w:kern w:val="0"/>
          <w:sz w:val="24"/>
        </w:rPr>
      </w:pPr>
      <w:r>
        <w:rPr>
          <w:rFonts w:hint="eastAsia" w:ascii="宋体" w:hAnsi="宋体" w:cs="宋体"/>
          <w:b/>
          <w:kern w:val="0"/>
          <w:sz w:val="24"/>
        </w:rPr>
        <w:t>9、视频监控子系统运维</w:t>
      </w:r>
    </w:p>
    <w:p w14:paraId="7D6FF2B0">
      <w:pPr>
        <w:widowControl/>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汛期，每日至少检查一次视频监控子系统运行情况；非汛期，每周至少检查两次。如果运行不正常，及时解除故障；对于出现故障的监控设备，需及时上报维修。如果监控设备参数有调整，或有新增、调整、迁移监控设备的情况，要及时配置接入参数，并及时进行调试。</w:t>
      </w:r>
    </w:p>
    <w:p w14:paraId="4ABE47E4">
      <w:pPr>
        <w:widowControl/>
        <w:autoSpaceDE w:val="0"/>
        <w:autoSpaceDN w:val="0"/>
        <w:spacing w:line="360" w:lineRule="auto"/>
        <w:ind w:firstLine="482" w:firstLineChars="200"/>
        <w:rPr>
          <w:rFonts w:hint="eastAsia" w:ascii="宋体" w:hAnsi="宋体" w:cs="宋体"/>
          <w:b/>
          <w:kern w:val="0"/>
          <w:sz w:val="24"/>
        </w:rPr>
      </w:pPr>
      <w:r>
        <w:rPr>
          <w:rFonts w:hint="eastAsia" w:ascii="宋体" w:hAnsi="宋体" w:cs="宋体"/>
          <w:b/>
          <w:kern w:val="0"/>
          <w:sz w:val="24"/>
        </w:rPr>
        <w:t>10、Oracle数据库运维</w:t>
      </w:r>
    </w:p>
    <w:p w14:paraId="00D8DCB5">
      <w:pPr>
        <w:widowControl/>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汛期，每日至少检查一次数据库运行情况；非汛期，每周至少检查两次。如果运行不正常，及时维修维护。</w:t>
      </w:r>
    </w:p>
    <w:bookmarkEnd w:id="832"/>
    <w:bookmarkEnd w:id="833"/>
    <w:bookmarkEnd w:id="834"/>
    <w:p w14:paraId="1A97CE4B">
      <w:pPr>
        <w:pStyle w:val="72"/>
        <w:numPr>
          <w:ilvl w:val="0"/>
          <w:numId w:val="18"/>
        </w:numPr>
        <w:spacing w:line="360" w:lineRule="auto"/>
        <w:ind w:firstLineChars="0"/>
        <w:rPr>
          <w:rFonts w:hint="eastAsia" w:ascii="宋体" w:hAnsi="宋体" w:cs="宋体"/>
          <w:b/>
          <w:sz w:val="24"/>
          <w:szCs w:val="24"/>
        </w:rPr>
      </w:pPr>
      <w:r>
        <w:rPr>
          <w:rFonts w:hint="eastAsia" w:ascii="宋体" w:hAnsi="宋体" w:cs="宋体"/>
          <w:b/>
          <w:sz w:val="24"/>
          <w:szCs w:val="24"/>
        </w:rPr>
        <w:t>其它服务要求或说明</w:t>
      </w:r>
    </w:p>
    <w:p w14:paraId="4CD1D21D">
      <w:pPr>
        <w:spacing w:line="360" w:lineRule="auto"/>
        <w:ind w:firstLine="480" w:firstLineChars="200"/>
        <w:rPr>
          <w:rFonts w:hint="eastAsia" w:ascii="宋体" w:hAnsi="宋体" w:cs="宋体"/>
          <w:sz w:val="24"/>
        </w:rPr>
      </w:pPr>
      <w:r>
        <w:rPr>
          <w:rFonts w:hint="eastAsia" w:ascii="宋体" w:hAnsi="宋体" w:cs="宋体"/>
          <w:sz w:val="24"/>
        </w:rPr>
        <w:t>1、要求运维团队熟悉PostgreSQL数据库、Oracle数据库，熟悉数据库安装部署、数据库表查询优化、数据库备份等；</w:t>
      </w:r>
    </w:p>
    <w:p w14:paraId="287670B9">
      <w:pPr>
        <w:spacing w:line="360" w:lineRule="auto"/>
        <w:ind w:firstLine="480" w:firstLineChars="200"/>
        <w:rPr>
          <w:rFonts w:hint="eastAsia" w:ascii="宋体" w:hAnsi="宋体" w:cs="宋体"/>
          <w:sz w:val="24"/>
        </w:rPr>
      </w:pPr>
      <w:r>
        <w:rPr>
          <w:rFonts w:hint="eastAsia" w:ascii="宋体" w:hAnsi="宋体" w:cs="宋体"/>
          <w:sz w:val="24"/>
        </w:rPr>
        <w:t>2、要求运维团队熟悉ArcGIS for Desktop软件及ArcGIS for Server软件，可熟练安装部署及数据制作、数据发布；</w:t>
      </w:r>
    </w:p>
    <w:p w14:paraId="62CF449E">
      <w:pPr>
        <w:spacing w:line="360" w:lineRule="auto"/>
        <w:ind w:firstLine="480" w:firstLineChars="200"/>
        <w:rPr>
          <w:rFonts w:hint="eastAsia" w:ascii="宋体" w:hAnsi="宋体" w:cs="宋体"/>
          <w:sz w:val="24"/>
        </w:rPr>
      </w:pPr>
      <w:r>
        <w:rPr>
          <w:rFonts w:hint="eastAsia" w:ascii="宋体" w:hAnsi="宋体" w:cs="宋体"/>
          <w:sz w:val="24"/>
        </w:rPr>
        <w:t>3、要求运维团队熟悉Apache Tomcat配置、可熟练使用JAVA开发语言及开发工具，可熟练使用C#开发语言及开发工具；要求了解ZooKeeper +Kafka+ Redis 集群框架、要求了解.Net Framework 框架；</w:t>
      </w:r>
    </w:p>
    <w:p w14:paraId="44885251">
      <w:pPr>
        <w:spacing w:line="360" w:lineRule="auto"/>
        <w:ind w:firstLine="480" w:firstLineChars="200"/>
        <w:rPr>
          <w:rFonts w:hint="eastAsia" w:ascii="宋体" w:hAnsi="宋体" w:cs="宋体"/>
          <w:sz w:val="24"/>
        </w:rPr>
      </w:pPr>
      <w:r>
        <w:rPr>
          <w:rFonts w:hint="eastAsia" w:ascii="宋体" w:hAnsi="宋体" w:cs="宋体"/>
          <w:sz w:val="24"/>
        </w:rPr>
        <w:t>4、要求运维团队熟悉TCP协议；</w:t>
      </w:r>
    </w:p>
    <w:p w14:paraId="3CCABD00">
      <w:pPr>
        <w:spacing w:line="360" w:lineRule="auto"/>
        <w:ind w:firstLine="480" w:firstLineChars="200"/>
        <w:rPr>
          <w:rFonts w:hint="eastAsia" w:ascii="宋体" w:hAnsi="宋体" w:cs="宋体"/>
          <w:sz w:val="24"/>
        </w:rPr>
      </w:pPr>
      <w:r>
        <w:rPr>
          <w:rFonts w:hint="eastAsia" w:ascii="宋体" w:hAnsi="宋体" w:cs="宋体"/>
          <w:sz w:val="24"/>
        </w:rPr>
        <w:t>5、要求运维团队熟悉Android APP开发；</w:t>
      </w:r>
    </w:p>
    <w:p w14:paraId="48C17F18">
      <w:pPr>
        <w:spacing w:line="360" w:lineRule="auto"/>
        <w:ind w:firstLine="480" w:firstLineChars="200"/>
        <w:rPr>
          <w:rFonts w:hint="eastAsia" w:ascii="宋体" w:hAnsi="宋体" w:cs="宋体"/>
          <w:sz w:val="24"/>
        </w:rPr>
      </w:pPr>
      <w:r>
        <w:rPr>
          <w:rFonts w:hint="eastAsia" w:ascii="宋体" w:hAnsi="宋体" w:cs="宋体"/>
          <w:sz w:val="24"/>
        </w:rPr>
        <w:t>6、要求运维人员均实际参与过信息系统运维工作1年以上或参与建设信息系统项目2个或以上；要求运维公司配备技术支持团队。</w:t>
      </w:r>
    </w:p>
    <w:p w14:paraId="42358A3E">
      <w:pPr>
        <w:spacing w:line="360" w:lineRule="auto"/>
        <w:ind w:firstLine="480" w:firstLineChars="200"/>
        <w:rPr>
          <w:rFonts w:hint="eastAsia" w:ascii="宋体" w:hAnsi="宋体" w:cs="宋体"/>
          <w:sz w:val="24"/>
        </w:rPr>
      </w:pPr>
      <w:r>
        <w:rPr>
          <w:rFonts w:hint="eastAsia" w:ascii="宋体" w:hAnsi="宋体" w:cs="宋体"/>
          <w:sz w:val="24"/>
        </w:rPr>
        <w:t>7、本项目要求供应商提供驻场服务。在汛期（一般是6月1日至9月15日）,需安排运维人员每日驻场；如遇大雨天气、极端天气，或市灾防所认为需重点值守的时段，运维团队需加派运维人员24小时值班；在非汛期，需运维人员每周不少于3日驻场服务。</w:t>
      </w:r>
    </w:p>
    <w:p w14:paraId="1B055427">
      <w:pPr>
        <w:spacing w:line="360" w:lineRule="auto"/>
        <w:ind w:firstLine="480" w:firstLineChars="200"/>
        <w:rPr>
          <w:rFonts w:hint="eastAsia" w:ascii="宋体" w:hAnsi="宋体" w:cs="宋体"/>
          <w:sz w:val="24"/>
        </w:rPr>
      </w:pPr>
      <w:r>
        <w:rPr>
          <w:rFonts w:hint="eastAsia" w:ascii="宋体" w:hAnsi="宋体" w:cs="宋体"/>
          <w:sz w:val="24"/>
        </w:rPr>
        <w:t>8、在汛期、重大活动期间、特殊时期，需运维团队提供7*24小时运维保障和运维响应服务，确保在第一时间对信息系统出现的故障或安全问题等进行及时处置。</w:t>
      </w:r>
    </w:p>
    <w:p w14:paraId="367A17A9">
      <w:pPr>
        <w:spacing w:line="360" w:lineRule="auto"/>
        <w:ind w:firstLine="480" w:firstLineChars="200"/>
        <w:rPr>
          <w:rFonts w:hint="eastAsia" w:ascii="宋体" w:hAnsi="宋体" w:cs="宋体"/>
          <w:sz w:val="24"/>
        </w:rPr>
      </w:pPr>
      <w:r>
        <w:rPr>
          <w:rFonts w:hint="eastAsia" w:ascii="宋体" w:hAnsi="宋体" w:cs="宋体"/>
          <w:sz w:val="24"/>
        </w:rPr>
        <w:t>9、要求运维团队定期（每月至少一次）提交系统整体开发程序代码及开发文档存档。</w:t>
      </w:r>
    </w:p>
    <w:p w14:paraId="04EA90C8">
      <w:pPr>
        <w:spacing w:line="360" w:lineRule="auto"/>
        <w:ind w:firstLine="480" w:firstLineChars="200"/>
        <w:rPr>
          <w:rFonts w:hint="eastAsia" w:ascii="宋体" w:hAnsi="宋体" w:cs="宋体"/>
          <w:sz w:val="24"/>
        </w:rPr>
      </w:pPr>
      <w:r>
        <w:rPr>
          <w:rFonts w:hint="eastAsia" w:ascii="宋体" w:hAnsi="宋体" w:cs="宋体"/>
          <w:sz w:val="24"/>
        </w:rPr>
        <w:t>10、系统模块的调整，需经运维人员及灾防所技术人员测试通过后方可正式部署。</w:t>
      </w:r>
    </w:p>
    <w:p w14:paraId="35C0E8BA">
      <w:pPr>
        <w:spacing w:line="360" w:lineRule="auto"/>
        <w:ind w:firstLine="480" w:firstLineChars="200"/>
        <w:rPr>
          <w:rFonts w:hint="eastAsia" w:ascii="宋体" w:hAnsi="宋体" w:cs="宋体"/>
          <w:sz w:val="24"/>
        </w:rPr>
      </w:pPr>
      <w:r>
        <w:rPr>
          <w:rFonts w:hint="eastAsia" w:ascii="宋体" w:hAnsi="宋体" w:cs="宋体"/>
          <w:sz w:val="24"/>
        </w:rPr>
        <w:t>11、投标供应商具有承接本项目的能力与技术服务支持，并有成功案例。</w:t>
      </w:r>
    </w:p>
    <w:p w14:paraId="44ACF785">
      <w:pPr>
        <w:spacing w:line="360" w:lineRule="auto"/>
        <w:ind w:firstLine="480" w:firstLineChars="200"/>
        <w:rPr>
          <w:rFonts w:hint="eastAsia" w:ascii="宋体" w:hAnsi="宋体" w:cs="宋体"/>
          <w:sz w:val="24"/>
        </w:rPr>
      </w:pPr>
      <w:r>
        <w:rPr>
          <w:rFonts w:hint="eastAsia" w:ascii="宋体" w:hAnsi="宋体" w:cs="宋体"/>
          <w:sz w:val="24"/>
        </w:rPr>
        <w:t>12、投标供应商应对本项目服务内容有针对性的理解，对各子系统有针对性的运行维护方案。</w:t>
      </w:r>
    </w:p>
    <w:p w14:paraId="3AA07BE3">
      <w:pPr>
        <w:spacing w:line="360" w:lineRule="auto"/>
        <w:rPr>
          <w:rFonts w:hint="eastAsia" w:ascii="宋体" w:hAnsi="宋体" w:cs="宋体"/>
          <w:b/>
          <w:sz w:val="24"/>
        </w:rPr>
      </w:pPr>
      <w:r>
        <w:rPr>
          <w:rFonts w:hint="eastAsia" w:ascii="宋体" w:hAnsi="宋体" w:cs="宋体"/>
          <w:b/>
          <w:sz w:val="24"/>
        </w:rPr>
        <w:t>五、成果要求</w:t>
      </w:r>
    </w:p>
    <w:p w14:paraId="39BD93C0">
      <w:pPr>
        <w:spacing w:line="360" w:lineRule="auto"/>
        <w:ind w:firstLine="480" w:firstLineChars="200"/>
        <w:rPr>
          <w:rFonts w:hint="eastAsia" w:ascii="宋体" w:hAnsi="宋体" w:cs="宋体"/>
          <w:sz w:val="24"/>
        </w:rPr>
      </w:pPr>
      <w:r>
        <w:rPr>
          <w:rFonts w:hint="eastAsia" w:ascii="宋体" w:hAnsi="宋体" w:cs="宋体"/>
          <w:sz w:val="24"/>
        </w:rPr>
        <w:t>1、信息系统运行维护年度运维报告（电子版2份，纸质版5份）；</w:t>
      </w:r>
    </w:p>
    <w:p w14:paraId="38D9EFE3">
      <w:pPr>
        <w:spacing w:line="360" w:lineRule="auto"/>
        <w:ind w:firstLine="480" w:firstLineChars="200"/>
        <w:rPr>
          <w:rFonts w:hint="eastAsia" w:ascii="宋体" w:hAnsi="宋体" w:cs="宋体"/>
          <w:sz w:val="24"/>
        </w:rPr>
      </w:pPr>
      <w:r>
        <w:rPr>
          <w:rFonts w:hint="eastAsia" w:ascii="宋体" w:hAnsi="宋体" w:cs="宋体"/>
          <w:sz w:val="24"/>
        </w:rPr>
        <w:t>2、信息系统运维过程中的各类检查表、运维处理单等；</w:t>
      </w:r>
    </w:p>
    <w:p w14:paraId="1BD4A7B7">
      <w:pPr>
        <w:spacing w:line="360" w:lineRule="auto"/>
        <w:ind w:firstLine="480" w:firstLineChars="200"/>
        <w:rPr>
          <w:rFonts w:hint="eastAsia" w:ascii="宋体" w:hAnsi="宋体" w:cs="宋体"/>
          <w:sz w:val="24"/>
        </w:rPr>
      </w:pPr>
      <w:r>
        <w:rPr>
          <w:rFonts w:hint="eastAsia" w:ascii="宋体" w:hAnsi="宋体" w:cs="宋体"/>
          <w:sz w:val="24"/>
        </w:rPr>
        <w:t>3、更新后的系统操作手册及运维手册、系统程序和代码。</w:t>
      </w:r>
    </w:p>
    <w:p w14:paraId="4832DF90">
      <w:pPr>
        <w:rPr>
          <w:rFonts w:hint="eastAsia" w:ascii="宋体" w:hAnsi="宋体" w:cs="宋体"/>
          <w:b/>
          <w:color w:val="000000"/>
          <w:sz w:val="24"/>
          <w:highlight w:val="yellow"/>
        </w:rPr>
      </w:pPr>
    </w:p>
    <w:p w14:paraId="62B7671C">
      <w:pPr>
        <w:rPr>
          <w:rFonts w:hint="eastAsia" w:ascii="宋体" w:hAnsi="宋体" w:cs="宋体"/>
          <w:b/>
          <w:color w:val="000000"/>
          <w:sz w:val="24"/>
          <w:highlight w:val="yellow"/>
        </w:rPr>
      </w:pPr>
    </w:p>
    <w:p w14:paraId="30FB882C">
      <w:pPr>
        <w:rPr>
          <w:rFonts w:hint="eastAsia" w:ascii="宋体" w:hAnsi="宋体" w:cs="宋体"/>
          <w:b/>
          <w:color w:val="000000"/>
          <w:sz w:val="24"/>
          <w:highlight w:val="yellow"/>
        </w:rPr>
      </w:pPr>
    </w:p>
    <w:p w14:paraId="3CA3C226">
      <w:pPr>
        <w:rPr>
          <w:rFonts w:hint="eastAsia" w:ascii="宋体" w:hAnsi="宋体" w:cs="宋体"/>
          <w:b/>
          <w:color w:val="000000"/>
          <w:sz w:val="24"/>
          <w:highlight w:val="yellow"/>
        </w:rPr>
      </w:pPr>
    </w:p>
    <w:p w14:paraId="715BEE30">
      <w:pPr>
        <w:rPr>
          <w:rFonts w:hint="eastAsia" w:ascii="宋体" w:hAnsi="宋体" w:cs="宋体"/>
          <w:b/>
          <w:color w:val="000000"/>
          <w:sz w:val="24"/>
          <w:highlight w:val="yellow"/>
        </w:rPr>
      </w:pPr>
    </w:p>
    <w:p w14:paraId="6ECDA517">
      <w:pPr>
        <w:rPr>
          <w:rFonts w:hint="eastAsia" w:ascii="宋体" w:hAnsi="宋体" w:cs="宋体"/>
          <w:b/>
          <w:color w:val="000000"/>
          <w:sz w:val="24"/>
          <w:highlight w:val="yellow"/>
        </w:rPr>
      </w:pPr>
    </w:p>
    <w:p w14:paraId="624354B8">
      <w:pPr>
        <w:rPr>
          <w:rFonts w:hint="eastAsia" w:ascii="宋体" w:hAnsi="宋体" w:cs="宋体"/>
          <w:b/>
          <w:color w:val="000000"/>
          <w:sz w:val="24"/>
          <w:highlight w:val="yellow"/>
        </w:rPr>
      </w:pPr>
    </w:p>
    <w:p w14:paraId="4C16104D">
      <w:pPr>
        <w:rPr>
          <w:rFonts w:hint="eastAsia" w:ascii="宋体" w:hAnsi="宋体" w:cs="宋体"/>
          <w:b/>
          <w:color w:val="000000"/>
          <w:sz w:val="24"/>
          <w:highlight w:val="yellow"/>
        </w:rPr>
      </w:pPr>
    </w:p>
    <w:p w14:paraId="6AA71142">
      <w:pPr>
        <w:spacing w:line="360" w:lineRule="auto"/>
        <w:rPr>
          <w:rFonts w:hint="eastAsia" w:ascii="宋体" w:hAnsi="宋体" w:cs="宋体"/>
          <w:b/>
          <w:color w:val="000000"/>
          <w:sz w:val="24"/>
        </w:rPr>
        <w:sectPr>
          <w:footerReference r:id="rId14" w:type="default"/>
          <w:pgSz w:w="11907" w:h="16840"/>
          <w:pgMar w:top="1418" w:right="1134" w:bottom="1418" w:left="1701" w:header="851" w:footer="851" w:gutter="0"/>
          <w:cols w:space="720" w:num="1"/>
          <w:docGrid w:linePitch="462" w:charSpace="0"/>
        </w:sectPr>
      </w:pPr>
    </w:p>
    <w:p w14:paraId="0B634724">
      <w:pPr>
        <w:spacing w:line="360" w:lineRule="auto"/>
        <w:outlineLvl w:val="2"/>
        <w:rPr>
          <w:rFonts w:hint="eastAsia" w:ascii="宋体" w:hAnsi="宋体" w:cs="宋体"/>
          <w:sz w:val="24"/>
        </w:rPr>
      </w:pPr>
      <w:r>
        <w:rPr>
          <w:rFonts w:hint="eastAsia" w:ascii="宋体" w:hAnsi="宋体" w:cs="宋体"/>
          <w:b/>
          <w:color w:val="000000"/>
          <w:sz w:val="24"/>
        </w:rPr>
        <w:t>第六包：</w:t>
      </w:r>
    </w:p>
    <w:p w14:paraId="7AACDC95">
      <w:pPr>
        <w:spacing w:line="360" w:lineRule="auto"/>
        <w:rPr>
          <w:rFonts w:hint="eastAsia" w:ascii="宋体" w:hAnsi="宋体" w:cs="宋体"/>
          <w:b/>
          <w:sz w:val="24"/>
        </w:rPr>
      </w:pPr>
      <w:r>
        <w:rPr>
          <w:rFonts w:hint="eastAsia" w:ascii="宋体" w:hAnsi="宋体" w:cs="宋体"/>
          <w:b/>
          <w:sz w:val="24"/>
        </w:rPr>
        <w:t>一、项目内容</w:t>
      </w:r>
    </w:p>
    <w:p w14:paraId="54973C49">
      <w:pPr>
        <w:widowControl/>
        <w:autoSpaceDE w:val="0"/>
        <w:autoSpaceDN w:val="0"/>
        <w:spacing w:line="360" w:lineRule="auto"/>
        <w:ind w:firstLine="480" w:firstLineChars="200"/>
        <w:rPr>
          <w:rFonts w:hint="eastAsia" w:ascii="宋体" w:hAnsi="宋体" w:cs="宋体"/>
          <w:sz w:val="24"/>
        </w:rPr>
      </w:pPr>
      <w:r>
        <w:rPr>
          <w:rFonts w:hint="eastAsia" w:ascii="宋体" w:hAnsi="宋体" w:cs="宋体"/>
          <w:sz w:val="24"/>
        </w:rPr>
        <w:t>根据“北京市突发地质灾害监测预警系统工程运行其他运行维护服务等采购项目”工作需要，获取北京市平谷区、怀柔区、延庆区、昌平区、海淀区、石景山区、丰台区、房山区、门头沟区、密云区山区及浅山区2026年度空间分辨率0.5m的卫星遥感数据，共计11134km2；对获取的数据进行融合、正射、配准、拼接等预处理。</w:t>
      </w:r>
    </w:p>
    <w:p w14:paraId="48F0959C">
      <w:pPr>
        <w:widowControl/>
        <w:autoSpaceDE w:val="0"/>
        <w:autoSpaceDN w:val="0"/>
        <w:spacing w:line="360" w:lineRule="auto"/>
        <w:ind w:firstLine="480" w:firstLineChars="200"/>
        <w:rPr>
          <w:rFonts w:hint="eastAsia" w:ascii="宋体" w:hAnsi="宋体" w:cs="宋体"/>
          <w:kern w:val="0"/>
          <w:sz w:val="24"/>
        </w:rPr>
      </w:pPr>
      <w:r>
        <w:rPr>
          <w:rFonts w:hint="eastAsia" w:ascii="宋体" w:hAnsi="宋体" w:cs="宋体"/>
          <w:sz w:val="24"/>
        </w:rPr>
        <w:t>同时获取2026年度北京市范围内 5m 多视精细模式sar影像数据12景，超宽精细模式sar数据36景。</w:t>
      </w:r>
    </w:p>
    <w:p w14:paraId="50A85A63">
      <w:pPr>
        <w:spacing w:line="360" w:lineRule="auto"/>
        <w:rPr>
          <w:rFonts w:hint="eastAsia" w:ascii="宋体" w:hAnsi="宋体" w:cs="宋体"/>
          <w:b/>
          <w:sz w:val="24"/>
        </w:rPr>
      </w:pPr>
      <w:r>
        <w:rPr>
          <w:rFonts w:hint="eastAsia" w:ascii="宋体" w:hAnsi="宋体" w:cs="宋体"/>
          <w:b/>
          <w:sz w:val="24"/>
        </w:rPr>
        <w:t>二、需求及技术要求</w:t>
      </w:r>
    </w:p>
    <w:p w14:paraId="65A06433">
      <w:pPr>
        <w:spacing w:line="360" w:lineRule="auto"/>
        <w:rPr>
          <w:rFonts w:hint="eastAsia" w:ascii="宋体" w:hAnsi="宋体" w:cs="宋体"/>
          <w:b/>
          <w:sz w:val="24"/>
        </w:rPr>
      </w:pPr>
      <w:r>
        <w:rPr>
          <w:rFonts w:hint="eastAsia" w:ascii="宋体" w:hAnsi="宋体" w:cs="宋体"/>
          <w:b/>
          <w:sz w:val="24"/>
        </w:rPr>
        <w:t>2.1为了保证遥感卫星数据的来源合法有效，要求：供应商具有数据产品知识产权，或者卫星厂商为供应商出具的针对本项目的授权书（需在投标文件正本中编制知识产权证书复印件加盖供应商公章或授权书原件），或卫星厂商的授权代理商针对本项目为供应商出具的授权书（需在投标文件正本中编制授权代理商的代理权证明文件复印件并加盖授权代理商公章，及授权代理商出具的授权书原件）。</w:t>
      </w:r>
    </w:p>
    <w:p w14:paraId="5530E95E">
      <w:pPr>
        <w:spacing w:line="360" w:lineRule="auto"/>
        <w:ind w:firstLine="482" w:firstLineChars="200"/>
        <w:rPr>
          <w:rFonts w:hint="eastAsia" w:ascii="宋体" w:hAnsi="宋体" w:cs="宋体"/>
          <w:b/>
          <w:sz w:val="24"/>
        </w:rPr>
      </w:pPr>
      <w:r>
        <w:rPr>
          <w:rFonts w:hint="eastAsia" w:ascii="宋体" w:hAnsi="宋体" w:cs="宋体"/>
          <w:b/>
          <w:sz w:val="24"/>
        </w:rPr>
        <w:t>为了保证遥感卫星数据处理精度具有可信度且达到相关测绘标准，要求供应商具有质量管理体系认证及供应商具有国家测绘地理信息局颁发的含“摄影测量与遥感”乙级（含）以上的测绘资质证书</w:t>
      </w:r>
      <w:bookmarkStart w:id="835" w:name="_Hlk99371422"/>
      <w:r>
        <w:rPr>
          <w:rFonts w:hint="eastAsia" w:ascii="宋体" w:hAnsi="宋体" w:cs="宋体"/>
          <w:b/>
          <w:sz w:val="24"/>
        </w:rPr>
        <w:t>，需在投标文件中编制证书复印件并加盖供应商公章</w:t>
      </w:r>
      <w:bookmarkEnd w:id="835"/>
      <w:bookmarkStart w:id="836" w:name="_Hlk99371442"/>
      <w:r>
        <w:rPr>
          <w:rFonts w:hint="eastAsia" w:ascii="宋体" w:hAnsi="宋体" w:cs="宋体"/>
          <w:b/>
          <w:sz w:val="24"/>
        </w:rPr>
        <w:t>作为应答</w:t>
      </w:r>
      <w:bookmarkEnd w:id="836"/>
      <w:r>
        <w:rPr>
          <w:rFonts w:hint="eastAsia" w:ascii="宋体" w:hAnsi="宋体" w:cs="宋体"/>
          <w:b/>
          <w:sz w:val="24"/>
        </w:rPr>
        <w:t>。</w:t>
      </w:r>
    </w:p>
    <w:p w14:paraId="5075AA1E">
      <w:pPr>
        <w:rPr>
          <w:sz w:val="24"/>
        </w:rPr>
      </w:pPr>
      <w:r>
        <w:rPr>
          <w:rFonts w:hint="eastAsia" w:ascii="宋体" w:hAnsi="宋体" w:cs="宋体"/>
          <w:b/>
          <w:sz w:val="24"/>
        </w:rPr>
        <w:t>注：以上要求作为加分项，在评分表中体现。</w:t>
      </w:r>
    </w:p>
    <w:p w14:paraId="4D0C1B1D">
      <w:pPr>
        <w:spacing w:line="360" w:lineRule="auto"/>
        <w:rPr>
          <w:rFonts w:hint="eastAsia" w:ascii="宋体" w:hAnsi="宋体" w:cs="宋体"/>
          <w:b/>
          <w:sz w:val="24"/>
        </w:rPr>
      </w:pPr>
      <w:r>
        <w:rPr>
          <w:rFonts w:hint="eastAsia" w:ascii="宋体" w:hAnsi="宋体" w:cs="宋体"/>
          <w:b/>
          <w:sz w:val="24"/>
        </w:rPr>
        <w:t>2.2卫星数据技术要求</w:t>
      </w:r>
    </w:p>
    <w:p w14:paraId="6478F5AF">
      <w:pPr>
        <w:spacing w:line="360" w:lineRule="auto"/>
        <w:ind w:firstLine="480" w:firstLineChars="200"/>
        <w:rPr>
          <w:rFonts w:hint="eastAsia" w:ascii="宋体" w:hAnsi="宋体" w:cs="宋体"/>
          <w:sz w:val="24"/>
        </w:rPr>
      </w:pPr>
      <w:r>
        <w:rPr>
          <w:rFonts w:hint="eastAsia" w:ascii="宋体" w:hAnsi="宋体" w:cs="宋体"/>
          <w:color w:val="000000"/>
          <w:kern w:val="0"/>
          <w:sz w:val="24"/>
        </w:rPr>
        <w:t>★</w:t>
      </w:r>
      <w:r>
        <w:rPr>
          <w:rFonts w:hint="eastAsia" w:ascii="宋体" w:hAnsi="宋体" w:cs="宋体"/>
          <w:sz w:val="24"/>
        </w:rPr>
        <w:t>2.2.1为了保障卫星数据的一致性，并保证数据间能够严格配准，投标供应商采用的星源必须是同一类卫星源。(投标应答时须在技术应答文件中明确所采用的卫星源类型)</w:t>
      </w:r>
    </w:p>
    <w:p w14:paraId="0F7625BA">
      <w:pPr>
        <w:spacing w:line="360" w:lineRule="auto"/>
        <w:ind w:firstLine="480" w:firstLineChars="200"/>
        <w:rPr>
          <w:rFonts w:hint="eastAsia" w:ascii="宋体" w:hAnsi="宋体" w:cs="宋体"/>
          <w:sz w:val="24"/>
        </w:rPr>
      </w:pPr>
      <w:r>
        <w:rPr>
          <w:rFonts w:hint="eastAsia" w:ascii="宋体" w:hAnsi="宋体" w:cs="宋体"/>
          <w:sz w:val="24"/>
        </w:rPr>
        <w:t>2.2.2卫星数据应支持基础地质及灾害地质遥感应用，并至少包含四个波段：近红外波段、红光波段、绿光波段和蓝光波段。</w:t>
      </w:r>
    </w:p>
    <w:p w14:paraId="4291FA4E">
      <w:pPr>
        <w:spacing w:line="360" w:lineRule="auto"/>
        <w:ind w:firstLine="480" w:firstLineChars="200"/>
        <w:rPr>
          <w:rFonts w:hint="eastAsia" w:ascii="宋体" w:hAnsi="宋体" w:cs="宋体"/>
          <w:sz w:val="24"/>
        </w:rPr>
      </w:pPr>
      <w:r>
        <w:rPr>
          <w:rFonts w:hint="eastAsia" w:ascii="宋体" w:hAnsi="宋体" w:cs="宋体"/>
          <w:sz w:val="24"/>
        </w:rPr>
        <w:t>2.2.3光学卫星影像数据</w:t>
      </w:r>
    </w:p>
    <w:p w14:paraId="753C62D7">
      <w:pPr>
        <w:spacing w:line="360" w:lineRule="auto"/>
        <w:ind w:firstLine="480" w:firstLineChars="200"/>
        <w:rPr>
          <w:rFonts w:hint="eastAsia" w:ascii="宋体" w:hAnsi="宋体" w:cs="宋体"/>
          <w:sz w:val="24"/>
        </w:rPr>
      </w:pPr>
      <w:r>
        <w:rPr>
          <w:rFonts w:hint="eastAsia" w:ascii="宋体" w:hAnsi="宋体" w:cs="宋体"/>
          <w:sz w:val="24"/>
        </w:rPr>
        <w:t>1）获取北京市平谷区、怀柔区、延庆区、昌平区、海淀区、石景山区、丰台区、房山区、门头沟区、密云区山区及浅山区数据，数据时间为</w:t>
      </w:r>
      <w:r>
        <w:rPr>
          <w:rFonts w:hint="eastAsia" w:ascii="宋体" w:hAnsi="宋体" w:cs="宋体"/>
          <w:b/>
          <w:sz w:val="24"/>
        </w:rPr>
        <w:t>2026年3月15日至4月30日</w:t>
      </w:r>
      <w:r>
        <w:rPr>
          <w:rFonts w:hint="eastAsia" w:ascii="宋体" w:hAnsi="宋体" w:cs="宋体"/>
          <w:sz w:val="24"/>
        </w:rPr>
        <w:t>遥感数据11134km</w:t>
      </w:r>
      <w:r>
        <w:rPr>
          <w:rFonts w:hint="eastAsia" w:ascii="宋体" w:hAnsi="宋体" w:cs="宋体"/>
          <w:sz w:val="24"/>
          <w:vertAlign w:val="superscript"/>
        </w:rPr>
        <w:t>2</w:t>
      </w:r>
      <w:r>
        <w:rPr>
          <w:rFonts w:hint="eastAsia" w:ascii="宋体" w:hAnsi="宋体" w:cs="宋体"/>
          <w:sz w:val="24"/>
        </w:rPr>
        <w:t>。</w:t>
      </w:r>
    </w:p>
    <w:p w14:paraId="28A8D083">
      <w:pPr>
        <w:spacing w:line="360" w:lineRule="auto"/>
        <w:ind w:firstLine="480" w:firstLineChars="200"/>
        <w:rPr>
          <w:rFonts w:hint="eastAsia" w:ascii="宋体" w:hAnsi="宋体" w:cs="宋体"/>
          <w:sz w:val="24"/>
        </w:rPr>
      </w:pPr>
      <w:r>
        <w:rPr>
          <w:rFonts w:hint="eastAsia" w:ascii="宋体" w:hAnsi="宋体" w:cs="宋体"/>
          <w:sz w:val="24"/>
        </w:rPr>
        <w:t>2)拟采购卫星数据产品分辨率为0.5m。</w:t>
      </w:r>
    </w:p>
    <w:p w14:paraId="6F53F58C">
      <w:pPr>
        <w:spacing w:line="360" w:lineRule="auto"/>
        <w:ind w:firstLine="480" w:firstLineChars="200"/>
        <w:rPr>
          <w:rFonts w:hint="eastAsia" w:ascii="宋体" w:hAnsi="宋体" w:cs="宋体"/>
          <w:sz w:val="24"/>
        </w:rPr>
      </w:pPr>
      <w:r>
        <w:rPr>
          <w:rFonts w:hint="eastAsia" w:ascii="宋体" w:hAnsi="宋体" w:cs="宋体"/>
          <w:sz w:val="24"/>
        </w:rPr>
        <w:t>3)相邻条带卫星影像重叠率不低于4%。</w:t>
      </w:r>
    </w:p>
    <w:p w14:paraId="02FFF266">
      <w:pPr>
        <w:spacing w:line="360" w:lineRule="auto"/>
        <w:ind w:firstLine="480" w:firstLineChars="200"/>
        <w:rPr>
          <w:rFonts w:hint="eastAsia" w:ascii="宋体" w:hAnsi="宋体" w:cs="宋体"/>
          <w:sz w:val="24"/>
        </w:rPr>
      </w:pPr>
      <w:r>
        <w:rPr>
          <w:rFonts w:hint="eastAsia" w:ascii="宋体" w:hAnsi="宋体" w:cs="宋体"/>
          <w:sz w:val="24"/>
        </w:rPr>
        <w:t>4)每景原始影像云、雪覆盖量应小于15%。</w:t>
      </w:r>
    </w:p>
    <w:p w14:paraId="3002F452">
      <w:pPr>
        <w:spacing w:line="360" w:lineRule="auto"/>
        <w:ind w:firstLine="480" w:firstLineChars="200"/>
        <w:rPr>
          <w:rFonts w:hint="eastAsia" w:ascii="宋体" w:hAnsi="宋体" w:cs="宋体"/>
          <w:sz w:val="24"/>
        </w:rPr>
      </w:pPr>
      <w:r>
        <w:rPr>
          <w:rFonts w:hint="eastAsia" w:ascii="宋体" w:hAnsi="宋体" w:cs="宋体"/>
          <w:sz w:val="24"/>
        </w:rPr>
        <w:t>5)原始影像侧视角平原地区小于±30°，山区小于±25°。</w:t>
      </w:r>
    </w:p>
    <w:p w14:paraId="7C63A948">
      <w:pPr>
        <w:spacing w:line="360" w:lineRule="auto"/>
        <w:ind w:firstLine="480" w:firstLineChars="200"/>
        <w:rPr>
          <w:rFonts w:hint="eastAsia" w:ascii="宋体" w:hAnsi="宋体" w:cs="宋体"/>
          <w:sz w:val="24"/>
        </w:rPr>
      </w:pPr>
      <w:r>
        <w:rPr>
          <w:rFonts w:hint="eastAsia" w:ascii="宋体" w:hAnsi="宋体" w:cs="宋体"/>
          <w:sz w:val="24"/>
        </w:rPr>
        <w:t>6)能满足同一时相，同源全色影像与多光谱影像融合真彩色影像的需求。</w:t>
      </w:r>
    </w:p>
    <w:p w14:paraId="1662288B">
      <w:pPr>
        <w:spacing w:line="360" w:lineRule="auto"/>
        <w:ind w:firstLine="480" w:firstLineChars="200"/>
        <w:rPr>
          <w:rFonts w:hint="eastAsia" w:ascii="宋体" w:hAnsi="宋体" w:cs="宋体"/>
          <w:sz w:val="24"/>
        </w:rPr>
      </w:pPr>
      <w:r>
        <w:rPr>
          <w:rFonts w:hint="eastAsia" w:ascii="宋体" w:hAnsi="宋体" w:cs="宋体"/>
          <w:sz w:val="24"/>
        </w:rPr>
        <w:t>7)全色及多光谱遥感影像必须提供全部的星历参数，能够根据星历参数进行物理建模，以确保正射校正的精度达到相关测绘标准。</w:t>
      </w:r>
    </w:p>
    <w:p w14:paraId="4EBA19DD">
      <w:pPr>
        <w:spacing w:line="360" w:lineRule="auto"/>
        <w:ind w:firstLine="480" w:firstLineChars="200"/>
        <w:rPr>
          <w:rFonts w:hint="eastAsia" w:ascii="宋体" w:hAnsi="宋体" w:cs="宋体"/>
          <w:sz w:val="24"/>
        </w:rPr>
      </w:pPr>
      <w:r>
        <w:rPr>
          <w:rFonts w:hint="eastAsia" w:ascii="宋体" w:hAnsi="宋体" w:cs="宋体"/>
          <w:sz w:val="24"/>
        </w:rPr>
        <w:t>2.2.4 SAR卫星影像数据</w:t>
      </w:r>
    </w:p>
    <w:p w14:paraId="547F040F">
      <w:pPr>
        <w:spacing w:line="360" w:lineRule="auto"/>
        <w:ind w:firstLine="480" w:firstLineChars="200"/>
        <w:rPr>
          <w:rFonts w:hint="eastAsia" w:ascii="宋体" w:hAnsi="宋体" w:cs="宋体"/>
          <w:sz w:val="24"/>
        </w:rPr>
      </w:pPr>
      <w:r>
        <w:rPr>
          <w:rFonts w:hint="eastAsia" w:ascii="宋体" w:hAnsi="宋体" w:cs="宋体"/>
          <w:sz w:val="24"/>
        </w:rPr>
        <w:t>1）获取北京市西部山区2026年度 5m 多视精细模式降轨sar影像数据12期，每期1景；超宽精细模式sar数据36景，其中覆盖北京西部山区升轨数据12期，每期1景，覆盖北京北部山区升、降轨数据各12期，每期各1景。</w:t>
      </w:r>
    </w:p>
    <w:p w14:paraId="27CB85F2">
      <w:pPr>
        <w:spacing w:line="360" w:lineRule="auto"/>
        <w:ind w:firstLine="480" w:firstLineChars="200"/>
        <w:rPr>
          <w:rFonts w:hint="eastAsia" w:ascii="宋体" w:hAnsi="宋体" w:cs="宋体"/>
          <w:sz w:val="24"/>
        </w:rPr>
      </w:pPr>
      <w:r>
        <w:rPr>
          <w:rFonts w:hint="eastAsia" w:ascii="宋体" w:hAnsi="宋体" w:cs="宋体"/>
          <w:sz w:val="24"/>
        </w:rPr>
        <w:t>2）卫星数据的波长位于5.5cm-5.7cm之间；</w:t>
      </w:r>
    </w:p>
    <w:p w14:paraId="45DE6E3B">
      <w:pPr>
        <w:spacing w:line="360" w:lineRule="auto"/>
        <w:ind w:firstLine="480" w:firstLineChars="200"/>
        <w:rPr>
          <w:rFonts w:hint="eastAsia" w:ascii="宋体" w:hAnsi="宋体" w:cs="宋体"/>
          <w:sz w:val="24"/>
        </w:rPr>
      </w:pPr>
      <w:r>
        <w:rPr>
          <w:rFonts w:hint="eastAsia" w:ascii="宋体" w:hAnsi="宋体" w:cs="宋体"/>
          <w:sz w:val="24"/>
        </w:rPr>
        <w:t>3）数据格式为单视复数（SLC）格式；</w:t>
      </w:r>
    </w:p>
    <w:p w14:paraId="013794B2">
      <w:pPr>
        <w:spacing w:line="360" w:lineRule="auto"/>
        <w:ind w:firstLine="480" w:firstLineChars="200"/>
        <w:rPr>
          <w:rFonts w:hint="eastAsia" w:ascii="宋体" w:hAnsi="宋体" w:cs="宋体"/>
          <w:sz w:val="24"/>
        </w:rPr>
      </w:pPr>
      <w:r>
        <w:rPr>
          <w:rFonts w:hint="eastAsia" w:ascii="宋体" w:hAnsi="宋体" w:cs="宋体"/>
          <w:sz w:val="24"/>
        </w:rPr>
        <w:t>4）超宽精细模式幅宽不小于125km×125km；多视精细模式幅宽不小于50km×50km；</w:t>
      </w:r>
    </w:p>
    <w:p w14:paraId="4C501A2D">
      <w:pPr>
        <w:spacing w:line="360" w:lineRule="auto"/>
        <w:ind w:firstLine="480" w:firstLineChars="200"/>
        <w:rPr>
          <w:rFonts w:hint="eastAsia" w:ascii="宋体" w:hAnsi="宋体" w:cs="宋体"/>
          <w:sz w:val="24"/>
        </w:rPr>
      </w:pPr>
      <w:r>
        <w:rPr>
          <w:rFonts w:hint="eastAsia" w:ascii="宋体" w:hAnsi="宋体" w:cs="宋体"/>
          <w:sz w:val="24"/>
        </w:rPr>
        <w:t>5）每景的空间垂直基线偏差不超过500m；</w:t>
      </w:r>
    </w:p>
    <w:p w14:paraId="3808FBF4">
      <w:pPr>
        <w:spacing w:line="360" w:lineRule="auto"/>
        <w:ind w:firstLine="480" w:firstLineChars="200"/>
        <w:rPr>
          <w:rFonts w:hint="eastAsia" w:ascii="宋体" w:hAnsi="宋体" w:cs="宋体"/>
          <w:sz w:val="24"/>
        </w:rPr>
      </w:pPr>
      <w:r>
        <w:rPr>
          <w:rFonts w:hint="eastAsia" w:ascii="宋体" w:hAnsi="宋体" w:cs="宋体"/>
          <w:sz w:val="24"/>
        </w:rPr>
        <w:t>6）地面分辨率等于或优于5米；</w:t>
      </w:r>
    </w:p>
    <w:p w14:paraId="4BB68925">
      <w:pPr>
        <w:spacing w:line="360" w:lineRule="auto"/>
        <w:ind w:firstLine="480" w:firstLineChars="200"/>
        <w:rPr>
          <w:rFonts w:hint="eastAsia" w:ascii="宋体" w:hAnsi="宋体" w:cs="宋体"/>
          <w:sz w:val="24"/>
        </w:rPr>
      </w:pPr>
      <w:r>
        <w:rPr>
          <w:rFonts w:hint="eastAsia" w:ascii="宋体" w:hAnsi="宋体" w:cs="宋体"/>
          <w:sz w:val="24"/>
        </w:rPr>
        <w:t>7）卫星必须有成熟的InSAR干涉能力，且在国内落地接收，保证原始影像及精密轨道文件的快速生产及交付。</w:t>
      </w:r>
    </w:p>
    <w:p w14:paraId="34B8318D">
      <w:pPr>
        <w:spacing w:line="360" w:lineRule="auto"/>
        <w:rPr>
          <w:rFonts w:hint="eastAsia" w:ascii="宋体" w:hAnsi="宋体" w:cs="宋体"/>
          <w:b/>
          <w:sz w:val="24"/>
        </w:rPr>
      </w:pPr>
      <w:r>
        <w:rPr>
          <w:rFonts w:hint="eastAsia" w:ascii="宋体" w:hAnsi="宋体" w:cs="宋体"/>
          <w:b/>
          <w:sz w:val="24"/>
        </w:rPr>
        <w:t>2.3卫星数据预处理要求</w:t>
      </w:r>
    </w:p>
    <w:p w14:paraId="1951B149">
      <w:pPr>
        <w:spacing w:line="360" w:lineRule="auto"/>
        <w:ind w:firstLine="480" w:firstLineChars="200"/>
        <w:rPr>
          <w:rFonts w:hint="eastAsia" w:ascii="宋体" w:hAnsi="宋体" w:cs="宋体"/>
          <w:sz w:val="24"/>
        </w:rPr>
      </w:pPr>
      <w:r>
        <w:rPr>
          <w:rFonts w:hint="eastAsia" w:ascii="宋体" w:hAnsi="宋体" w:cs="宋体"/>
          <w:sz w:val="24"/>
        </w:rPr>
        <w:t>光学卫星遥感数据的处理均应满足下列要求：</w:t>
      </w:r>
    </w:p>
    <w:p w14:paraId="6E0B06CC">
      <w:pPr>
        <w:spacing w:line="360" w:lineRule="auto"/>
        <w:ind w:firstLine="480" w:firstLineChars="200"/>
        <w:rPr>
          <w:rFonts w:hint="eastAsia" w:ascii="宋体" w:hAnsi="宋体" w:cs="宋体"/>
          <w:sz w:val="24"/>
        </w:rPr>
      </w:pPr>
      <w:r>
        <w:rPr>
          <w:rFonts w:hint="eastAsia" w:ascii="宋体" w:hAnsi="宋体" w:cs="宋体"/>
          <w:sz w:val="24"/>
        </w:rPr>
        <w:t>1）卫星数据应进行必要的大气校正，使其具备正确的辐射亮度。</w:t>
      </w:r>
    </w:p>
    <w:p w14:paraId="3810B2AD">
      <w:pPr>
        <w:spacing w:line="360" w:lineRule="auto"/>
        <w:ind w:firstLine="480" w:firstLineChars="200"/>
        <w:rPr>
          <w:rFonts w:hint="eastAsia" w:ascii="宋体" w:hAnsi="宋体" w:cs="宋体"/>
          <w:sz w:val="24"/>
        </w:rPr>
      </w:pPr>
      <w:r>
        <w:rPr>
          <w:rFonts w:hint="eastAsia" w:ascii="宋体" w:hAnsi="宋体" w:cs="宋体"/>
          <w:sz w:val="24"/>
        </w:rPr>
        <w:t>2）卫星数据应利用高精度DEM进行精确的正射校正，完成倾斜改正和投影差改正。</w:t>
      </w:r>
    </w:p>
    <w:p w14:paraId="73A36658">
      <w:pPr>
        <w:spacing w:line="360" w:lineRule="auto"/>
        <w:ind w:firstLine="480" w:firstLineChars="200"/>
        <w:rPr>
          <w:rFonts w:hint="eastAsia" w:ascii="宋体" w:hAnsi="宋体" w:cs="宋体"/>
          <w:sz w:val="24"/>
        </w:rPr>
      </w:pPr>
      <w:r>
        <w:rPr>
          <w:rFonts w:hint="eastAsia" w:ascii="宋体" w:hAnsi="宋体" w:cs="宋体"/>
          <w:sz w:val="24"/>
        </w:rPr>
        <w:t>3）选择合适的方法对卫星数据进行多光谱波段和全色波段的融合，融合后的影像应同时具备良好的光谱信息和纹理信息。</w:t>
      </w:r>
    </w:p>
    <w:p w14:paraId="5E9A3374">
      <w:pPr>
        <w:spacing w:line="360" w:lineRule="auto"/>
        <w:ind w:firstLine="480" w:firstLineChars="200"/>
        <w:rPr>
          <w:rFonts w:hint="eastAsia" w:ascii="宋体" w:hAnsi="宋体" w:cs="宋体"/>
          <w:sz w:val="24"/>
        </w:rPr>
      </w:pPr>
      <w:r>
        <w:rPr>
          <w:rFonts w:hint="eastAsia" w:ascii="宋体" w:hAnsi="宋体" w:cs="宋体"/>
          <w:sz w:val="24"/>
        </w:rPr>
        <w:t>4）对已融合及正射校正后的卫星数据进行几何配准，使其满足1:5000比例尺遥感正射影像图制作精度要求，并保证各期数据在空间位置上能够精确匹配，配准误差控制在1个像素之内（配准基准数据由采购方提供）。</w:t>
      </w:r>
    </w:p>
    <w:p w14:paraId="5CB4E226">
      <w:pPr>
        <w:spacing w:line="360" w:lineRule="auto"/>
        <w:ind w:firstLine="480" w:firstLineChars="200"/>
        <w:rPr>
          <w:rFonts w:hint="eastAsia" w:ascii="宋体" w:hAnsi="宋体" w:cs="宋体"/>
          <w:sz w:val="24"/>
        </w:rPr>
      </w:pPr>
      <w:r>
        <w:rPr>
          <w:rFonts w:hint="eastAsia" w:ascii="宋体" w:hAnsi="宋体" w:cs="宋体"/>
          <w:sz w:val="24"/>
        </w:rPr>
        <w:t>5）将处理后的数据按照区县范围进行拼接。拼接过程中应进行必要的调色，使整张拼接影像色调一致，反差适中。</w:t>
      </w:r>
    </w:p>
    <w:p w14:paraId="2254B30F">
      <w:pPr>
        <w:spacing w:line="360" w:lineRule="auto"/>
        <w:ind w:firstLine="480" w:firstLineChars="200"/>
        <w:rPr>
          <w:rFonts w:hint="eastAsia" w:ascii="宋体" w:hAnsi="宋体" w:cs="宋体"/>
          <w:sz w:val="24"/>
        </w:rPr>
      </w:pPr>
      <w:r>
        <w:rPr>
          <w:rFonts w:hint="eastAsia" w:ascii="宋体" w:hAnsi="宋体" w:cs="宋体"/>
          <w:sz w:val="24"/>
        </w:rPr>
        <w:t>6）处理后的卫星数据平面坐标采用北京地方坐标系，高程系统采用1985国家高程基准，影像投影采用高斯-克吕格投影。</w:t>
      </w:r>
    </w:p>
    <w:p w14:paraId="26660577">
      <w:pPr>
        <w:spacing w:line="360" w:lineRule="auto"/>
        <w:rPr>
          <w:rFonts w:hint="eastAsia" w:ascii="宋体" w:hAnsi="宋体" w:cs="宋体"/>
          <w:b/>
          <w:sz w:val="24"/>
        </w:rPr>
      </w:pPr>
      <w:r>
        <w:rPr>
          <w:rFonts w:hint="eastAsia" w:ascii="宋体" w:hAnsi="宋体" w:cs="宋体"/>
          <w:b/>
          <w:sz w:val="24"/>
        </w:rPr>
        <w:t>2.4光学卫星数据提交成果要求</w:t>
      </w:r>
    </w:p>
    <w:p w14:paraId="32EC76DB">
      <w:pPr>
        <w:spacing w:line="360" w:lineRule="auto"/>
        <w:rPr>
          <w:rFonts w:ascii="宋体" w:cs="宋体"/>
          <w:sz w:val="24"/>
        </w:rPr>
      </w:pPr>
      <w:r>
        <w:rPr>
          <w:rFonts w:ascii="宋体" w:hAnsi="宋体" w:cs="宋体"/>
          <w:sz w:val="24"/>
        </w:rPr>
        <w:t>2.4.1</w:t>
      </w:r>
      <w:r>
        <w:rPr>
          <w:rFonts w:hint="eastAsia" w:ascii="宋体" w:hAnsi="宋体" w:cs="宋体"/>
          <w:sz w:val="24"/>
        </w:rPr>
        <w:t>提交成果应包括卫星影像原始文件和处理后影像成果文件两个部分，为方便使用，提供格式应为栅格数据通用格式，其中处理后影像成果除北京地方坐标系外须同时提供一套</w:t>
      </w:r>
      <w:r>
        <w:rPr>
          <w:rFonts w:ascii="宋体" w:hAnsi="宋体" w:cs="宋体"/>
          <w:sz w:val="24"/>
        </w:rPr>
        <w:t>cgcs2000</w:t>
      </w:r>
      <w:r>
        <w:rPr>
          <w:rFonts w:hint="eastAsia" w:ascii="宋体" w:hAnsi="宋体" w:cs="宋体"/>
          <w:sz w:val="24"/>
        </w:rPr>
        <w:t>坐标系成果。</w:t>
      </w:r>
    </w:p>
    <w:p w14:paraId="3498741E">
      <w:pPr>
        <w:spacing w:line="360" w:lineRule="auto"/>
        <w:rPr>
          <w:rFonts w:ascii="宋体" w:cs="宋体"/>
          <w:sz w:val="24"/>
        </w:rPr>
      </w:pPr>
      <w:r>
        <w:rPr>
          <w:rFonts w:ascii="宋体" w:hAnsi="宋体" w:cs="宋体"/>
          <w:sz w:val="24"/>
        </w:rPr>
        <w:t>2.4.2</w:t>
      </w:r>
      <w:r>
        <w:rPr>
          <w:rFonts w:hint="eastAsia" w:ascii="宋体" w:hAnsi="宋体" w:cs="宋体"/>
          <w:sz w:val="24"/>
        </w:rPr>
        <w:t>影像原始文件</w:t>
      </w:r>
    </w:p>
    <w:p w14:paraId="57AB8474">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）影像元数据文件：包括产品级别，影像角点坐标，投影信息和获取时间。</w:t>
      </w:r>
    </w:p>
    <w:p w14:paraId="6A054302">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）图像浏览文件：提供</w:t>
      </w:r>
      <w:r>
        <w:rPr>
          <w:rFonts w:ascii="宋体" w:hAnsi="宋体" w:cs="宋体"/>
          <w:sz w:val="24"/>
        </w:rPr>
        <w:t>JPG</w:t>
      </w:r>
      <w:r>
        <w:rPr>
          <w:rFonts w:hint="eastAsia" w:ascii="宋体" w:hAnsi="宋体" w:cs="宋体"/>
          <w:sz w:val="24"/>
        </w:rPr>
        <w:t>格式的缩略图，用于图像的快速浏览查看。</w:t>
      </w:r>
    </w:p>
    <w:p w14:paraId="66E8A101">
      <w:pPr>
        <w:spacing w:line="360" w:lineRule="auto"/>
        <w:ind w:firstLine="480" w:firstLineChars="200"/>
        <w:rPr>
          <w:rFonts w:ascii="宋体" w:cs="宋体"/>
          <w:sz w:val="24"/>
        </w:rPr>
      </w:pPr>
      <w:r>
        <w:rPr>
          <w:rFonts w:ascii="宋体" w:hAnsi="宋体" w:cs="宋体"/>
          <w:sz w:val="24"/>
        </w:rPr>
        <w:t>3</w:t>
      </w:r>
      <w:r>
        <w:rPr>
          <w:rFonts w:hint="eastAsia" w:ascii="宋体" w:hAnsi="宋体" w:cs="宋体"/>
          <w:sz w:val="24"/>
        </w:rPr>
        <w:t>）</w:t>
      </w:r>
      <w:r>
        <w:rPr>
          <w:rFonts w:ascii="宋体" w:hAnsi="宋体" w:cs="宋体"/>
          <w:sz w:val="24"/>
        </w:rPr>
        <w:t>RPC</w:t>
      </w:r>
      <w:r>
        <w:rPr>
          <w:rFonts w:hint="eastAsia" w:ascii="宋体" w:hAnsi="宋体" w:cs="宋体"/>
          <w:sz w:val="24"/>
        </w:rPr>
        <w:t>文件：提供包含了有理多项式系数文件，可用于构建有理函数成像模型。</w:t>
      </w:r>
    </w:p>
    <w:p w14:paraId="0575982E">
      <w:pPr>
        <w:spacing w:line="360" w:lineRule="auto"/>
        <w:ind w:firstLine="480" w:firstLineChars="200"/>
        <w:rPr>
          <w:rFonts w:ascii="宋体" w:cs="宋体"/>
          <w:sz w:val="24"/>
        </w:rPr>
      </w:pPr>
      <w:r>
        <w:rPr>
          <w:rFonts w:ascii="宋体" w:hAnsi="宋体" w:cs="宋体"/>
          <w:sz w:val="24"/>
        </w:rPr>
        <w:t>4</w:t>
      </w:r>
      <w:r>
        <w:rPr>
          <w:rFonts w:hint="eastAsia" w:ascii="宋体" w:hAnsi="宋体" w:cs="宋体"/>
          <w:sz w:val="24"/>
        </w:rPr>
        <w:t>）产品索引文件：包含所有文件索引信息。</w:t>
      </w:r>
    </w:p>
    <w:p w14:paraId="0B5BD702">
      <w:pPr>
        <w:spacing w:line="360" w:lineRule="auto"/>
        <w:ind w:firstLine="480" w:firstLineChars="200"/>
        <w:rPr>
          <w:rFonts w:ascii="宋体" w:cs="宋体"/>
          <w:sz w:val="24"/>
        </w:rPr>
      </w:pPr>
      <w:r>
        <w:rPr>
          <w:rFonts w:ascii="宋体" w:hAnsi="宋体" w:cs="宋体"/>
          <w:sz w:val="24"/>
        </w:rPr>
        <w:t>5</w:t>
      </w:r>
      <w:r>
        <w:rPr>
          <w:rFonts w:hint="eastAsia" w:ascii="宋体" w:hAnsi="宋体" w:cs="宋体"/>
          <w:sz w:val="24"/>
        </w:rPr>
        <w:t>）矢量边界文件：提供影像的矢量边界信息。</w:t>
      </w:r>
    </w:p>
    <w:p w14:paraId="5D542757">
      <w:pPr>
        <w:spacing w:line="360" w:lineRule="auto"/>
        <w:rPr>
          <w:rFonts w:ascii="宋体" w:cs="宋体"/>
          <w:sz w:val="24"/>
        </w:rPr>
      </w:pPr>
      <w:r>
        <w:rPr>
          <w:rFonts w:ascii="宋体" w:hAnsi="宋体" w:cs="宋体"/>
          <w:sz w:val="24"/>
        </w:rPr>
        <w:t>2.4.3</w:t>
      </w:r>
      <w:r>
        <w:rPr>
          <w:rFonts w:hint="eastAsia" w:ascii="宋体" w:hAnsi="宋体" w:cs="宋体"/>
          <w:sz w:val="24"/>
        </w:rPr>
        <w:t>影像成果文件</w:t>
      </w:r>
    </w:p>
    <w:p w14:paraId="0076169E">
      <w:pPr>
        <w:spacing w:line="360" w:lineRule="auto"/>
        <w:ind w:firstLine="480" w:firstLineChars="200"/>
        <w:rPr>
          <w:rFonts w:hint="eastAsia" w:ascii="宋体" w:hAnsi="宋体" w:cs="宋体"/>
          <w:sz w:val="24"/>
        </w:rPr>
      </w:pPr>
      <w:r>
        <w:rPr>
          <w:rFonts w:ascii="宋体" w:hAnsi="宋体" w:cs="宋体"/>
          <w:sz w:val="24"/>
        </w:rPr>
        <w:t>1</w:t>
      </w:r>
      <w:r>
        <w:rPr>
          <w:rFonts w:hint="eastAsia" w:ascii="宋体" w:hAnsi="宋体" w:cs="宋体"/>
          <w:sz w:val="24"/>
        </w:rPr>
        <w:t>）分景正射遥感影像</w:t>
      </w:r>
      <w:r>
        <w:rPr>
          <w:rFonts w:ascii="宋体" w:hAnsi="宋体" w:cs="宋体"/>
          <w:sz w:val="24"/>
        </w:rPr>
        <w:t>DOM</w:t>
      </w:r>
    </w:p>
    <w:p w14:paraId="4D4E4EFD">
      <w:pPr>
        <w:spacing w:line="360" w:lineRule="auto"/>
        <w:ind w:firstLine="480" w:firstLineChars="200"/>
        <w:rPr>
          <w:rFonts w:hint="eastAsia" w:ascii="宋体" w:hAnsi="宋体" w:cs="宋体"/>
          <w:sz w:val="24"/>
        </w:rPr>
      </w:pPr>
      <w:r>
        <w:rPr>
          <w:rFonts w:ascii="宋体" w:hAnsi="宋体" w:cs="宋体"/>
          <w:sz w:val="24"/>
        </w:rPr>
        <w:t>2</w:t>
      </w:r>
      <w:r>
        <w:rPr>
          <w:rFonts w:hint="eastAsia" w:ascii="宋体" w:hAnsi="宋体" w:cs="宋体"/>
          <w:sz w:val="24"/>
        </w:rPr>
        <w:t>）分区县全分辨率真彩色正射遥感影像</w:t>
      </w:r>
      <w:r>
        <w:rPr>
          <w:rFonts w:ascii="宋体" w:hAnsi="宋体" w:cs="宋体"/>
          <w:sz w:val="24"/>
        </w:rPr>
        <w:t>DOM</w:t>
      </w:r>
    </w:p>
    <w:p w14:paraId="50392477">
      <w:pPr>
        <w:spacing w:line="360" w:lineRule="auto"/>
        <w:rPr>
          <w:rFonts w:hint="eastAsia" w:ascii="宋体" w:hAnsi="宋体" w:cs="宋体"/>
          <w:b/>
          <w:sz w:val="24"/>
        </w:rPr>
      </w:pPr>
      <w:r>
        <w:rPr>
          <w:rFonts w:hint="eastAsia" w:ascii="宋体" w:hAnsi="宋体" w:cs="宋体"/>
          <w:b/>
          <w:sz w:val="24"/>
        </w:rPr>
        <w:t>2.5 SAR数据提交成果要求</w:t>
      </w:r>
    </w:p>
    <w:p w14:paraId="3B38C565">
      <w:pPr>
        <w:spacing w:line="360" w:lineRule="auto"/>
        <w:ind w:firstLine="480" w:firstLineChars="200"/>
        <w:rPr>
          <w:rFonts w:hint="eastAsia" w:ascii="宋体" w:hAnsi="宋体" w:cs="宋体"/>
          <w:sz w:val="24"/>
        </w:rPr>
      </w:pPr>
      <w:r>
        <w:rPr>
          <w:rFonts w:hint="eastAsia" w:ascii="宋体" w:hAnsi="宋体" w:cs="宋体"/>
          <w:sz w:val="24"/>
        </w:rPr>
        <w:t>1）SAR数据包含多视精细模式sar影像数据12景，超宽精细模式sar数据36景。</w:t>
      </w:r>
    </w:p>
    <w:p w14:paraId="0BF97735">
      <w:pPr>
        <w:widowControl/>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2）产品级别：slc</w:t>
      </w:r>
    </w:p>
    <w:p w14:paraId="7C5ED29D">
      <w:pPr>
        <w:spacing w:line="360" w:lineRule="auto"/>
        <w:rPr>
          <w:rFonts w:hint="eastAsia" w:ascii="宋体" w:hAnsi="宋体" w:cs="宋体"/>
          <w:b/>
          <w:sz w:val="24"/>
        </w:rPr>
      </w:pPr>
      <w:r>
        <w:rPr>
          <w:rFonts w:hint="eastAsia" w:ascii="宋体" w:hAnsi="宋体" w:cs="宋体"/>
          <w:b/>
          <w:sz w:val="24"/>
        </w:rPr>
        <w:t>三、服务期相关要求：</w:t>
      </w:r>
    </w:p>
    <w:p w14:paraId="5CC2D13C">
      <w:pPr>
        <w:spacing w:line="360" w:lineRule="auto"/>
        <w:rPr>
          <w:rFonts w:hint="eastAsia" w:ascii="宋体" w:hAnsi="宋体" w:cs="宋体"/>
          <w:b/>
          <w:sz w:val="24"/>
        </w:rPr>
      </w:pPr>
      <w:r>
        <w:rPr>
          <w:rFonts w:hint="eastAsia" w:ascii="宋体" w:hAnsi="宋体" w:cs="宋体"/>
          <w:color w:val="000000"/>
          <w:kern w:val="0"/>
          <w:sz w:val="24"/>
        </w:rPr>
        <w:t>★</w:t>
      </w:r>
      <w:r>
        <w:rPr>
          <w:rFonts w:hint="eastAsia" w:ascii="宋体" w:hAnsi="宋体" w:cs="宋体"/>
          <w:b/>
          <w:sz w:val="24"/>
        </w:rPr>
        <w:t>1、服务期要求：合同签订之日起至2026年11月30日前，完成本包全部工作内容。</w:t>
      </w:r>
    </w:p>
    <w:p w14:paraId="38E1E2E8">
      <w:pPr>
        <w:spacing w:line="360" w:lineRule="auto"/>
        <w:rPr>
          <w:rFonts w:hint="eastAsia" w:ascii="宋体" w:hAnsi="宋体" w:cs="宋体"/>
          <w:b/>
          <w:sz w:val="24"/>
        </w:rPr>
      </w:pPr>
      <w:r>
        <w:rPr>
          <w:rFonts w:hint="eastAsia" w:ascii="宋体" w:hAnsi="宋体" w:cs="宋体"/>
          <w:b/>
          <w:sz w:val="24"/>
        </w:rPr>
        <w:t>2、服务期内重要节点要求：</w:t>
      </w:r>
    </w:p>
    <w:p w14:paraId="4CCABEA3">
      <w:pPr>
        <w:spacing w:line="360" w:lineRule="auto"/>
        <w:ind w:firstLine="480" w:firstLineChars="200"/>
        <w:rPr>
          <w:rFonts w:hint="eastAsia" w:ascii="宋体" w:hAnsi="宋体" w:cs="宋体"/>
          <w:sz w:val="24"/>
        </w:rPr>
      </w:pPr>
      <w:r>
        <w:rPr>
          <w:rFonts w:hint="eastAsia" w:ascii="宋体" w:hAnsi="宋体" w:cs="宋体"/>
          <w:sz w:val="24"/>
        </w:rPr>
        <w:t>1）光学卫星数据应在2026年4月30日前提交所有成果。</w:t>
      </w:r>
    </w:p>
    <w:p w14:paraId="190063AF">
      <w:pPr>
        <w:spacing w:line="360" w:lineRule="auto"/>
        <w:ind w:firstLine="480" w:firstLineChars="200"/>
        <w:rPr>
          <w:rFonts w:hint="eastAsia" w:ascii="宋体" w:hAnsi="宋体" w:cs="宋体"/>
          <w:sz w:val="24"/>
        </w:rPr>
      </w:pPr>
      <w:r>
        <w:rPr>
          <w:rFonts w:hint="eastAsia" w:ascii="宋体" w:hAnsi="宋体" w:cs="宋体"/>
          <w:sz w:val="24"/>
        </w:rPr>
        <w:t>2）SAR数据应在2026年11月30日前提交所有成果。</w:t>
      </w:r>
    </w:p>
    <w:p w14:paraId="3EFCFCB4">
      <w:pPr>
        <w:spacing w:line="360" w:lineRule="auto"/>
        <w:ind w:firstLine="480" w:firstLineChars="200"/>
        <w:rPr>
          <w:rFonts w:hint="eastAsia" w:ascii="宋体" w:hAnsi="宋体" w:cs="宋体"/>
          <w:sz w:val="24"/>
        </w:rPr>
      </w:pPr>
    </w:p>
    <w:p w14:paraId="0A774DDA">
      <w:pPr>
        <w:spacing w:line="360" w:lineRule="auto"/>
        <w:rPr>
          <w:rFonts w:hint="eastAsia" w:ascii="宋体" w:hAnsi="宋体" w:cs="宋体"/>
          <w:b/>
          <w:sz w:val="24"/>
        </w:rPr>
      </w:pPr>
      <w:r>
        <w:rPr>
          <w:rFonts w:hint="eastAsia" w:ascii="宋体" w:hAnsi="宋体" w:cs="宋体"/>
          <w:b/>
          <w:sz w:val="24"/>
        </w:rPr>
        <w:t>四、对供应商的其他要求</w:t>
      </w:r>
    </w:p>
    <w:p w14:paraId="1DF24A1D">
      <w:pPr>
        <w:numPr>
          <w:ilvl w:val="0"/>
          <w:numId w:val="19"/>
        </w:numPr>
        <w:spacing w:line="360" w:lineRule="auto"/>
        <w:rPr>
          <w:rFonts w:hint="eastAsia" w:ascii="宋体" w:hAnsi="宋体" w:cs="宋体"/>
          <w:sz w:val="24"/>
        </w:rPr>
      </w:pPr>
      <w:bookmarkStart w:id="837" w:name="_Hlk128656116"/>
      <w:r>
        <w:rPr>
          <w:rFonts w:hint="eastAsia" w:ascii="宋体" w:hAnsi="宋体" w:cs="宋体"/>
          <w:sz w:val="24"/>
        </w:rPr>
        <w:t>供应商应针对本项目（包）拟派专业团队人员，团队总人数不得少于10人。其中须明确项目负责人岗位及职责，其需具备高级职称；团队其他人员需具备专业水平，可保障完成本项目（包）服务内容。</w:t>
      </w:r>
    </w:p>
    <w:p w14:paraId="7311EA90">
      <w:pPr>
        <w:numPr>
          <w:ilvl w:val="0"/>
          <w:numId w:val="19"/>
        </w:numPr>
        <w:spacing w:line="360" w:lineRule="auto"/>
        <w:rPr>
          <w:rFonts w:hint="eastAsia" w:ascii="宋体" w:hAnsi="宋体" w:cs="宋体"/>
          <w:kern w:val="0"/>
          <w:sz w:val="24"/>
        </w:rPr>
      </w:pPr>
      <w:r>
        <w:rPr>
          <w:rFonts w:hint="eastAsia" w:ascii="宋体" w:hAnsi="宋体" w:cs="宋体"/>
          <w:kern w:val="0"/>
          <w:sz w:val="24"/>
        </w:rPr>
        <w:t>供应商须提供完善的售后服务、技术支持，可针对项目中遇到的各种技术问题进行解决。</w:t>
      </w:r>
    </w:p>
    <w:p w14:paraId="116080B7">
      <w:pPr>
        <w:numPr>
          <w:ilvl w:val="0"/>
          <w:numId w:val="19"/>
        </w:numPr>
        <w:spacing w:line="360" w:lineRule="auto"/>
        <w:rPr>
          <w:rFonts w:hint="eastAsia" w:ascii="宋体" w:hAnsi="宋体" w:cs="宋体"/>
          <w:kern w:val="0"/>
          <w:sz w:val="24"/>
        </w:rPr>
      </w:pPr>
      <w:r>
        <w:rPr>
          <w:rFonts w:hint="eastAsia" w:ascii="宋体" w:hAnsi="宋体" w:cs="宋体"/>
          <w:kern w:val="0"/>
          <w:sz w:val="24"/>
        </w:rPr>
        <w:t>为了保障项目的时效性和方案的可实现性，供应商应阐述所采用的卫星数据的类型、幅宽、重访周期、敏捷拍摄能力、影像定位精度及卫星测控、任务规划、原始码流数据接收与处理、运营和管理等情况。</w:t>
      </w:r>
    </w:p>
    <w:p w14:paraId="3E369D42">
      <w:pPr>
        <w:numPr>
          <w:ilvl w:val="0"/>
          <w:numId w:val="19"/>
        </w:numPr>
        <w:spacing w:line="360" w:lineRule="auto"/>
        <w:rPr>
          <w:rFonts w:hint="eastAsia" w:ascii="宋体" w:hAnsi="宋体" w:cs="宋体"/>
          <w:kern w:val="0"/>
          <w:sz w:val="24"/>
        </w:rPr>
      </w:pPr>
      <w:r>
        <w:rPr>
          <w:rFonts w:hint="eastAsia" w:ascii="宋体" w:hAnsi="宋体" w:cs="宋体"/>
          <w:kern w:val="0"/>
          <w:sz w:val="24"/>
        </w:rPr>
        <w:t>应提供应急保障方案，对各种应急情况尤其是受天气影响造成数据接收困难时的应急措施。</w:t>
      </w:r>
    </w:p>
    <w:p w14:paraId="503BD055">
      <w:pPr>
        <w:numPr>
          <w:ilvl w:val="0"/>
          <w:numId w:val="19"/>
        </w:numPr>
        <w:spacing w:line="360" w:lineRule="auto"/>
        <w:rPr>
          <w:rFonts w:hint="eastAsia" w:ascii="宋体" w:hAnsi="宋体" w:cs="宋体"/>
          <w:kern w:val="0"/>
          <w:sz w:val="24"/>
        </w:rPr>
      </w:pPr>
      <w:r>
        <w:rPr>
          <w:rFonts w:hint="eastAsia" w:ascii="宋体" w:hAnsi="宋体" w:cs="宋体"/>
          <w:kern w:val="0"/>
          <w:sz w:val="24"/>
        </w:rPr>
        <w:t>本包采购需求中“★”号项有一项不满足，做无效投标处理。</w:t>
      </w:r>
    </w:p>
    <w:bookmarkEnd w:id="837"/>
    <w:p w14:paraId="21B4212D">
      <w:pPr>
        <w:spacing w:line="360" w:lineRule="auto"/>
        <w:ind w:firstLine="417" w:firstLineChars="174"/>
        <w:rPr>
          <w:rFonts w:hint="eastAsia" w:ascii="宋体" w:hAnsi="宋体" w:cs="宋体"/>
          <w:kern w:val="0"/>
          <w:sz w:val="24"/>
        </w:rPr>
      </w:pPr>
    </w:p>
    <w:p w14:paraId="16697C17">
      <w:pPr>
        <w:spacing w:line="360" w:lineRule="auto"/>
        <w:outlineLvl w:val="2"/>
        <w:rPr>
          <w:rFonts w:hint="eastAsia" w:ascii="宋体" w:hAnsi="宋体" w:cs="宋体"/>
          <w:sz w:val="24"/>
        </w:rPr>
      </w:pPr>
      <w:r>
        <w:rPr>
          <w:rFonts w:hint="eastAsia" w:ascii="宋体" w:hAnsi="宋体" w:cs="宋体"/>
          <w:kern w:val="0"/>
          <w:sz w:val="24"/>
        </w:rPr>
        <w:br w:type="page"/>
      </w:r>
      <w:bookmarkStart w:id="838" w:name="OLE_LINK27"/>
      <w:r>
        <w:rPr>
          <w:rFonts w:hint="eastAsia" w:ascii="宋体" w:hAnsi="宋体" w:cs="宋体"/>
          <w:b/>
          <w:color w:val="000000"/>
          <w:sz w:val="24"/>
        </w:rPr>
        <w:t>第七包：</w:t>
      </w:r>
      <w:bookmarkEnd w:id="838"/>
    </w:p>
    <w:p w14:paraId="67CA2F6E">
      <w:pPr>
        <w:spacing w:line="360" w:lineRule="auto"/>
        <w:rPr>
          <w:rFonts w:hint="eastAsia" w:ascii="宋体" w:hAnsi="宋体" w:cs="宋体"/>
          <w:b/>
          <w:bCs/>
          <w:sz w:val="24"/>
        </w:rPr>
      </w:pPr>
      <w:bookmarkStart w:id="839" w:name="OLE_LINK29"/>
      <w:bookmarkStart w:id="840" w:name="OLE_LINK28"/>
      <w:r>
        <w:rPr>
          <w:rFonts w:hint="eastAsia" w:ascii="宋体" w:hAnsi="宋体" w:cs="宋体"/>
          <w:b/>
          <w:bCs/>
          <w:sz w:val="24"/>
        </w:rPr>
        <w:t>一、项目背景</w:t>
      </w:r>
    </w:p>
    <w:p w14:paraId="528A8E30">
      <w:pPr>
        <w:spacing w:line="360" w:lineRule="auto"/>
        <w:ind w:firstLine="480" w:firstLineChars="200"/>
        <w:rPr>
          <w:rFonts w:hint="eastAsia" w:ascii="宋体" w:hAnsi="宋体" w:cs="宋体"/>
          <w:sz w:val="24"/>
        </w:rPr>
      </w:pPr>
      <w:r>
        <w:rPr>
          <w:rFonts w:hint="eastAsia" w:ascii="宋体" w:hAnsi="宋体" w:cs="宋体"/>
          <w:sz w:val="24"/>
        </w:rPr>
        <w:t>根据北京市地质矿产勘查院地质调查任务书的要求，对房山区和门头沟区12处采空塌陷区开展遥感监测、自动监测和人工监测，实时掌握采空塌陷区变化趋势，为北京市政府及地质灾害防治部门地灾防治工作提供技术支持。</w:t>
      </w:r>
    </w:p>
    <w:bookmarkEnd w:id="839"/>
    <w:bookmarkEnd w:id="840"/>
    <w:p w14:paraId="287DB19D">
      <w:pPr>
        <w:spacing w:line="360" w:lineRule="auto"/>
        <w:rPr>
          <w:rFonts w:hint="eastAsia" w:ascii="宋体" w:hAnsi="宋体" w:cs="宋体"/>
          <w:b/>
          <w:bCs/>
          <w:sz w:val="24"/>
        </w:rPr>
      </w:pPr>
      <w:r>
        <w:rPr>
          <w:rFonts w:hint="eastAsia" w:ascii="宋体" w:hAnsi="宋体" w:cs="宋体"/>
          <w:b/>
          <w:bCs/>
          <w:sz w:val="24"/>
        </w:rPr>
        <w:t>二、项目目标及任务</w:t>
      </w:r>
    </w:p>
    <w:p w14:paraId="79139645">
      <w:pPr>
        <w:spacing w:line="360" w:lineRule="auto"/>
        <w:ind w:firstLine="480" w:firstLineChars="200"/>
        <w:rPr>
          <w:rFonts w:hint="eastAsia" w:ascii="宋体" w:hAnsi="宋体" w:cs="宋体"/>
          <w:sz w:val="24"/>
        </w:rPr>
      </w:pPr>
      <w:r>
        <w:rPr>
          <w:rFonts w:hint="eastAsia" w:ascii="宋体" w:hAnsi="宋体" w:cs="宋体"/>
          <w:sz w:val="24"/>
        </w:rPr>
        <w:t>对房山区、门头沟区12处采空塌陷区开展一等水准测量，获取监测点高程变化量，实现对其地表沉降变化情况的定期监测。具体任务：</w:t>
      </w:r>
    </w:p>
    <w:p w14:paraId="7F78C4C8">
      <w:pPr>
        <w:numPr>
          <w:ilvl w:val="0"/>
          <w:numId w:val="20"/>
        </w:numPr>
        <w:spacing w:line="360" w:lineRule="auto"/>
        <w:ind w:firstLine="480" w:firstLineChars="200"/>
        <w:rPr>
          <w:rFonts w:hint="eastAsia" w:ascii="宋体" w:hAnsi="宋体" w:cs="宋体"/>
          <w:sz w:val="24"/>
        </w:rPr>
      </w:pPr>
      <w:r>
        <w:rPr>
          <w:rFonts w:hint="eastAsia" w:ascii="宋体" w:hAnsi="宋体" w:cs="宋体"/>
          <w:sz w:val="24"/>
        </w:rPr>
        <w:t>对房山区大安山乡大安山村、瞧煤涧村、史家营乡青土涧村、秋林铺村、史家营村、霞云岭乡司马台村白草畔景区、蒲洼乡东村、宝水村、东村108国道宝水段、周口店镇葫芦棚村，门头沟区清水镇上达摩村及王平镇南港村内已埋设的430处水准标石（其中基准标石36处，监测标石394处）开展四期一等水准测量；</w:t>
      </w:r>
    </w:p>
    <w:p w14:paraId="57222644">
      <w:pPr>
        <w:numPr>
          <w:ilvl w:val="0"/>
          <w:numId w:val="20"/>
        </w:numPr>
        <w:spacing w:line="360" w:lineRule="auto"/>
        <w:ind w:firstLine="480" w:firstLineChars="200"/>
        <w:rPr>
          <w:rFonts w:hint="eastAsia" w:ascii="宋体" w:hAnsi="宋体" w:cs="宋体"/>
          <w:sz w:val="24"/>
        </w:rPr>
      </w:pPr>
      <w:r>
        <w:rPr>
          <w:rFonts w:hint="eastAsia" w:ascii="宋体" w:hAnsi="宋体" w:cs="宋体"/>
          <w:sz w:val="24"/>
        </w:rPr>
        <w:t>对已安装的430处水准标石进行维护，对被损毁的或因遮挡等原因造成无法观测的监测点进行补埋，确保监测点标石满足水准测量要求。</w:t>
      </w:r>
    </w:p>
    <w:p w14:paraId="5422D10C">
      <w:pPr>
        <w:spacing w:line="360" w:lineRule="auto"/>
        <w:rPr>
          <w:rFonts w:hint="eastAsia" w:ascii="宋体" w:hAnsi="宋体" w:cs="宋体"/>
          <w:b/>
          <w:bCs/>
          <w:sz w:val="24"/>
        </w:rPr>
      </w:pPr>
      <w:r>
        <w:rPr>
          <w:rFonts w:hint="eastAsia" w:ascii="宋体" w:hAnsi="宋体" w:cs="宋体"/>
          <w:b/>
          <w:bCs/>
          <w:sz w:val="24"/>
        </w:rPr>
        <w:t>三、技术和服务要求</w:t>
      </w:r>
    </w:p>
    <w:p w14:paraId="56BAAB19">
      <w:pPr>
        <w:spacing w:line="360" w:lineRule="auto"/>
        <w:ind w:firstLine="480" w:firstLineChars="200"/>
        <w:rPr>
          <w:rFonts w:hint="eastAsia" w:ascii="宋体" w:hAnsi="宋体" w:cs="宋体"/>
          <w:sz w:val="24"/>
        </w:rPr>
      </w:pPr>
      <w:r>
        <w:rPr>
          <w:rFonts w:hint="eastAsia" w:ascii="宋体" w:hAnsi="宋体" w:cs="宋体"/>
          <w:sz w:val="24"/>
        </w:rPr>
        <w:t>（1）测量成果应符合《国家一、二等水准测量规范》（GB12897-2006）、《数字测绘成果质量要求》（GB/T17941-2008）和《数字测绘成果质量检查与验收》（GB/T18316-2008）等相关技术标准；</w:t>
      </w:r>
    </w:p>
    <w:p w14:paraId="5242D3F2">
      <w:pPr>
        <w:spacing w:line="360" w:lineRule="auto"/>
        <w:ind w:firstLine="480" w:firstLineChars="200"/>
        <w:rPr>
          <w:rFonts w:hint="eastAsia" w:ascii="宋体" w:hAnsi="宋体" w:cs="宋体"/>
          <w:sz w:val="24"/>
        </w:rPr>
      </w:pPr>
      <w:r>
        <w:rPr>
          <w:rFonts w:hint="eastAsia" w:ascii="宋体" w:hAnsi="宋体" w:cs="宋体"/>
          <w:sz w:val="24"/>
        </w:rPr>
        <w:t>（2）平差计算应使用稳定的基准点为起算，并检核独立闭合差及与2个以上的基准点相互附合差满足精度要求条件，确保起算数据的准确；平差前应检核观测数据是否准确可靠，检核合格后按严密平差的方法进行计算；平差后数据取位应精确到0.1mm。</w:t>
      </w:r>
    </w:p>
    <w:p w14:paraId="68C9BA09">
      <w:pPr>
        <w:spacing w:line="360" w:lineRule="auto"/>
        <w:rPr>
          <w:rFonts w:hint="eastAsia" w:ascii="宋体" w:hAnsi="宋体" w:cs="宋体"/>
          <w:b/>
          <w:bCs/>
          <w:sz w:val="24"/>
        </w:rPr>
      </w:pPr>
      <w:r>
        <w:rPr>
          <w:rFonts w:hint="eastAsia" w:ascii="宋体" w:hAnsi="宋体" w:cs="宋体"/>
          <w:b/>
          <w:bCs/>
          <w:sz w:val="24"/>
        </w:rPr>
        <w:t>四、提交成果</w:t>
      </w:r>
    </w:p>
    <w:p w14:paraId="1DF2E448">
      <w:pPr>
        <w:spacing w:line="360" w:lineRule="auto"/>
        <w:ind w:firstLine="480" w:firstLineChars="200"/>
        <w:rPr>
          <w:rFonts w:hint="eastAsia" w:ascii="宋体" w:hAnsi="宋体" w:cs="宋体"/>
          <w:sz w:val="24"/>
        </w:rPr>
      </w:pPr>
      <w:r>
        <w:rPr>
          <w:rFonts w:hint="eastAsia" w:ascii="宋体" w:hAnsi="宋体" w:cs="宋体"/>
          <w:sz w:val="24"/>
        </w:rPr>
        <w:t>（1）2026年11月30日前提交《北京市突发地质灾害监测预警系统工程采空塌陷灾害地表变形人工监测服务（2026年）报告》，报告应对工作任务完成情况、采用的技术方法以及各水准标石的测量结果进行详细分析及阐述，并以附件的形式附所有测点的一等水准测量高程测量值和变化值数据表（见附件1）；</w:t>
      </w:r>
    </w:p>
    <w:p w14:paraId="0A2C5F0C">
      <w:pPr>
        <w:spacing w:line="360" w:lineRule="auto"/>
        <w:ind w:firstLine="480" w:firstLineChars="200"/>
        <w:rPr>
          <w:rFonts w:hint="eastAsia" w:ascii="宋体" w:hAnsi="宋体" w:cs="宋体"/>
          <w:bCs/>
          <w:sz w:val="24"/>
        </w:rPr>
      </w:pPr>
      <w:r>
        <w:rPr>
          <w:rFonts w:hint="eastAsia" w:ascii="宋体" w:hAnsi="宋体" w:cs="宋体"/>
          <w:bCs/>
          <w:sz w:val="24"/>
        </w:rPr>
        <w:t>（2）每期一等水准测量工作完成后一周内提交人工监测简报</w:t>
      </w:r>
      <w:r>
        <w:rPr>
          <w:rFonts w:hint="eastAsia" w:ascii="宋体" w:hAnsi="宋体" w:cs="宋体"/>
          <w:sz w:val="24"/>
        </w:rPr>
        <w:t>；</w:t>
      </w:r>
    </w:p>
    <w:p w14:paraId="63470E5F">
      <w:pPr>
        <w:spacing w:line="360" w:lineRule="auto"/>
        <w:ind w:firstLine="480"/>
        <w:rPr>
          <w:rFonts w:hint="eastAsia" w:ascii="宋体" w:hAnsi="宋体" w:cs="宋体"/>
          <w:bCs/>
          <w:sz w:val="24"/>
        </w:rPr>
      </w:pPr>
      <w:r>
        <w:rPr>
          <w:rFonts w:hint="eastAsia" w:ascii="宋体" w:hAnsi="宋体" w:cs="宋体"/>
          <w:bCs/>
          <w:sz w:val="24"/>
        </w:rPr>
        <w:t>以上成果形式需同时提交电子版和纸质版化两种格式。</w:t>
      </w:r>
    </w:p>
    <w:p w14:paraId="37FF4980">
      <w:pPr>
        <w:spacing w:line="360" w:lineRule="auto"/>
        <w:rPr>
          <w:rFonts w:hint="eastAsia" w:ascii="宋体" w:hAnsi="宋体" w:cs="宋体"/>
          <w:b/>
          <w:bCs/>
          <w:sz w:val="24"/>
        </w:rPr>
      </w:pPr>
      <w:r>
        <w:rPr>
          <w:rFonts w:hint="eastAsia" w:ascii="宋体" w:hAnsi="宋体" w:cs="宋体"/>
          <w:b/>
          <w:bCs/>
          <w:sz w:val="24"/>
        </w:rPr>
        <w:t>五、其他要求</w:t>
      </w:r>
    </w:p>
    <w:p w14:paraId="57B3780F">
      <w:pPr>
        <w:spacing w:line="360" w:lineRule="auto"/>
        <w:ind w:firstLine="480" w:firstLineChars="200"/>
        <w:rPr>
          <w:rFonts w:hint="eastAsia" w:ascii="宋体" w:hAnsi="宋体" w:cs="宋体"/>
          <w:sz w:val="24"/>
        </w:rPr>
      </w:pPr>
      <w:r>
        <w:rPr>
          <w:rFonts w:hint="eastAsia" w:ascii="宋体" w:hAnsi="宋体" w:cs="宋体"/>
          <w:sz w:val="24"/>
        </w:rPr>
        <w:t>中标商应配合招标人完成与本包工作相关任务，以确保项目的顺利完成；中标商须提供完善的售后服务、技术支持，可针对项目中遇到的各种技术问题提供解决方案。</w:t>
      </w:r>
    </w:p>
    <w:p w14:paraId="0E63C611">
      <w:pPr>
        <w:spacing w:line="360" w:lineRule="auto"/>
        <w:jc w:val="center"/>
        <w:outlineLvl w:val="0"/>
        <w:rPr>
          <w:rFonts w:hint="eastAsia" w:ascii="宋体" w:hAnsi="宋体" w:cs="宋体"/>
          <w:b/>
          <w:sz w:val="24"/>
        </w:rPr>
        <w:sectPr>
          <w:pgSz w:w="11907" w:h="16840"/>
          <w:pgMar w:top="1418" w:right="1134" w:bottom="1418" w:left="1701" w:header="851" w:footer="851" w:gutter="0"/>
          <w:cols w:space="720" w:num="1"/>
          <w:docGrid w:linePitch="462" w:charSpace="0"/>
        </w:sectPr>
      </w:pPr>
    </w:p>
    <w:p w14:paraId="11F3483D">
      <w:pPr>
        <w:spacing w:line="360" w:lineRule="auto"/>
        <w:rPr>
          <w:rFonts w:cs="黑体"/>
          <w:b/>
          <w:sz w:val="24"/>
        </w:rPr>
      </w:pPr>
      <w:r>
        <w:rPr>
          <w:rFonts w:hint="eastAsia"/>
          <w:snapToGrid w:val="0"/>
          <w:kern w:val="0"/>
          <w:sz w:val="24"/>
        </w:rPr>
        <w:t xml:space="preserve">附件1  </w:t>
      </w:r>
      <w:r>
        <w:rPr>
          <w:rFonts w:hint="eastAsia" w:cs="黑体"/>
          <w:b/>
          <w:sz w:val="24"/>
        </w:rPr>
        <w:t xml:space="preserve">     </w:t>
      </w:r>
    </w:p>
    <w:p w14:paraId="3D26FCB7">
      <w:pPr>
        <w:spacing w:line="360" w:lineRule="auto"/>
        <w:jc w:val="center"/>
        <w:rPr>
          <w:rFonts w:cs="黑体"/>
          <w:b/>
          <w:sz w:val="24"/>
        </w:rPr>
      </w:pPr>
      <w:r>
        <w:rPr>
          <w:rFonts w:hint="eastAsia" w:cs="黑体"/>
          <w:b/>
          <w:sz w:val="24"/>
        </w:rPr>
        <w:t>×××采空塌陷区2026年度一等水准测量数据记录表</w:t>
      </w:r>
    </w:p>
    <w:tbl>
      <w:tblPr>
        <w:tblStyle w:val="42"/>
        <w:tblW w:w="14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2"/>
        <w:gridCol w:w="1303"/>
        <w:gridCol w:w="1303"/>
        <w:gridCol w:w="1303"/>
        <w:gridCol w:w="1303"/>
        <w:gridCol w:w="1303"/>
        <w:gridCol w:w="1303"/>
        <w:gridCol w:w="1303"/>
        <w:gridCol w:w="1303"/>
        <w:gridCol w:w="1308"/>
        <w:gridCol w:w="1478"/>
      </w:tblGrid>
      <w:tr w14:paraId="3A68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922" w:type="dxa"/>
            <w:vMerge w:val="restart"/>
          </w:tcPr>
          <w:p w14:paraId="1BB9C6EF">
            <w:pPr>
              <w:widowControl/>
              <w:kinsoku w:val="0"/>
              <w:autoSpaceDE w:val="0"/>
              <w:autoSpaceDN w:val="0"/>
              <w:adjustRightInd w:val="0"/>
              <w:snapToGrid w:val="0"/>
              <w:spacing w:line="360" w:lineRule="auto"/>
              <w:jc w:val="center"/>
              <w:textAlignment w:val="baseline"/>
              <w:rPr>
                <w:rFonts w:cs="Arial"/>
                <w:b/>
                <w:snapToGrid w:val="0"/>
                <w:color w:val="000000"/>
                <w:kern w:val="0"/>
                <w:sz w:val="24"/>
                <w:lang w:eastAsia="en-US"/>
              </w:rPr>
            </w:pPr>
            <w:r>
              <w:rPr>
                <w:rFonts w:cs="Arial"/>
                <w:b/>
                <w:snapToGrid w:val="0"/>
                <w:color w:val="000000"/>
                <w:spacing w:val="-8"/>
                <w:kern w:val="0"/>
                <w:sz w:val="24"/>
                <w:lang w:eastAsia="en-US"/>
              </w:rPr>
              <w:t>点号</w:t>
            </w:r>
          </w:p>
        </w:tc>
        <w:tc>
          <w:tcPr>
            <w:tcW w:w="6515" w:type="dxa"/>
            <w:gridSpan w:val="5"/>
          </w:tcPr>
          <w:p w14:paraId="4111791E">
            <w:pPr>
              <w:widowControl/>
              <w:kinsoku w:val="0"/>
              <w:autoSpaceDE w:val="0"/>
              <w:autoSpaceDN w:val="0"/>
              <w:adjustRightInd w:val="0"/>
              <w:snapToGrid w:val="0"/>
              <w:spacing w:line="360" w:lineRule="auto"/>
              <w:ind w:left="1720"/>
              <w:jc w:val="left"/>
              <w:textAlignment w:val="baseline"/>
              <w:rPr>
                <w:rFonts w:cs="Arial"/>
                <w:b/>
                <w:snapToGrid w:val="0"/>
                <w:color w:val="000000"/>
                <w:kern w:val="0"/>
                <w:sz w:val="24"/>
                <w:lang w:eastAsia="en-US"/>
              </w:rPr>
            </w:pPr>
            <w:r>
              <w:rPr>
                <w:rFonts w:cs="Arial"/>
                <w:b/>
                <w:snapToGrid w:val="0"/>
                <w:color w:val="000000"/>
                <w:spacing w:val="3"/>
                <w:kern w:val="0"/>
                <w:sz w:val="24"/>
                <w:lang w:eastAsia="en-US"/>
              </w:rPr>
              <w:t>监测点</w:t>
            </w:r>
            <w:r>
              <w:rPr>
                <w:rFonts w:hint="eastAsia" w:cs="Arial"/>
                <w:b/>
                <w:snapToGrid w:val="0"/>
                <w:color w:val="000000"/>
                <w:spacing w:val="3"/>
                <w:kern w:val="0"/>
                <w:sz w:val="24"/>
              </w:rPr>
              <w:t>高程</w:t>
            </w:r>
            <w:r>
              <w:rPr>
                <w:rFonts w:cs="Arial"/>
                <w:b/>
                <w:snapToGrid w:val="0"/>
                <w:color w:val="000000"/>
                <w:spacing w:val="3"/>
                <w:kern w:val="0"/>
                <w:sz w:val="24"/>
                <w:lang w:eastAsia="en-US"/>
              </w:rPr>
              <w:t>（m）</w:t>
            </w:r>
          </w:p>
        </w:tc>
        <w:tc>
          <w:tcPr>
            <w:tcW w:w="5217" w:type="dxa"/>
            <w:gridSpan w:val="4"/>
          </w:tcPr>
          <w:p w14:paraId="566059E0">
            <w:pPr>
              <w:widowControl/>
              <w:kinsoku w:val="0"/>
              <w:autoSpaceDE w:val="0"/>
              <w:autoSpaceDN w:val="0"/>
              <w:adjustRightInd w:val="0"/>
              <w:snapToGrid w:val="0"/>
              <w:spacing w:line="360" w:lineRule="auto"/>
              <w:ind w:left="2186"/>
              <w:jc w:val="left"/>
              <w:textAlignment w:val="baseline"/>
              <w:rPr>
                <w:rFonts w:cs="Arial"/>
                <w:b/>
                <w:snapToGrid w:val="0"/>
                <w:color w:val="000000"/>
                <w:kern w:val="0"/>
                <w:sz w:val="24"/>
                <w:lang w:eastAsia="en-US"/>
              </w:rPr>
            </w:pPr>
            <w:r>
              <w:rPr>
                <w:rFonts w:cs="Arial"/>
                <w:b/>
                <w:snapToGrid w:val="0"/>
                <w:color w:val="000000"/>
                <w:spacing w:val="-6"/>
                <w:kern w:val="0"/>
                <w:sz w:val="24"/>
                <w:lang w:eastAsia="en-US"/>
              </w:rPr>
              <w:t>形变量（mm）</w:t>
            </w:r>
          </w:p>
        </w:tc>
        <w:tc>
          <w:tcPr>
            <w:tcW w:w="1478" w:type="dxa"/>
            <w:vMerge w:val="restart"/>
          </w:tcPr>
          <w:p w14:paraId="4964C862">
            <w:pPr>
              <w:widowControl/>
              <w:kinsoku w:val="0"/>
              <w:autoSpaceDE w:val="0"/>
              <w:autoSpaceDN w:val="0"/>
              <w:adjustRightInd w:val="0"/>
              <w:snapToGrid w:val="0"/>
              <w:spacing w:line="360" w:lineRule="auto"/>
              <w:ind w:left="378" w:right="172" w:hanging="160"/>
              <w:jc w:val="left"/>
              <w:textAlignment w:val="baseline"/>
              <w:rPr>
                <w:rFonts w:cs="微软雅黑"/>
                <w:b/>
                <w:snapToGrid w:val="0"/>
                <w:color w:val="000000"/>
                <w:kern w:val="0"/>
                <w:sz w:val="24"/>
                <w:lang w:eastAsia="en-US"/>
              </w:rPr>
            </w:pPr>
            <w:r>
              <w:rPr>
                <w:rFonts w:cs="Arial"/>
                <w:b/>
                <w:snapToGrid w:val="0"/>
                <w:color w:val="000000"/>
                <w:spacing w:val="-5"/>
                <w:kern w:val="0"/>
                <w:sz w:val="24"/>
                <w:lang w:eastAsia="en-US"/>
              </w:rPr>
              <w:t>累计形变量</w:t>
            </w:r>
            <w:r>
              <w:rPr>
                <w:rFonts w:cs="Arial"/>
                <w:b/>
                <w:snapToGrid w:val="0"/>
                <w:color w:val="000000"/>
                <w:spacing w:val="1"/>
                <w:kern w:val="0"/>
                <w:sz w:val="24"/>
                <w:lang w:eastAsia="en-US"/>
              </w:rPr>
              <w:t xml:space="preserve"> </w:t>
            </w:r>
            <w:r>
              <w:rPr>
                <w:rFonts w:cs="Arial"/>
                <w:b/>
                <w:snapToGrid w:val="0"/>
                <w:color w:val="000000"/>
                <w:spacing w:val="-6"/>
                <w:kern w:val="0"/>
                <w:sz w:val="24"/>
                <w:lang w:eastAsia="en-US"/>
              </w:rPr>
              <w:t>（mm）</w:t>
            </w:r>
          </w:p>
        </w:tc>
      </w:tr>
      <w:tr w14:paraId="6F80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922" w:type="dxa"/>
            <w:vMerge w:val="continue"/>
          </w:tcPr>
          <w:p w14:paraId="47DC2924">
            <w:pPr>
              <w:autoSpaceDE w:val="0"/>
              <w:autoSpaceDN w:val="0"/>
              <w:spacing w:line="360" w:lineRule="auto"/>
              <w:rPr>
                <w:bCs/>
                <w:sz w:val="24"/>
              </w:rPr>
            </w:pPr>
          </w:p>
        </w:tc>
        <w:tc>
          <w:tcPr>
            <w:tcW w:w="1303" w:type="dxa"/>
          </w:tcPr>
          <w:p w14:paraId="64231AC6">
            <w:pPr>
              <w:widowControl/>
              <w:kinsoku w:val="0"/>
              <w:autoSpaceDE w:val="0"/>
              <w:autoSpaceDN w:val="0"/>
              <w:adjustRightInd w:val="0"/>
              <w:snapToGrid w:val="0"/>
              <w:spacing w:line="360" w:lineRule="auto"/>
              <w:jc w:val="center"/>
              <w:textAlignment w:val="baseline"/>
              <w:rPr>
                <w:rFonts w:cs="Arial"/>
                <w:b/>
                <w:snapToGrid w:val="0"/>
                <w:color w:val="000000"/>
                <w:kern w:val="0"/>
                <w:sz w:val="24"/>
              </w:rPr>
            </w:pPr>
            <w:r>
              <w:rPr>
                <w:rFonts w:hint="eastAsia" w:cs="Arial"/>
                <w:b/>
                <w:snapToGrid w:val="0"/>
                <w:color w:val="000000"/>
                <w:spacing w:val="-6"/>
                <w:kern w:val="0"/>
                <w:sz w:val="24"/>
              </w:rPr>
              <w:t>2025-11</w:t>
            </w:r>
          </w:p>
        </w:tc>
        <w:tc>
          <w:tcPr>
            <w:tcW w:w="1303" w:type="dxa"/>
          </w:tcPr>
          <w:p w14:paraId="31C70FD2">
            <w:pPr>
              <w:widowControl/>
              <w:kinsoku w:val="0"/>
              <w:autoSpaceDE w:val="0"/>
              <w:autoSpaceDN w:val="0"/>
              <w:adjustRightInd w:val="0"/>
              <w:snapToGrid w:val="0"/>
              <w:spacing w:line="360" w:lineRule="auto"/>
              <w:jc w:val="center"/>
              <w:textAlignment w:val="baseline"/>
              <w:rPr>
                <w:rFonts w:cs="Arial"/>
                <w:b/>
                <w:snapToGrid w:val="0"/>
                <w:color w:val="000000"/>
                <w:spacing w:val="-6"/>
                <w:kern w:val="0"/>
                <w:sz w:val="24"/>
              </w:rPr>
            </w:pPr>
            <w:r>
              <w:rPr>
                <w:rFonts w:hint="eastAsia" w:cs="Arial"/>
                <w:b/>
                <w:snapToGrid w:val="0"/>
                <w:color w:val="000000"/>
                <w:spacing w:val="-6"/>
                <w:kern w:val="0"/>
                <w:sz w:val="24"/>
              </w:rPr>
              <w:t>2026-5</w:t>
            </w:r>
          </w:p>
        </w:tc>
        <w:tc>
          <w:tcPr>
            <w:tcW w:w="1303" w:type="dxa"/>
          </w:tcPr>
          <w:p w14:paraId="3CB6C8BA">
            <w:pPr>
              <w:widowControl/>
              <w:kinsoku w:val="0"/>
              <w:autoSpaceDE w:val="0"/>
              <w:autoSpaceDN w:val="0"/>
              <w:adjustRightInd w:val="0"/>
              <w:snapToGrid w:val="0"/>
              <w:spacing w:line="360" w:lineRule="auto"/>
              <w:jc w:val="center"/>
              <w:textAlignment w:val="baseline"/>
              <w:rPr>
                <w:rFonts w:cs="Arial"/>
                <w:b/>
                <w:snapToGrid w:val="0"/>
                <w:color w:val="000000"/>
                <w:kern w:val="0"/>
                <w:sz w:val="24"/>
                <w:lang w:eastAsia="en-US"/>
              </w:rPr>
            </w:pPr>
            <w:r>
              <w:rPr>
                <w:rFonts w:hint="eastAsia" w:cs="Arial"/>
                <w:b/>
                <w:snapToGrid w:val="0"/>
                <w:color w:val="000000"/>
                <w:spacing w:val="-6"/>
                <w:kern w:val="0"/>
                <w:sz w:val="24"/>
              </w:rPr>
              <w:t>2026-7</w:t>
            </w:r>
          </w:p>
        </w:tc>
        <w:tc>
          <w:tcPr>
            <w:tcW w:w="1303" w:type="dxa"/>
          </w:tcPr>
          <w:p w14:paraId="4B3F4E74">
            <w:pPr>
              <w:widowControl/>
              <w:kinsoku w:val="0"/>
              <w:autoSpaceDE w:val="0"/>
              <w:autoSpaceDN w:val="0"/>
              <w:adjustRightInd w:val="0"/>
              <w:snapToGrid w:val="0"/>
              <w:spacing w:line="360" w:lineRule="auto"/>
              <w:jc w:val="center"/>
              <w:textAlignment w:val="baseline"/>
              <w:rPr>
                <w:rFonts w:cs="Arial"/>
                <w:b/>
                <w:snapToGrid w:val="0"/>
                <w:color w:val="000000"/>
                <w:kern w:val="0"/>
                <w:sz w:val="24"/>
                <w:lang w:eastAsia="en-US"/>
              </w:rPr>
            </w:pPr>
            <w:r>
              <w:rPr>
                <w:rFonts w:hint="eastAsia" w:cs="Arial"/>
                <w:b/>
                <w:snapToGrid w:val="0"/>
                <w:color w:val="000000"/>
                <w:spacing w:val="-6"/>
                <w:kern w:val="0"/>
                <w:sz w:val="24"/>
              </w:rPr>
              <w:t>2026-8</w:t>
            </w:r>
          </w:p>
        </w:tc>
        <w:tc>
          <w:tcPr>
            <w:tcW w:w="1303" w:type="dxa"/>
          </w:tcPr>
          <w:p w14:paraId="56B18B89">
            <w:pPr>
              <w:widowControl/>
              <w:kinsoku w:val="0"/>
              <w:autoSpaceDE w:val="0"/>
              <w:autoSpaceDN w:val="0"/>
              <w:adjustRightInd w:val="0"/>
              <w:snapToGrid w:val="0"/>
              <w:spacing w:line="360" w:lineRule="auto"/>
              <w:jc w:val="center"/>
              <w:textAlignment w:val="baseline"/>
              <w:rPr>
                <w:rFonts w:cs="Arial"/>
                <w:b/>
                <w:snapToGrid w:val="0"/>
                <w:color w:val="000000"/>
                <w:kern w:val="0"/>
                <w:sz w:val="24"/>
                <w:lang w:eastAsia="en-US"/>
              </w:rPr>
            </w:pPr>
            <w:r>
              <w:rPr>
                <w:rFonts w:hint="eastAsia" w:cs="Arial"/>
                <w:b/>
                <w:snapToGrid w:val="0"/>
                <w:color w:val="000000"/>
                <w:spacing w:val="-6"/>
                <w:kern w:val="0"/>
                <w:sz w:val="24"/>
              </w:rPr>
              <w:t>2026-10</w:t>
            </w:r>
          </w:p>
        </w:tc>
        <w:tc>
          <w:tcPr>
            <w:tcW w:w="1303" w:type="dxa"/>
          </w:tcPr>
          <w:p w14:paraId="7442E6F9">
            <w:pPr>
              <w:widowControl/>
              <w:kinsoku w:val="0"/>
              <w:autoSpaceDE w:val="0"/>
              <w:autoSpaceDN w:val="0"/>
              <w:adjustRightInd w:val="0"/>
              <w:snapToGrid w:val="0"/>
              <w:spacing w:line="360" w:lineRule="auto"/>
              <w:jc w:val="center"/>
              <w:textAlignment w:val="baseline"/>
              <w:rPr>
                <w:rFonts w:cs="Arial"/>
                <w:b/>
                <w:snapToGrid w:val="0"/>
                <w:color w:val="000000"/>
                <w:kern w:val="0"/>
                <w:sz w:val="24"/>
                <w:lang w:eastAsia="en-US"/>
              </w:rPr>
            </w:pPr>
            <w:r>
              <w:rPr>
                <w:rFonts w:hint="eastAsia" w:cs="Arial"/>
                <w:b/>
                <w:snapToGrid w:val="0"/>
                <w:color w:val="000000"/>
                <w:spacing w:val="-6"/>
                <w:kern w:val="0"/>
                <w:sz w:val="24"/>
              </w:rPr>
              <w:t>2026-5</w:t>
            </w:r>
          </w:p>
        </w:tc>
        <w:tc>
          <w:tcPr>
            <w:tcW w:w="1303" w:type="dxa"/>
          </w:tcPr>
          <w:p w14:paraId="45A3E75A">
            <w:pPr>
              <w:widowControl/>
              <w:kinsoku w:val="0"/>
              <w:autoSpaceDE w:val="0"/>
              <w:autoSpaceDN w:val="0"/>
              <w:adjustRightInd w:val="0"/>
              <w:snapToGrid w:val="0"/>
              <w:spacing w:line="360" w:lineRule="auto"/>
              <w:jc w:val="center"/>
              <w:textAlignment w:val="baseline"/>
              <w:rPr>
                <w:rFonts w:cs="Arial"/>
                <w:b/>
                <w:snapToGrid w:val="0"/>
                <w:color w:val="000000"/>
                <w:kern w:val="0"/>
                <w:sz w:val="24"/>
                <w:lang w:eastAsia="en-US"/>
              </w:rPr>
            </w:pPr>
            <w:r>
              <w:rPr>
                <w:rFonts w:hint="eastAsia" w:cs="Arial"/>
                <w:b/>
                <w:snapToGrid w:val="0"/>
                <w:color w:val="000000"/>
                <w:spacing w:val="-6"/>
                <w:kern w:val="0"/>
                <w:sz w:val="24"/>
              </w:rPr>
              <w:t>2026-7</w:t>
            </w:r>
          </w:p>
        </w:tc>
        <w:tc>
          <w:tcPr>
            <w:tcW w:w="1303" w:type="dxa"/>
          </w:tcPr>
          <w:p w14:paraId="3BEF3C24">
            <w:pPr>
              <w:widowControl/>
              <w:kinsoku w:val="0"/>
              <w:autoSpaceDE w:val="0"/>
              <w:autoSpaceDN w:val="0"/>
              <w:adjustRightInd w:val="0"/>
              <w:snapToGrid w:val="0"/>
              <w:spacing w:line="360" w:lineRule="auto"/>
              <w:jc w:val="center"/>
              <w:textAlignment w:val="baseline"/>
              <w:rPr>
                <w:rFonts w:cs="Arial"/>
                <w:b/>
                <w:snapToGrid w:val="0"/>
                <w:color w:val="000000"/>
                <w:kern w:val="0"/>
                <w:sz w:val="24"/>
                <w:lang w:eastAsia="en-US"/>
              </w:rPr>
            </w:pPr>
            <w:r>
              <w:rPr>
                <w:rFonts w:hint="eastAsia" w:cs="Arial"/>
                <w:b/>
                <w:snapToGrid w:val="0"/>
                <w:color w:val="000000"/>
                <w:spacing w:val="-6"/>
                <w:kern w:val="0"/>
                <w:sz w:val="24"/>
              </w:rPr>
              <w:t>2026-8</w:t>
            </w:r>
          </w:p>
        </w:tc>
        <w:tc>
          <w:tcPr>
            <w:tcW w:w="1308" w:type="dxa"/>
          </w:tcPr>
          <w:p w14:paraId="63E2FFC0">
            <w:pPr>
              <w:widowControl/>
              <w:kinsoku w:val="0"/>
              <w:autoSpaceDE w:val="0"/>
              <w:autoSpaceDN w:val="0"/>
              <w:adjustRightInd w:val="0"/>
              <w:snapToGrid w:val="0"/>
              <w:spacing w:line="360" w:lineRule="auto"/>
              <w:jc w:val="center"/>
              <w:textAlignment w:val="baseline"/>
              <w:rPr>
                <w:rFonts w:cs="Arial"/>
                <w:b/>
                <w:snapToGrid w:val="0"/>
                <w:color w:val="000000"/>
                <w:kern w:val="0"/>
                <w:sz w:val="24"/>
                <w:lang w:eastAsia="en-US"/>
              </w:rPr>
            </w:pPr>
            <w:r>
              <w:rPr>
                <w:rFonts w:hint="eastAsia" w:cs="Arial"/>
                <w:b/>
                <w:snapToGrid w:val="0"/>
                <w:color w:val="000000"/>
                <w:spacing w:val="-6"/>
                <w:kern w:val="0"/>
                <w:sz w:val="24"/>
              </w:rPr>
              <w:t>2026-10</w:t>
            </w:r>
          </w:p>
        </w:tc>
        <w:tc>
          <w:tcPr>
            <w:tcW w:w="1478" w:type="dxa"/>
            <w:vMerge w:val="continue"/>
          </w:tcPr>
          <w:p w14:paraId="167A5E51">
            <w:pPr>
              <w:autoSpaceDE w:val="0"/>
              <w:autoSpaceDN w:val="0"/>
              <w:spacing w:line="360" w:lineRule="auto"/>
              <w:rPr>
                <w:bCs/>
                <w:sz w:val="24"/>
              </w:rPr>
            </w:pPr>
          </w:p>
        </w:tc>
      </w:tr>
      <w:tr w14:paraId="18B6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922" w:type="dxa"/>
          </w:tcPr>
          <w:p w14:paraId="426A5BFA">
            <w:pPr>
              <w:autoSpaceDE w:val="0"/>
              <w:autoSpaceDN w:val="0"/>
              <w:spacing w:line="360" w:lineRule="auto"/>
              <w:rPr>
                <w:rFonts w:cs="微软雅黑"/>
                <w:bCs/>
                <w:sz w:val="24"/>
              </w:rPr>
            </w:pPr>
          </w:p>
        </w:tc>
        <w:tc>
          <w:tcPr>
            <w:tcW w:w="1303" w:type="dxa"/>
          </w:tcPr>
          <w:p w14:paraId="05576BA7">
            <w:pPr>
              <w:autoSpaceDE w:val="0"/>
              <w:autoSpaceDN w:val="0"/>
              <w:spacing w:line="360" w:lineRule="auto"/>
              <w:ind w:left="215"/>
              <w:jc w:val="center"/>
              <w:rPr>
                <w:rFonts w:cs="微软雅黑"/>
                <w:bCs/>
                <w:sz w:val="24"/>
              </w:rPr>
            </w:pPr>
          </w:p>
        </w:tc>
        <w:tc>
          <w:tcPr>
            <w:tcW w:w="1303" w:type="dxa"/>
          </w:tcPr>
          <w:p w14:paraId="05C99361">
            <w:pPr>
              <w:autoSpaceDE w:val="0"/>
              <w:autoSpaceDN w:val="0"/>
              <w:spacing w:line="360" w:lineRule="auto"/>
              <w:ind w:left="215"/>
              <w:jc w:val="center"/>
              <w:rPr>
                <w:rFonts w:cs="微软雅黑"/>
                <w:bCs/>
                <w:sz w:val="24"/>
              </w:rPr>
            </w:pPr>
          </w:p>
        </w:tc>
        <w:tc>
          <w:tcPr>
            <w:tcW w:w="1303" w:type="dxa"/>
          </w:tcPr>
          <w:p w14:paraId="21279C13">
            <w:pPr>
              <w:autoSpaceDE w:val="0"/>
              <w:autoSpaceDN w:val="0"/>
              <w:spacing w:line="360" w:lineRule="auto"/>
              <w:ind w:left="217"/>
              <w:jc w:val="center"/>
              <w:rPr>
                <w:rFonts w:cs="微软雅黑"/>
                <w:bCs/>
                <w:sz w:val="24"/>
              </w:rPr>
            </w:pPr>
          </w:p>
        </w:tc>
        <w:tc>
          <w:tcPr>
            <w:tcW w:w="1303" w:type="dxa"/>
          </w:tcPr>
          <w:p w14:paraId="079B4259">
            <w:pPr>
              <w:autoSpaceDE w:val="0"/>
              <w:autoSpaceDN w:val="0"/>
              <w:spacing w:line="360" w:lineRule="auto"/>
              <w:ind w:left="220"/>
              <w:jc w:val="center"/>
              <w:rPr>
                <w:rFonts w:cs="微软雅黑"/>
                <w:bCs/>
                <w:sz w:val="24"/>
              </w:rPr>
            </w:pPr>
          </w:p>
        </w:tc>
        <w:tc>
          <w:tcPr>
            <w:tcW w:w="1303" w:type="dxa"/>
          </w:tcPr>
          <w:p w14:paraId="6A4D01B5">
            <w:pPr>
              <w:autoSpaceDE w:val="0"/>
              <w:autoSpaceDN w:val="0"/>
              <w:spacing w:line="360" w:lineRule="auto"/>
              <w:ind w:left="223"/>
              <w:jc w:val="center"/>
              <w:rPr>
                <w:rFonts w:cs="微软雅黑"/>
                <w:bCs/>
                <w:sz w:val="24"/>
              </w:rPr>
            </w:pPr>
          </w:p>
        </w:tc>
        <w:tc>
          <w:tcPr>
            <w:tcW w:w="1303" w:type="dxa"/>
          </w:tcPr>
          <w:p w14:paraId="2747717E">
            <w:pPr>
              <w:autoSpaceDE w:val="0"/>
              <w:autoSpaceDN w:val="0"/>
              <w:spacing w:line="360" w:lineRule="auto"/>
              <w:ind w:left="679"/>
              <w:jc w:val="center"/>
              <w:rPr>
                <w:rFonts w:cs="微软雅黑"/>
                <w:bCs/>
                <w:sz w:val="24"/>
              </w:rPr>
            </w:pPr>
          </w:p>
        </w:tc>
        <w:tc>
          <w:tcPr>
            <w:tcW w:w="1303" w:type="dxa"/>
          </w:tcPr>
          <w:p w14:paraId="7AD9C876">
            <w:pPr>
              <w:autoSpaceDE w:val="0"/>
              <w:autoSpaceDN w:val="0"/>
              <w:spacing w:line="360" w:lineRule="auto"/>
              <w:ind w:left="510"/>
              <w:jc w:val="center"/>
              <w:rPr>
                <w:rFonts w:cs="微软雅黑"/>
                <w:bCs/>
                <w:sz w:val="24"/>
              </w:rPr>
            </w:pPr>
          </w:p>
        </w:tc>
        <w:tc>
          <w:tcPr>
            <w:tcW w:w="1303" w:type="dxa"/>
          </w:tcPr>
          <w:p w14:paraId="0FEC40F8">
            <w:pPr>
              <w:autoSpaceDE w:val="0"/>
              <w:autoSpaceDN w:val="0"/>
              <w:spacing w:line="360" w:lineRule="auto"/>
              <w:ind w:left="477"/>
              <w:jc w:val="center"/>
              <w:rPr>
                <w:rFonts w:cs="微软雅黑"/>
                <w:bCs/>
                <w:sz w:val="24"/>
              </w:rPr>
            </w:pPr>
          </w:p>
        </w:tc>
        <w:tc>
          <w:tcPr>
            <w:tcW w:w="1308" w:type="dxa"/>
          </w:tcPr>
          <w:p w14:paraId="7585255C">
            <w:pPr>
              <w:autoSpaceDE w:val="0"/>
              <w:autoSpaceDN w:val="0"/>
              <w:spacing w:line="360" w:lineRule="auto"/>
              <w:ind w:left="479"/>
              <w:jc w:val="center"/>
              <w:rPr>
                <w:rFonts w:cs="微软雅黑"/>
                <w:bCs/>
                <w:sz w:val="24"/>
              </w:rPr>
            </w:pPr>
          </w:p>
        </w:tc>
        <w:tc>
          <w:tcPr>
            <w:tcW w:w="1478" w:type="dxa"/>
          </w:tcPr>
          <w:p w14:paraId="0FF72E44">
            <w:pPr>
              <w:autoSpaceDE w:val="0"/>
              <w:autoSpaceDN w:val="0"/>
              <w:spacing w:line="360" w:lineRule="auto"/>
              <w:ind w:left="482"/>
              <w:rPr>
                <w:rFonts w:cs="微软雅黑"/>
                <w:bCs/>
                <w:sz w:val="24"/>
              </w:rPr>
            </w:pPr>
          </w:p>
        </w:tc>
      </w:tr>
      <w:tr w14:paraId="072D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922" w:type="dxa"/>
          </w:tcPr>
          <w:p w14:paraId="2F3D3448">
            <w:pPr>
              <w:autoSpaceDE w:val="0"/>
              <w:autoSpaceDN w:val="0"/>
              <w:spacing w:line="360" w:lineRule="auto"/>
              <w:rPr>
                <w:rFonts w:cs="微软雅黑"/>
                <w:bCs/>
                <w:sz w:val="24"/>
              </w:rPr>
            </w:pPr>
          </w:p>
        </w:tc>
        <w:tc>
          <w:tcPr>
            <w:tcW w:w="1303" w:type="dxa"/>
          </w:tcPr>
          <w:p w14:paraId="5A0B830C">
            <w:pPr>
              <w:autoSpaceDE w:val="0"/>
              <w:autoSpaceDN w:val="0"/>
              <w:spacing w:line="360" w:lineRule="auto"/>
              <w:ind w:left="215"/>
              <w:jc w:val="center"/>
              <w:rPr>
                <w:rFonts w:cs="微软雅黑"/>
                <w:bCs/>
                <w:sz w:val="24"/>
              </w:rPr>
            </w:pPr>
          </w:p>
        </w:tc>
        <w:tc>
          <w:tcPr>
            <w:tcW w:w="1303" w:type="dxa"/>
          </w:tcPr>
          <w:p w14:paraId="06AF5BD9">
            <w:pPr>
              <w:autoSpaceDE w:val="0"/>
              <w:autoSpaceDN w:val="0"/>
              <w:spacing w:line="360" w:lineRule="auto"/>
              <w:ind w:left="215"/>
              <w:jc w:val="center"/>
              <w:rPr>
                <w:rFonts w:cs="微软雅黑"/>
                <w:bCs/>
                <w:sz w:val="24"/>
              </w:rPr>
            </w:pPr>
          </w:p>
        </w:tc>
        <w:tc>
          <w:tcPr>
            <w:tcW w:w="1303" w:type="dxa"/>
          </w:tcPr>
          <w:p w14:paraId="10634A4F">
            <w:pPr>
              <w:autoSpaceDE w:val="0"/>
              <w:autoSpaceDN w:val="0"/>
              <w:spacing w:line="360" w:lineRule="auto"/>
              <w:ind w:left="217"/>
              <w:jc w:val="center"/>
              <w:rPr>
                <w:rFonts w:cs="微软雅黑"/>
                <w:bCs/>
                <w:sz w:val="24"/>
              </w:rPr>
            </w:pPr>
          </w:p>
        </w:tc>
        <w:tc>
          <w:tcPr>
            <w:tcW w:w="1303" w:type="dxa"/>
          </w:tcPr>
          <w:p w14:paraId="4C266E33">
            <w:pPr>
              <w:autoSpaceDE w:val="0"/>
              <w:autoSpaceDN w:val="0"/>
              <w:spacing w:line="360" w:lineRule="auto"/>
              <w:ind w:left="220"/>
              <w:jc w:val="center"/>
              <w:rPr>
                <w:rFonts w:cs="微软雅黑"/>
                <w:bCs/>
                <w:sz w:val="24"/>
              </w:rPr>
            </w:pPr>
          </w:p>
        </w:tc>
        <w:tc>
          <w:tcPr>
            <w:tcW w:w="1303" w:type="dxa"/>
          </w:tcPr>
          <w:p w14:paraId="795E6886">
            <w:pPr>
              <w:autoSpaceDE w:val="0"/>
              <w:autoSpaceDN w:val="0"/>
              <w:spacing w:line="360" w:lineRule="auto"/>
              <w:ind w:left="223"/>
              <w:jc w:val="center"/>
              <w:rPr>
                <w:rFonts w:cs="微软雅黑"/>
                <w:bCs/>
                <w:sz w:val="24"/>
              </w:rPr>
            </w:pPr>
          </w:p>
        </w:tc>
        <w:tc>
          <w:tcPr>
            <w:tcW w:w="1303" w:type="dxa"/>
          </w:tcPr>
          <w:p w14:paraId="35DCE041">
            <w:pPr>
              <w:autoSpaceDE w:val="0"/>
              <w:autoSpaceDN w:val="0"/>
              <w:spacing w:line="360" w:lineRule="auto"/>
              <w:ind w:left="679"/>
              <w:jc w:val="center"/>
              <w:rPr>
                <w:rFonts w:cs="微软雅黑"/>
                <w:bCs/>
                <w:sz w:val="24"/>
              </w:rPr>
            </w:pPr>
          </w:p>
        </w:tc>
        <w:tc>
          <w:tcPr>
            <w:tcW w:w="1303" w:type="dxa"/>
          </w:tcPr>
          <w:p w14:paraId="7593F5F3">
            <w:pPr>
              <w:autoSpaceDE w:val="0"/>
              <w:autoSpaceDN w:val="0"/>
              <w:spacing w:line="360" w:lineRule="auto"/>
              <w:ind w:left="474"/>
              <w:jc w:val="center"/>
              <w:rPr>
                <w:rFonts w:cs="微软雅黑"/>
                <w:bCs/>
                <w:sz w:val="24"/>
              </w:rPr>
            </w:pPr>
          </w:p>
        </w:tc>
        <w:tc>
          <w:tcPr>
            <w:tcW w:w="1303" w:type="dxa"/>
          </w:tcPr>
          <w:p w14:paraId="484F7166">
            <w:pPr>
              <w:autoSpaceDE w:val="0"/>
              <w:autoSpaceDN w:val="0"/>
              <w:spacing w:line="360" w:lineRule="auto"/>
              <w:ind w:left="477"/>
              <w:jc w:val="center"/>
              <w:rPr>
                <w:rFonts w:cs="微软雅黑"/>
                <w:bCs/>
                <w:sz w:val="24"/>
              </w:rPr>
            </w:pPr>
          </w:p>
        </w:tc>
        <w:tc>
          <w:tcPr>
            <w:tcW w:w="1308" w:type="dxa"/>
          </w:tcPr>
          <w:p w14:paraId="2ABE354A">
            <w:pPr>
              <w:autoSpaceDE w:val="0"/>
              <w:autoSpaceDN w:val="0"/>
              <w:spacing w:line="360" w:lineRule="auto"/>
              <w:ind w:left="513"/>
              <w:jc w:val="center"/>
              <w:rPr>
                <w:rFonts w:cs="微软雅黑"/>
                <w:bCs/>
                <w:sz w:val="24"/>
              </w:rPr>
            </w:pPr>
          </w:p>
        </w:tc>
        <w:tc>
          <w:tcPr>
            <w:tcW w:w="1478" w:type="dxa"/>
          </w:tcPr>
          <w:p w14:paraId="5E0F2C8D">
            <w:pPr>
              <w:autoSpaceDE w:val="0"/>
              <w:autoSpaceDN w:val="0"/>
              <w:spacing w:line="360" w:lineRule="auto"/>
              <w:ind w:left="482"/>
              <w:rPr>
                <w:rFonts w:cs="微软雅黑"/>
                <w:bCs/>
                <w:sz w:val="24"/>
              </w:rPr>
            </w:pPr>
          </w:p>
        </w:tc>
      </w:tr>
      <w:tr w14:paraId="0D68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922" w:type="dxa"/>
          </w:tcPr>
          <w:p w14:paraId="6484A1AC">
            <w:pPr>
              <w:autoSpaceDE w:val="0"/>
              <w:autoSpaceDN w:val="0"/>
              <w:spacing w:line="360" w:lineRule="auto"/>
              <w:ind w:left="565"/>
              <w:rPr>
                <w:rFonts w:cs="微软雅黑"/>
                <w:bCs/>
                <w:sz w:val="24"/>
              </w:rPr>
            </w:pPr>
          </w:p>
        </w:tc>
        <w:tc>
          <w:tcPr>
            <w:tcW w:w="1303" w:type="dxa"/>
          </w:tcPr>
          <w:p w14:paraId="4F3B1E39">
            <w:pPr>
              <w:autoSpaceDE w:val="0"/>
              <w:autoSpaceDN w:val="0"/>
              <w:spacing w:line="360" w:lineRule="auto"/>
              <w:ind w:left="215"/>
              <w:jc w:val="center"/>
              <w:rPr>
                <w:rFonts w:cs="微软雅黑"/>
                <w:bCs/>
                <w:sz w:val="24"/>
              </w:rPr>
            </w:pPr>
          </w:p>
        </w:tc>
        <w:tc>
          <w:tcPr>
            <w:tcW w:w="1303" w:type="dxa"/>
          </w:tcPr>
          <w:p w14:paraId="2A034946">
            <w:pPr>
              <w:autoSpaceDE w:val="0"/>
              <w:autoSpaceDN w:val="0"/>
              <w:spacing w:line="360" w:lineRule="auto"/>
              <w:ind w:left="215"/>
              <w:jc w:val="center"/>
              <w:rPr>
                <w:rFonts w:cs="微软雅黑"/>
                <w:bCs/>
                <w:sz w:val="24"/>
              </w:rPr>
            </w:pPr>
          </w:p>
        </w:tc>
        <w:tc>
          <w:tcPr>
            <w:tcW w:w="1303" w:type="dxa"/>
          </w:tcPr>
          <w:p w14:paraId="5B1ED0BA">
            <w:pPr>
              <w:autoSpaceDE w:val="0"/>
              <w:autoSpaceDN w:val="0"/>
              <w:spacing w:line="360" w:lineRule="auto"/>
              <w:ind w:left="217"/>
              <w:jc w:val="center"/>
              <w:rPr>
                <w:rFonts w:cs="微软雅黑"/>
                <w:bCs/>
                <w:sz w:val="24"/>
              </w:rPr>
            </w:pPr>
          </w:p>
        </w:tc>
        <w:tc>
          <w:tcPr>
            <w:tcW w:w="1303" w:type="dxa"/>
          </w:tcPr>
          <w:p w14:paraId="483A68A7">
            <w:pPr>
              <w:autoSpaceDE w:val="0"/>
              <w:autoSpaceDN w:val="0"/>
              <w:spacing w:line="360" w:lineRule="auto"/>
              <w:ind w:left="220"/>
              <w:jc w:val="center"/>
              <w:rPr>
                <w:rFonts w:cs="微软雅黑"/>
                <w:bCs/>
                <w:sz w:val="24"/>
              </w:rPr>
            </w:pPr>
          </w:p>
        </w:tc>
        <w:tc>
          <w:tcPr>
            <w:tcW w:w="1303" w:type="dxa"/>
          </w:tcPr>
          <w:p w14:paraId="03CDBCE4">
            <w:pPr>
              <w:autoSpaceDE w:val="0"/>
              <w:autoSpaceDN w:val="0"/>
              <w:spacing w:line="360" w:lineRule="auto"/>
              <w:ind w:left="223"/>
              <w:jc w:val="center"/>
              <w:rPr>
                <w:rFonts w:cs="微软雅黑"/>
                <w:bCs/>
                <w:sz w:val="24"/>
              </w:rPr>
            </w:pPr>
          </w:p>
        </w:tc>
        <w:tc>
          <w:tcPr>
            <w:tcW w:w="1303" w:type="dxa"/>
          </w:tcPr>
          <w:p w14:paraId="06D431BA">
            <w:pPr>
              <w:autoSpaceDE w:val="0"/>
              <w:autoSpaceDN w:val="0"/>
              <w:spacing w:line="360" w:lineRule="auto"/>
              <w:ind w:left="679"/>
              <w:jc w:val="center"/>
              <w:rPr>
                <w:rFonts w:cs="微软雅黑"/>
                <w:bCs/>
                <w:sz w:val="24"/>
              </w:rPr>
            </w:pPr>
          </w:p>
        </w:tc>
        <w:tc>
          <w:tcPr>
            <w:tcW w:w="1303" w:type="dxa"/>
          </w:tcPr>
          <w:p w14:paraId="15845735">
            <w:pPr>
              <w:autoSpaceDE w:val="0"/>
              <w:autoSpaceDN w:val="0"/>
              <w:spacing w:line="360" w:lineRule="auto"/>
              <w:ind w:left="474"/>
              <w:jc w:val="center"/>
              <w:rPr>
                <w:rFonts w:cs="微软雅黑"/>
                <w:bCs/>
                <w:sz w:val="24"/>
              </w:rPr>
            </w:pPr>
          </w:p>
        </w:tc>
        <w:tc>
          <w:tcPr>
            <w:tcW w:w="1303" w:type="dxa"/>
          </w:tcPr>
          <w:p w14:paraId="11124D4B">
            <w:pPr>
              <w:autoSpaceDE w:val="0"/>
              <w:autoSpaceDN w:val="0"/>
              <w:spacing w:line="360" w:lineRule="auto"/>
              <w:ind w:left="477"/>
              <w:jc w:val="center"/>
              <w:rPr>
                <w:rFonts w:cs="微软雅黑"/>
                <w:bCs/>
                <w:sz w:val="24"/>
              </w:rPr>
            </w:pPr>
          </w:p>
        </w:tc>
        <w:tc>
          <w:tcPr>
            <w:tcW w:w="1308" w:type="dxa"/>
          </w:tcPr>
          <w:p w14:paraId="062C0334">
            <w:pPr>
              <w:autoSpaceDE w:val="0"/>
              <w:autoSpaceDN w:val="0"/>
              <w:spacing w:line="360" w:lineRule="auto"/>
              <w:ind w:left="479"/>
              <w:jc w:val="center"/>
              <w:rPr>
                <w:rFonts w:cs="微软雅黑"/>
                <w:bCs/>
                <w:sz w:val="24"/>
              </w:rPr>
            </w:pPr>
          </w:p>
        </w:tc>
        <w:tc>
          <w:tcPr>
            <w:tcW w:w="1478" w:type="dxa"/>
          </w:tcPr>
          <w:p w14:paraId="618383E8">
            <w:pPr>
              <w:autoSpaceDE w:val="0"/>
              <w:autoSpaceDN w:val="0"/>
              <w:spacing w:line="360" w:lineRule="auto"/>
              <w:ind w:left="482"/>
              <w:rPr>
                <w:rFonts w:cs="微软雅黑"/>
                <w:bCs/>
                <w:sz w:val="24"/>
              </w:rPr>
            </w:pPr>
          </w:p>
        </w:tc>
      </w:tr>
      <w:tr w14:paraId="1D3F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2" w:type="dxa"/>
          </w:tcPr>
          <w:p w14:paraId="7476D927">
            <w:pPr>
              <w:autoSpaceDE w:val="0"/>
              <w:autoSpaceDN w:val="0"/>
              <w:spacing w:line="360" w:lineRule="auto"/>
              <w:ind w:left="565"/>
              <w:rPr>
                <w:rFonts w:cs="微软雅黑"/>
                <w:bCs/>
                <w:sz w:val="24"/>
              </w:rPr>
            </w:pPr>
          </w:p>
        </w:tc>
        <w:tc>
          <w:tcPr>
            <w:tcW w:w="1303" w:type="dxa"/>
          </w:tcPr>
          <w:p w14:paraId="0E759732">
            <w:pPr>
              <w:autoSpaceDE w:val="0"/>
              <w:autoSpaceDN w:val="0"/>
              <w:spacing w:line="360" w:lineRule="auto"/>
              <w:ind w:left="215"/>
              <w:jc w:val="center"/>
              <w:rPr>
                <w:rFonts w:cs="微软雅黑"/>
                <w:bCs/>
                <w:sz w:val="24"/>
              </w:rPr>
            </w:pPr>
          </w:p>
        </w:tc>
        <w:tc>
          <w:tcPr>
            <w:tcW w:w="1303" w:type="dxa"/>
          </w:tcPr>
          <w:p w14:paraId="50360D8A">
            <w:pPr>
              <w:autoSpaceDE w:val="0"/>
              <w:autoSpaceDN w:val="0"/>
              <w:spacing w:line="360" w:lineRule="auto"/>
              <w:ind w:left="215"/>
              <w:jc w:val="center"/>
              <w:rPr>
                <w:rFonts w:cs="微软雅黑"/>
                <w:bCs/>
                <w:sz w:val="24"/>
              </w:rPr>
            </w:pPr>
          </w:p>
        </w:tc>
        <w:tc>
          <w:tcPr>
            <w:tcW w:w="1303" w:type="dxa"/>
          </w:tcPr>
          <w:p w14:paraId="44B23FB3">
            <w:pPr>
              <w:autoSpaceDE w:val="0"/>
              <w:autoSpaceDN w:val="0"/>
              <w:spacing w:line="360" w:lineRule="auto"/>
              <w:ind w:left="217"/>
              <w:jc w:val="center"/>
              <w:rPr>
                <w:rFonts w:cs="微软雅黑"/>
                <w:bCs/>
                <w:sz w:val="24"/>
              </w:rPr>
            </w:pPr>
          </w:p>
        </w:tc>
        <w:tc>
          <w:tcPr>
            <w:tcW w:w="1303" w:type="dxa"/>
          </w:tcPr>
          <w:p w14:paraId="05428455">
            <w:pPr>
              <w:autoSpaceDE w:val="0"/>
              <w:autoSpaceDN w:val="0"/>
              <w:spacing w:line="360" w:lineRule="auto"/>
              <w:ind w:left="220"/>
              <w:jc w:val="center"/>
              <w:rPr>
                <w:rFonts w:cs="微软雅黑"/>
                <w:bCs/>
                <w:sz w:val="24"/>
              </w:rPr>
            </w:pPr>
          </w:p>
        </w:tc>
        <w:tc>
          <w:tcPr>
            <w:tcW w:w="1303" w:type="dxa"/>
          </w:tcPr>
          <w:p w14:paraId="63DB5D3C">
            <w:pPr>
              <w:autoSpaceDE w:val="0"/>
              <w:autoSpaceDN w:val="0"/>
              <w:spacing w:line="360" w:lineRule="auto"/>
              <w:ind w:left="223"/>
              <w:jc w:val="center"/>
              <w:rPr>
                <w:rFonts w:cs="微软雅黑"/>
                <w:bCs/>
                <w:sz w:val="24"/>
              </w:rPr>
            </w:pPr>
          </w:p>
        </w:tc>
        <w:tc>
          <w:tcPr>
            <w:tcW w:w="1303" w:type="dxa"/>
          </w:tcPr>
          <w:p w14:paraId="7194B504">
            <w:pPr>
              <w:autoSpaceDE w:val="0"/>
              <w:autoSpaceDN w:val="0"/>
              <w:spacing w:line="360" w:lineRule="auto"/>
              <w:ind w:left="679"/>
              <w:jc w:val="center"/>
              <w:rPr>
                <w:rFonts w:cs="微软雅黑"/>
                <w:bCs/>
                <w:sz w:val="24"/>
              </w:rPr>
            </w:pPr>
          </w:p>
        </w:tc>
        <w:tc>
          <w:tcPr>
            <w:tcW w:w="1303" w:type="dxa"/>
          </w:tcPr>
          <w:p w14:paraId="70F13BB5">
            <w:pPr>
              <w:autoSpaceDE w:val="0"/>
              <w:autoSpaceDN w:val="0"/>
              <w:spacing w:line="360" w:lineRule="auto"/>
              <w:ind w:left="474"/>
              <w:jc w:val="center"/>
              <w:rPr>
                <w:rFonts w:cs="微软雅黑"/>
                <w:bCs/>
                <w:sz w:val="24"/>
              </w:rPr>
            </w:pPr>
          </w:p>
        </w:tc>
        <w:tc>
          <w:tcPr>
            <w:tcW w:w="1303" w:type="dxa"/>
          </w:tcPr>
          <w:p w14:paraId="718C8643">
            <w:pPr>
              <w:autoSpaceDE w:val="0"/>
              <w:autoSpaceDN w:val="0"/>
              <w:spacing w:line="360" w:lineRule="auto"/>
              <w:ind w:left="477"/>
              <w:jc w:val="center"/>
              <w:rPr>
                <w:rFonts w:cs="微软雅黑"/>
                <w:bCs/>
                <w:sz w:val="24"/>
              </w:rPr>
            </w:pPr>
          </w:p>
        </w:tc>
        <w:tc>
          <w:tcPr>
            <w:tcW w:w="1308" w:type="dxa"/>
          </w:tcPr>
          <w:p w14:paraId="3707ADC1">
            <w:pPr>
              <w:autoSpaceDE w:val="0"/>
              <w:autoSpaceDN w:val="0"/>
              <w:spacing w:line="360" w:lineRule="auto"/>
              <w:ind w:left="513"/>
              <w:jc w:val="center"/>
              <w:rPr>
                <w:rFonts w:cs="微软雅黑"/>
                <w:bCs/>
                <w:sz w:val="24"/>
              </w:rPr>
            </w:pPr>
          </w:p>
        </w:tc>
        <w:tc>
          <w:tcPr>
            <w:tcW w:w="1478" w:type="dxa"/>
          </w:tcPr>
          <w:p w14:paraId="3CA190DE">
            <w:pPr>
              <w:autoSpaceDE w:val="0"/>
              <w:autoSpaceDN w:val="0"/>
              <w:spacing w:line="360" w:lineRule="auto"/>
              <w:ind w:left="482"/>
              <w:rPr>
                <w:rFonts w:cs="微软雅黑"/>
                <w:bCs/>
                <w:sz w:val="24"/>
              </w:rPr>
            </w:pPr>
          </w:p>
        </w:tc>
      </w:tr>
      <w:tr w14:paraId="45A3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922" w:type="dxa"/>
          </w:tcPr>
          <w:p w14:paraId="236ABB02">
            <w:pPr>
              <w:autoSpaceDE w:val="0"/>
              <w:autoSpaceDN w:val="0"/>
              <w:spacing w:line="360" w:lineRule="auto"/>
              <w:ind w:left="565"/>
              <w:rPr>
                <w:rFonts w:cs="微软雅黑"/>
                <w:bCs/>
                <w:sz w:val="24"/>
              </w:rPr>
            </w:pPr>
          </w:p>
        </w:tc>
        <w:tc>
          <w:tcPr>
            <w:tcW w:w="1303" w:type="dxa"/>
          </w:tcPr>
          <w:p w14:paraId="5095103F">
            <w:pPr>
              <w:autoSpaceDE w:val="0"/>
              <w:autoSpaceDN w:val="0"/>
              <w:spacing w:line="360" w:lineRule="auto"/>
              <w:ind w:left="215"/>
              <w:jc w:val="center"/>
              <w:rPr>
                <w:rFonts w:cs="微软雅黑"/>
                <w:bCs/>
                <w:sz w:val="24"/>
              </w:rPr>
            </w:pPr>
          </w:p>
        </w:tc>
        <w:tc>
          <w:tcPr>
            <w:tcW w:w="1303" w:type="dxa"/>
          </w:tcPr>
          <w:p w14:paraId="019D1689">
            <w:pPr>
              <w:autoSpaceDE w:val="0"/>
              <w:autoSpaceDN w:val="0"/>
              <w:spacing w:line="360" w:lineRule="auto"/>
              <w:ind w:left="215"/>
              <w:jc w:val="center"/>
              <w:rPr>
                <w:rFonts w:cs="微软雅黑"/>
                <w:bCs/>
                <w:sz w:val="24"/>
              </w:rPr>
            </w:pPr>
          </w:p>
        </w:tc>
        <w:tc>
          <w:tcPr>
            <w:tcW w:w="1303" w:type="dxa"/>
          </w:tcPr>
          <w:p w14:paraId="02762A7D">
            <w:pPr>
              <w:autoSpaceDE w:val="0"/>
              <w:autoSpaceDN w:val="0"/>
              <w:spacing w:line="360" w:lineRule="auto"/>
              <w:ind w:left="217"/>
              <w:jc w:val="center"/>
              <w:rPr>
                <w:rFonts w:cs="微软雅黑"/>
                <w:bCs/>
                <w:sz w:val="24"/>
              </w:rPr>
            </w:pPr>
          </w:p>
        </w:tc>
        <w:tc>
          <w:tcPr>
            <w:tcW w:w="1303" w:type="dxa"/>
          </w:tcPr>
          <w:p w14:paraId="0A48B10A">
            <w:pPr>
              <w:autoSpaceDE w:val="0"/>
              <w:autoSpaceDN w:val="0"/>
              <w:spacing w:line="360" w:lineRule="auto"/>
              <w:ind w:left="220"/>
              <w:jc w:val="center"/>
              <w:rPr>
                <w:rFonts w:cs="微软雅黑"/>
                <w:bCs/>
                <w:sz w:val="24"/>
              </w:rPr>
            </w:pPr>
          </w:p>
        </w:tc>
        <w:tc>
          <w:tcPr>
            <w:tcW w:w="1303" w:type="dxa"/>
          </w:tcPr>
          <w:p w14:paraId="21BC9161">
            <w:pPr>
              <w:autoSpaceDE w:val="0"/>
              <w:autoSpaceDN w:val="0"/>
              <w:spacing w:line="360" w:lineRule="auto"/>
              <w:ind w:left="223"/>
              <w:jc w:val="center"/>
              <w:rPr>
                <w:rFonts w:cs="微软雅黑"/>
                <w:bCs/>
                <w:sz w:val="24"/>
              </w:rPr>
            </w:pPr>
          </w:p>
        </w:tc>
        <w:tc>
          <w:tcPr>
            <w:tcW w:w="1303" w:type="dxa"/>
          </w:tcPr>
          <w:p w14:paraId="5A21FF0A">
            <w:pPr>
              <w:autoSpaceDE w:val="0"/>
              <w:autoSpaceDN w:val="0"/>
              <w:spacing w:line="360" w:lineRule="auto"/>
              <w:ind w:left="679"/>
              <w:jc w:val="center"/>
              <w:rPr>
                <w:rFonts w:cs="微软雅黑"/>
                <w:bCs/>
                <w:sz w:val="24"/>
              </w:rPr>
            </w:pPr>
          </w:p>
        </w:tc>
        <w:tc>
          <w:tcPr>
            <w:tcW w:w="1303" w:type="dxa"/>
          </w:tcPr>
          <w:p w14:paraId="65420A55">
            <w:pPr>
              <w:autoSpaceDE w:val="0"/>
              <w:autoSpaceDN w:val="0"/>
              <w:spacing w:line="360" w:lineRule="auto"/>
              <w:ind w:left="474"/>
              <w:jc w:val="center"/>
              <w:rPr>
                <w:rFonts w:cs="微软雅黑"/>
                <w:bCs/>
                <w:sz w:val="24"/>
              </w:rPr>
            </w:pPr>
          </w:p>
        </w:tc>
        <w:tc>
          <w:tcPr>
            <w:tcW w:w="1303" w:type="dxa"/>
          </w:tcPr>
          <w:p w14:paraId="319347B4">
            <w:pPr>
              <w:autoSpaceDE w:val="0"/>
              <w:autoSpaceDN w:val="0"/>
              <w:spacing w:line="360" w:lineRule="auto"/>
              <w:ind w:left="477"/>
              <w:jc w:val="center"/>
              <w:rPr>
                <w:rFonts w:cs="微软雅黑"/>
                <w:bCs/>
                <w:sz w:val="24"/>
              </w:rPr>
            </w:pPr>
          </w:p>
        </w:tc>
        <w:tc>
          <w:tcPr>
            <w:tcW w:w="1308" w:type="dxa"/>
          </w:tcPr>
          <w:p w14:paraId="7A32A2A6">
            <w:pPr>
              <w:autoSpaceDE w:val="0"/>
              <w:autoSpaceDN w:val="0"/>
              <w:spacing w:line="360" w:lineRule="auto"/>
              <w:ind w:left="479"/>
              <w:jc w:val="center"/>
              <w:rPr>
                <w:rFonts w:cs="微软雅黑"/>
                <w:bCs/>
                <w:sz w:val="24"/>
              </w:rPr>
            </w:pPr>
          </w:p>
        </w:tc>
        <w:tc>
          <w:tcPr>
            <w:tcW w:w="1478" w:type="dxa"/>
          </w:tcPr>
          <w:p w14:paraId="0396A77B">
            <w:pPr>
              <w:autoSpaceDE w:val="0"/>
              <w:autoSpaceDN w:val="0"/>
              <w:spacing w:line="360" w:lineRule="auto"/>
              <w:ind w:left="482"/>
              <w:rPr>
                <w:rFonts w:cs="微软雅黑"/>
                <w:bCs/>
                <w:sz w:val="24"/>
              </w:rPr>
            </w:pPr>
          </w:p>
        </w:tc>
      </w:tr>
      <w:tr w14:paraId="7299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922" w:type="dxa"/>
          </w:tcPr>
          <w:p w14:paraId="3602C696">
            <w:pPr>
              <w:autoSpaceDE w:val="0"/>
              <w:autoSpaceDN w:val="0"/>
              <w:spacing w:line="360" w:lineRule="auto"/>
              <w:ind w:left="565"/>
              <w:rPr>
                <w:rFonts w:cs="微软雅黑"/>
                <w:bCs/>
                <w:sz w:val="24"/>
              </w:rPr>
            </w:pPr>
          </w:p>
        </w:tc>
        <w:tc>
          <w:tcPr>
            <w:tcW w:w="1303" w:type="dxa"/>
          </w:tcPr>
          <w:p w14:paraId="23894687">
            <w:pPr>
              <w:autoSpaceDE w:val="0"/>
              <w:autoSpaceDN w:val="0"/>
              <w:spacing w:line="360" w:lineRule="auto"/>
              <w:ind w:left="215"/>
              <w:jc w:val="center"/>
              <w:rPr>
                <w:rFonts w:cs="微软雅黑"/>
                <w:bCs/>
                <w:sz w:val="24"/>
              </w:rPr>
            </w:pPr>
          </w:p>
        </w:tc>
        <w:tc>
          <w:tcPr>
            <w:tcW w:w="1303" w:type="dxa"/>
          </w:tcPr>
          <w:p w14:paraId="6463814E">
            <w:pPr>
              <w:autoSpaceDE w:val="0"/>
              <w:autoSpaceDN w:val="0"/>
              <w:spacing w:line="360" w:lineRule="auto"/>
              <w:ind w:left="215"/>
              <w:jc w:val="center"/>
              <w:rPr>
                <w:rFonts w:cs="微软雅黑"/>
                <w:bCs/>
                <w:sz w:val="24"/>
              </w:rPr>
            </w:pPr>
          </w:p>
        </w:tc>
        <w:tc>
          <w:tcPr>
            <w:tcW w:w="1303" w:type="dxa"/>
          </w:tcPr>
          <w:p w14:paraId="58648C7D">
            <w:pPr>
              <w:autoSpaceDE w:val="0"/>
              <w:autoSpaceDN w:val="0"/>
              <w:spacing w:line="360" w:lineRule="auto"/>
              <w:ind w:left="217"/>
              <w:jc w:val="center"/>
              <w:rPr>
                <w:rFonts w:cs="微软雅黑"/>
                <w:bCs/>
                <w:sz w:val="24"/>
              </w:rPr>
            </w:pPr>
          </w:p>
        </w:tc>
        <w:tc>
          <w:tcPr>
            <w:tcW w:w="1303" w:type="dxa"/>
          </w:tcPr>
          <w:p w14:paraId="246E7A9E">
            <w:pPr>
              <w:autoSpaceDE w:val="0"/>
              <w:autoSpaceDN w:val="0"/>
              <w:spacing w:line="360" w:lineRule="auto"/>
              <w:ind w:left="220"/>
              <w:jc w:val="center"/>
              <w:rPr>
                <w:rFonts w:cs="微软雅黑"/>
                <w:bCs/>
                <w:sz w:val="24"/>
              </w:rPr>
            </w:pPr>
          </w:p>
        </w:tc>
        <w:tc>
          <w:tcPr>
            <w:tcW w:w="1303" w:type="dxa"/>
          </w:tcPr>
          <w:p w14:paraId="3D62C5C2">
            <w:pPr>
              <w:autoSpaceDE w:val="0"/>
              <w:autoSpaceDN w:val="0"/>
              <w:spacing w:line="360" w:lineRule="auto"/>
              <w:ind w:left="223"/>
              <w:jc w:val="center"/>
              <w:rPr>
                <w:rFonts w:cs="微软雅黑"/>
                <w:bCs/>
                <w:sz w:val="24"/>
              </w:rPr>
            </w:pPr>
          </w:p>
        </w:tc>
        <w:tc>
          <w:tcPr>
            <w:tcW w:w="1303" w:type="dxa"/>
          </w:tcPr>
          <w:p w14:paraId="11496C76">
            <w:pPr>
              <w:autoSpaceDE w:val="0"/>
              <w:autoSpaceDN w:val="0"/>
              <w:spacing w:line="360" w:lineRule="auto"/>
              <w:ind w:left="679"/>
              <w:jc w:val="center"/>
              <w:rPr>
                <w:rFonts w:cs="微软雅黑"/>
                <w:bCs/>
                <w:sz w:val="24"/>
              </w:rPr>
            </w:pPr>
          </w:p>
        </w:tc>
        <w:tc>
          <w:tcPr>
            <w:tcW w:w="1303" w:type="dxa"/>
          </w:tcPr>
          <w:p w14:paraId="48D29B32">
            <w:pPr>
              <w:autoSpaceDE w:val="0"/>
              <w:autoSpaceDN w:val="0"/>
              <w:spacing w:line="360" w:lineRule="auto"/>
              <w:ind w:left="474"/>
              <w:jc w:val="center"/>
              <w:rPr>
                <w:rFonts w:cs="微软雅黑"/>
                <w:bCs/>
                <w:sz w:val="24"/>
              </w:rPr>
            </w:pPr>
          </w:p>
        </w:tc>
        <w:tc>
          <w:tcPr>
            <w:tcW w:w="1303" w:type="dxa"/>
          </w:tcPr>
          <w:p w14:paraId="5298AD12">
            <w:pPr>
              <w:autoSpaceDE w:val="0"/>
              <w:autoSpaceDN w:val="0"/>
              <w:spacing w:line="360" w:lineRule="auto"/>
              <w:ind w:left="477"/>
              <w:jc w:val="center"/>
              <w:rPr>
                <w:rFonts w:cs="微软雅黑"/>
                <w:bCs/>
                <w:sz w:val="24"/>
              </w:rPr>
            </w:pPr>
          </w:p>
        </w:tc>
        <w:tc>
          <w:tcPr>
            <w:tcW w:w="1308" w:type="dxa"/>
          </w:tcPr>
          <w:p w14:paraId="4634788F">
            <w:pPr>
              <w:autoSpaceDE w:val="0"/>
              <w:autoSpaceDN w:val="0"/>
              <w:spacing w:line="360" w:lineRule="auto"/>
              <w:ind w:left="479"/>
              <w:jc w:val="center"/>
              <w:rPr>
                <w:rFonts w:cs="微软雅黑"/>
                <w:bCs/>
                <w:sz w:val="24"/>
              </w:rPr>
            </w:pPr>
          </w:p>
        </w:tc>
        <w:tc>
          <w:tcPr>
            <w:tcW w:w="1478" w:type="dxa"/>
          </w:tcPr>
          <w:p w14:paraId="6601EACD">
            <w:pPr>
              <w:autoSpaceDE w:val="0"/>
              <w:autoSpaceDN w:val="0"/>
              <w:spacing w:line="360" w:lineRule="auto"/>
              <w:ind w:left="482"/>
              <w:rPr>
                <w:rFonts w:cs="微软雅黑"/>
                <w:bCs/>
                <w:sz w:val="24"/>
              </w:rPr>
            </w:pPr>
          </w:p>
        </w:tc>
      </w:tr>
      <w:tr w14:paraId="5DC9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922" w:type="dxa"/>
          </w:tcPr>
          <w:p w14:paraId="0BAA3268">
            <w:pPr>
              <w:autoSpaceDE w:val="0"/>
              <w:autoSpaceDN w:val="0"/>
              <w:spacing w:line="360" w:lineRule="auto"/>
              <w:ind w:left="565"/>
              <w:rPr>
                <w:rFonts w:cs="微软雅黑"/>
                <w:bCs/>
                <w:sz w:val="24"/>
              </w:rPr>
            </w:pPr>
          </w:p>
        </w:tc>
        <w:tc>
          <w:tcPr>
            <w:tcW w:w="1303" w:type="dxa"/>
          </w:tcPr>
          <w:p w14:paraId="1B5C785B">
            <w:pPr>
              <w:autoSpaceDE w:val="0"/>
              <w:autoSpaceDN w:val="0"/>
              <w:spacing w:line="360" w:lineRule="auto"/>
              <w:ind w:left="215"/>
              <w:jc w:val="center"/>
              <w:rPr>
                <w:rFonts w:cs="微软雅黑"/>
                <w:bCs/>
                <w:sz w:val="24"/>
              </w:rPr>
            </w:pPr>
          </w:p>
        </w:tc>
        <w:tc>
          <w:tcPr>
            <w:tcW w:w="1303" w:type="dxa"/>
          </w:tcPr>
          <w:p w14:paraId="4581F3DB">
            <w:pPr>
              <w:autoSpaceDE w:val="0"/>
              <w:autoSpaceDN w:val="0"/>
              <w:spacing w:line="360" w:lineRule="auto"/>
              <w:ind w:left="215"/>
              <w:jc w:val="center"/>
              <w:rPr>
                <w:rFonts w:cs="微软雅黑"/>
                <w:bCs/>
                <w:sz w:val="24"/>
              </w:rPr>
            </w:pPr>
          </w:p>
        </w:tc>
        <w:tc>
          <w:tcPr>
            <w:tcW w:w="1303" w:type="dxa"/>
          </w:tcPr>
          <w:p w14:paraId="2574E643">
            <w:pPr>
              <w:autoSpaceDE w:val="0"/>
              <w:autoSpaceDN w:val="0"/>
              <w:spacing w:line="360" w:lineRule="auto"/>
              <w:ind w:left="217"/>
              <w:jc w:val="center"/>
              <w:rPr>
                <w:rFonts w:cs="微软雅黑"/>
                <w:bCs/>
                <w:sz w:val="24"/>
              </w:rPr>
            </w:pPr>
          </w:p>
        </w:tc>
        <w:tc>
          <w:tcPr>
            <w:tcW w:w="1303" w:type="dxa"/>
          </w:tcPr>
          <w:p w14:paraId="10B259AE">
            <w:pPr>
              <w:autoSpaceDE w:val="0"/>
              <w:autoSpaceDN w:val="0"/>
              <w:spacing w:line="360" w:lineRule="auto"/>
              <w:ind w:left="220"/>
              <w:jc w:val="center"/>
              <w:rPr>
                <w:rFonts w:cs="微软雅黑"/>
                <w:bCs/>
                <w:sz w:val="24"/>
              </w:rPr>
            </w:pPr>
          </w:p>
        </w:tc>
        <w:tc>
          <w:tcPr>
            <w:tcW w:w="1303" w:type="dxa"/>
          </w:tcPr>
          <w:p w14:paraId="25272AAD">
            <w:pPr>
              <w:autoSpaceDE w:val="0"/>
              <w:autoSpaceDN w:val="0"/>
              <w:spacing w:line="360" w:lineRule="auto"/>
              <w:ind w:left="223"/>
              <w:jc w:val="center"/>
              <w:rPr>
                <w:rFonts w:cs="微软雅黑"/>
                <w:bCs/>
                <w:sz w:val="24"/>
              </w:rPr>
            </w:pPr>
          </w:p>
        </w:tc>
        <w:tc>
          <w:tcPr>
            <w:tcW w:w="1303" w:type="dxa"/>
          </w:tcPr>
          <w:p w14:paraId="6A9CE6BE">
            <w:pPr>
              <w:autoSpaceDE w:val="0"/>
              <w:autoSpaceDN w:val="0"/>
              <w:spacing w:line="360" w:lineRule="auto"/>
              <w:ind w:left="679"/>
              <w:jc w:val="center"/>
              <w:rPr>
                <w:rFonts w:cs="微软雅黑"/>
                <w:bCs/>
                <w:sz w:val="24"/>
              </w:rPr>
            </w:pPr>
          </w:p>
        </w:tc>
        <w:tc>
          <w:tcPr>
            <w:tcW w:w="1303" w:type="dxa"/>
          </w:tcPr>
          <w:p w14:paraId="204CF432">
            <w:pPr>
              <w:autoSpaceDE w:val="0"/>
              <w:autoSpaceDN w:val="0"/>
              <w:spacing w:line="360" w:lineRule="auto"/>
              <w:ind w:left="474"/>
              <w:jc w:val="center"/>
              <w:rPr>
                <w:rFonts w:cs="微软雅黑"/>
                <w:bCs/>
                <w:sz w:val="24"/>
              </w:rPr>
            </w:pPr>
          </w:p>
        </w:tc>
        <w:tc>
          <w:tcPr>
            <w:tcW w:w="1303" w:type="dxa"/>
          </w:tcPr>
          <w:p w14:paraId="4340EE97">
            <w:pPr>
              <w:autoSpaceDE w:val="0"/>
              <w:autoSpaceDN w:val="0"/>
              <w:spacing w:line="360" w:lineRule="auto"/>
              <w:ind w:left="477"/>
              <w:jc w:val="center"/>
              <w:rPr>
                <w:rFonts w:cs="微软雅黑"/>
                <w:bCs/>
                <w:sz w:val="24"/>
              </w:rPr>
            </w:pPr>
          </w:p>
        </w:tc>
        <w:tc>
          <w:tcPr>
            <w:tcW w:w="1308" w:type="dxa"/>
          </w:tcPr>
          <w:p w14:paraId="2D0DFB30">
            <w:pPr>
              <w:autoSpaceDE w:val="0"/>
              <w:autoSpaceDN w:val="0"/>
              <w:spacing w:line="360" w:lineRule="auto"/>
              <w:ind w:left="479"/>
              <w:jc w:val="center"/>
              <w:rPr>
                <w:rFonts w:cs="微软雅黑"/>
                <w:bCs/>
                <w:sz w:val="24"/>
              </w:rPr>
            </w:pPr>
          </w:p>
        </w:tc>
        <w:tc>
          <w:tcPr>
            <w:tcW w:w="1478" w:type="dxa"/>
          </w:tcPr>
          <w:p w14:paraId="0C6A1C3C">
            <w:pPr>
              <w:autoSpaceDE w:val="0"/>
              <w:autoSpaceDN w:val="0"/>
              <w:spacing w:line="360" w:lineRule="auto"/>
              <w:ind w:left="482"/>
              <w:rPr>
                <w:rFonts w:cs="微软雅黑"/>
                <w:bCs/>
                <w:sz w:val="24"/>
              </w:rPr>
            </w:pPr>
          </w:p>
        </w:tc>
      </w:tr>
      <w:tr w14:paraId="0DDB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922" w:type="dxa"/>
          </w:tcPr>
          <w:p w14:paraId="23EFDB77">
            <w:pPr>
              <w:autoSpaceDE w:val="0"/>
              <w:autoSpaceDN w:val="0"/>
              <w:spacing w:line="360" w:lineRule="auto"/>
              <w:ind w:left="565"/>
              <w:rPr>
                <w:rFonts w:cs="微软雅黑"/>
                <w:bCs/>
                <w:sz w:val="24"/>
              </w:rPr>
            </w:pPr>
          </w:p>
        </w:tc>
        <w:tc>
          <w:tcPr>
            <w:tcW w:w="1303" w:type="dxa"/>
          </w:tcPr>
          <w:p w14:paraId="43C335AD">
            <w:pPr>
              <w:autoSpaceDE w:val="0"/>
              <w:autoSpaceDN w:val="0"/>
              <w:spacing w:line="360" w:lineRule="auto"/>
              <w:ind w:left="215"/>
              <w:jc w:val="center"/>
              <w:rPr>
                <w:rFonts w:cs="微软雅黑"/>
                <w:bCs/>
                <w:sz w:val="24"/>
              </w:rPr>
            </w:pPr>
          </w:p>
        </w:tc>
        <w:tc>
          <w:tcPr>
            <w:tcW w:w="1303" w:type="dxa"/>
          </w:tcPr>
          <w:p w14:paraId="32EF18B2">
            <w:pPr>
              <w:autoSpaceDE w:val="0"/>
              <w:autoSpaceDN w:val="0"/>
              <w:spacing w:line="360" w:lineRule="auto"/>
              <w:ind w:left="215"/>
              <w:jc w:val="center"/>
              <w:rPr>
                <w:rFonts w:cs="微软雅黑"/>
                <w:bCs/>
                <w:sz w:val="24"/>
              </w:rPr>
            </w:pPr>
          </w:p>
        </w:tc>
        <w:tc>
          <w:tcPr>
            <w:tcW w:w="1303" w:type="dxa"/>
          </w:tcPr>
          <w:p w14:paraId="19933F41">
            <w:pPr>
              <w:autoSpaceDE w:val="0"/>
              <w:autoSpaceDN w:val="0"/>
              <w:spacing w:line="360" w:lineRule="auto"/>
              <w:ind w:left="217"/>
              <w:jc w:val="center"/>
              <w:rPr>
                <w:rFonts w:cs="微软雅黑"/>
                <w:bCs/>
                <w:sz w:val="24"/>
              </w:rPr>
            </w:pPr>
          </w:p>
        </w:tc>
        <w:tc>
          <w:tcPr>
            <w:tcW w:w="1303" w:type="dxa"/>
          </w:tcPr>
          <w:p w14:paraId="40EE6B3E">
            <w:pPr>
              <w:autoSpaceDE w:val="0"/>
              <w:autoSpaceDN w:val="0"/>
              <w:spacing w:line="360" w:lineRule="auto"/>
              <w:ind w:left="220"/>
              <w:jc w:val="center"/>
              <w:rPr>
                <w:rFonts w:cs="微软雅黑"/>
                <w:bCs/>
                <w:sz w:val="24"/>
              </w:rPr>
            </w:pPr>
          </w:p>
        </w:tc>
        <w:tc>
          <w:tcPr>
            <w:tcW w:w="1303" w:type="dxa"/>
          </w:tcPr>
          <w:p w14:paraId="15950012">
            <w:pPr>
              <w:autoSpaceDE w:val="0"/>
              <w:autoSpaceDN w:val="0"/>
              <w:spacing w:line="360" w:lineRule="auto"/>
              <w:ind w:left="223"/>
              <w:jc w:val="center"/>
              <w:rPr>
                <w:rFonts w:cs="微软雅黑"/>
                <w:bCs/>
                <w:sz w:val="24"/>
              </w:rPr>
            </w:pPr>
          </w:p>
        </w:tc>
        <w:tc>
          <w:tcPr>
            <w:tcW w:w="1303" w:type="dxa"/>
          </w:tcPr>
          <w:p w14:paraId="10305E27">
            <w:pPr>
              <w:autoSpaceDE w:val="0"/>
              <w:autoSpaceDN w:val="0"/>
              <w:spacing w:line="360" w:lineRule="auto"/>
              <w:ind w:left="679"/>
              <w:jc w:val="center"/>
              <w:rPr>
                <w:rFonts w:cs="微软雅黑"/>
                <w:bCs/>
                <w:sz w:val="24"/>
              </w:rPr>
            </w:pPr>
          </w:p>
        </w:tc>
        <w:tc>
          <w:tcPr>
            <w:tcW w:w="1303" w:type="dxa"/>
          </w:tcPr>
          <w:p w14:paraId="2A98A6B5">
            <w:pPr>
              <w:autoSpaceDE w:val="0"/>
              <w:autoSpaceDN w:val="0"/>
              <w:spacing w:line="360" w:lineRule="auto"/>
              <w:ind w:left="474"/>
              <w:jc w:val="center"/>
              <w:rPr>
                <w:rFonts w:cs="微软雅黑"/>
                <w:bCs/>
                <w:sz w:val="24"/>
              </w:rPr>
            </w:pPr>
          </w:p>
        </w:tc>
        <w:tc>
          <w:tcPr>
            <w:tcW w:w="1303" w:type="dxa"/>
          </w:tcPr>
          <w:p w14:paraId="3D402B7F">
            <w:pPr>
              <w:autoSpaceDE w:val="0"/>
              <w:autoSpaceDN w:val="0"/>
              <w:spacing w:line="360" w:lineRule="auto"/>
              <w:ind w:left="477"/>
              <w:jc w:val="center"/>
              <w:rPr>
                <w:rFonts w:cs="微软雅黑"/>
                <w:bCs/>
                <w:sz w:val="24"/>
              </w:rPr>
            </w:pPr>
          </w:p>
        </w:tc>
        <w:tc>
          <w:tcPr>
            <w:tcW w:w="1308" w:type="dxa"/>
          </w:tcPr>
          <w:p w14:paraId="61D17463">
            <w:pPr>
              <w:autoSpaceDE w:val="0"/>
              <w:autoSpaceDN w:val="0"/>
              <w:spacing w:line="360" w:lineRule="auto"/>
              <w:ind w:left="522"/>
              <w:jc w:val="center"/>
              <w:rPr>
                <w:rFonts w:cs="微软雅黑"/>
                <w:bCs/>
                <w:sz w:val="24"/>
              </w:rPr>
            </w:pPr>
          </w:p>
        </w:tc>
        <w:tc>
          <w:tcPr>
            <w:tcW w:w="1478" w:type="dxa"/>
          </w:tcPr>
          <w:p w14:paraId="3B6ADE38">
            <w:pPr>
              <w:autoSpaceDE w:val="0"/>
              <w:autoSpaceDN w:val="0"/>
              <w:spacing w:line="360" w:lineRule="auto"/>
              <w:ind w:left="482"/>
              <w:rPr>
                <w:rFonts w:cs="微软雅黑"/>
                <w:bCs/>
                <w:sz w:val="24"/>
              </w:rPr>
            </w:pPr>
          </w:p>
        </w:tc>
      </w:tr>
      <w:tr w14:paraId="5C22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922" w:type="dxa"/>
          </w:tcPr>
          <w:p w14:paraId="48016E6B">
            <w:pPr>
              <w:autoSpaceDE w:val="0"/>
              <w:autoSpaceDN w:val="0"/>
              <w:spacing w:line="360" w:lineRule="auto"/>
              <w:ind w:left="565"/>
              <w:rPr>
                <w:rFonts w:cs="微软雅黑"/>
                <w:bCs/>
                <w:sz w:val="24"/>
              </w:rPr>
            </w:pPr>
          </w:p>
        </w:tc>
        <w:tc>
          <w:tcPr>
            <w:tcW w:w="1303" w:type="dxa"/>
          </w:tcPr>
          <w:p w14:paraId="79F5DACE">
            <w:pPr>
              <w:autoSpaceDE w:val="0"/>
              <w:autoSpaceDN w:val="0"/>
              <w:spacing w:line="360" w:lineRule="auto"/>
              <w:ind w:left="222"/>
              <w:jc w:val="center"/>
              <w:rPr>
                <w:rFonts w:cs="微软雅黑"/>
                <w:bCs/>
                <w:sz w:val="24"/>
              </w:rPr>
            </w:pPr>
          </w:p>
        </w:tc>
        <w:tc>
          <w:tcPr>
            <w:tcW w:w="1303" w:type="dxa"/>
          </w:tcPr>
          <w:p w14:paraId="67D80C2A">
            <w:pPr>
              <w:autoSpaceDE w:val="0"/>
              <w:autoSpaceDN w:val="0"/>
              <w:spacing w:line="360" w:lineRule="auto"/>
              <w:ind w:left="222"/>
              <w:jc w:val="center"/>
              <w:rPr>
                <w:rFonts w:cs="微软雅黑"/>
                <w:bCs/>
                <w:sz w:val="24"/>
              </w:rPr>
            </w:pPr>
          </w:p>
        </w:tc>
        <w:tc>
          <w:tcPr>
            <w:tcW w:w="1303" w:type="dxa"/>
          </w:tcPr>
          <w:p w14:paraId="6657A6DC">
            <w:pPr>
              <w:autoSpaceDE w:val="0"/>
              <w:autoSpaceDN w:val="0"/>
              <w:spacing w:line="360" w:lineRule="auto"/>
              <w:ind w:left="225"/>
              <w:jc w:val="center"/>
              <w:rPr>
                <w:rFonts w:cs="微软雅黑"/>
                <w:bCs/>
                <w:sz w:val="24"/>
              </w:rPr>
            </w:pPr>
          </w:p>
        </w:tc>
        <w:tc>
          <w:tcPr>
            <w:tcW w:w="1303" w:type="dxa"/>
          </w:tcPr>
          <w:p w14:paraId="4BA92C93">
            <w:pPr>
              <w:autoSpaceDE w:val="0"/>
              <w:autoSpaceDN w:val="0"/>
              <w:spacing w:line="360" w:lineRule="auto"/>
              <w:ind w:left="227"/>
              <w:jc w:val="center"/>
              <w:rPr>
                <w:rFonts w:cs="微软雅黑"/>
                <w:bCs/>
                <w:sz w:val="24"/>
              </w:rPr>
            </w:pPr>
          </w:p>
        </w:tc>
        <w:tc>
          <w:tcPr>
            <w:tcW w:w="1303" w:type="dxa"/>
          </w:tcPr>
          <w:p w14:paraId="341FD766">
            <w:pPr>
              <w:autoSpaceDE w:val="0"/>
              <w:autoSpaceDN w:val="0"/>
              <w:spacing w:line="360" w:lineRule="auto"/>
              <w:ind w:left="230"/>
              <w:jc w:val="center"/>
              <w:rPr>
                <w:rFonts w:cs="微软雅黑"/>
                <w:bCs/>
                <w:sz w:val="24"/>
              </w:rPr>
            </w:pPr>
          </w:p>
        </w:tc>
        <w:tc>
          <w:tcPr>
            <w:tcW w:w="1303" w:type="dxa"/>
          </w:tcPr>
          <w:p w14:paraId="44972F48">
            <w:pPr>
              <w:autoSpaceDE w:val="0"/>
              <w:autoSpaceDN w:val="0"/>
              <w:spacing w:line="360" w:lineRule="auto"/>
              <w:ind w:left="679"/>
              <w:jc w:val="center"/>
              <w:rPr>
                <w:rFonts w:cs="微软雅黑"/>
                <w:bCs/>
                <w:sz w:val="24"/>
              </w:rPr>
            </w:pPr>
          </w:p>
        </w:tc>
        <w:tc>
          <w:tcPr>
            <w:tcW w:w="1303" w:type="dxa"/>
          </w:tcPr>
          <w:p w14:paraId="76FDC514">
            <w:pPr>
              <w:autoSpaceDE w:val="0"/>
              <w:autoSpaceDN w:val="0"/>
              <w:spacing w:line="360" w:lineRule="auto"/>
              <w:ind w:left="474"/>
              <w:jc w:val="center"/>
              <w:rPr>
                <w:rFonts w:cs="微软雅黑"/>
                <w:bCs/>
                <w:sz w:val="24"/>
              </w:rPr>
            </w:pPr>
          </w:p>
        </w:tc>
        <w:tc>
          <w:tcPr>
            <w:tcW w:w="1303" w:type="dxa"/>
          </w:tcPr>
          <w:p w14:paraId="007E8E00">
            <w:pPr>
              <w:autoSpaceDE w:val="0"/>
              <w:autoSpaceDN w:val="0"/>
              <w:spacing w:line="360" w:lineRule="auto"/>
              <w:ind w:left="477"/>
              <w:jc w:val="center"/>
              <w:rPr>
                <w:rFonts w:cs="微软雅黑"/>
                <w:bCs/>
                <w:sz w:val="24"/>
              </w:rPr>
            </w:pPr>
          </w:p>
        </w:tc>
        <w:tc>
          <w:tcPr>
            <w:tcW w:w="1308" w:type="dxa"/>
          </w:tcPr>
          <w:p w14:paraId="121A41B0">
            <w:pPr>
              <w:autoSpaceDE w:val="0"/>
              <w:autoSpaceDN w:val="0"/>
              <w:spacing w:line="360" w:lineRule="auto"/>
              <w:ind w:left="479"/>
              <w:jc w:val="center"/>
              <w:rPr>
                <w:rFonts w:cs="微软雅黑"/>
                <w:bCs/>
                <w:sz w:val="24"/>
              </w:rPr>
            </w:pPr>
          </w:p>
        </w:tc>
        <w:tc>
          <w:tcPr>
            <w:tcW w:w="1478" w:type="dxa"/>
          </w:tcPr>
          <w:p w14:paraId="1456AC72">
            <w:pPr>
              <w:autoSpaceDE w:val="0"/>
              <w:autoSpaceDN w:val="0"/>
              <w:spacing w:line="360" w:lineRule="auto"/>
              <w:ind w:left="482"/>
              <w:rPr>
                <w:rFonts w:cs="微软雅黑"/>
                <w:bCs/>
                <w:sz w:val="24"/>
              </w:rPr>
            </w:pPr>
          </w:p>
        </w:tc>
      </w:tr>
      <w:tr w14:paraId="75A7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922" w:type="dxa"/>
          </w:tcPr>
          <w:p w14:paraId="2C5EA20C">
            <w:pPr>
              <w:autoSpaceDE w:val="0"/>
              <w:autoSpaceDN w:val="0"/>
              <w:spacing w:line="360" w:lineRule="auto"/>
              <w:ind w:left="565"/>
              <w:rPr>
                <w:rFonts w:cs="微软雅黑"/>
                <w:bCs/>
                <w:sz w:val="24"/>
              </w:rPr>
            </w:pPr>
          </w:p>
        </w:tc>
        <w:tc>
          <w:tcPr>
            <w:tcW w:w="1303" w:type="dxa"/>
          </w:tcPr>
          <w:p w14:paraId="457B611A">
            <w:pPr>
              <w:autoSpaceDE w:val="0"/>
              <w:autoSpaceDN w:val="0"/>
              <w:spacing w:line="360" w:lineRule="auto"/>
              <w:ind w:left="222"/>
              <w:jc w:val="center"/>
              <w:rPr>
                <w:rFonts w:cs="微软雅黑"/>
                <w:bCs/>
                <w:sz w:val="24"/>
              </w:rPr>
            </w:pPr>
          </w:p>
        </w:tc>
        <w:tc>
          <w:tcPr>
            <w:tcW w:w="1303" w:type="dxa"/>
          </w:tcPr>
          <w:p w14:paraId="29490BDF">
            <w:pPr>
              <w:autoSpaceDE w:val="0"/>
              <w:autoSpaceDN w:val="0"/>
              <w:spacing w:line="360" w:lineRule="auto"/>
              <w:ind w:left="222"/>
              <w:jc w:val="center"/>
              <w:rPr>
                <w:rFonts w:cs="微软雅黑"/>
                <w:bCs/>
                <w:sz w:val="24"/>
              </w:rPr>
            </w:pPr>
          </w:p>
        </w:tc>
        <w:tc>
          <w:tcPr>
            <w:tcW w:w="1303" w:type="dxa"/>
          </w:tcPr>
          <w:p w14:paraId="7259334A">
            <w:pPr>
              <w:autoSpaceDE w:val="0"/>
              <w:autoSpaceDN w:val="0"/>
              <w:spacing w:line="360" w:lineRule="auto"/>
              <w:ind w:left="225"/>
              <w:jc w:val="center"/>
              <w:rPr>
                <w:rFonts w:cs="微软雅黑"/>
                <w:bCs/>
                <w:sz w:val="24"/>
              </w:rPr>
            </w:pPr>
          </w:p>
        </w:tc>
        <w:tc>
          <w:tcPr>
            <w:tcW w:w="1303" w:type="dxa"/>
          </w:tcPr>
          <w:p w14:paraId="63119072">
            <w:pPr>
              <w:autoSpaceDE w:val="0"/>
              <w:autoSpaceDN w:val="0"/>
              <w:spacing w:line="360" w:lineRule="auto"/>
              <w:ind w:left="227"/>
              <w:jc w:val="center"/>
              <w:rPr>
                <w:rFonts w:cs="微软雅黑"/>
                <w:bCs/>
                <w:sz w:val="24"/>
              </w:rPr>
            </w:pPr>
          </w:p>
        </w:tc>
        <w:tc>
          <w:tcPr>
            <w:tcW w:w="1303" w:type="dxa"/>
          </w:tcPr>
          <w:p w14:paraId="33DF5B47">
            <w:pPr>
              <w:autoSpaceDE w:val="0"/>
              <w:autoSpaceDN w:val="0"/>
              <w:spacing w:line="360" w:lineRule="auto"/>
              <w:ind w:left="230"/>
              <w:jc w:val="center"/>
              <w:rPr>
                <w:rFonts w:cs="微软雅黑"/>
                <w:bCs/>
                <w:sz w:val="24"/>
              </w:rPr>
            </w:pPr>
          </w:p>
        </w:tc>
        <w:tc>
          <w:tcPr>
            <w:tcW w:w="1303" w:type="dxa"/>
          </w:tcPr>
          <w:p w14:paraId="1ABD81EB">
            <w:pPr>
              <w:autoSpaceDE w:val="0"/>
              <w:autoSpaceDN w:val="0"/>
              <w:spacing w:line="360" w:lineRule="auto"/>
              <w:ind w:left="679"/>
              <w:jc w:val="center"/>
              <w:rPr>
                <w:rFonts w:cs="微软雅黑"/>
                <w:bCs/>
                <w:sz w:val="24"/>
              </w:rPr>
            </w:pPr>
          </w:p>
        </w:tc>
        <w:tc>
          <w:tcPr>
            <w:tcW w:w="1303" w:type="dxa"/>
          </w:tcPr>
          <w:p w14:paraId="732DE704">
            <w:pPr>
              <w:autoSpaceDE w:val="0"/>
              <w:autoSpaceDN w:val="0"/>
              <w:spacing w:line="360" w:lineRule="auto"/>
              <w:ind w:left="474"/>
              <w:jc w:val="center"/>
              <w:rPr>
                <w:rFonts w:cs="微软雅黑"/>
                <w:bCs/>
                <w:sz w:val="24"/>
              </w:rPr>
            </w:pPr>
          </w:p>
        </w:tc>
        <w:tc>
          <w:tcPr>
            <w:tcW w:w="1303" w:type="dxa"/>
          </w:tcPr>
          <w:p w14:paraId="43046BB4">
            <w:pPr>
              <w:autoSpaceDE w:val="0"/>
              <w:autoSpaceDN w:val="0"/>
              <w:spacing w:line="360" w:lineRule="auto"/>
              <w:ind w:left="477"/>
              <w:jc w:val="center"/>
              <w:rPr>
                <w:rFonts w:cs="微软雅黑"/>
                <w:bCs/>
                <w:sz w:val="24"/>
              </w:rPr>
            </w:pPr>
          </w:p>
        </w:tc>
        <w:tc>
          <w:tcPr>
            <w:tcW w:w="1308" w:type="dxa"/>
          </w:tcPr>
          <w:p w14:paraId="1BA4BDEC">
            <w:pPr>
              <w:autoSpaceDE w:val="0"/>
              <w:autoSpaceDN w:val="0"/>
              <w:spacing w:line="360" w:lineRule="auto"/>
              <w:ind w:left="513"/>
              <w:jc w:val="center"/>
              <w:rPr>
                <w:rFonts w:cs="微软雅黑"/>
                <w:bCs/>
                <w:sz w:val="24"/>
              </w:rPr>
            </w:pPr>
          </w:p>
        </w:tc>
        <w:tc>
          <w:tcPr>
            <w:tcW w:w="1478" w:type="dxa"/>
          </w:tcPr>
          <w:p w14:paraId="1A16BEEF">
            <w:pPr>
              <w:autoSpaceDE w:val="0"/>
              <w:autoSpaceDN w:val="0"/>
              <w:spacing w:line="360" w:lineRule="auto"/>
              <w:ind w:left="482"/>
              <w:rPr>
                <w:rFonts w:cs="微软雅黑"/>
                <w:bCs/>
                <w:sz w:val="24"/>
              </w:rPr>
            </w:pPr>
          </w:p>
        </w:tc>
      </w:tr>
      <w:tr w14:paraId="4FAE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7437" w:type="dxa"/>
            <w:gridSpan w:val="6"/>
          </w:tcPr>
          <w:p w14:paraId="38C4AE63">
            <w:pPr>
              <w:widowControl/>
              <w:kinsoku w:val="0"/>
              <w:autoSpaceDE w:val="0"/>
              <w:autoSpaceDN w:val="0"/>
              <w:adjustRightInd w:val="0"/>
              <w:snapToGrid w:val="0"/>
              <w:spacing w:line="360" w:lineRule="auto"/>
              <w:jc w:val="center"/>
              <w:textAlignment w:val="baseline"/>
              <w:rPr>
                <w:rFonts w:cs="Arial"/>
                <w:b/>
                <w:snapToGrid w:val="0"/>
                <w:color w:val="000000"/>
                <w:kern w:val="0"/>
                <w:sz w:val="24"/>
              </w:rPr>
            </w:pPr>
            <w:r>
              <w:rPr>
                <w:rFonts w:cs="Arial"/>
                <w:b/>
                <w:snapToGrid w:val="0"/>
                <w:color w:val="000000"/>
                <w:spacing w:val="-3"/>
                <w:kern w:val="0"/>
                <w:sz w:val="24"/>
              </w:rPr>
              <w:t>形变量最小值</w:t>
            </w:r>
            <w:r>
              <w:rPr>
                <w:rFonts w:cs="Arial"/>
                <w:b/>
                <w:snapToGrid w:val="0"/>
                <w:color w:val="000000"/>
                <w:spacing w:val="-6"/>
                <w:kern w:val="0"/>
                <w:sz w:val="24"/>
              </w:rPr>
              <w:t>（mm）</w:t>
            </w:r>
          </w:p>
        </w:tc>
        <w:tc>
          <w:tcPr>
            <w:tcW w:w="1303" w:type="dxa"/>
          </w:tcPr>
          <w:p w14:paraId="6C62CB6D">
            <w:pPr>
              <w:autoSpaceDE w:val="0"/>
              <w:autoSpaceDN w:val="0"/>
              <w:spacing w:line="360" w:lineRule="auto"/>
              <w:ind w:left="678"/>
              <w:rPr>
                <w:rFonts w:cs="微软雅黑"/>
                <w:bCs/>
                <w:sz w:val="24"/>
              </w:rPr>
            </w:pPr>
          </w:p>
        </w:tc>
        <w:tc>
          <w:tcPr>
            <w:tcW w:w="1303" w:type="dxa"/>
          </w:tcPr>
          <w:p w14:paraId="25230F08">
            <w:pPr>
              <w:autoSpaceDE w:val="0"/>
              <w:autoSpaceDN w:val="0"/>
              <w:spacing w:line="360" w:lineRule="auto"/>
              <w:ind w:left="472"/>
              <w:rPr>
                <w:rFonts w:cs="微软雅黑"/>
                <w:bCs/>
                <w:sz w:val="24"/>
              </w:rPr>
            </w:pPr>
          </w:p>
        </w:tc>
        <w:tc>
          <w:tcPr>
            <w:tcW w:w="1303" w:type="dxa"/>
          </w:tcPr>
          <w:p w14:paraId="4D047841">
            <w:pPr>
              <w:autoSpaceDE w:val="0"/>
              <w:autoSpaceDN w:val="0"/>
              <w:spacing w:line="360" w:lineRule="auto"/>
              <w:ind w:left="475"/>
              <w:rPr>
                <w:rFonts w:cs="微软雅黑"/>
                <w:bCs/>
                <w:sz w:val="24"/>
              </w:rPr>
            </w:pPr>
          </w:p>
        </w:tc>
        <w:tc>
          <w:tcPr>
            <w:tcW w:w="1308" w:type="dxa"/>
          </w:tcPr>
          <w:p w14:paraId="3F8620FE">
            <w:pPr>
              <w:autoSpaceDE w:val="0"/>
              <w:autoSpaceDN w:val="0"/>
              <w:spacing w:line="360" w:lineRule="auto"/>
              <w:ind w:left="478"/>
              <w:rPr>
                <w:rFonts w:cs="微软雅黑"/>
                <w:bCs/>
                <w:sz w:val="24"/>
              </w:rPr>
            </w:pPr>
          </w:p>
        </w:tc>
        <w:tc>
          <w:tcPr>
            <w:tcW w:w="1478" w:type="dxa"/>
          </w:tcPr>
          <w:p w14:paraId="17AC7FC6">
            <w:pPr>
              <w:autoSpaceDE w:val="0"/>
              <w:autoSpaceDN w:val="0"/>
              <w:spacing w:line="360" w:lineRule="auto"/>
              <w:ind w:left="481"/>
              <w:rPr>
                <w:rFonts w:cs="微软雅黑"/>
                <w:bCs/>
                <w:sz w:val="24"/>
              </w:rPr>
            </w:pPr>
          </w:p>
        </w:tc>
      </w:tr>
      <w:tr w14:paraId="16C9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7437" w:type="dxa"/>
            <w:gridSpan w:val="6"/>
          </w:tcPr>
          <w:p w14:paraId="78F251BB">
            <w:pPr>
              <w:widowControl/>
              <w:kinsoku w:val="0"/>
              <w:autoSpaceDE w:val="0"/>
              <w:autoSpaceDN w:val="0"/>
              <w:adjustRightInd w:val="0"/>
              <w:snapToGrid w:val="0"/>
              <w:spacing w:line="360" w:lineRule="auto"/>
              <w:jc w:val="center"/>
              <w:textAlignment w:val="baseline"/>
              <w:rPr>
                <w:rFonts w:cs="Arial"/>
                <w:b/>
                <w:snapToGrid w:val="0"/>
                <w:color w:val="000000"/>
                <w:kern w:val="0"/>
                <w:sz w:val="24"/>
              </w:rPr>
            </w:pPr>
            <w:r>
              <w:rPr>
                <w:rFonts w:cs="Arial"/>
                <w:b/>
                <w:snapToGrid w:val="0"/>
                <w:color w:val="000000"/>
                <w:spacing w:val="-3"/>
                <w:kern w:val="0"/>
                <w:sz w:val="24"/>
              </w:rPr>
              <w:t>形变量最大值</w:t>
            </w:r>
            <w:r>
              <w:rPr>
                <w:rFonts w:cs="Arial"/>
                <w:b/>
                <w:snapToGrid w:val="0"/>
                <w:color w:val="000000"/>
                <w:spacing w:val="-6"/>
                <w:kern w:val="0"/>
                <w:sz w:val="24"/>
              </w:rPr>
              <w:t>（mm）</w:t>
            </w:r>
          </w:p>
        </w:tc>
        <w:tc>
          <w:tcPr>
            <w:tcW w:w="1303" w:type="dxa"/>
          </w:tcPr>
          <w:p w14:paraId="03365A30">
            <w:pPr>
              <w:autoSpaceDE w:val="0"/>
              <w:autoSpaceDN w:val="0"/>
              <w:spacing w:line="360" w:lineRule="auto"/>
              <w:ind w:left="678"/>
              <w:rPr>
                <w:rFonts w:cs="微软雅黑"/>
                <w:bCs/>
                <w:sz w:val="24"/>
              </w:rPr>
            </w:pPr>
          </w:p>
        </w:tc>
        <w:tc>
          <w:tcPr>
            <w:tcW w:w="1303" w:type="dxa"/>
          </w:tcPr>
          <w:p w14:paraId="572EA29A">
            <w:pPr>
              <w:autoSpaceDE w:val="0"/>
              <w:autoSpaceDN w:val="0"/>
              <w:spacing w:line="360" w:lineRule="auto"/>
              <w:ind w:left="511"/>
              <w:rPr>
                <w:rFonts w:cs="微软雅黑"/>
                <w:bCs/>
                <w:sz w:val="24"/>
              </w:rPr>
            </w:pPr>
          </w:p>
        </w:tc>
        <w:tc>
          <w:tcPr>
            <w:tcW w:w="1303" w:type="dxa"/>
          </w:tcPr>
          <w:p w14:paraId="3320CC82">
            <w:pPr>
              <w:autoSpaceDE w:val="0"/>
              <w:autoSpaceDN w:val="0"/>
              <w:spacing w:line="360" w:lineRule="auto"/>
              <w:ind w:left="475"/>
              <w:rPr>
                <w:rFonts w:cs="微软雅黑"/>
                <w:bCs/>
                <w:sz w:val="24"/>
              </w:rPr>
            </w:pPr>
          </w:p>
        </w:tc>
        <w:tc>
          <w:tcPr>
            <w:tcW w:w="1308" w:type="dxa"/>
          </w:tcPr>
          <w:p w14:paraId="0C526A8D">
            <w:pPr>
              <w:autoSpaceDE w:val="0"/>
              <w:autoSpaceDN w:val="0"/>
              <w:spacing w:line="360" w:lineRule="auto"/>
              <w:ind w:left="520"/>
              <w:rPr>
                <w:rFonts w:cs="微软雅黑"/>
                <w:bCs/>
                <w:sz w:val="24"/>
              </w:rPr>
            </w:pPr>
          </w:p>
        </w:tc>
        <w:tc>
          <w:tcPr>
            <w:tcW w:w="1478" w:type="dxa"/>
          </w:tcPr>
          <w:p w14:paraId="50CE5619">
            <w:pPr>
              <w:autoSpaceDE w:val="0"/>
              <w:autoSpaceDN w:val="0"/>
              <w:spacing w:line="360" w:lineRule="auto"/>
              <w:ind w:left="481"/>
              <w:rPr>
                <w:rFonts w:cs="微软雅黑"/>
                <w:bCs/>
                <w:sz w:val="24"/>
              </w:rPr>
            </w:pPr>
          </w:p>
        </w:tc>
      </w:tr>
      <w:tr w14:paraId="674A2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7437" w:type="dxa"/>
            <w:gridSpan w:val="6"/>
          </w:tcPr>
          <w:p w14:paraId="5A32774A">
            <w:pPr>
              <w:widowControl/>
              <w:kinsoku w:val="0"/>
              <w:autoSpaceDE w:val="0"/>
              <w:autoSpaceDN w:val="0"/>
              <w:adjustRightInd w:val="0"/>
              <w:snapToGrid w:val="0"/>
              <w:spacing w:line="360" w:lineRule="auto"/>
              <w:jc w:val="center"/>
              <w:textAlignment w:val="baseline"/>
              <w:rPr>
                <w:rFonts w:cs="Arial"/>
                <w:b/>
                <w:snapToGrid w:val="0"/>
                <w:color w:val="000000"/>
                <w:kern w:val="0"/>
                <w:sz w:val="24"/>
                <w:lang w:eastAsia="en-US"/>
              </w:rPr>
            </w:pPr>
            <w:r>
              <w:rPr>
                <w:rFonts w:cs="Arial"/>
                <w:b/>
                <w:snapToGrid w:val="0"/>
                <w:color w:val="000000"/>
                <w:spacing w:val="-3"/>
                <w:kern w:val="0"/>
                <w:sz w:val="24"/>
                <w:lang w:eastAsia="en-US"/>
              </w:rPr>
              <w:t>平均形变量</w:t>
            </w:r>
            <w:r>
              <w:rPr>
                <w:rFonts w:cs="Arial"/>
                <w:b/>
                <w:snapToGrid w:val="0"/>
                <w:color w:val="000000"/>
                <w:spacing w:val="-6"/>
                <w:kern w:val="0"/>
                <w:sz w:val="24"/>
                <w:lang w:eastAsia="en-US"/>
              </w:rPr>
              <w:t>（mm）</w:t>
            </w:r>
          </w:p>
        </w:tc>
        <w:tc>
          <w:tcPr>
            <w:tcW w:w="1303" w:type="dxa"/>
          </w:tcPr>
          <w:p w14:paraId="5D174379">
            <w:pPr>
              <w:autoSpaceDE w:val="0"/>
              <w:autoSpaceDN w:val="0"/>
              <w:spacing w:line="360" w:lineRule="auto"/>
              <w:ind w:left="678"/>
              <w:rPr>
                <w:rFonts w:cs="微软雅黑"/>
                <w:bCs/>
                <w:sz w:val="24"/>
              </w:rPr>
            </w:pPr>
          </w:p>
        </w:tc>
        <w:tc>
          <w:tcPr>
            <w:tcW w:w="1303" w:type="dxa"/>
          </w:tcPr>
          <w:p w14:paraId="608460E2">
            <w:pPr>
              <w:autoSpaceDE w:val="0"/>
              <w:autoSpaceDN w:val="0"/>
              <w:spacing w:line="360" w:lineRule="auto"/>
              <w:ind w:left="472"/>
              <w:rPr>
                <w:rFonts w:cs="微软雅黑"/>
                <w:bCs/>
                <w:sz w:val="24"/>
              </w:rPr>
            </w:pPr>
          </w:p>
        </w:tc>
        <w:tc>
          <w:tcPr>
            <w:tcW w:w="1303" w:type="dxa"/>
          </w:tcPr>
          <w:p w14:paraId="51859578">
            <w:pPr>
              <w:autoSpaceDE w:val="0"/>
              <w:autoSpaceDN w:val="0"/>
              <w:spacing w:line="360" w:lineRule="auto"/>
              <w:ind w:left="475"/>
              <w:rPr>
                <w:rFonts w:cs="微软雅黑"/>
                <w:bCs/>
                <w:sz w:val="24"/>
              </w:rPr>
            </w:pPr>
          </w:p>
        </w:tc>
        <w:tc>
          <w:tcPr>
            <w:tcW w:w="1308" w:type="dxa"/>
          </w:tcPr>
          <w:p w14:paraId="0CC3EE7E">
            <w:pPr>
              <w:autoSpaceDE w:val="0"/>
              <w:autoSpaceDN w:val="0"/>
              <w:spacing w:line="360" w:lineRule="auto"/>
              <w:ind w:left="478"/>
              <w:rPr>
                <w:rFonts w:cs="微软雅黑"/>
                <w:bCs/>
                <w:sz w:val="24"/>
              </w:rPr>
            </w:pPr>
          </w:p>
        </w:tc>
        <w:tc>
          <w:tcPr>
            <w:tcW w:w="1478" w:type="dxa"/>
          </w:tcPr>
          <w:p w14:paraId="53A11FB4">
            <w:pPr>
              <w:autoSpaceDE w:val="0"/>
              <w:autoSpaceDN w:val="0"/>
              <w:spacing w:line="360" w:lineRule="auto"/>
              <w:ind w:left="481"/>
              <w:rPr>
                <w:rFonts w:cs="微软雅黑"/>
                <w:bCs/>
                <w:sz w:val="24"/>
              </w:rPr>
            </w:pPr>
          </w:p>
        </w:tc>
      </w:tr>
    </w:tbl>
    <w:p w14:paraId="4BA8E686">
      <w:pPr>
        <w:spacing w:line="360" w:lineRule="auto"/>
        <w:jc w:val="center"/>
        <w:outlineLvl w:val="0"/>
        <w:rPr>
          <w:rFonts w:hint="eastAsia" w:ascii="宋体" w:hAnsi="宋体" w:cs="宋体"/>
          <w:b/>
          <w:sz w:val="24"/>
        </w:rPr>
        <w:sectPr>
          <w:pgSz w:w="16840" w:h="11907" w:orient="landscape"/>
          <w:pgMar w:top="1701" w:right="1418" w:bottom="1134" w:left="1418" w:header="851" w:footer="851" w:gutter="0"/>
          <w:cols w:space="720" w:num="1"/>
          <w:docGrid w:linePitch="462" w:charSpace="0"/>
        </w:sectPr>
      </w:pPr>
    </w:p>
    <w:p w14:paraId="133DFB35">
      <w:pPr>
        <w:outlineLvl w:val="2"/>
        <w:rPr>
          <w:b/>
          <w:sz w:val="24"/>
        </w:rPr>
      </w:pPr>
      <w:r>
        <w:rPr>
          <w:rFonts w:hint="eastAsia"/>
          <w:b/>
          <w:sz w:val="24"/>
        </w:rPr>
        <w:t>第八包：</w:t>
      </w:r>
    </w:p>
    <w:p w14:paraId="4BDAE9AF">
      <w:pPr>
        <w:spacing w:line="360" w:lineRule="auto"/>
        <w:rPr>
          <w:rFonts w:hint="eastAsia" w:ascii="宋体" w:hAnsi="宋体" w:cs="宋体"/>
          <w:b/>
          <w:bCs/>
          <w:sz w:val="24"/>
        </w:rPr>
      </w:pPr>
      <w:bookmarkStart w:id="841" w:name="OLE_LINK31"/>
      <w:bookmarkStart w:id="842" w:name="OLE_LINK34"/>
      <w:r>
        <w:rPr>
          <w:rFonts w:hint="eastAsia" w:ascii="宋体" w:hAnsi="宋体" w:cs="宋体"/>
          <w:b/>
          <w:bCs/>
          <w:sz w:val="24"/>
        </w:rPr>
        <w:t>一、项目背景</w:t>
      </w:r>
    </w:p>
    <w:bookmarkEnd w:id="841"/>
    <w:bookmarkEnd w:id="842"/>
    <w:p w14:paraId="2843B8B7">
      <w:pPr>
        <w:spacing w:line="360" w:lineRule="auto"/>
        <w:ind w:firstLine="480" w:firstLineChars="200"/>
        <w:rPr>
          <w:sz w:val="24"/>
        </w:rPr>
      </w:pPr>
      <w:r>
        <w:rPr>
          <w:rFonts w:hint="eastAsia"/>
          <w:sz w:val="24"/>
        </w:rPr>
        <w:t>根据北京市相关文件要求，本项目租用安全服务、安全检测监测、审计服务和密码服务等政务云扩展服务，确保北京市突发地质灾害综合管理系统和突发地质灾害监测预警系统在政务云环境下可靠稳定安全运行。</w:t>
      </w:r>
    </w:p>
    <w:p w14:paraId="49120BAA">
      <w:pPr>
        <w:spacing w:line="360" w:lineRule="auto"/>
        <w:rPr>
          <w:rFonts w:hint="eastAsia" w:ascii="宋体" w:hAnsi="宋体" w:cs="宋体"/>
          <w:b/>
          <w:bCs/>
          <w:sz w:val="24"/>
        </w:rPr>
      </w:pPr>
      <w:r>
        <w:rPr>
          <w:rFonts w:hint="eastAsia" w:ascii="宋体" w:hAnsi="宋体" w:cs="宋体"/>
          <w:b/>
          <w:bCs/>
          <w:sz w:val="24"/>
        </w:rPr>
        <w:t>二、技术要求</w:t>
      </w:r>
    </w:p>
    <w:p w14:paraId="545641AA">
      <w:pPr>
        <w:adjustRightInd w:val="0"/>
        <w:spacing w:line="360" w:lineRule="auto"/>
        <w:ind w:firstLine="482" w:firstLineChars="200"/>
        <w:jc w:val="left"/>
        <w:textAlignment w:val="baseline"/>
        <w:rPr>
          <w:rFonts w:hint="eastAsia" w:ascii="宋体" w:hAnsi="宋体" w:cs="宋体"/>
          <w:b/>
          <w:bCs/>
          <w:kern w:val="0"/>
          <w:sz w:val="24"/>
          <w:lang w:bidi="ar"/>
        </w:rPr>
      </w:pPr>
      <w:r>
        <w:rPr>
          <w:rFonts w:hint="eastAsia" w:ascii="宋体" w:hAnsi="宋体" w:cs="宋体"/>
          <w:b/>
          <w:bCs/>
          <w:kern w:val="0"/>
          <w:sz w:val="24"/>
          <w:lang w:bidi="ar"/>
        </w:rPr>
        <w:t>（一）政务云扩展服务</w:t>
      </w:r>
    </w:p>
    <w:p w14:paraId="0C21E67C">
      <w:pPr>
        <w:adjustRightInd w:val="0"/>
        <w:spacing w:line="360" w:lineRule="auto"/>
        <w:ind w:firstLine="482" w:firstLineChars="200"/>
        <w:jc w:val="center"/>
        <w:textAlignment w:val="baseline"/>
        <w:rPr>
          <w:rFonts w:hint="eastAsia" w:ascii="宋体" w:hAnsi="宋体" w:cs="宋体"/>
          <w:b/>
          <w:bCs/>
          <w:kern w:val="0"/>
          <w:sz w:val="24"/>
          <w:lang w:bidi="ar"/>
        </w:rPr>
      </w:pPr>
      <w:r>
        <w:rPr>
          <w:rFonts w:hint="eastAsia" w:ascii="宋体" w:hAnsi="宋体" w:cs="宋体"/>
          <w:b/>
          <w:bCs/>
          <w:kern w:val="0"/>
          <w:sz w:val="24"/>
          <w:lang w:bidi="ar"/>
        </w:rPr>
        <w:t>表8-1 政务云扩展服务列表</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639"/>
        <w:gridCol w:w="3420"/>
        <w:gridCol w:w="681"/>
        <w:gridCol w:w="631"/>
        <w:gridCol w:w="486"/>
        <w:gridCol w:w="491"/>
      </w:tblGrid>
      <w:tr w14:paraId="0597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4" w:type="pct"/>
            <w:vAlign w:val="center"/>
          </w:tcPr>
          <w:p w14:paraId="0B93E0B7">
            <w:pPr>
              <w:widowControl/>
              <w:jc w:val="left"/>
              <w:textAlignment w:val="center"/>
              <w:rPr>
                <w:rFonts w:hint="eastAsia" w:ascii="宋体" w:hAnsi="宋体" w:cs="宋体"/>
                <w:b/>
                <w:bCs/>
                <w:color w:val="000000"/>
                <w:sz w:val="24"/>
              </w:rPr>
            </w:pPr>
            <w:r>
              <w:rPr>
                <w:rFonts w:hint="eastAsia" w:ascii="宋体" w:hAnsi="宋体" w:cs="宋体"/>
                <w:b/>
                <w:bCs/>
                <w:color w:val="000000"/>
                <w:kern w:val="0"/>
                <w:sz w:val="24"/>
                <w:lang w:bidi="ar"/>
              </w:rPr>
              <w:t>服务类别</w:t>
            </w:r>
          </w:p>
        </w:tc>
        <w:tc>
          <w:tcPr>
            <w:tcW w:w="1421" w:type="pct"/>
            <w:vAlign w:val="center"/>
          </w:tcPr>
          <w:p w14:paraId="432092C3">
            <w:pPr>
              <w:widowControl/>
              <w:jc w:val="left"/>
              <w:textAlignment w:val="center"/>
              <w:rPr>
                <w:rFonts w:hint="eastAsia" w:ascii="宋体" w:hAnsi="宋体" w:cs="宋体"/>
                <w:b/>
                <w:bCs/>
                <w:color w:val="000000"/>
                <w:sz w:val="24"/>
              </w:rPr>
            </w:pPr>
            <w:r>
              <w:rPr>
                <w:rFonts w:hint="eastAsia" w:ascii="宋体" w:hAnsi="宋体" w:cs="宋体"/>
                <w:b/>
                <w:bCs/>
                <w:color w:val="000000"/>
                <w:kern w:val="0"/>
                <w:sz w:val="24"/>
                <w:lang w:bidi="ar"/>
              </w:rPr>
              <w:t>服务子类</w:t>
            </w:r>
          </w:p>
        </w:tc>
        <w:tc>
          <w:tcPr>
            <w:tcW w:w="1842" w:type="pct"/>
            <w:vAlign w:val="center"/>
          </w:tcPr>
          <w:p w14:paraId="53AB2B37">
            <w:pPr>
              <w:widowControl/>
              <w:jc w:val="left"/>
              <w:textAlignment w:val="center"/>
              <w:rPr>
                <w:rFonts w:hint="eastAsia" w:ascii="宋体" w:hAnsi="宋体" w:cs="宋体"/>
                <w:b/>
                <w:bCs/>
                <w:color w:val="000000"/>
                <w:sz w:val="24"/>
              </w:rPr>
            </w:pPr>
            <w:r>
              <w:rPr>
                <w:rFonts w:hint="eastAsia" w:ascii="宋体" w:hAnsi="宋体" w:cs="宋体"/>
                <w:b/>
                <w:bCs/>
                <w:color w:val="000000"/>
                <w:kern w:val="0"/>
                <w:sz w:val="24"/>
                <w:lang w:bidi="ar"/>
              </w:rPr>
              <w:t>服务项</w:t>
            </w:r>
          </w:p>
        </w:tc>
        <w:tc>
          <w:tcPr>
            <w:tcW w:w="367" w:type="pct"/>
            <w:vAlign w:val="center"/>
          </w:tcPr>
          <w:p w14:paraId="68A5B7CB">
            <w:pPr>
              <w:widowControl/>
              <w:jc w:val="left"/>
              <w:textAlignment w:val="center"/>
              <w:rPr>
                <w:rFonts w:hint="eastAsia" w:ascii="宋体" w:hAnsi="宋体" w:cs="宋体"/>
                <w:b/>
                <w:bCs/>
                <w:color w:val="000000"/>
                <w:sz w:val="24"/>
              </w:rPr>
            </w:pPr>
            <w:r>
              <w:rPr>
                <w:rFonts w:hint="eastAsia" w:ascii="宋体" w:hAnsi="宋体" w:cs="宋体"/>
                <w:b/>
                <w:bCs/>
                <w:color w:val="000000"/>
                <w:kern w:val="0"/>
                <w:sz w:val="24"/>
                <w:lang w:bidi="ar"/>
              </w:rPr>
              <w:t>计价单位</w:t>
            </w:r>
          </w:p>
        </w:tc>
        <w:tc>
          <w:tcPr>
            <w:tcW w:w="340" w:type="pct"/>
            <w:vAlign w:val="center"/>
          </w:tcPr>
          <w:p w14:paraId="3888C648">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报价单位</w:t>
            </w:r>
          </w:p>
        </w:tc>
        <w:tc>
          <w:tcPr>
            <w:tcW w:w="262" w:type="pct"/>
            <w:vAlign w:val="center"/>
          </w:tcPr>
          <w:p w14:paraId="722B8255">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数量</w:t>
            </w:r>
          </w:p>
        </w:tc>
        <w:tc>
          <w:tcPr>
            <w:tcW w:w="264" w:type="pct"/>
            <w:vAlign w:val="center"/>
          </w:tcPr>
          <w:p w14:paraId="0A33F057">
            <w:pPr>
              <w:widowControl/>
              <w:jc w:val="left"/>
              <w:textAlignment w:val="center"/>
              <w:rPr>
                <w:rFonts w:hint="eastAsia" w:ascii="宋体" w:hAnsi="宋体" w:cs="宋体"/>
                <w:b/>
                <w:bCs/>
                <w:color w:val="000000"/>
                <w:sz w:val="24"/>
              </w:rPr>
            </w:pPr>
            <w:r>
              <w:rPr>
                <w:rFonts w:hint="eastAsia" w:ascii="宋体" w:hAnsi="宋体" w:cs="宋体"/>
                <w:b/>
                <w:bCs/>
                <w:color w:val="000000"/>
                <w:kern w:val="0"/>
                <w:sz w:val="24"/>
                <w:lang w:bidi="ar"/>
              </w:rPr>
              <w:t>期限</w:t>
            </w:r>
          </w:p>
        </w:tc>
      </w:tr>
      <w:tr w14:paraId="1F3C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4" w:type="pct"/>
            <w:vMerge w:val="restart"/>
            <w:vAlign w:val="center"/>
          </w:tcPr>
          <w:p w14:paraId="32F8B313">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安全服务</w:t>
            </w:r>
          </w:p>
        </w:tc>
        <w:tc>
          <w:tcPr>
            <w:tcW w:w="1421" w:type="pct"/>
            <w:vAlign w:val="center"/>
          </w:tcPr>
          <w:p w14:paraId="09FAAEA8">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主机杀毒服务</w:t>
            </w:r>
          </w:p>
        </w:tc>
        <w:tc>
          <w:tcPr>
            <w:tcW w:w="1842" w:type="pct"/>
            <w:vAlign w:val="center"/>
          </w:tcPr>
          <w:p w14:paraId="710B12D5">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对云主机进行定期的病毒查杀，杀毒软件集中控制，对网络性能无影响。</w:t>
            </w:r>
          </w:p>
        </w:tc>
        <w:tc>
          <w:tcPr>
            <w:tcW w:w="367" w:type="pct"/>
            <w:vAlign w:val="center"/>
          </w:tcPr>
          <w:p w14:paraId="50DE713C">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台/月</w:t>
            </w:r>
          </w:p>
        </w:tc>
        <w:tc>
          <w:tcPr>
            <w:tcW w:w="340" w:type="pct"/>
            <w:vAlign w:val="center"/>
          </w:tcPr>
          <w:p w14:paraId="00AAEE6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262" w:type="pct"/>
            <w:noWrap/>
            <w:vAlign w:val="center"/>
          </w:tcPr>
          <w:p w14:paraId="3887C21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41</w:t>
            </w:r>
          </w:p>
        </w:tc>
        <w:tc>
          <w:tcPr>
            <w:tcW w:w="264" w:type="pct"/>
            <w:noWrap/>
            <w:vAlign w:val="center"/>
          </w:tcPr>
          <w:p w14:paraId="4B2D2DA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0B42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4" w:type="pct"/>
            <w:vMerge w:val="continue"/>
            <w:vAlign w:val="center"/>
          </w:tcPr>
          <w:p w14:paraId="7B1BB6F4">
            <w:pPr>
              <w:jc w:val="left"/>
              <w:rPr>
                <w:rFonts w:hint="eastAsia" w:ascii="宋体" w:hAnsi="宋体" w:cs="宋体"/>
                <w:color w:val="000000"/>
                <w:sz w:val="24"/>
              </w:rPr>
            </w:pPr>
          </w:p>
        </w:tc>
        <w:tc>
          <w:tcPr>
            <w:tcW w:w="1421" w:type="pct"/>
            <w:vAlign w:val="center"/>
          </w:tcPr>
          <w:p w14:paraId="71469703">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主机防护</w:t>
            </w:r>
          </w:p>
        </w:tc>
        <w:tc>
          <w:tcPr>
            <w:tcW w:w="1842" w:type="pct"/>
            <w:vAlign w:val="center"/>
          </w:tcPr>
          <w:p w14:paraId="3C1C4F57">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主机防护：提供符合等保三级要求的主机权限管理及安全防护。</w:t>
            </w:r>
          </w:p>
        </w:tc>
        <w:tc>
          <w:tcPr>
            <w:tcW w:w="367" w:type="pct"/>
            <w:vAlign w:val="center"/>
          </w:tcPr>
          <w:p w14:paraId="251CA32F">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台/月</w:t>
            </w:r>
          </w:p>
        </w:tc>
        <w:tc>
          <w:tcPr>
            <w:tcW w:w="340" w:type="pct"/>
            <w:vAlign w:val="center"/>
          </w:tcPr>
          <w:p w14:paraId="56AD0F1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262" w:type="pct"/>
            <w:noWrap/>
            <w:vAlign w:val="center"/>
          </w:tcPr>
          <w:p w14:paraId="482927C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36</w:t>
            </w:r>
          </w:p>
        </w:tc>
        <w:tc>
          <w:tcPr>
            <w:tcW w:w="264" w:type="pct"/>
            <w:noWrap/>
            <w:vAlign w:val="center"/>
          </w:tcPr>
          <w:p w14:paraId="6DE87E4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7C2F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4" w:type="pct"/>
            <w:vMerge w:val="continue"/>
            <w:vAlign w:val="center"/>
          </w:tcPr>
          <w:p w14:paraId="7EB362B6">
            <w:pPr>
              <w:jc w:val="left"/>
              <w:rPr>
                <w:rFonts w:hint="eastAsia" w:ascii="宋体" w:hAnsi="宋体" w:cs="宋体"/>
                <w:color w:val="000000"/>
                <w:sz w:val="24"/>
              </w:rPr>
            </w:pPr>
          </w:p>
        </w:tc>
        <w:tc>
          <w:tcPr>
            <w:tcW w:w="1421" w:type="pct"/>
            <w:vAlign w:val="center"/>
          </w:tcPr>
          <w:p w14:paraId="42DED382">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主机安全加固</w:t>
            </w:r>
          </w:p>
        </w:tc>
        <w:tc>
          <w:tcPr>
            <w:tcW w:w="1842" w:type="pct"/>
            <w:vAlign w:val="center"/>
          </w:tcPr>
          <w:p w14:paraId="7964F193">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针对漏扫或等级测评结果对操作系统进行安全加固，用以解决等级测评结果中所显示的漏洞。</w:t>
            </w:r>
          </w:p>
        </w:tc>
        <w:tc>
          <w:tcPr>
            <w:tcW w:w="367" w:type="pct"/>
            <w:vAlign w:val="center"/>
          </w:tcPr>
          <w:p w14:paraId="30947BF4">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台/次</w:t>
            </w:r>
          </w:p>
        </w:tc>
        <w:tc>
          <w:tcPr>
            <w:tcW w:w="340" w:type="pct"/>
            <w:vAlign w:val="center"/>
          </w:tcPr>
          <w:p w14:paraId="4B641AA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元</w:t>
            </w:r>
          </w:p>
        </w:tc>
        <w:tc>
          <w:tcPr>
            <w:tcW w:w="262" w:type="pct"/>
            <w:noWrap/>
            <w:vAlign w:val="center"/>
          </w:tcPr>
          <w:p w14:paraId="5A60534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56</w:t>
            </w:r>
          </w:p>
        </w:tc>
        <w:tc>
          <w:tcPr>
            <w:tcW w:w="264" w:type="pct"/>
            <w:noWrap/>
            <w:vAlign w:val="center"/>
          </w:tcPr>
          <w:p w14:paraId="3C67FBB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13B2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4" w:type="pct"/>
            <w:vMerge w:val="restart"/>
            <w:vAlign w:val="center"/>
          </w:tcPr>
          <w:p w14:paraId="523B0F05">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安全检测监测、审计服务</w:t>
            </w:r>
          </w:p>
        </w:tc>
        <w:tc>
          <w:tcPr>
            <w:tcW w:w="1421" w:type="pct"/>
            <w:vAlign w:val="center"/>
          </w:tcPr>
          <w:p w14:paraId="3EBC0E74">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主机漏洞扫描</w:t>
            </w:r>
          </w:p>
        </w:tc>
        <w:tc>
          <w:tcPr>
            <w:tcW w:w="1842" w:type="pct"/>
            <w:vAlign w:val="center"/>
          </w:tcPr>
          <w:p w14:paraId="4F835799">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为用户提供针对主机层面的安全扫描服务，并反馈相关结果。</w:t>
            </w:r>
          </w:p>
        </w:tc>
        <w:tc>
          <w:tcPr>
            <w:tcW w:w="367" w:type="pct"/>
            <w:vAlign w:val="center"/>
          </w:tcPr>
          <w:p w14:paraId="7CC47227">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台/次</w:t>
            </w:r>
          </w:p>
        </w:tc>
        <w:tc>
          <w:tcPr>
            <w:tcW w:w="340" w:type="pct"/>
            <w:vAlign w:val="center"/>
          </w:tcPr>
          <w:p w14:paraId="175C3FC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元</w:t>
            </w:r>
          </w:p>
        </w:tc>
        <w:tc>
          <w:tcPr>
            <w:tcW w:w="262" w:type="pct"/>
            <w:noWrap/>
            <w:vAlign w:val="center"/>
          </w:tcPr>
          <w:p w14:paraId="49066CB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56</w:t>
            </w:r>
          </w:p>
        </w:tc>
        <w:tc>
          <w:tcPr>
            <w:tcW w:w="264" w:type="pct"/>
            <w:noWrap/>
            <w:vAlign w:val="center"/>
          </w:tcPr>
          <w:p w14:paraId="1685524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425A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4" w:type="pct"/>
            <w:vMerge w:val="continue"/>
            <w:vAlign w:val="center"/>
          </w:tcPr>
          <w:p w14:paraId="4CBD4557">
            <w:pPr>
              <w:jc w:val="left"/>
              <w:rPr>
                <w:rFonts w:hint="eastAsia" w:ascii="宋体" w:hAnsi="宋体" w:cs="宋体"/>
                <w:color w:val="000000"/>
                <w:sz w:val="24"/>
              </w:rPr>
            </w:pPr>
          </w:p>
        </w:tc>
        <w:tc>
          <w:tcPr>
            <w:tcW w:w="1421" w:type="pct"/>
            <w:vAlign w:val="center"/>
          </w:tcPr>
          <w:p w14:paraId="141A053B">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主机日志审计服务</w:t>
            </w:r>
          </w:p>
        </w:tc>
        <w:tc>
          <w:tcPr>
            <w:tcW w:w="1842" w:type="pct"/>
            <w:vAlign w:val="center"/>
          </w:tcPr>
          <w:p w14:paraId="45476E1E">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针对操作系统进行日志收集，用于了解主机安全情况及资源使用情况。</w:t>
            </w:r>
          </w:p>
        </w:tc>
        <w:tc>
          <w:tcPr>
            <w:tcW w:w="367" w:type="pct"/>
            <w:vAlign w:val="center"/>
          </w:tcPr>
          <w:p w14:paraId="60584BE3">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台/月</w:t>
            </w:r>
          </w:p>
        </w:tc>
        <w:tc>
          <w:tcPr>
            <w:tcW w:w="340" w:type="pct"/>
            <w:vAlign w:val="center"/>
          </w:tcPr>
          <w:p w14:paraId="36643F3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262" w:type="pct"/>
            <w:noWrap/>
            <w:vAlign w:val="center"/>
          </w:tcPr>
          <w:p w14:paraId="3EDB306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36</w:t>
            </w:r>
          </w:p>
        </w:tc>
        <w:tc>
          <w:tcPr>
            <w:tcW w:w="264" w:type="pct"/>
            <w:noWrap/>
            <w:vAlign w:val="center"/>
          </w:tcPr>
          <w:p w14:paraId="79DD859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2241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04" w:type="pct"/>
            <w:vMerge w:val="restart"/>
            <w:vAlign w:val="center"/>
          </w:tcPr>
          <w:p w14:paraId="2B37B79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密码服务</w:t>
            </w:r>
          </w:p>
        </w:tc>
        <w:tc>
          <w:tcPr>
            <w:tcW w:w="1421" w:type="pct"/>
            <w:vAlign w:val="center"/>
          </w:tcPr>
          <w:p w14:paraId="138BA2B5">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强身份认证服务</w:t>
            </w:r>
          </w:p>
        </w:tc>
        <w:tc>
          <w:tcPr>
            <w:tcW w:w="1842" w:type="pct"/>
            <w:vAlign w:val="center"/>
          </w:tcPr>
          <w:p w14:paraId="6EEDB4B8">
            <w:pPr>
              <w:widowControl/>
              <w:jc w:val="left"/>
              <w:textAlignment w:val="center"/>
              <w:rPr>
                <w:rFonts w:hint="eastAsia" w:ascii="宋体" w:hAnsi="宋体" w:cs="宋体"/>
                <w:color w:val="000000"/>
                <w:sz w:val="24"/>
              </w:rPr>
            </w:pPr>
            <w:r>
              <w:rPr>
                <w:rFonts w:ascii="宋体" w:hAnsi="宋体" w:cs="宋体"/>
                <w:color w:val="000000"/>
                <w:sz w:val="24"/>
                <w:lang w:bidi="ar"/>
              </w:rPr>
              <w:t>面向业务系统，通过云服务的模式提供基于数字证书的强身份认证服务，可以配合、USBKey 证书、服务器证书完成PC 端以及业务服务之间的强身份认证。</w:t>
            </w:r>
          </w:p>
        </w:tc>
        <w:tc>
          <w:tcPr>
            <w:tcW w:w="367" w:type="pct"/>
            <w:vAlign w:val="center"/>
          </w:tcPr>
          <w:p w14:paraId="303AF52D">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套/月</w:t>
            </w:r>
          </w:p>
        </w:tc>
        <w:tc>
          <w:tcPr>
            <w:tcW w:w="340" w:type="pct"/>
            <w:vAlign w:val="center"/>
          </w:tcPr>
          <w:p w14:paraId="60DC7C6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262" w:type="pct"/>
            <w:noWrap/>
            <w:vAlign w:val="center"/>
          </w:tcPr>
          <w:p w14:paraId="059DC9C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264" w:type="pct"/>
            <w:noWrap/>
            <w:vAlign w:val="center"/>
          </w:tcPr>
          <w:p w14:paraId="11526D8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6C2E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04" w:type="pct"/>
            <w:vMerge w:val="continue"/>
            <w:vAlign w:val="center"/>
          </w:tcPr>
          <w:p w14:paraId="42CCA131">
            <w:pPr>
              <w:jc w:val="center"/>
              <w:rPr>
                <w:rFonts w:hint="eastAsia" w:ascii="宋体" w:hAnsi="宋体" w:cs="宋体"/>
                <w:color w:val="000000"/>
                <w:sz w:val="24"/>
              </w:rPr>
            </w:pPr>
          </w:p>
        </w:tc>
        <w:tc>
          <w:tcPr>
            <w:tcW w:w="1421" w:type="pct"/>
            <w:vAlign w:val="center"/>
          </w:tcPr>
          <w:p w14:paraId="3F50AA5F">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签名验签服务</w:t>
            </w:r>
          </w:p>
        </w:tc>
        <w:tc>
          <w:tcPr>
            <w:tcW w:w="1842" w:type="pct"/>
            <w:vAlign w:val="center"/>
          </w:tcPr>
          <w:p w14:paraId="14A4C2A0">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依托云服务商符合国密要求的密码服务，为平台提供签名验签、杂凑等密码运算服务，保证重要数据的完整性。</w:t>
            </w:r>
          </w:p>
        </w:tc>
        <w:tc>
          <w:tcPr>
            <w:tcW w:w="367" w:type="pct"/>
            <w:vAlign w:val="center"/>
          </w:tcPr>
          <w:p w14:paraId="0FCB2BE0">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套/月</w:t>
            </w:r>
          </w:p>
        </w:tc>
        <w:tc>
          <w:tcPr>
            <w:tcW w:w="340" w:type="pct"/>
            <w:vAlign w:val="center"/>
          </w:tcPr>
          <w:p w14:paraId="005EE94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262" w:type="pct"/>
            <w:noWrap/>
            <w:vAlign w:val="center"/>
          </w:tcPr>
          <w:p w14:paraId="5426EA8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264" w:type="pct"/>
            <w:noWrap/>
            <w:vAlign w:val="center"/>
          </w:tcPr>
          <w:p w14:paraId="74012D2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55CF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04" w:type="pct"/>
            <w:vMerge w:val="continue"/>
            <w:vAlign w:val="center"/>
          </w:tcPr>
          <w:p w14:paraId="531D8369">
            <w:pPr>
              <w:jc w:val="center"/>
              <w:rPr>
                <w:rFonts w:hint="eastAsia" w:ascii="宋体" w:hAnsi="宋体" w:cs="宋体"/>
                <w:color w:val="000000"/>
                <w:sz w:val="24"/>
              </w:rPr>
            </w:pPr>
          </w:p>
        </w:tc>
        <w:tc>
          <w:tcPr>
            <w:tcW w:w="1421" w:type="pct"/>
            <w:vAlign w:val="center"/>
          </w:tcPr>
          <w:p w14:paraId="2E473A2C">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加解密服务</w:t>
            </w:r>
          </w:p>
        </w:tc>
        <w:tc>
          <w:tcPr>
            <w:tcW w:w="1842" w:type="pct"/>
            <w:vAlign w:val="center"/>
          </w:tcPr>
          <w:p w14:paraId="7D8F7A74">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依托云服务商符合国密要求的密码服务，实现对称密钥、非对称密钥全生命周期管理，为平台提供数据加解密服务，确保平台中重要数据存储的机密性。</w:t>
            </w:r>
          </w:p>
        </w:tc>
        <w:tc>
          <w:tcPr>
            <w:tcW w:w="367" w:type="pct"/>
            <w:vAlign w:val="center"/>
          </w:tcPr>
          <w:p w14:paraId="0459B77E">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套/月</w:t>
            </w:r>
          </w:p>
        </w:tc>
        <w:tc>
          <w:tcPr>
            <w:tcW w:w="340" w:type="pct"/>
            <w:vAlign w:val="center"/>
          </w:tcPr>
          <w:p w14:paraId="00E1204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262" w:type="pct"/>
            <w:noWrap/>
            <w:vAlign w:val="center"/>
          </w:tcPr>
          <w:p w14:paraId="57A05D3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264" w:type="pct"/>
            <w:noWrap/>
            <w:vAlign w:val="center"/>
          </w:tcPr>
          <w:p w14:paraId="3E2613B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3202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04" w:type="pct"/>
            <w:vMerge w:val="continue"/>
            <w:vAlign w:val="center"/>
          </w:tcPr>
          <w:p w14:paraId="19C82821">
            <w:pPr>
              <w:jc w:val="center"/>
              <w:rPr>
                <w:rFonts w:hint="eastAsia" w:ascii="宋体" w:hAnsi="宋体" w:cs="宋体"/>
                <w:color w:val="000000"/>
                <w:sz w:val="24"/>
              </w:rPr>
            </w:pPr>
          </w:p>
        </w:tc>
        <w:tc>
          <w:tcPr>
            <w:tcW w:w="1421" w:type="pct"/>
            <w:vAlign w:val="center"/>
          </w:tcPr>
          <w:p w14:paraId="2EB83781">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国密浏览器</w:t>
            </w:r>
          </w:p>
        </w:tc>
        <w:tc>
          <w:tcPr>
            <w:tcW w:w="1842" w:type="pct"/>
            <w:vAlign w:val="center"/>
          </w:tcPr>
          <w:p w14:paraId="6C362E92">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基于国产密码算法套件和SSL/TLS技术，在客户端和服务端之间建立透明加密隧道，确保传输数据的机密性、完整性。</w:t>
            </w:r>
          </w:p>
        </w:tc>
        <w:tc>
          <w:tcPr>
            <w:tcW w:w="367" w:type="pct"/>
            <w:vAlign w:val="center"/>
          </w:tcPr>
          <w:p w14:paraId="75A587A7">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套</w:t>
            </w:r>
          </w:p>
        </w:tc>
        <w:tc>
          <w:tcPr>
            <w:tcW w:w="340" w:type="pct"/>
            <w:vAlign w:val="center"/>
          </w:tcPr>
          <w:p w14:paraId="6A52122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262" w:type="pct"/>
            <w:noWrap/>
            <w:vAlign w:val="center"/>
          </w:tcPr>
          <w:p w14:paraId="698FE93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25</w:t>
            </w:r>
          </w:p>
        </w:tc>
        <w:tc>
          <w:tcPr>
            <w:tcW w:w="264" w:type="pct"/>
            <w:noWrap/>
            <w:vAlign w:val="center"/>
          </w:tcPr>
          <w:p w14:paraId="50F3BF6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45D8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04" w:type="pct"/>
            <w:vMerge w:val="continue"/>
            <w:vAlign w:val="center"/>
          </w:tcPr>
          <w:p w14:paraId="23B54C70">
            <w:pPr>
              <w:jc w:val="center"/>
              <w:rPr>
                <w:rFonts w:hint="eastAsia" w:ascii="宋体" w:hAnsi="宋体" w:cs="宋体"/>
                <w:color w:val="000000"/>
                <w:sz w:val="24"/>
              </w:rPr>
            </w:pPr>
          </w:p>
        </w:tc>
        <w:tc>
          <w:tcPr>
            <w:tcW w:w="1421" w:type="pct"/>
            <w:vAlign w:val="center"/>
          </w:tcPr>
          <w:p w14:paraId="7D422772">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智能密码钥匙</w:t>
            </w:r>
          </w:p>
        </w:tc>
        <w:tc>
          <w:tcPr>
            <w:tcW w:w="1842" w:type="pct"/>
            <w:vAlign w:val="center"/>
          </w:tcPr>
          <w:p w14:paraId="6DF03A8B">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为普通用户、系统运维人员配发国密算法的智能密码钥匙，提供终端数字证书及密钥安全存储，支持数字签名、对称、非对称加密。</w:t>
            </w:r>
          </w:p>
        </w:tc>
        <w:tc>
          <w:tcPr>
            <w:tcW w:w="367" w:type="pct"/>
            <w:vAlign w:val="center"/>
          </w:tcPr>
          <w:p w14:paraId="3402E9B2">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个</w:t>
            </w:r>
          </w:p>
        </w:tc>
        <w:tc>
          <w:tcPr>
            <w:tcW w:w="340" w:type="pct"/>
            <w:vAlign w:val="center"/>
          </w:tcPr>
          <w:p w14:paraId="6ECC2D9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个</w:t>
            </w:r>
          </w:p>
        </w:tc>
        <w:tc>
          <w:tcPr>
            <w:tcW w:w="262" w:type="pct"/>
            <w:noWrap/>
            <w:vAlign w:val="center"/>
          </w:tcPr>
          <w:p w14:paraId="29FE41E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25</w:t>
            </w:r>
          </w:p>
        </w:tc>
        <w:tc>
          <w:tcPr>
            <w:tcW w:w="264" w:type="pct"/>
            <w:noWrap/>
            <w:vAlign w:val="center"/>
          </w:tcPr>
          <w:p w14:paraId="1A33874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7D25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4" w:type="pct"/>
            <w:vMerge w:val="continue"/>
            <w:vAlign w:val="center"/>
          </w:tcPr>
          <w:p w14:paraId="19491C21">
            <w:pPr>
              <w:jc w:val="center"/>
              <w:rPr>
                <w:rFonts w:hint="eastAsia" w:ascii="宋体" w:hAnsi="宋体" w:cs="宋体"/>
                <w:color w:val="000000"/>
                <w:sz w:val="24"/>
              </w:rPr>
            </w:pPr>
          </w:p>
        </w:tc>
        <w:tc>
          <w:tcPr>
            <w:tcW w:w="1421" w:type="pct"/>
            <w:vAlign w:val="center"/>
          </w:tcPr>
          <w:p w14:paraId="24C8E938">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个人数字证书</w:t>
            </w:r>
          </w:p>
        </w:tc>
        <w:tc>
          <w:tcPr>
            <w:tcW w:w="1842" w:type="pct"/>
            <w:vAlign w:val="center"/>
          </w:tcPr>
          <w:p w14:paraId="4AA7CAE8">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标识普通用户、系统运维人员的网上身份，与智能密码钥匙配套使用。</w:t>
            </w:r>
          </w:p>
        </w:tc>
        <w:tc>
          <w:tcPr>
            <w:tcW w:w="367" w:type="pct"/>
            <w:vAlign w:val="center"/>
          </w:tcPr>
          <w:p w14:paraId="221FFDA6">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套/月</w:t>
            </w:r>
          </w:p>
        </w:tc>
        <w:tc>
          <w:tcPr>
            <w:tcW w:w="340" w:type="pct"/>
            <w:vAlign w:val="center"/>
          </w:tcPr>
          <w:p w14:paraId="40529B3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262" w:type="pct"/>
            <w:noWrap/>
            <w:vAlign w:val="center"/>
          </w:tcPr>
          <w:p w14:paraId="3C18E1D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25</w:t>
            </w:r>
          </w:p>
        </w:tc>
        <w:tc>
          <w:tcPr>
            <w:tcW w:w="264" w:type="pct"/>
            <w:noWrap/>
            <w:vAlign w:val="center"/>
          </w:tcPr>
          <w:p w14:paraId="219C1D8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54F3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04" w:type="pct"/>
            <w:vMerge w:val="continue"/>
            <w:vAlign w:val="center"/>
          </w:tcPr>
          <w:p w14:paraId="13F635CB">
            <w:pPr>
              <w:jc w:val="center"/>
              <w:rPr>
                <w:rFonts w:hint="eastAsia" w:ascii="宋体" w:hAnsi="宋体" w:cs="宋体"/>
                <w:color w:val="000000"/>
                <w:sz w:val="24"/>
              </w:rPr>
            </w:pPr>
          </w:p>
        </w:tc>
        <w:tc>
          <w:tcPr>
            <w:tcW w:w="1421" w:type="pct"/>
            <w:vAlign w:val="center"/>
          </w:tcPr>
          <w:p w14:paraId="677A7640">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DV通配符SM2 SSL证书（送国际 GlobalSign证书）</w:t>
            </w:r>
          </w:p>
        </w:tc>
        <w:tc>
          <w:tcPr>
            <w:tcW w:w="1842" w:type="pct"/>
            <w:vAlign w:val="center"/>
          </w:tcPr>
          <w:p w14:paraId="6017565B">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DV通配符SSL证书是指只验证网站域名使用权的简易型通配符SSL证书，证书用于验证一个域名以及该域名所有二级子域名的使用权。该产品含SM2/RSA双证书。</w:t>
            </w:r>
          </w:p>
        </w:tc>
        <w:tc>
          <w:tcPr>
            <w:tcW w:w="367" w:type="pct"/>
            <w:vAlign w:val="center"/>
          </w:tcPr>
          <w:p w14:paraId="7A58CA7B">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套/月</w:t>
            </w:r>
          </w:p>
        </w:tc>
        <w:tc>
          <w:tcPr>
            <w:tcW w:w="340" w:type="pct"/>
            <w:vAlign w:val="center"/>
          </w:tcPr>
          <w:p w14:paraId="3B5CC05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262" w:type="pct"/>
            <w:noWrap/>
            <w:vAlign w:val="center"/>
          </w:tcPr>
          <w:p w14:paraId="704B22D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264" w:type="pct"/>
            <w:noWrap/>
            <w:vAlign w:val="center"/>
          </w:tcPr>
          <w:p w14:paraId="0D857C0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228B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04" w:type="pct"/>
            <w:vMerge w:val="continue"/>
            <w:vAlign w:val="center"/>
          </w:tcPr>
          <w:p w14:paraId="12CAA0A0">
            <w:pPr>
              <w:jc w:val="center"/>
              <w:rPr>
                <w:rFonts w:hint="eastAsia" w:ascii="宋体" w:hAnsi="宋体" w:cs="宋体"/>
                <w:color w:val="000000"/>
                <w:sz w:val="24"/>
              </w:rPr>
            </w:pPr>
          </w:p>
        </w:tc>
        <w:tc>
          <w:tcPr>
            <w:tcW w:w="1421" w:type="pct"/>
            <w:vAlign w:val="center"/>
          </w:tcPr>
          <w:p w14:paraId="0280CB5B">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设备证书</w:t>
            </w:r>
          </w:p>
        </w:tc>
        <w:tc>
          <w:tcPr>
            <w:tcW w:w="1842" w:type="pct"/>
            <w:vAlign w:val="center"/>
          </w:tcPr>
          <w:p w14:paraId="22062280">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设备证书是指验证网站、设备所有单位的真实身份的标准型SSL证书，以证明申请单位是一个合法存在的真实实体。</w:t>
            </w:r>
          </w:p>
        </w:tc>
        <w:tc>
          <w:tcPr>
            <w:tcW w:w="367" w:type="pct"/>
            <w:vAlign w:val="center"/>
          </w:tcPr>
          <w:p w14:paraId="60664412">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套/月</w:t>
            </w:r>
          </w:p>
        </w:tc>
        <w:tc>
          <w:tcPr>
            <w:tcW w:w="340" w:type="pct"/>
            <w:vAlign w:val="center"/>
          </w:tcPr>
          <w:p w14:paraId="4E4E408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262" w:type="pct"/>
            <w:vAlign w:val="center"/>
          </w:tcPr>
          <w:p w14:paraId="2B0E5AA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264" w:type="pct"/>
            <w:noWrap/>
            <w:vAlign w:val="center"/>
          </w:tcPr>
          <w:p w14:paraId="60B889D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6354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04" w:type="pct"/>
            <w:vMerge w:val="continue"/>
            <w:vAlign w:val="center"/>
          </w:tcPr>
          <w:p w14:paraId="6BFF93A0">
            <w:pPr>
              <w:jc w:val="center"/>
              <w:rPr>
                <w:rFonts w:hint="eastAsia" w:ascii="宋体" w:hAnsi="宋体" w:cs="宋体"/>
                <w:color w:val="000000"/>
                <w:sz w:val="24"/>
              </w:rPr>
            </w:pPr>
          </w:p>
        </w:tc>
        <w:tc>
          <w:tcPr>
            <w:tcW w:w="1421" w:type="pct"/>
            <w:vAlign w:val="center"/>
          </w:tcPr>
          <w:p w14:paraId="46CF509E">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DV通配符SM2 SSL证书</w:t>
            </w:r>
          </w:p>
        </w:tc>
        <w:tc>
          <w:tcPr>
            <w:tcW w:w="1842" w:type="pct"/>
            <w:vAlign w:val="center"/>
          </w:tcPr>
          <w:p w14:paraId="1A54A208">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支持360、奇安信等国密浏览器的SM2算法OV SSL证书。</w:t>
            </w:r>
          </w:p>
          <w:p w14:paraId="3BD8BE36">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OV SSL证书是指验证网站所有单位的真实身份的标准型SSL证书，通过证书颁发机构审查网站企业身份和单域名或多域名的所有权以证明申请单位是一个合法存在的真实实体。</w:t>
            </w:r>
          </w:p>
        </w:tc>
        <w:tc>
          <w:tcPr>
            <w:tcW w:w="367" w:type="pct"/>
            <w:vAlign w:val="center"/>
          </w:tcPr>
          <w:p w14:paraId="0505E507">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套/月</w:t>
            </w:r>
          </w:p>
        </w:tc>
        <w:tc>
          <w:tcPr>
            <w:tcW w:w="340" w:type="pct"/>
            <w:vAlign w:val="center"/>
          </w:tcPr>
          <w:p w14:paraId="4E2FF4F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262" w:type="pct"/>
            <w:vAlign w:val="center"/>
          </w:tcPr>
          <w:p w14:paraId="20D677A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264" w:type="pct"/>
            <w:noWrap/>
            <w:vAlign w:val="center"/>
          </w:tcPr>
          <w:p w14:paraId="5EB8670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2CE1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504" w:type="pct"/>
            <w:vMerge w:val="continue"/>
            <w:vAlign w:val="center"/>
          </w:tcPr>
          <w:p w14:paraId="39DDAD56">
            <w:pPr>
              <w:jc w:val="center"/>
              <w:rPr>
                <w:rFonts w:hint="eastAsia" w:ascii="宋体" w:hAnsi="宋体" w:cs="宋体"/>
                <w:color w:val="000000"/>
                <w:sz w:val="24"/>
              </w:rPr>
            </w:pPr>
          </w:p>
        </w:tc>
        <w:tc>
          <w:tcPr>
            <w:tcW w:w="1421" w:type="pct"/>
            <w:noWrap/>
            <w:vAlign w:val="center"/>
          </w:tcPr>
          <w:p w14:paraId="084F9CAE">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国密SSL国密通讯</w:t>
            </w:r>
          </w:p>
        </w:tc>
        <w:tc>
          <w:tcPr>
            <w:tcW w:w="1842" w:type="pct"/>
            <w:vAlign w:val="center"/>
          </w:tcPr>
          <w:p w14:paraId="713A69EB">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面向业务系统，通过云的模式提供SSL安全技术支持，支持 SM2/SM3/SM4算法，基于国密SSL协议构建安全通道，用户访问系统采用https网络传输协议，从而确保通信时的身份鉴别、通信数据的机密性和完整性。</w:t>
            </w:r>
          </w:p>
        </w:tc>
        <w:tc>
          <w:tcPr>
            <w:tcW w:w="367" w:type="pct"/>
            <w:vAlign w:val="center"/>
          </w:tcPr>
          <w:p w14:paraId="68FE4ABD">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套/月</w:t>
            </w:r>
          </w:p>
        </w:tc>
        <w:tc>
          <w:tcPr>
            <w:tcW w:w="340" w:type="pct"/>
            <w:vAlign w:val="center"/>
          </w:tcPr>
          <w:p w14:paraId="7E8623ED">
            <w:pPr>
              <w:widowControl/>
              <w:jc w:val="center"/>
              <w:textAlignment w:val="center"/>
              <w:rPr>
                <w:rFonts w:hint="eastAsia" w:ascii="宋体" w:hAnsi="宋体" w:cs="宋体"/>
                <w:color w:val="000000"/>
                <w:sz w:val="24"/>
              </w:rPr>
            </w:pPr>
            <w:r>
              <w:rPr>
                <w:rFonts w:ascii="宋体" w:hAnsi="宋体" w:cs="宋体"/>
                <w:color w:val="000000"/>
                <w:sz w:val="24"/>
                <w:lang w:bidi="ar"/>
              </w:rPr>
              <w:t>元/月</w:t>
            </w:r>
          </w:p>
        </w:tc>
        <w:tc>
          <w:tcPr>
            <w:tcW w:w="262" w:type="pct"/>
            <w:vAlign w:val="center"/>
          </w:tcPr>
          <w:p w14:paraId="7B1D312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264" w:type="pct"/>
            <w:noWrap/>
            <w:vAlign w:val="center"/>
          </w:tcPr>
          <w:p w14:paraId="29F4BC1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4B37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04" w:type="pct"/>
            <w:vMerge w:val="continue"/>
            <w:vAlign w:val="center"/>
          </w:tcPr>
          <w:p w14:paraId="534F209A">
            <w:pPr>
              <w:jc w:val="center"/>
              <w:rPr>
                <w:rFonts w:hint="eastAsia" w:ascii="宋体" w:hAnsi="宋体" w:cs="宋体"/>
                <w:color w:val="000000"/>
                <w:sz w:val="24"/>
              </w:rPr>
            </w:pPr>
          </w:p>
        </w:tc>
        <w:tc>
          <w:tcPr>
            <w:tcW w:w="1421" w:type="pct"/>
            <w:noWrap/>
            <w:vAlign w:val="center"/>
          </w:tcPr>
          <w:p w14:paraId="1DA28AA4">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国密远程算法远程服务</w:t>
            </w:r>
          </w:p>
        </w:tc>
        <w:tc>
          <w:tcPr>
            <w:tcW w:w="1842" w:type="pct"/>
            <w:vAlign w:val="center"/>
          </w:tcPr>
          <w:p w14:paraId="7FAD6F1F">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面向2个运维人员，提供国密远程运维，需采用第三方电子认证机构颁发的SM2 算法数字证书及介质实现登录堡垒机进行身份鉴别。</w:t>
            </w:r>
          </w:p>
        </w:tc>
        <w:tc>
          <w:tcPr>
            <w:tcW w:w="367" w:type="pct"/>
            <w:vAlign w:val="center"/>
          </w:tcPr>
          <w:p w14:paraId="3B8CE548">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套/月</w:t>
            </w:r>
          </w:p>
        </w:tc>
        <w:tc>
          <w:tcPr>
            <w:tcW w:w="340" w:type="pct"/>
            <w:vAlign w:val="center"/>
          </w:tcPr>
          <w:p w14:paraId="2744E01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套/月</w:t>
            </w:r>
          </w:p>
        </w:tc>
        <w:tc>
          <w:tcPr>
            <w:tcW w:w="262" w:type="pct"/>
            <w:vAlign w:val="center"/>
          </w:tcPr>
          <w:p w14:paraId="1855792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264" w:type="pct"/>
            <w:noWrap/>
            <w:vAlign w:val="center"/>
          </w:tcPr>
          <w:p w14:paraId="221643E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bl>
    <w:p w14:paraId="3D954E7E">
      <w:pPr>
        <w:adjustRightInd w:val="0"/>
        <w:spacing w:line="360" w:lineRule="auto"/>
        <w:ind w:firstLine="482" w:firstLineChars="200"/>
        <w:jc w:val="left"/>
        <w:textAlignment w:val="baseline"/>
        <w:rPr>
          <w:rFonts w:hint="eastAsia" w:ascii="宋体" w:hAnsi="宋体" w:cs="宋体"/>
          <w:b/>
          <w:bCs/>
          <w:kern w:val="0"/>
          <w:sz w:val="24"/>
          <w:lang w:bidi="ar"/>
        </w:rPr>
      </w:pPr>
      <w:r>
        <w:rPr>
          <w:rFonts w:hint="eastAsia" w:ascii="宋体" w:hAnsi="宋体" w:cs="宋体"/>
          <w:b/>
          <w:bCs/>
          <w:kern w:val="0"/>
          <w:sz w:val="24"/>
          <w:lang w:bidi="ar"/>
        </w:rPr>
        <w:t>（二）采购目标</w:t>
      </w:r>
    </w:p>
    <w:p w14:paraId="23F1173C">
      <w:pPr>
        <w:tabs>
          <w:tab w:val="left" w:pos="567"/>
        </w:tabs>
        <w:spacing w:line="360" w:lineRule="auto"/>
        <w:ind w:left="31" w:firstLine="420"/>
        <w:rPr>
          <w:rFonts w:hint="eastAsia" w:ascii="宋体" w:hAnsi="宋体" w:cs="宋体"/>
          <w:kern w:val="44"/>
          <w:sz w:val="24"/>
        </w:rPr>
      </w:pPr>
      <w:r>
        <w:rPr>
          <w:rFonts w:hint="eastAsia" w:ascii="宋体" w:hAnsi="宋体" w:cs="宋体"/>
          <w:kern w:val="44"/>
          <w:sz w:val="24"/>
        </w:rPr>
        <w:t>本项目的总体目标是通过租用政务云平台扩展服务，对北京市突发地质灾害综合管理系统和突发地质灾害监测预警系统运行环境进行持续优化。</w:t>
      </w:r>
    </w:p>
    <w:p w14:paraId="73151C01">
      <w:pPr>
        <w:numPr>
          <w:ilvl w:val="0"/>
          <w:numId w:val="21"/>
        </w:numPr>
        <w:adjustRightInd w:val="0"/>
        <w:spacing w:line="360" w:lineRule="auto"/>
        <w:ind w:firstLine="482" w:firstLineChars="200"/>
        <w:jc w:val="left"/>
        <w:textAlignment w:val="baseline"/>
        <w:rPr>
          <w:rFonts w:hint="eastAsia" w:ascii="宋体" w:hAnsi="宋体" w:cs="宋体"/>
          <w:b/>
          <w:bCs/>
          <w:kern w:val="0"/>
          <w:sz w:val="24"/>
          <w:lang w:bidi="ar"/>
        </w:rPr>
      </w:pPr>
      <w:r>
        <w:rPr>
          <w:rFonts w:hint="eastAsia" w:ascii="宋体" w:hAnsi="宋体" w:cs="宋体"/>
          <w:b/>
          <w:bCs/>
          <w:kern w:val="0"/>
          <w:sz w:val="24"/>
          <w:lang w:bidi="ar"/>
        </w:rPr>
        <w:t>服务内容</w:t>
      </w:r>
    </w:p>
    <w:p w14:paraId="0BE04FF2">
      <w:pPr>
        <w:spacing w:line="560" w:lineRule="exact"/>
        <w:ind w:firstLine="482" w:firstLineChars="200"/>
        <w:rPr>
          <w:rFonts w:hint="eastAsia" w:ascii="宋体" w:hAnsi="宋体" w:cs="宋体"/>
          <w:b/>
          <w:bCs/>
          <w:sz w:val="24"/>
        </w:rPr>
      </w:pPr>
      <w:r>
        <w:rPr>
          <w:rFonts w:hint="eastAsia" w:ascii="宋体" w:hAnsi="宋体" w:cs="宋体"/>
          <w:b/>
          <w:bCs/>
          <w:sz w:val="24"/>
        </w:rPr>
        <w:t>1安全服务</w:t>
      </w:r>
    </w:p>
    <w:p w14:paraId="3767BAE0">
      <w:pPr>
        <w:spacing w:line="560" w:lineRule="exact"/>
        <w:ind w:firstLine="480" w:firstLineChars="200"/>
        <w:rPr>
          <w:rFonts w:hint="eastAsia" w:ascii="宋体" w:hAnsi="宋体" w:cs="宋体"/>
          <w:sz w:val="24"/>
        </w:rPr>
      </w:pPr>
      <w:r>
        <w:rPr>
          <w:rFonts w:hint="eastAsia" w:ascii="宋体" w:hAnsi="宋体" w:cs="宋体"/>
          <w:sz w:val="24"/>
        </w:rPr>
        <w:t>按照采购人的具体需求，提供主机杀毒服务，对云主机进行定期的病毒查杀，杀毒软件集中控制，对网络性能无影响。</w:t>
      </w:r>
    </w:p>
    <w:p w14:paraId="2178F38D">
      <w:pPr>
        <w:spacing w:line="560" w:lineRule="exact"/>
        <w:ind w:firstLine="480" w:firstLineChars="200"/>
        <w:rPr>
          <w:rFonts w:hint="eastAsia" w:ascii="宋体" w:hAnsi="宋体" w:cs="宋体"/>
          <w:sz w:val="24"/>
        </w:rPr>
      </w:pPr>
      <w:r>
        <w:rPr>
          <w:rFonts w:hint="eastAsia" w:ascii="宋体" w:hAnsi="宋体" w:cs="宋体"/>
          <w:sz w:val="24"/>
        </w:rPr>
        <w:t>按照采购人的具体需求，提供主机防护服务，符合等保三级要求的主机权限管理及安全防护。</w:t>
      </w:r>
    </w:p>
    <w:p w14:paraId="38242956">
      <w:pPr>
        <w:spacing w:line="560" w:lineRule="exact"/>
        <w:ind w:firstLine="480" w:firstLineChars="200"/>
        <w:rPr>
          <w:rFonts w:hint="eastAsia" w:ascii="宋体" w:hAnsi="宋体" w:cs="宋体"/>
          <w:sz w:val="24"/>
        </w:rPr>
      </w:pPr>
      <w:r>
        <w:rPr>
          <w:rFonts w:hint="eastAsia" w:ascii="宋体" w:hAnsi="宋体" w:cs="宋体"/>
          <w:sz w:val="24"/>
        </w:rPr>
        <w:t>按照采购人的具体需求，提供主机安全加固服务，针对预警自查、漏扫或等级测评结果对操作系统进行安全加固，用以解决等级测评结果中所显示的漏洞。</w:t>
      </w:r>
    </w:p>
    <w:p w14:paraId="5E529C29">
      <w:pPr>
        <w:spacing w:line="560" w:lineRule="exact"/>
        <w:ind w:firstLine="482" w:firstLineChars="200"/>
        <w:rPr>
          <w:b/>
          <w:bCs/>
          <w:sz w:val="24"/>
        </w:rPr>
      </w:pPr>
      <w:r>
        <w:rPr>
          <w:rFonts w:hint="eastAsia" w:ascii="宋体" w:hAnsi="宋体" w:cs="宋体"/>
          <w:b/>
          <w:bCs/>
          <w:sz w:val="24"/>
        </w:rPr>
        <w:t>2安全检测监测和审计服务</w:t>
      </w:r>
    </w:p>
    <w:p w14:paraId="223DBB85">
      <w:pPr>
        <w:spacing w:line="560" w:lineRule="exact"/>
        <w:ind w:firstLine="480" w:firstLineChars="200"/>
        <w:rPr>
          <w:rFonts w:hint="eastAsia" w:ascii="宋体" w:hAnsi="宋体" w:cs="宋体"/>
          <w:sz w:val="24"/>
        </w:rPr>
      </w:pPr>
      <w:r>
        <w:rPr>
          <w:rFonts w:hint="eastAsia" w:ascii="宋体" w:hAnsi="宋体" w:cs="宋体"/>
          <w:sz w:val="24"/>
        </w:rPr>
        <w:t>按照采购人的具体需求，提供主机漏洞扫描服务，为用户提供针对主机层面的安全扫描服务，并反馈相关结果。</w:t>
      </w:r>
    </w:p>
    <w:p w14:paraId="354FA300">
      <w:pPr>
        <w:spacing w:line="560" w:lineRule="exact"/>
        <w:ind w:firstLine="480" w:firstLineChars="200"/>
        <w:rPr>
          <w:rFonts w:hint="eastAsia" w:ascii="宋体" w:hAnsi="宋体" w:cs="宋体"/>
          <w:sz w:val="24"/>
        </w:rPr>
      </w:pPr>
      <w:r>
        <w:rPr>
          <w:rFonts w:hint="eastAsia" w:ascii="宋体" w:hAnsi="宋体" w:cs="宋体"/>
          <w:sz w:val="24"/>
        </w:rPr>
        <w:t>按照采购人的具体需求，提供主机日志审计服务，针对操作系统进行日志收集，用于了解主机安全情况及资源使用情况。</w:t>
      </w:r>
    </w:p>
    <w:p w14:paraId="4B2D0DFE">
      <w:pPr>
        <w:spacing w:line="560" w:lineRule="exact"/>
        <w:ind w:firstLine="482" w:firstLineChars="200"/>
        <w:rPr>
          <w:rFonts w:hint="eastAsia" w:ascii="宋体" w:hAnsi="宋体" w:cs="宋体"/>
          <w:b/>
          <w:bCs/>
          <w:sz w:val="24"/>
        </w:rPr>
      </w:pPr>
      <w:r>
        <w:rPr>
          <w:rFonts w:hint="eastAsia" w:ascii="宋体" w:hAnsi="宋体" w:cs="宋体"/>
          <w:b/>
          <w:bCs/>
          <w:sz w:val="24"/>
        </w:rPr>
        <w:t>3密码服务</w:t>
      </w:r>
    </w:p>
    <w:p w14:paraId="1A7E9EB2">
      <w:pPr>
        <w:spacing w:line="560" w:lineRule="exact"/>
        <w:ind w:firstLine="480" w:firstLineChars="200"/>
        <w:rPr>
          <w:rFonts w:hint="eastAsia" w:ascii="宋体" w:hAnsi="宋体" w:cs="宋体"/>
          <w:sz w:val="24"/>
        </w:rPr>
      </w:pPr>
      <w:r>
        <w:rPr>
          <w:rFonts w:hint="eastAsia" w:ascii="宋体" w:hAnsi="宋体" w:cs="宋体"/>
          <w:sz w:val="24"/>
        </w:rPr>
        <w:t>按照采购人的具体需求，提供强身份认证服务，面向业务系统，通过云服务的模式提供基于数字证书的强身份认证服务，可以配合、USBKey证书、服务器证书完成PC端以及业务服务之间的强身份认证。</w:t>
      </w:r>
    </w:p>
    <w:p w14:paraId="069AC8D7">
      <w:pPr>
        <w:spacing w:line="560" w:lineRule="exact"/>
        <w:ind w:firstLine="480" w:firstLineChars="200"/>
        <w:rPr>
          <w:rFonts w:hint="eastAsia" w:ascii="宋体" w:hAnsi="宋体" w:cs="宋体"/>
          <w:sz w:val="24"/>
        </w:rPr>
      </w:pPr>
      <w:r>
        <w:rPr>
          <w:rFonts w:hint="eastAsia" w:ascii="宋体" w:hAnsi="宋体" w:cs="宋体"/>
          <w:sz w:val="24"/>
        </w:rPr>
        <w:t>按照采购人的具体需求，提供签名验签服务，依托云服务商符合国密要求的密码服务，为平台提供签名验签、杂凑等密码运算服务，保证重要数据的完整性。</w:t>
      </w:r>
    </w:p>
    <w:p w14:paraId="7B17A017">
      <w:pPr>
        <w:spacing w:line="560" w:lineRule="exact"/>
        <w:ind w:firstLine="480" w:firstLineChars="200"/>
        <w:rPr>
          <w:rFonts w:hint="eastAsia" w:ascii="宋体" w:hAnsi="宋体" w:cs="宋体"/>
          <w:sz w:val="24"/>
        </w:rPr>
      </w:pPr>
      <w:r>
        <w:rPr>
          <w:rFonts w:hint="eastAsia" w:ascii="宋体" w:hAnsi="宋体" w:cs="宋体"/>
          <w:sz w:val="24"/>
        </w:rPr>
        <w:t>按照采购人的具体需求，提供加解密服务，依托云服务商符合国密要求的密码服务，实现对称密钥、非对称密钥全生命周期管理，为平台提供数据加解密服务，确保平台中重要数据存储的机密性。</w:t>
      </w:r>
    </w:p>
    <w:p w14:paraId="54659734">
      <w:pPr>
        <w:spacing w:line="560" w:lineRule="exact"/>
        <w:ind w:firstLine="480" w:firstLineChars="200"/>
        <w:rPr>
          <w:rFonts w:hint="eastAsia" w:ascii="宋体" w:hAnsi="宋体" w:cs="宋体"/>
          <w:sz w:val="24"/>
        </w:rPr>
      </w:pPr>
      <w:r>
        <w:rPr>
          <w:rFonts w:hint="eastAsia" w:ascii="宋体" w:hAnsi="宋体" w:cs="宋体"/>
          <w:sz w:val="24"/>
        </w:rPr>
        <w:t>按照采购人的具体需求，提供国密浏览器，基于国产密码算法套件和SSL/TLS技术，在客户端和服务端之间建立透明加密隧道，确保传输数据的机密性、完整性。</w:t>
      </w:r>
    </w:p>
    <w:p w14:paraId="586681AD">
      <w:pPr>
        <w:spacing w:line="560" w:lineRule="exact"/>
        <w:ind w:firstLine="480" w:firstLineChars="200"/>
        <w:rPr>
          <w:rFonts w:hint="eastAsia" w:ascii="宋体" w:hAnsi="宋体" w:cs="宋体"/>
          <w:sz w:val="24"/>
        </w:rPr>
      </w:pPr>
      <w:r>
        <w:rPr>
          <w:rFonts w:hint="eastAsia" w:ascii="宋体" w:hAnsi="宋体" w:cs="宋体"/>
          <w:sz w:val="24"/>
        </w:rPr>
        <w:t>按照采购人的具体需求，提供智能密码钥匙，为普通用户、系统运维人员配发国密算法的智能密码钥匙，提供终端数字证书及密钥安全存储，支持数字签名、对称、非对称加密。</w:t>
      </w:r>
    </w:p>
    <w:p w14:paraId="6F89B73E">
      <w:pPr>
        <w:spacing w:line="560" w:lineRule="exact"/>
        <w:ind w:firstLine="480" w:firstLineChars="200"/>
        <w:rPr>
          <w:rFonts w:hint="eastAsia" w:ascii="宋体" w:hAnsi="宋体" w:cs="宋体"/>
          <w:sz w:val="24"/>
        </w:rPr>
      </w:pPr>
      <w:r>
        <w:rPr>
          <w:rFonts w:hint="eastAsia" w:ascii="宋体" w:hAnsi="宋体" w:cs="宋体"/>
          <w:sz w:val="24"/>
        </w:rPr>
        <w:t>按照采购人的具体需求，提供个人数字证书，标识普通用户、系统运维人员的网上身份，与智能密码钥匙配套使用。</w:t>
      </w:r>
    </w:p>
    <w:p w14:paraId="1147A6DC">
      <w:pPr>
        <w:spacing w:line="560" w:lineRule="exact"/>
        <w:ind w:firstLine="480" w:firstLineChars="200"/>
        <w:rPr>
          <w:rFonts w:hint="eastAsia" w:ascii="宋体" w:hAnsi="宋体" w:cs="宋体"/>
          <w:sz w:val="24"/>
        </w:rPr>
      </w:pPr>
      <w:r>
        <w:rPr>
          <w:rFonts w:hint="eastAsia" w:ascii="宋体" w:hAnsi="宋体" w:cs="宋体"/>
          <w:sz w:val="24"/>
        </w:rPr>
        <w:t>按照采购人的具体需求，提供DV通配符SM2 SSL证书（送国际GlobalSign证书），DV通配符SSL证书是指只验证网站域名使用权的简易型通配符SSL证书，证书用于验证一个域名以及该域名所有二级子域名的使用权。该产品含SM2/RSA双证书。</w:t>
      </w:r>
    </w:p>
    <w:p w14:paraId="04D8F79A">
      <w:pPr>
        <w:spacing w:line="560" w:lineRule="exact"/>
        <w:ind w:firstLine="480" w:firstLineChars="200"/>
        <w:rPr>
          <w:rFonts w:hint="eastAsia" w:ascii="宋体" w:hAnsi="宋体" w:cs="宋体"/>
          <w:sz w:val="24"/>
        </w:rPr>
      </w:pPr>
      <w:r>
        <w:rPr>
          <w:rFonts w:hint="eastAsia" w:ascii="宋体" w:hAnsi="宋体" w:cs="宋体"/>
          <w:sz w:val="24"/>
        </w:rPr>
        <w:t>按照采购人的具体需求，提供设备证书，设备证书是指验证网站、设备所有单位的真实身份的标准型SSL证书，以证明申请单位是一个合法存在的真实实体。</w:t>
      </w:r>
    </w:p>
    <w:p w14:paraId="129F92D5">
      <w:pPr>
        <w:spacing w:line="560" w:lineRule="exact"/>
        <w:ind w:firstLine="480" w:firstLineChars="200"/>
        <w:rPr>
          <w:rFonts w:hint="eastAsia" w:ascii="宋体" w:hAnsi="宋体" w:cs="宋体"/>
          <w:sz w:val="24"/>
        </w:rPr>
      </w:pPr>
      <w:r>
        <w:rPr>
          <w:rFonts w:hint="eastAsia" w:ascii="宋体" w:hAnsi="宋体" w:cs="宋体"/>
          <w:sz w:val="24"/>
        </w:rPr>
        <w:t>按照采购人的具体需求，提供DV通配符SM2 SSL证书，支持360、奇安信等国密浏览器的SM2算法OVSSL证书。</w:t>
      </w:r>
    </w:p>
    <w:p w14:paraId="0ED0BE96">
      <w:pPr>
        <w:spacing w:line="560" w:lineRule="exact"/>
        <w:ind w:firstLine="480" w:firstLineChars="200"/>
        <w:rPr>
          <w:rFonts w:hint="eastAsia" w:ascii="宋体" w:hAnsi="宋体" w:cs="宋体"/>
          <w:sz w:val="24"/>
        </w:rPr>
      </w:pPr>
      <w:r>
        <w:rPr>
          <w:rFonts w:hint="eastAsia" w:ascii="宋体" w:hAnsi="宋体" w:cs="宋体"/>
          <w:sz w:val="24"/>
        </w:rPr>
        <w:t>按照采购人的具体需求，提供国密SSL国密通讯，面向业务系统，通过云的模式提供SSL安全技术支持，支持 SM2/SM3/SM4算法，基于国密SSL协议构建安全通道，用户访问系统采用https网络传输协议，从而确保通信时的身份鉴别、通信数据的机密性和完整性。</w:t>
      </w:r>
    </w:p>
    <w:p w14:paraId="792C45B9">
      <w:pPr>
        <w:spacing w:line="560" w:lineRule="exact"/>
        <w:ind w:firstLine="480" w:firstLineChars="200"/>
        <w:rPr>
          <w:rFonts w:hint="eastAsia" w:ascii="宋体" w:hAnsi="宋体" w:cs="宋体"/>
          <w:sz w:val="24"/>
        </w:rPr>
      </w:pPr>
      <w:r>
        <w:rPr>
          <w:rFonts w:hint="eastAsia" w:ascii="宋体" w:hAnsi="宋体" w:cs="宋体"/>
          <w:sz w:val="24"/>
        </w:rPr>
        <w:t>按照采购人的具体需求，提供国密远程算法远程服务，面向2个运维人员，提供国密远程运维，需采用第三方电子认证机构颁发的SM2 算法数字证书及介质实现登录堡垒机进行身份鉴别。</w:t>
      </w:r>
    </w:p>
    <w:p w14:paraId="327BC41E">
      <w:pPr>
        <w:adjustRightInd w:val="0"/>
        <w:spacing w:line="360" w:lineRule="auto"/>
        <w:ind w:firstLine="482" w:firstLineChars="200"/>
        <w:jc w:val="left"/>
        <w:textAlignment w:val="baseline"/>
        <w:rPr>
          <w:rFonts w:hint="eastAsia" w:ascii="宋体" w:hAnsi="宋体" w:cs="宋体"/>
          <w:b/>
          <w:bCs/>
          <w:kern w:val="0"/>
          <w:sz w:val="24"/>
          <w:lang w:bidi="ar"/>
        </w:rPr>
      </w:pPr>
      <w:r>
        <w:rPr>
          <w:rFonts w:hint="eastAsia" w:ascii="宋体" w:hAnsi="宋体" w:cs="宋体"/>
          <w:b/>
          <w:bCs/>
          <w:kern w:val="0"/>
          <w:sz w:val="24"/>
          <w:lang w:bidi="ar"/>
        </w:rPr>
        <w:t>4.运维服务</w:t>
      </w:r>
    </w:p>
    <w:p w14:paraId="511F7AC1">
      <w:pPr>
        <w:spacing w:line="360" w:lineRule="auto"/>
        <w:ind w:firstLine="480" w:firstLineChars="200"/>
        <w:rPr>
          <w:rFonts w:hint="eastAsia" w:ascii="宋体" w:hAnsi="宋体" w:cs="宋体"/>
          <w:b/>
          <w:bCs/>
          <w:kern w:val="0"/>
          <w:sz w:val="24"/>
          <w:lang w:bidi="ar"/>
        </w:rPr>
      </w:pPr>
      <w:r>
        <w:rPr>
          <w:rFonts w:hint="eastAsia" w:ascii="宋体" w:hAnsi="宋体" w:cs="宋体"/>
          <w:sz w:val="24"/>
        </w:rPr>
        <w:t>投标人</w:t>
      </w:r>
      <w:r>
        <w:rPr>
          <w:rFonts w:hint="eastAsia" w:ascii="宋体" w:hAnsi="宋体" w:cs="宋体"/>
          <w:bCs/>
          <w:sz w:val="24"/>
        </w:rPr>
        <w:t>提供的政务云环境应在安全等保三级基础上，按各业务系统具体安全需求，开展相应等保评估、检查、整改等工作。</w:t>
      </w:r>
    </w:p>
    <w:p w14:paraId="3FB51F5F">
      <w:pPr>
        <w:adjustRightInd w:val="0"/>
        <w:spacing w:line="360" w:lineRule="auto"/>
        <w:ind w:firstLine="482" w:firstLineChars="200"/>
        <w:jc w:val="left"/>
        <w:textAlignment w:val="baseline"/>
        <w:rPr>
          <w:rFonts w:hint="eastAsia" w:ascii="宋体" w:hAnsi="宋体" w:cs="宋体"/>
          <w:b/>
          <w:bCs/>
          <w:kern w:val="0"/>
          <w:sz w:val="24"/>
          <w:lang w:bidi="ar"/>
        </w:rPr>
      </w:pPr>
      <w:r>
        <w:rPr>
          <w:rFonts w:hint="eastAsia" w:ascii="宋体" w:hAnsi="宋体" w:cs="宋体"/>
          <w:b/>
          <w:bCs/>
          <w:kern w:val="0"/>
          <w:sz w:val="24"/>
          <w:lang w:bidi="ar"/>
        </w:rPr>
        <w:t>（1）服务规范</w:t>
      </w:r>
    </w:p>
    <w:p w14:paraId="22815083">
      <w:pPr>
        <w:spacing w:line="360" w:lineRule="auto"/>
        <w:ind w:firstLine="480" w:firstLineChars="200"/>
        <w:rPr>
          <w:rFonts w:hint="eastAsia" w:ascii="宋体" w:hAnsi="宋体" w:cs="宋体"/>
          <w:bCs/>
          <w:sz w:val="24"/>
        </w:rPr>
      </w:pPr>
      <w:r>
        <w:rPr>
          <w:rFonts w:hint="eastAsia" w:ascii="宋体" w:hAnsi="宋体" w:cs="宋体"/>
          <w:sz w:val="24"/>
        </w:rPr>
        <w:t>投标人</w:t>
      </w:r>
      <w:r>
        <w:rPr>
          <w:rFonts w:hint="eastAsia" w:ascii="宋体" w:hAnsi="宋体" w:cs="宋体"/>
          <w:bCs/>
          <w:sz w:val="24"/>
        </w:rPr>
        <w:t>须严格按照《北京市市级政务云管理办法》以及采购人制定的管理办法及流程等相关制度，开展标准化运维工作。</w:t>
      </w:r>
    </w:p>
    <w:p w14:paraId="55FA72A0">
      <w:pPr>
        <w:adjustRightInd w:val="0"/>
        <w:spacing w:line="360" w:lineRule="auto"/>
        <w:ind w:firstLine="482" w:firstLineChars="200"/>
        <w:jc w:val="left"/>
        <w:textAlignment w:val="baseline"/>
        <w:rPr>
          <w:rFonts w:hint="eastAsia" w:ascii="宋体" w:hAnsi="宋体" w:cs="宋体"/>
          <w:b/>
          <w:bCs/>
          <w:kern w:val="0"/>
          <w:sz w:val="24"/>
          <w:lang w:bidi="ar"/>
        </w:rPr>
      </w:pPr>
      <w:r>
        <w:rPr>
          <w:rFonts w:hint="eastAsia" w:ascii="宋体" w:hAnsi="宋体" w:cs="宋体"/>
          <w:b/>
          <w:bCs/>
          <w:kern w:val="0"/>
          <w:sz w:val="24"/>
          <w:lang w:bidi="ar"/>
        </w:rPr>
        <w:t>（2）服务方式</w:t>
      </w:r>
    </w:p>
    <w:p w14:paraId="040C5772">
      <w:pPr>
        <w:adjustRightInd w:val="0"/>
        <w:spacing w:line="360" w:lineRule="auto"/>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投标人需利用监控系统或人工对机房环境、硬件设备及应用系统的运行情况进行7×24小时的不间断巡检监控，及时发现安全隐患，通知相关人员及时处理，并形成监控报告。</w:t>
      </w:r>
    </w:p>
    <w:p w14:paraId="6883526E">
      <w:pPr>
        <w:adjustRightInd w:val="0"/>
        <w:spacing w:line="360" w:lineRule="auto"/>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14:paraId="10FE31A3">
      <w:pPr>
        <w:adjustRightInd w:val="0"/>
        <w:spacing w:line="360" w:lineRule="auto"/>
        <w:ind w:firstLine="482" w:firstLineChars="200"/>
        <w:jc w:val="left"/>
        <w:textAlignment w:val="baseline"/>
        <w:rPr>
          <w:rFonts w:hint="eastAsia" w:ascii="宋体" w:hAnsi="宋体" w:cs="宋体"/>
          <w:b/>
          <w:bCs/>
          <w:kern w:val="0"/>
          <w:sz w:val="24"/>
          <w:lang w:bidi="ar"/>
        </w:rPr>
      </w:pPr>
      <w:r>
        <w:rPr>
          <w:rFonts w:hint="eastAsia" w:ascii="宋体" w:hAnsi="宋体" w:cs="宋体"/>
          <w:b/>
          <w:bCs/>
          <w:kern w:val="0"/>
          <w:sz w:val="24"/>
          <w:lang w:bidi="ar"/>
        </w:rPr>
        <w:t>（3）安全及保密要求</w:t>
      </w:r>
    </w:p>
    <w:p w14:paraId="02C2EE5E">
      <w:pPr>
        <w:adjustRightInd w:val="0"/>
        <w:spacing w:line="360" w:lineRule="auto"/>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投标人须严格遵守采购人的相关信息安全规定，不得利用系统维护服务时的便利对采购人数据及其他信息擅自修改或透漏给第三方。</w:t>
      </w:r>
    </w:p>
    <w:p w14:paraId="0B3F4FD0">
      <w:pPr>
        <w:adjustRightInd w:val="0"/>
        <w:spacing w:line="360" w:lineRule="auto"/>
        <w:ind w:firstLine="482" w:firstLineChars="200"/>
        <w:jc w:val="left"/>
        <w:textAlignment w:val="baseline"/>
        <w:rPr>
          <w:rFonts w:hint="eastAsia" w:ascii="宋体" w:hAnsi="宋体" w:cs="宋体"/>
          <w:b/>
          <w:bCs/>
          <w:kern w:val="0"/>
          <w:sz w:val="24"/>
          <w:lang w:bidi="ar"/>
        </w:rPr>
      </w:pPr>
      <w:r>
        <w:rPr>
          <w:rFonts w:hint="eastAsia" w:ascii="宋体" w:hAnsi="宋体" w:cs="宋体"/>
          <w:b/>
          <w:bCs/>
          <w:kern w:val="0"/>
          <w:sz w:val="24"/>
          <w:lang w:bidi="ar"/>
        </w:rPr>
        <w:t>（4）响应的及时性</w:t>
      </w:r>
    </w:p>
    <w:p w14:paraId="16E592DE">
      <w:pPr>
        <w:adjustRightInd w:val="0"/>
        <w:spacing w:line="360" w:lineRule="auto"/>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投标人应当提供高效的系统维护服务，有效防范系统风险，系统对应负责人7×24小时电话畅通，能够在系统发生除宕机外的其他故障问题时，能够协调人力资源在1小时内到达运维现场提供服务。</w:t>
      </w:r>
      <w:r>
        <w:rPr>
          <w:rFonts w:hint="eastAsia" w:ascii="宋体" w:hAnsi="宋体" w:cs="宋体"/>
          <w:sz w:val="24"/>
        </w:rPr>
        <w:t>系统发生宕机问题时，投标人应在30分钟内响应，故障定位排除时限在120分钟内，在5个小时之内使系统恢复正常，故障处理完毕后提供相关系统宕机报告。</w:t>
      </w:r>
    </w:p>
    <w:p w14:paraId="004010E1">
      <w:pPr>
        <w:adjustRightInd w:val="0"/>
        <w:spacing w:line="360" w:lineRule="auto"/>
        <w:ind w:firstLine="482" w:firstLineChars="200"/>
        <w:jc w:val="left"/>
        <w:textAlignment w:val="baseline"/>
        <w:rPr>
          <w:rFonts w:hint="eastAsia" w:ascii="宋体" w:hAnsi="宋体" w:cs="宋体"/>
          <w:b/>
          <w:bCs/>
          <w:kern w:val="0"/>
          <w:sz w:val="24"/>
          <w:lang w:bidi="ar"/>
        </w:rPr>
      </w:pPr>
      <w:r>
        <w:rPr>
          <w:rFonts w:hint="eastAsia" w:ascii="宋体" w:hAnsi="宋体" w:cs="宋体"/>
          <w:b/>
          <w:bCs/>
          <w:kern w:val="0"/>
          <w:sz w:val="24"/>
          <w:lang w:bidi="ar"/>
        </w:rPr>
        <w:t>（5）重点保障要求</w:t>
      </w:r>
    </w:p>
    <w:p w14:paraId="34D441D9">
      <w:pPr>
        <w:adjustRightInd w:val="0"/>
        <w:spacing w:line="360" w:lineRule="auto"/>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为保障业务高峰期内系统平稳运行，缓解系统高峰期内因业务发生量增大而带来系统压力风险，要求投标人根据业务周期性特点，加大运维保障力度，保证在业务高峰期内系统平稳运行。</w:t>
      </w:r>
    </w:p>
    <w:p w14:paraId="4DEEE335">
      <w:pPr>
        <w:adjustRightInd w:val="0"/>
        <w:spacing w:line="360" w:lineRule="auto"/>
        <w:ind w:firstLine="482" w:firstLineChars="200"/>
        <w:jc w:val="left"/>
        <w:textAlignment w:val="baseline"/>
        <w:rPr>
          <w:rFonts w:hint="eastAsia" w:ascii="宋体" w:hAnsi="宋体" w:cs="宋体"/>
          <w:b/>
          <w:bCs/>
          <w:kern w:val="0"/>
          <w:sz w:val="24"/>
          <w:lang w:bidi="ar"/>
        </w:rPr>
      </w:pPr>
      <w:r>
        <w:rPr>
          <w:rFonts w:hint="eastAsia" w:ascii="宋体" w:hAnsi="宋体" w:cs="宋体"/>
          <w:b/>
          <w:bCs/>
          <w:kern w:val="0"/>
          <w:sz w:val="24"/>
          <w:lang w:bidi="ar"/>
        </w:rPr>
        <w:t>5.业务连续性服务要求</w:t>
      </w:r>
    </w:p>
    <w:p w14:paraId="608F4FC4">
      <w:pPr>
        <w:adjustRightInd w:val="0"/>
        <w:spacing w:line="360" w:lineRule="auto"/>
        <w:ind w:firstLine="480" w:firstLineChars="200"/>
        <w:jc w:val="left"/>
        <w:textAlignment w:val="baseline"/>
        <w:rPr>
          <w:rFonts w:hint="eastAsia" w:ascii="宋体" w:hAnsi="宋体" w:cs="宋体"/>
          <w:kern w:val="0"/>
          <w:sz w:val="24"/>
          <w:lang w:bidi="ar"/>
        </w:rPr>
      </w:pPr>
      <w:r>
        <w:rPr>
          <w:rFonts w:ascii="宋体" w:hAnsi="宋体" w:cs="宋体"/>
          <w:kern w:val="0"/>
          <w:sz w:val="24"/>
          <w:lang w:bidi="ar"/>
        </w:rPr>
        <w:t>由于目前业务系统属于生产系统，在政务云平台安全稳定运行，保障业务系统连续性是关键。投标人需根据实际情况制定有效的业务连续性方案，评估部署过程中可能遇到各种的风险。在满足采购人业务延续性要求的基础上，能够与原服务商进行有效沟通和对接，以及协调和处置，确保现有业务不中断，确保提供服务的平滑过度。</w:t>
      </w:r>
    </w:p>
    <w:p w14:paraId="74F3FCC0">
      <w:pPr>
        <w:adjustRightInd w:val="0"/>
        <w:spacing w:line="360" w:lineRule="auto"/>
        <w:jc w:val="left"/>
        <w:textAlignment w:val="baseline"/>
        <w:rPr>
          <w:rFonts w:hint="eastAsia" w:ascii="宋体" w:hAnsi="宋体" w:cs="宋体"/>
          <w:b/>
          <w:bCs/>
          <w:kern w:val="0"/>
          <w:sz w:val="24"/>
          <w:lang w:bidi="ar"/>
        </w:rPr>
      </w:pPr>
      <w:r>
        <w:rPr>
          <w:rFonts w:hint="eastAsia" w:ascii="宋体" w:hAnsi="宋体" w:cs="宋体"/>
          <w:b/>
          <w:bCs/>
          <w:kern w:val="0"/>
          <w:sz w:val="24"/>
          <w:lang w:bidi="ar"/>
        </w:rPr>
        <w:t>(四）运维团队要求</w:t>
      </w:r>
    </w:p>
    <w:p w14:paraId="4F3436D4">
      <w:pPr>
        <w:adjustRightIn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服务期内，投标人须设有7×24小时电话响应服务、具备运维团队，提供售后服务保障。团队成员应明确职责，架构清晰，岗位设置合理，且具备与本项相关的项目经验。</w:t>
      </w:r>
    </w:p>
    <w:p w14:paraId="21283E35">
      <w:pPr>
        <w:adjustRightIn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投标人须提供1名项目经理及</w:t>
      </w:r>
      <w:r>
        <w:rPr>
          <w:rFonts w:ascii="宋体" w:hAnsi="宋体" w:cs="宋体"/>
          <w:sz w:val="24"/>
        </w:rPr>
        <w:t>若干</w:t>
      </w:r>
      <w:r>
        <w:rPr>
          <w:rFonts w:hint="eastAsia" w:ascii="宋体" w:hAnsi="宋体" w:cs="宋体"/>
          <w:sz w:val="24"/>
        </w:rPr>
        <w:t>名项目团队专职人员，为本项目提供服务。项目经理需按照采购人要求，承担云资源服务保障具体工作，技术支持人员要求如下：</w:t>
      </w:r>
    </w:p>
    <w:p w14:paraId="1FE72CE8">
      <w:pPr>
        <w:adjustRightIn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项目经理具有信息系统项目管理师（高级）证书和CISP证书；</w:t>
      </w:r>
    </w:p>
    <w:p w14:paraId="02B275DC">
      <w:pPr>
        <w:adjustRightIn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技术负责人具有CISP证书；</w:t>
      </w:r>
    </w:p>
    <w:p w14:paraId="13602788">
      <w:pPr>
        <w:adjustRightIn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团队成员（除项目经理和技术负责人之外）具有CISP或网络工程师证书等证书。</w:t>
      </w:r>
    </w:p>
    <w:p w14:paraId="6AD93F22"/>
    <w:p w14:paraId="2B57EB12">
      <w:pPr>
        <w:spacing w:line="360" w:lineRule="auto"/>
        <w:jc w:val="center"/>
        <w:outlineLvl w:val="0"/>
        <w:rPr>
          <w:b/>
          <w:sz w:val="36"/>
          <w:szCs w:val="36"/>
        </w:rPr>
      </w:pPr>
      <w:r>
        <w:rPr>
          <w:b/>
          <w:sz w:val="36"/>
          <w:szCs w:val="36"/>
        </w:rPr>
        <w:br w:type="page"/>
      </w:r>
      <w:bookmarkStart w:id="843" w:name="_Toc99301425"/>
      <w:r>
        <w:rPr>
          <w:b/>
          <w:sz w:val="36"/>
          <w:szCs w:val="36"/>
        </w:rPr>
        <w:t>第六章   拟签订的合同文本</w:t>
      </w:r>
      <w:bookmarkEnd w:id="843"/>
    </w:p>
    <w:p w14:paraId="66E1E4C8">
      <w:pPr>
        <w:tabs>
          <w:tab w:val="left" w:pos="900"/>
          <w:tab w:val="left" w:pos="1080"/>
        </w:tabs>
        <w:snapToGrid w:val="0"/>
        <w:spacing w:line="360" w:lineRule="auto"/>
        <w:rPr>
          <w:kern w:val="0"/>
          <w:sz w:val="18"/>
          <w:szCs w:val="18"/>
        </w:rPr>
      </w:pPr>
    </w:p>
    <w:p w14:paraId="0312C54B">
      <w:pPr>
        <w:tabs>
          <w:tab w:val="left" w:pos="900"/>
          <w:tab w:val="left" w:pos="1080"/>
        </w:tabs>
        <w:snapToGrid w:val="0"/>
        <w:spacing w:line="360" w:lineRule="auto"/>
        <w:rPr>
          <w:kern w:val="0"/>
          <w:sz w:val="24"/>
        </w:rPr>
      </w:pPr>
      <w:r>
        <w:rPr>
          <w:kern w:val="0"/>
          <w:sz w:val="24"/>
        </w:rPr>
        <w:t>说明：</w:t>
      </w:r>
    </w:p>
    <w:p w14:paraId="022792A9">
      <w:pPr>
        <w:tabs>
          <w:tab w:val="left" w:pos="900"/>
          <w:tab w:val="left" w:pos="1080"/>
        </w:tabs>
        <w:snapToGrid w:val="0"/>
        <w:spacing w:line="360" w:lineRule="auto"/>
        <w:rPr>
          <w:sz w:val="24"/>
        </w:rPr>
      </w:pPr>
      <w:r>
        <w:rPr>
          <w:kern w:val="0"/>
          <w:sz w:val="24"/>
        </w:rPr>
        <w:t xml:space="preserve">1. </w:t>
      </w:r>
      <w:bookmarkStart w:id="844" w:name="_Hlk164758616"/>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bookmarkStart w:id="845" w:name="_Hlk167285096"/>
      <w:r>
        <w:rPr>
          <w:sz w:val="24"/>
        </w:rPr>
        <w:t>采购人应积极配合供应商获得政府采购合同融资贷款，无特殊原因，应在收到供应商因融资需要发起的变更收款账户申请后10个工作日内确认通过。</w:t>
      </w:r>
    </w:p>
    <w:bookmarkEnd w:id="845"/>
    <w:p w14:paraId="43320AA7">
      <w:pPr>
        <w:tabs>
          <w:tab w:val="left" w:pos="900"/>
          <w:tab w:val="left" w:pos="1080"/>
        </w:tabs>
        <w:snapToGrid w:val="0"/>
        <w:spacing w:line="360" w:lineRule="auto"/>
        <w:rPr>
          <w:kern w:val="0"/>
          <w:sz w:val="24"/>
        </w:rPr>
      </w:pPr>
      <w:bookmarkStart w:id="846" w:name="_Hlk167285100"/>
      <w:r>
        <w:rPr>
          <w:sz w:val="24"/>
        </w:rPr>
        <w:t>2.采购人应严格按照要求，在中标、成交通知书发出之日起30日内签订采购合同，鼓励采购人在线签订电子合同，完善电子签章管理、合同审核等配套内控机制，进一步缩短合同签订期限。</w:t>
      </w:r>
    </w:p>
    <w:bookmarkEnd w:id="844"/>
    <w:bookmarkEnd w:id="846"/>
    <w:p w14:paraId="71CF8E6A">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2976454">
      <w:pPr>
        <w:tabs>
          <w:tab w:val="left" w:pos="900"/>
          <w:tab w:val="left" w:pos="1080"/>
        </w:tabs>
        <w:snapToGrid w:val="0"/>
        <w:spacing w:line="360" w:lineRule="auto"/>
        <w:rPr>
          <w:kern w:val="0"/>
          <w:sz w:val="24"/>
        </w:rPr>
      </w:pPr>
      <w:r>
        <w:rPr>
          <w:kern w:val="0"/>
          <w:sz w:val="24"/>
        </w:rPr>
        <w:t>4. 合同条款中应规定，乙方完全遵守《中华人民共和国妇女权益保障法》中关于“劳动和社会保障权益”的有关要求。</w:t>
      </w:r>
    </w:p>
    <w:p w14:paraId="44F0D30A">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65DD0F61">
      <w:pPr>
        <w:tabs>
          <w:tab w:val="left" w:pos="900"/>
          <w:tab w:val="left" w:pos="1080"/>
        </w:tabs>
        <w:snapToGrid w:val="0"/>
        <w:spacing w:line="360" w:lineRule="auto"/>
        <w:rPr>
          <w:sz w:val="24"/>
        </w:rPr>
      </w:pPr>
      <w:r>
        <w:rPr>
          <w:sz w:val="24"/>
        </w:rPr>
        <w:t>6. 政府采购合同设定首付款支付方式的，首付款支付比例原则上不低于合同金额的30%；对于中小企业，首付款支付比例原则上不低于合同金额的50%。</w:t>
      </w:r>
    </w:p>
    <w:p w14:paraId="6CA3F9E4">
      <w:pPr>
        <w:pStyle w:val="37"/>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7. 政府采购合同应当约定资金支付的方式、时间和条件，明确逾期支付资金的违约责任。</w:t>
      </w:r>
      <w:bookmarkStart w:id="847" w:name="_Hlk167285134"/>
      <w:r>
        <w:rPr>
          <w:rFonts w:hint="eastAsia" w:ascii="Times New Roman" w:hAnsi="Times New Roman" w:cs="Times New Roman"/>
        </w:rPr>
        <w:t>对于满足合同约定支付条件的，采购人原则上应当自收到发票后</w:t>
      </w:r>
      <w:r>
        <w:rPr>
          <w:rFonts w:ascii="Times New Roman" w:hAnsi="Times New Roman" w:cs="Times New Roman"/>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End w:id="847"/>
    </w:p>
    <w:p w14:paraId="69B6911E">
      <w:pPr>
        <w:tabs>
          <w:tab w:val="left" w:pos="900"/>
          <w:tab w:val="left" w:pos="1080"/>
        </w:tabs>
        <w:snapToGrid w:val="0"/>
        <w:spacing w:line="360" w:lineRule="auto"/>
        <w:rPr>
          <w:sz w:val="24"/>
        </w:rPr>
      </w:pPr>
      <w:r>
        <w:rPr>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5033350B">
      <w:pPr>
        <w:tabs>
          <w:tab w:val="left" w:pos="900"/>
          <w:tab w:val="left" w:pos="1080"/>
        </w:tabs>
        <w:snapToGrid w:val="0"/>
        <w:spacing w:line="360" w:lineRule="auto"/>
        <w:rPr>
          <w:sz w:val="24"/>
        </w:rPr>
        <w:sectPr>
          <w:pgSz w:w="11907" w:h="16840"/>
          <w:pgMar w:top="1418" w:right="1134" w:bottom="1418" w:left="1701" w:header="851" w:footer="851" w:gutter="0"/>
          <w:cols w:space="720" w:num="1"/>
          <w:docGrid w:linePitch="462" w:charSpace="0"/>
        </w:sectPr>
      </w:pPr>
      <w:r>
        <w:rPr>
          <w:sz w:val="24"/>
        </w:rPr>
        <w:t xml:space="preserve">9. </w:t>
      </w:r>
      <w:bookmarkStart w:id="848" w:name="_Hlk168431749"/>
      <w:bookmarkStart w:id="849"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48"/>
    </w:p>
    <w:p w14:paraId="7F99CAE9">
      <w:pPr>
        <w:spacing w:after="240" w:afterLines="100" w:line="360" w:lineRule="auto"/>
        <w:outlineLvl w:val="1"/>
        <w:rPr>
          <w:rFonts w:hint="eastAsia" w:ascii="宋体" w:hAnsi="宋体" w:cs="宋体"/>
          <w:b/>
          <w:color w:val="000000"/>
          <w:sz w:val="28"/>
          <w:szCs w:val="28"/>
        </w:rPr>
      </w:pPr>
      <w:r>
        <w:rPr>
          <w:rFonts w:hint="eastAsia" w:ascii="宋体" w:hAnsi="宋体" w:cs="宋体"/>
          <w:b/>
          <w:color w:val="000000"/>
          <w:sz w:val="28"/>
          <w:szCs w:val="28"/>
        </w:rPr>
        <w:t>第一包：</w:t>
      </w:r>
    </w:p>
    <w:p w14:paraId="4A0A4368">
      <w:pPr>
        <w:spacing w:after="120" w:line="480" w:lineRule="exact"/>
        <w:jc w:val="center"/>
        <w:rPr>
          <w:rFonts w:hint="eastAsia" w:hAnsi="宋体" w:cs="宋体"/>
          <w:b/>
          <w:bCs/>
          <w:color w:val="000000"/>
          <w:sz w:val="28"/>
          <w:szCs w:val="28"/>
        </w:rPr>
      </w:pPr>
      <w:r>
        <w:rPr>
          <w:rFonts w:hint="eastAsia" w:hAnsi="宋体" w:cs="宋体"/>
          <w:b/>
          <w:bCs/>
          <w:color w:val="000000"/>
          <w:sz w:val="28"/>
          <w:szCs w:val="28"/>
        </w:rPr>
        <w:t>政 府 采 购 合 同</w:t>
      </w:r>
    </w:p>
    <w:p w14:paraId="06C8C2E1">
      <w:pPr>
        <w:rPr>
          <w:rFonts w:hint="eastAsia" w:ascii="宋体" w:hAnsi="宋体" w:cs="宋体"/>
        </w:rPr>
      </w:pPr>
    </w:p>
    <w:p w14:paraId="5EE8D9E6">
      <w:pPr>
        <w:jc w:val="right"/>
        <w:rPr>
          <w:rFonts w:hint="eastAsia" w:ascii="宋体" w:hAnsi="宋体" w:cs="宋体"/>
          <w:color w:val="000000"/>
          <w:sz w:val="24"/>
        </w:rPr>
      </w:pPr>
      <w:r>
        <w:rPr>
          <w:rFonts w:hint="eastAsia" w:ascii="宋体" w:hAnsi="宋体" w:cs="宋体"/>
          <w:color w:val="000000"/>
          <w:sz w:val="24"/>
        </w:rPr>
        <w:t>合同编号：</w:t>
      </w:r>
    </w:p>
    <w:p w14:paraId="25FC342F">
      <w:pPr>
        <w:rPr>
          <w:rFonts w:hint="eastAsia" w:ascii="宋体" w:hAnsi="宋体" w:cs="宋体"/>
          <w:color w:val="000000"/>
          <w:sz w:val="24"/>
        </w:rPr>
      </w:pPr>
    </w:p>
    <w:p w14:paraId="576AAA91">
      <w:pPr>
        <w:rPr>
          <w:rFonts w:hint="eastAsia" w:ascii="宋体" w:hAnsi="宋体" w:cs="宋体"/>
          <w:color w:val="000000"/>
          <w:sz w:val="24"/>
        </w:rPr>
      </w:pPr>
    </w:p>
    <w:p w14:paraId="321E5F0F">
      <w:pPr>
        <w:rPr>
          <w:rFonts w:hint="eastAsia" w:ascii="宋体" w:hAnsi="宋体" w:cs="宋体"/>
          <w:color w:val="000000"/>
          <w:sz w:val="24"/>
        </w:rPr>
      </w:pPr>
    </w:p>
    <w:p w14:paraId="523188E2">
      <w:pPr>
        <w:rPr>
          <w:rFonts w:hint="eastAsia" w:ascii="宋体" w:hAnsi="宋体" w:cs="宋体"/>
          <w:color w:val="000000"/>
          <w:sz w:val="24"/>
        </w:rPr>
      </w:pPr>
    </w:p>
    <w:p w14:paraId="515D160D">
      <w:pPr>
        <w:ind w:firstLine="1680" w:firstLineChars="700"/>
        <w:rPr>
          <w:rFonts w:hint="eastAsia" w:ascii="宋体" w:hAnsi="宋体" w:cs="宋体"/>
          <w:color w:val="000000"/>
          <w:sz w:val="24"/>
          <w:u w:val="single"/>
        </w:rPr>
      </w:pPr>
      <w:r>
        <w:rPr>
          <w:rFonts w:hint="eastAsia" w:ascii="宋体" w:hAnsi="宋体" w:cs="宋体"/>
          <w:color w:val="000000"/>
          <w:sz w:val="24"/>
        </w:rPr>
        <w:t>项目名称：</w:t>
      </w:r>
      <w:r>
        <w:rPr>
          <w:rFonts w:hint="eastAsia" w:ascii="宋体" w:hAnsi="宋体" w:cs="宋体"/>
          <w:color w:val="000000"/>
          <w:sz w:val="24"/>
          <w:u w:val="single"/>
        </w:rPr>
        <w:t xml:space="preserve">                          </w:t>
      </w:r>
    </w:p>
    <w:p w14:paraId="7B23C34A">
      <w:pPr>
        <w:ind w:firstLine="1680" w:firstLineChars="700"/>
        <w:jc w:val="center"/>
        <w:rPr>
          <w:rFonts w:hint="eastAsia" w:ascii="宋体" w:hAnsi="宋体" w:cs="宋体"/>
          <w:color w:val="000000"/>
          <w:sz w:val="24"/>
        </w:rPr>
      </w:pPr>
    </w:p>
    <w:p w14:paraId="2607F488">
      <w:pPr>
        <w:ind w:firstLine="1680" w:firstLineChars="700"/>
        <w:jc w:val="center"/>
        <w:rPr>
          <w:rFonts w:hint="eastAsia" w:ascii="宋体" w:hAnsi="宋体" w:cs="宋体"/>
          <w:color w:val="000000"/>
          <w:sz w:val="24"/>
        </w:rPr>
      </w:pPr>
    </w:p>
    <w:p w14:paraId="1A3CC89F">
      <w:pPr>
        <w:ind w:firstLine="1680" w:firstLineChars="700"/>
        <w:jc w:val="center"/>
        <w:rPr>
          <w:rFonts w:hint="eastAsia" w:ascii="宋体" w:hAnsi="宋体" w:cs="宋体"/>
          <w:color w:val="000000"/>
          <w:sz w:val="24"/>
        </w:rPr>
      </w:pPr>
    </w:p>
    <w:p w14:paraId="28E92C9E">
      <w:pPr>
        <w:ind w:firstLine="1680" w:firstLineChars="700"/>
        <w:rPr>
          <w:rFonts w:hint="eastAsia" w:ascii="宋体" w:hAnsi="宋体" w:cs="宋体"/>
          <w:color w:val="000000"/>
          <w:sz w:val="24"/>
          <w:u w:val="single"/>
        </w:rPr>
      </w:pPr>
      <w:r>
        <w:rPr>
          <w:rFonts w:hint="eastAsia" w:ascii="宋体" w:hAnsi="宋体" w:cs="宋体"/>
          <w:color w:val="000000"/>
          <w:sz w:val="24"/>
        </w:rPr>
        <w:t>采购人：</w:t>
      </w:r>
      <w:r>
        <w:rPr>
          <w:rFonts w:hint="eastAsia" w:ascii="宋体" w:hAnsi="宋体" w:cs="宋体"/>
          <w:color w:val="000000"/>
          <w:sz w:val="24"/>
          <w:u w:val="single"/>
        </w:rPr>
        <w:t xml:space="preserve">                         </w:t>
      </w:r>
    </w:p>
    <w:p w14:paraId="14616D5D">
      <w:pPr>
        <w:ind w:firstLine="1680" w:firstLineChars="700"/>
        <w:jc w:val="center"/>
        <w:rPr>
          <w:rFonts w:hint="eastAsia" w:ascii="宋体" w:hAnsi="宋体" w:cs="宋体"/>
          <w:color w:val="000000"/>
          <w:sz w:val="24"/>
        </w:rPr>
      </w:pPr>
    </w:p>
    <w:p w14:paraId="78AD3298">
      <w:pPr>
        <w:ind w:firstLine="1680" w:firstLineChars="700"/>
        <w:jc w:val="center"/>
        <w:rPr>
          <w:rFonts w:hint="eastAsia" w:ascii="宋体" w:hAnsi="宋体" w:cs="宋体"/>
          <w:color w:val="000000"/>
          <w:sz w:val="24"/>
        </w:rPr>
      </w:pPr>
    </w:p>
    <w:p w14:paraId="277AD8B2">
      <w:pPr>
        <w:ind w:firstLine="1680" w:firstLineChars="700"/>
        <w:jc w:val="center"/>
        <w:rPr>
          <w:rFonts w:hint="eastAsia" w:ascii="宋体" w:hAnsi="宋体" w:cs="宋体"/>
          <w:color w:val="000000"/>
          <w:sz w:val="24"/>
        </w:rPr>
      </w:pPr>
    </w:p>
    <w:p w14:paraId="2ED7F8A9">
      <w:pPr>
        <w:ind w:firstLine="1680" w:firstLineChars="700"/>
        <w:jc w:val="center"/>
        <w:rPr>
          <w:rFonts w:hint="eastAsia" w:ascii="宋体" w:hAnsi="宋体" w:cs="宋体"/>
          <w:color w:val="000000"/>
          <w:sz w:val="24"/>
        </w:rPr>
      </w:pPr>
    </w:p>
    <w:p w14:paraId="2E6B36A0">
      <w:pPr>
        <w:ind w:firstLine="1680" w:firstLineChars="700"/>
        <w:rPr>
          <w:rFonts w:hint="eastAsia" w:ascii="宋体" w:hAnsi="宋体" w:cs="宋体"/>
          <w:color w:val="000000"/>
          <w:sz w:val="24"/>
          <w:u w:val="single"/>
        </w:rPr>
      </w:pPr>
      <w:r>
        <w:rPr>
          <w:rFonts w:hint="eastAsia" w:ascii="宋体" w:hAnsi="宋体" w:cs="宋体"/>
          <w:color w:val="000000"/>
          <w:sz w:val="24"/>
        </w:rPr>
        <w:t>中标供应商：</w:t>
      </w:r>
      <w:r>
        <w:rPr>
          <w:rFonts w:hint="eastAsia" w:ascii="宋体" w:hAnsi="宋体" w:cs="宋体"/>
          <w:color w:val="000000"/>
          <w:sz w:val="24"/>
          <w:u w:val="single"/>
        </w:rPr>
        <w:t xml:space="preserve">                         </w:t>
      </w:r>
    </w:p>
    <w:p w14:paraId="621B59AF">
      <w:pPr>
        <w:ind w:firstLine="1680" w:firstLineChars="700"/>
        <w:jc w:val="center"/>
        <w:rPr>
          <w:rFonts w:hint="eastAsia" w:ascii="宋体" w:hAnsi="宋体" w:cs="宋体"/>
          <w:color w:val="000000"/>
          <w:sz w:val="24"/>
        </w:rPr>
      </w:pPr>
    </w:p>
    <w:p w14:paraId="4E4C8C4E">
      <w:pPr>
        <w:ind w:firstLine="1680" w:firstLineChars="700"/>
        <w:jc w:val="center"/>
        <w:rPr>
          <w:rFonts w:hint="eastAsia" w:ascii="宋体" w:hAnsi="宋体" w:cs="宋体"/>
          <w:color w:val="000000"/>
          <w:sz w:val="24"/>
        </w:rPr>
      </w:pPr>
    </w:p>
    <w:p w14:paraId="69AF5E3B">
      <w:pPr>
        <w:ind w:firstLine="1680" w:firstLineChars="700"/>
        <w:jc w:val="center"/>
        <w:rPr>
          <w:rFonts w:hint="eastAsia" w:ascii="宋体" w:hAnsi="宋体" w:cs="宋体"/>
          <w:color w:val="000000"/>
          <w:sz w:val="24"/>
        </w:rPr>
      </w:pPr>
    </w:p>
    <w:p w14:paraId="07BEEBBB">
      <w:pPr>
        <w:ind w:firstLine="1680" w:firstLineChars="700"/>
        <w:jc w:val="center"/>
        <w:rPr>
          <w:rFonts w:hint="eastAsia" w:ascii="宋体" w:hAnsi="宋体" w:cs="宋体"/>
          <w:color w:val="000000"/>
          <w:sz w:val="24"/>
        </w:rPr>
      </w:pPr>
    </w:p>
    <w:p w14:paraId="426626CC">
      <w:pPr>
        <w:ind w:firstLine="1680" w:firstLineChars="700"/>
        <w:rPr>
          <w:rFonts w:hint="eastAsia" w:ascii="宋体" w:hAnsi="宋体" w:cs="宋体"/>
          <w:color w:val="000000"/>
          <w:sz w:val="24"/>
          <w:u w:val="single"/>
        </w:rPr>
      </w:pPr>
      <w:r>
        <w:rPr>
          <w:rFonts w:hint="eastAsia" w:ascii="宋体" w:hAnsi="宋体" w:cs="宋体"/>
          <w:color w:val="000000"/>
          <w:sz w:val="24"/>
        </w:rPr>
        <w:t>签署日期：</w:t>
      </w:r>
      <w:r>
        <w:rPr>
          <w:rFonts w:hint="eastAsia" w:ascii="宋体" w:hAnsi="宋体" w:cs="宋体"/>
          <w:color w:val="000000"/>
          <w:sz w:val="24"/>
          <w:u w:val="single"/>
        </w:rPr>
        <w:t xml:space="preserve">                         </w:t>
      </w:r>
    </w:p>
    <w:p w14:paraId="63EB2CFC">
      <w:pPr>
        <w:rPr>
          <w:rFonts w:hint="eastAsia" w:ascii="宋体" w:hAnsi="宋体" w:cs="宋体"/>
          <w:color w:val="000000"/>
          <w:sz w:val="24"/>
        </w:rPr>
      </w:pPr>
    </w:p>
    <w:p w14:paraId="5029A752">
      <w:pPr>
        <w:jc w:val="center"/>
        <w:rPr>
          <w:rFonts w:hint="eastAsia" w:ascii="宋体" w:hAnsi="宋体" w:cs="宋体"/>
          <w:color w:val="000000"/>
          <w:sz w:val="24"/>
        </w:rPr>
      </w:pPr>
    </w:p>
    <w:p w14:paraId="6904E494">
      <w:pPr>
        <w:jc w:val="center"/>
        <w:rPr>
          <w:rFonts w:hint="eastAsia" w:ascii="宋体" w:hAnsi="宋体" w:cs="宋体"/>
          <w:color w:val="000000"/>
          <w:sz w:val="24"/>
        </w:rPr>
      </w:pPr>
    </w:p>
    <w:p w14:paraId="7BC20244">
      <w:pPr>
        <w:jc w:val="center"/>
        <w:rPr>
          <w:rFonts w:hint="eastAsia" w:ascii="宋体" w:hAnsi="宋体" w:cs="宋体"/>
          <w:color w:val="000000"/>
          <w:sz w:val="24"/>
        </w:rPr>
      </w:pPr>
    </w:p>
    <w:p w14:paraId="5CDDD83F">
      <w:pPr>
        <w:jc w:val="center"/>
        <w:rPr>
          <w:rFonts w:hint="eastAsia" w:ascii="宋体" w:hAnsi="宋体" w:cs="宋体"/>
          <w:color w:val="000000"/>
          <w:sz w:val="24"/>
        </w:rPr>
      </w:pPr>
    </w:p>
    <w:p w14:paraId="45BDD84E">
      <w:pPr>
        <w:jc w:val="center"/>
        <w:rPr>
          <w:rFonts w:hint="eastAsia" w:ascii="宋体" w:hAnsi="宋体" w:cs="宋体"/>
          <w:color w:val="000000"/>
          <w:sz w:val="24"/>
        </w:rPr>
      </w:pPr>
    </w:p>
    <w:p w14:paraId="1F200600">
      <w:pPr>
        <w:jc w:val="center"/>
        <w:rPr>
          <w:rFonts w:hint="eastAsia" w:ascii="宋体" w:hAnsi="宋体" w:cs="宋体"/>
          <w:color w:val="000000"/>
          <w:sz w:val="24"/>
        </w:rPr>
      </w:pPr>
      <w:r>
        <w:rPr>
          <w:rFonts w:hint="eastAsia" w:ascii="宋体" w:hAnsi="宋体" w:cs="宋体"/>
          <w:color w:val="000000"/>
          <w:sz w:val="24"/>
        </w:rPr>
        <w:t xml:space="preserve"> </w:t>
      </w:r>
    </w:p>
    <w:p w14:paraId="2A92E36D">
      <w:pPr>
        <w:rPr>
          <w:rFonts w:hint="eastAsia" w:ascii="宋体" w:hAnsi="宋体" w:cs="宋体"/>
          <w:color w:val="000000"/>
          <w:sz w:val="24"/>
        </w:rPr>
      </w:pPr>
      <w:r>
        <w:rPr>
          <w:rFonts w:hint="eastAsia" w:ascii="宋体" w:hAnsi="宋体" w:cs="宋体"/>
          <w:color w:val="000000"/>
          <w:sz w:val="24"/>
        </w:rPr>
        <w:br w:type="page"/>
      </w:r>
    </w:p>
    <w:p w14:paraId="602B93A1">
      <w:pPr>
        <w:jc w:val="center"/>
        <w:rPr>
          <w:rFonts w:hint="eastAsia" w:ascii="宋体" w:hAnsi="宋体" w:cs="宋体"/>
          <w:b/>
          <w:bCs/>
          <w:color w:val="000000"/>
          <w:sz w:val="28"/>
          <w:szCs w:val="28"/>
        </w:rPr>
      </w:pPr>
      <w:r>
        <w:rPr>
          <w:rFonts w:hint="eastAsia" w:ascii="宋体" w:hAnsi="宋体" w:cs="宋体"/>
          <w:b/>
          <w:bCs/>
          <w:color w:val="000000"/>
          <w:sz w:val="28"/>
          <w:szCs w:val="28"/>
        </w:rPr>
        <w:t>合 同 书</w:t>
      </w:r>
    </w:p>
    <w:p w14:paraId="02CB68D3">
      <w:pPr>
        <w:rPr>
          <w:rFonts w:hint="eastAsia" w:ascii="宋体" w:hAnsi="宋体" w:cs="宋体"/>
          <w:b/>
          <w:bCs/>
          <w:color w:val="000000"/>
          <w:sz w:val="28"/>
          <w:szCs w:val="28"/>
        </w:rPr>
      </w:pPr>
    </w:p>
    <w:p w14:paraId="50811841">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(采购人)(项目名称)中所需(服务名称)经国信招标集团以（招标 编号）号招标文件公开招标。经评标委员会评定(公司名称)为中标供应商。采购人、 中标供应商同意按照下面的条款和条件，签署本合同。</w:t>
      </w:r>
    </w:p>
    <w:p w14:paraId="038C58E6">
      <w:pPr>
        <w:snapToGrid w:val="0"/>
        <w:spacing w:line="360" w:lineRule="auto"/>
        <w:ind w:firstLine="482" w:firstLineChars="200"/>
        <w:jc w:val="left"/>
        <w:rPr>
          <w:rFonts w:hint="eastAsia" w:ascii="宋体" w:hAnsi="宋体" w:cs="宋体"/>
          <w:b/>
          <w:bCs/>
          <w:color w:val="000000"/>
          <w:sz w:val="24"/>
        </w:rPr>
      </w:pPr>
    </w:p>
    <w:p w14:paraId="3A3B2D85">
      <w:pPr>
        <w:numPr>
          <w:ilvl w:val="0"/>
          <w:numId w:val="22"/>
        </w:numPr>
        <w:snapToGrid w:val="0"/>
        <w:spacing w:line="360" w:lineRule="auto"/>
        <w:jc w:val="left"/>
        <w:rPr>
          <w:rFonts w:hint="eastAsia" w:ascii="宋体" w:hAnsi="宋体" w:cs="宋体"/>
          <w:b/>
          <w:bCs/>
          <w:color w:val="000000"/>
          <w:sz w:val="24"/>
        </w:rPr>
      </w:pPr>
      <w:r>
        <w:rPr>
          <w:rFonts w:hint="eastAsia" w:ascii="宋体" w:hAnsi="宋体" w:cs="宋体"/>
          <w:b/>
          <w:bCs/>
          <w:color w:val="000000"/>
          <w:sz w:val="24"/>
        </w:rPr>
        <w:t>合同文件</w:t>
      </w:r>
    </w:p>
    <w:p w14:paraId="0B4E297A">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下列文件构成本合同的组成部分，应当认为是一个整体，彼此相互解释，相互补 充。为便于解释，组成合同的多个文件的优先支配地位的次序如下： </w:t>
      </w:r>
    </w:p>
    <w:p w14:paraId="5099DED9">
      <w:pPr>
        <w:numPr>
          <w:ilvl w:val="0"/>
          <w:numId w:val="23"/>
        </w:num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本合同书 </w:t>
      </w:r>
    </w:p>
    <w:p w14:paraId="3A070725">
      <w:pPr>
        <w:numPr>
          <w:ilvl w:val="0"/>
          <w:numId w:val="23"/>
        </w:num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中标通知书 </w:t>
      </w:r>
    </w:p>
    <w:p w14:paraId="3AA9E7E4">
      <w:pPr>
        <w:numPr>
          <w:ilvl w:val="0"/>
          <w:numId w:val="23"/>
        </w:num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合同书条款 </w:t>
      </w:r>
    </w:p>
    <w:p w14:paraId="2331DA51">
      <w:pPr>
        <w:numPr>
          <w:ilvl w:val="0"/>
          <w:numId w:val="23"/>
        </w:num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合同一般条款 </w:t>
      </w:r>
    </w:p>
    <w:p w14:paraId="4A9109A7">
      <w:pPr>
        <w:numPr>
          <w:ilvl w:val="0"/>
          <w:numId w:val="23"/>
        </w:num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投标文件(含澄清文件) </w:t>
      </w:r>
    </w:p>
    <w:p w14:paraId="392C164C">
      <w:pPr>
        <w:numPr>
          <w:ilvl w:val="0"/>
          <w:numId w:val="23"/>
        </w:num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招标文件其他内容（含招标文件补充通知）</w:t>
      </w:r>
    </w:p>
    <w:p w14:paraId="6B603826">
      <w:pPr>
        <w:snapToGrid w:val="0"/>
        <w:spacing w:line="360" w:lineRule="auto"/>
        <w:jc w:val="left"/>
        <w:rPr>
          <w:rFonts w:hint="eastAsia" w:ascii="宋体" w:hAnsi="宋体" w:cs="宋体"/>
          <w:color w:val="000000"/>
          <w:sz w:val="24"/>
        </w:rPr>
      </w:pPr>
    </w:p>
    <w:p w14:paraId="65570223">
      <w:pPr>
        <w:numPr>
          <w:ilvl w:val="0"/>
          <w:numId w:val="22"/>
        </w:numPr>
        <w:snapToGrid w:val="0"/>
        <w:spacing w:line="360" w:lineRule="auto"/>
        <w:jc w:val="left"/>
        <w:rPr>
          <w:rFonts w:hint="eastAsia" w:ascii="宋体" w:hAnsi="宋体" w:cs="宋体"/>
          <w:b/>
          <w:bCs/>
          <w:color w:val="000000"/>
          <w:sz w:val="24"/>
        </w:rPr>
      </w:pPr>
      <w:r>
        <w:rPr>
          <w:rFonts w:hint="eastAsia" w:ascii="宋体" w:hAnsi="宋体" w:cs="宋体"/>
          <w:b/>
          <w:bCs/>
          <w:color w:val="000000"/>
          <w:sz w:val="24"/>
        </w:rPr>
        <w:t xml:space="preserve">合同范围和条件 </w:t>
      </w:r>
    </w:p>
    <w:p w14:paraId="55F9EE20">
      <w:pPr>
        <w:jc w:val="left"/>
        <w:rPr>
          <w:rFonts w:hint="eastAsia" w:ascii="宋体" w:hAnsi="宋体" w:cs="宋体"/>
        </w:rPr>
      </w:pPr>
      <w:r>
        <w:rPr>
          <w:rFonts w:hint="eastAsia" w:ascii="宋体" w:hAnsi="宋体" w:cs="宋体"/>
          <w:color w:val="000000"/>
          <w:sz w:val="24"/>
        </w:rPr>
        <w:t>本合同的范围和条件应与上述规定的合同文件内容一致。</w:t>
      </w:r>
      <w:r>
        <w:rPr>
          <w:rFonts w:hint="eastAsia" w:ascii="宋体" w:hAnsi="宋体" w:cs="宋体"/>
        </w:rPr>
        <w:t xml:space="preserve">具体内容如下： </w:t>
      </w:r>
    </w:p>
    <w:tbl>
      <w:tblPr>
        <w:tblStyle w:val="42"/>
        <w:tblW w:w="7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568"/>
        <w:gridCol w:w="1842"/>
        <w:gridCol w:w="2237"/>
      </w:tblGrid>
      <w:tr w14:paraId="180E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2" w:type="dxa"/>
            <w:vAlign w:val="center"/>
          </w:tcPr>
          <w:p w14:paraId="703133AA">
            <w:pPr>
              <w:autoSpaceDE w:val="0"/>
              <w:autoSpaceDN w:val="0"/>
              <w:spacing w:line="440" w:lineRule="exact"/>
              <w:jc w:val="center"/>
              <w:rPr>
                <w:rFonts w:hint="eastAsia" w:ascii="宋体" w:hAnsi="宋体" w:cs="宋体"/>
                <w:b/>
                <w:kern w:val="0"/>
              </w:rPr>
            </w:pPr>
            <w:r>
              <w:rPr>
                <w:rFonts w:hint="eastAsia" w:ascii="宋体" w:hAnsi="宋体" w:cs="宋体"/>
                <w:b/>
                <w:kern w:val="0"/>
              </w:rPr>
              <w:t>序号</w:t>
            </w:r>
          </w:p>
        </w:tc>
        <w:tc>
          <w:tcPr>
            <w:tcW w:w="2568" w:type="dxa"/>
            <w:vAlign w:val="center"/>
          </w:tcPr>
          <w:p w14:paraId="2A97EC22">
            <w:pPr>
              <w:autoSpaceDE w:val="0"/>
              <w:autoSpaceDN w:val="0"/>
              <w:spacing w:line="440" w:lineRule="exact"/>
              <w:jc w:val="center"/>
              <w:rPr>
                <w:rFonts w:hint="eastAsia" w:ascii="宋体" w:hAnsi="宋体" w:cs="宋体"/>
                <w:b/>
                <w:kern w:val="0"/>
              </w:rPr>
            </w:pPr>
            <w:r>
              <w:rPr>
                <w:rFonts w:hint="eastAsia" w:ascii="宋体" w:hAnsi="宋体" w:cs="宋体"/>
                <w:b/>
                <w:kern w:val="0"/>
              </w:rPr>
              <w:t>合同明细</w:t>
            </w:r>
          </w:p>
        </w:tc>
        <w:tc>
          <w:tcPr>
            <w:tcW w:w="1842" w:type="dxa"/>
            <w:vAlign w:val="center"/>
          </w:tcPr>
          <w:p w14:paraId="214A9312">
            <w:pPr>
              <w:autoSpaceDE w:val="0"/>
              <w:autoSpaceDN w:val="0"/>
              <w:spacing w:line="440" w:lineRule="exact"/>
              <w:jc w:val="center"/>
              <w:rPr>
                <w:rFonts w:hint="eastAsia" w:ascii="宋体" w:hAnsi="宋体" w:cs="宋体"/>
                <w:b/>
                <w:kern w:val="0"/>
              </w:rPr>
            </w:pPr>
            <w:r>
              <w:rPr>
                <w:rFonts w:hint="eastAsia" w:ascii="宋体" w:hAnsi="宋体" w:cs="宋体"/>
                <w:b/>
                <w:kern w:val="0"/>
              </w:rPr>
              <w:t>金额（万元）</w:t>
            </w:r>
          </w:p>
        </w:tc>
        <w:tc>
          <w:tcPr>
            <w:tcW w:w="2237" w:type="dxa"/>
            <w:vAlign w:val="center"/>
          </w:tcPr>
          <w:p w14:paraId="44F8CE4A">
            <w:pPr>
              <w:autoSpaceDE w:val="0"/>
              <w:autoSpaceDN w:val="0"/>
              <w:spacing w:line="440" w:lineRule="exact"/>
              <w:jc w:val="center"/>
              <w:rPr>
                <w:rFonts w:hint="eastAsia" w:ascii="宋体" w:hAnsi="宋体" w:cs="宋体"/>
                <w:b/>
                <w:kern w:val="0"/>
              </w:rPr>
            </w:pPr>
            <w:r>
              <w:rPr>
                <w:rFonts w:hint="eastAsia" w:ascii="宋体" w:hAnsi="宋体" w:cs="宋体"/>
                <w:b/>
                <w:kern w:val="0"/>
              </w:rPr>
              <w:t>合计（万元）</w:t>
            </w:r>
          </w:p>
        </w:tc>
      </w:tr>
      <w:tr w14:paraId="6E27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2" w:type="dxa"/>
            <w:vAlign w:val="center"/>
          </w:tcPr>
          <w:p w14:paraId="09328129">
            <w:pPr>
              <w:autoSpaceDE w:val="0"/>
              <w:autoSpaceDN w:val="0"/>
              <w:spacing w:line="440" w:lineRule="exact"/>
              <w:jc w:val="center"/>
              <w:rPr>
                <w:rFonts w:hint="eastAsia" w:ascii="宋体" w:hAnsi="宋体" w:cs="宋体"/>
                <w:kern w:val="0"/>
              </w:rPr>
            </w:pPr>
            <w:r>
              <w:rPr>
                <w:rFonts w:hint="eastAsia" w:ascii="宋体" w:hAnsi="宋体" w:cs="宋体"/>
                <w:kern w:val="0"/>
              </w:rPr>
              <w:t>1</w:t>
            </w:r>
          </w:p>
        </w:tc>
        <w:tc>
          <w:tcPr>
            <w:tcW w:w="2568" w:type="dxa"/>
            <w:vAlign w:val="center"/>
          </w:tcPr>
          <w:p w14:paraId="7191B01F">
            <w:pPr>
              <w:jc w:val="center"/>
              <w:rPr>
                <w:rFonts w:hint="eastAsia" w:ascii="宋体" w:hAnsi="宋体" w:cs="宋体"/>
              </w:rPr>
            </w:pPr>
            <w:r>
              <w:rPr>
                <w:szCs w:val="21"/>
                <w:lang w:bidi="ar"/>
              </w:rPr>
              <w:t>监测仪器</w:t>
            </w:r>
            <w:r>
              <w:rPr>
                <w:szCs w:val="21"/>
              </w:rPr>
              <w:t>维护费</w:t>
            </w:r>
            <w:r>
              <w:rPr>
                <w:color w:val="000000"/>
                <w:szCs w:val="21"/>
                <w:lang w:bidi="ar"/>
              </w:rPr>
              <w:t>*</w:t>
            </w:r>
          </w:p>
        </w:tc>
        <w:tc>
          <w:tcPr>
            <w:tcW w:w="1842" w:type="dxa"/>
            <w:vAlign w:val="center"/>
          </w:tcPr>
          <w:p w14:paraId="7D1E983C">
            <w:pPr>
              <w:autoSpaceDE w:val="0"/>
              <w:autoSpaceDN w:val="0"/>
              <w:spacing w:line="440" w:lineRule="exact"/>
              <w:jc w:val="center"/>
              <w:rPr>
                <w:rFonts w:hint="eastAsia" w:ascii="宋体" w:hAnsi="宋体" w:cs="宋体"/>
                <w:kern w:val="0"/>
              </w:rPr>
            </w:pPr>
          </w:p>
        </w:tc>
        <w:tc>
          <w:tcPr>
            <w:tcW w:w="2237" w:type="dxa"/>
            <w:vMerge w:val="restart"/>
            <w:vAlign w:val="center"/>
          </w:tcPr>
          <w:p w14:paraId="19C3231F">
            <w:pPr>
              <w:autoSpaceDE w:val="0"/>
              <w:autoSpaceDN w:val="0"/>
              <w:spacing w:line="440" w:lineRule="exact"/>
              <w:jc w:val="center"/>
              <w:rPr>
                <w:rFonts w:hint="eastAsia" w:ascii="宋体" w:hAnsi="宋体" w:cs="宋体"/>
                <w:kern w:val="0"/>
              </w:rPr>
            </w:pPr>
          </w:p>
        </w:tc>
      </w:tr>
      <w:tr w14:paraId="6E9B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2" w:type="dxa"/>
            <w:vAlign w:val="center"/>
          </w:tcPr>
          <w:p w14:paraId="6BAA964C">
            <w:pPr>
              <w:autoSpaceDE w:val="0"/>
              <w:autoSpaceDN w:val="0"/>
              <w:spacing w:line="440" w:lineRule="exact"/>
              <w:jc w:val="center"/>
              <w:rPr>
                <w:rFonts w:hint="eastAsia" w:ascii="宋体" w:hAnsi="宋体" w:cs="宋体"/>
                <w:kern w:val="0"/>
              </w:rPr>
            </w:pPr>
            <w:r>
              <w:rPr>
                <w:rFonts w:hint="eastAsia" w:ascii="宋体" w:hAnsi="宋体" w:cs="宋体"/>
                <w:kern w:val="0"/>
              </w:rPr>
              <w:t>2</w:t>
            </w:r>
          </w:p>
        </w:tc>
        <w:tc>
          <w:tcPr>
            <w:tcW w:w="2568" w:type="dxa"/>
            <w:vAlign w:val="center"/>
          </w:tcPr>
          <w:p w14:paraId="0A54C08C">
            <w:pPr>
              <w:jc w:val="center"/>
              <w:rPr>
                <w:rFonts w:hint="eastAsia" w:ascii="宋体" w:hAnsi="宋体" w:cs="宋体"/>
              </w:rPr>
            </w:pPr>
            <w:r>
              <w:rPr>
                <w:szCs w:val="21"/>
                <w:lang w:bidi="ar"/>
              </w:rPr>
              <w:t>监测仪器维修费</w:t>
            </w:r>
            <w:r>
              <w:rPr>
                <w:color w:val="000000"/>
                <w:szCs w:val="21"/>
                <w:lang w:bidi="ar"/>
              </w:rPr>
              <w:t>**</w:t>
            </w:r>
          </w:p>
        </w:tc>
        <w:tc>
          <w:tcPr>
            <w:tcW w:w="1842" w:type="dxa"/>
            <w:vAlign w:val="center"/>
          </w:tcPr>
          <w:p w14:paraId="706B73BA">
            <w:pPr>
              <w:autoSpaceDE w:val="0"/>
              <w:autoSpaceDN w:val="0"/>
              <w:spacing w:line="440" w:lineRule="exact"/>
              <w:jc w:val="center"/>
              <w:rPr>
                <w:rFonts w:hint="eastAsia" w:ascii="宋体" w:hAnsi="宋体" w:cs="宋体"/>
                <w:kern w:val="0"/>
              </w:rPr>
            </w:pPr>
          </w:p>
        </w:tc>
        <w:tc>
          <w:tcPr>
            <w:tcW w:w="2237" w:type="dxa"/>
            <w:vMerge w:val="continue"/>
            <w:vAlign w:val="center"/>
          </w:tcPr>
          <w:p w14:paraId="6543A19A">
            <w:pPr>
              <w:autoSpaceDE w:val="0"/>
              <w:autoSpaceDN w:val="0"/>
              <w:spacing w:line="440" w:lineRule="exact"/>
              <w:jc w:val="center"/>
              <w:rPr>
                <w:rFonts w:hint="eastAsia" w:ascii="宋体" w:hAnsi="宋体" w:cs="宋体"/>
                <w:kern w:val="0"/>
              </w:rPr>
            </w:pPr>
          </w:p>
        </w:tc>
      </w:tr>
    </w:tbl>
    <w:p w14:paraId="5CD7E19E">
      <w:pPr>
        <w:tabs>
          <w:tab w:val="left" w:pos="2400"/>
          <w:tab w:val="left" w:pos="2700"/>
          <w:tab w:val="left" w:pos="3000"/>
          <w:tab w:val="left" w:pos="3300"/>
          <w:tab w:val="left" w:pos="3600"/>
        </w:tabs>
        <w:spacing w:line="360" w:lineRule="auto"/>
        <w:ind w:firstLine="480" w:firstLineChars="200"/>
        <w:rPr>
          <w:color w:val="000000"/>
          <w:szCs w:val="21"/>
        </w:rPr>
      </w:pPr>
      <w:r>
        <w:rPr>
          <w:rFonts w:hint="eastAsia" w:ascii="宋体" w:hAnsi="宋体" w:cs="宋体"/>
          <w:color w:val="000000"/>
          <w:sz w:val="24"/>
        </w:rPr>
        <w:t xml:space="preserve"> </w:t>
      </w:r>
      <w:r>
        <w:rPr>
          <w:color w:val="000000"/>
          <w:szCs w:val="21"/>
          <w:lang w:bidi="ar"/>
        </w:rPr>
        <w:t>*——见附件1：监测仪器维护费用清单；</w:t>
      </w:r>
    </w:p>
    <w:p w14:paraId="60F76368">
      <w:pPr>
        <w:snapToGrid w:val="0"/>
        <w:spacing w:line="360" w:lineRule="auto"/>
        <w:ind w:firstLine="630" w:firstLineChars="300"/>
        <w:jc w:val="left"/>
        <w:rPr>
          <w:rFonts w:hint="eastAsia" w:ascii="宋体" w:hAnsi="宋体" w:cs="宋体"/>
          <w:color w:val="000000"/>
          <w:sz w:val="24"/>
        </w:rPr>
      </w:pPr>
      <w:r>
        <w:rPr>
          <w:color w:val="000000"/>
          <w:szCs w:val="21"/>
          <w:lang w:bidi="ar"/>
        </w:rPr>
        <w:t>**——见附件2：监测仪器维修费——维修清单；</w:t>
      </w:r>
    </w:p>
    <w:p w14:paraId="0DAD7409">
      <w:pPr>
        <w:numPr>
          <w:ilvl w:val="0"/>
          <w:numId w:val="22"/>
        </w:numPr>
        <w:snapToGrid w:val="0"/>
        <w:spacing w:line="360" w:lineRule="auto"/>
        <w:jc w:val="left"/>
        <w:rPr>
          <w:rFonts w:hint="eastAsia" w:ascii="宋体" w:hAnsi="宋体" w:cs="宋体"/>
          <w:b/>
          <w:bCs/>
          <w:color w:val="000000"/>
          <w:sz w:val="24"/>
        </w:rPr>
      </w:pPr>
      <w:r>
        <w:rPr>
          <w:rFonts w:hint="eastAsia" w:ascii="宋体" w:hAnsi="宋体" w:cs="宋体"/>
          <w:b/>
          <w:bCs/>
          <w:color w:val="000000"/>
          <w:sz w:val="24"/>
        </w:rPr>
        <w:t xml:space="preserve">服务内容 </w:t>
      </w:r>
    </w:p>
    <w:p w14:paraId="52493C49">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负责密云、怀柔等区范围内布设的</w:t>
      </w:r>
      <w:r>
        <w:rPr>
          <w:rFonts w:ascii="宋体" w:hAnsi="宋体" w:cs="宋体"/>
          <w:color w:val="000000"/>
          <w:sz w:val="24"/>
        </w:rPr>
        <w:t>10</w:t>
      </w:r>
      <w:r>
        <w:rPr>
          <w:rFonts w:hint="eastAsia" w:ascii="宋体" w:hAnsi="宋体" w:cs="宋体"/>
          <w:color w:val="000000"/>
          <w:sz w:val="24"/>
        </w:rPr>
        <w:t xml:space="preserve">90台套野外监测仪器的维护服务。 </w:t>
      </w:r>
    </w:p>
    <w:p w14:paraId="5E9A8D24">
      <w:pPr>
        <w:numPr>
          <w:ilvl w:val="0"/>
          <w:numId w:val="22"/>
        </w:numPr>
        <w:snapToGrid w:val="0"/>
        <w:spacing w:line="360" w:lineRule="auto"/>
        <w:jc w:val="left"/>
        <w:rPr>
          <w:rFonts w:hint="eastAsia" w:ascii="宋体" w:hAnsi="宋体" w:cs="宋体"/>
          <w:b/>
          <w:bCs/>
          <w:color w:val="000000"/>
          <w:sz w:val="24"/>
        </w:rPr>
      </w:pPr>
      <w:r>
        <w:rPr>
          <w:rFonts w:hint="eastAsia" w:ascii="宋体" w:hAnsi="宋体" w:cs="宋体"/>
          <w:b/>
          <w:bCs/>
          <w:color w:val="000000"/>
          <w:sz w:val="24"/>
        </w:rPr>
        <w:t xml:space="preserve">提供服务期限、地点 </w:t>
      </w:r>
    </w:p>
    <w:p w14:paraId="6A258900">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1）服务期要求:合同签订之日起至2026年12月31日前，完成本项目全部工作内容。</w:t>
      </w:r>
    </w:p>
    <w:p w14:paraId="3D05A68F">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2）地点:密云、怀柔等区范围内采购人指定地点。</w:t>
      </w:r>
    </w:p>
    <w:p w14:paraId="1CD38276">
      <w:pPr>
        <w:numPr>
          <w:ilvl w:val="0"/>
          <w:numId w:val="22"/>
        </w:numPr>
        <w:snapToGrid w:val="0"/>
        <w:spacing w:line="360" w:lineRule="auto"/>
        <w:jc w:val="left"/>
        <w:rPr>
          <w:rFonts w:hint="eastAsia" w:ascii="宋体" w:hAnsi="宋体" w:cs="宋体"/>
          <w:b/>
          <w:bCs/>
          <w:color w:val="000000"/>
          <w:sz w:val="24"/>
        </w:rPr>
      </w:pPr>
      <w:r>
        <w:rPr>
          <w:rFonts w:hint="eastAsia" w:ascii="宋体" w:hAnsi="宋体" w:cs="宋体"/>
          <w:b/>
          <w:bCs/>
          <w:color w:val="000000"/>
          <w:sz w:val="24"/>
        </w:rPr>
        <w:t xml:space="preserve">付款方式 </w:t>
      </w:r>
    </w:p>
    <w:p w14:paraId="7940996B">
      <w:pPr>
        <w:tabs>
          <w:tab w:val="left" w:pos="2400"/>
          <w:tab w:val="left" w:pos="2700"/>
          <w:tab w:val="left" w:pos="3000"/>
          <w:tab w:val="left" w:pos="3300"/>
          <w:tab w:val="left" w:pos="3600"/>
        </w:tabs>
        <w:spacing w:line="360" w:lineRule="auto"/>
        <w:ind w:firstLine="480" w:firstLineChars="200"/>
        <w:rPr>
          <w:sz w:val="24"/>
        </w:rPr>
      </w:pPr>
      <w:r>
        <w:rPr>
          <w:sz w:val="24"/>
        </w:rPr>
        <w:t>1）本合同价款为人民币</w:t>
      </w:r>
      <w:r>
        <w:rPr>
          <w:sz w:val="24"/>
          <w:u w:val="single"/>
        </w:rPr>
        <w:t xml:space="preserve"> ¥</w:t>
      </w:r>
      <w:r>
        <w:rPr>
          <w:rFonts w:hint="eastAsia"/>
          <w:sz w:val="24"/>
          <w:u w:val="single"/>
        </w:rPr>
        <w:t xml:space="preserve">          </w:t>
      </w:r>
      <w:r>
        <w:rPr>
          <w:sz w:val="24"/>
        </w:rPr>
        <w:t>元（大写：</w:t>
      </w:r>
      <w:r>
        <w:rPr>
          <w:rFonts w:hint="eastAsia"/>
          <w:sz w:val="24"/>
          <w:u w:val="single"/>
        </w:rPr>
        <w:t xml:space="preserve">          </w:t>
      </w:r>
      <w:r>
        <w:rPr>
          <w:sz w:val="24"/>
          <w:u w:val="single"/>
        </w:rPr>
        <w:t>元整</w:t>
      </w:r>
      <w:r>
        <w:rPr>
          <w:sz w:val="24"/>
        </w:rPr>
        <w:t>）。本合同价款为包含了购买货物及其相关服务的费用和所需缴纳的所有税费。</w:t>
      </w:r>
    </w:p>
    <w:p w14:paraId="3E4A92AF">
      <w:pPr>
        <w:tabs>
          <w:tab w:val="left" w:pos="2400"/>
          <w:tab w:val="left" w:pos="2700"/>
          <w:tab w:val="left" w:pos="3000"/>
          <w:tab w:val="left" w:pos="3300"/>
          <w:tab w:val="left" w:pos="3600"/>
        </w:tabs>
        <w:spacing w:line="360" w:lineRule="auto"/>
        <w:ind w:firstLine="480" w:firstLineChars="200"/>
        <w:rPr>
          <w:sz w:val="24"/>
        </w:rPr>
      </w:pPr>
      <w:r>
        <w:rPr>
          <w:sz w:val="24"/>
        </w:rPr>
        <w:t>2）付款方式</w:t>
      </w:r>
    </w:p>
    <w:p w14:paraId="4DEA244E">
      <w:pPr>
        <w:tabs>
          <w:tab w:val="left" w:pos="2400"/>
          <w:tab w:val="left" w:pos="2700"/>
          <w:tab w:val="left" w:pos="3000"/>
          <w:tab w:val="left" w:pos="3300"/>
          <w:tab w:val="left" w:pos="3600"/>
        </w:tabs>
        <w:spacing w:line="360" w:lineRule="auto"/>
        <w:ind w:firstLine="480" w:firstLineChars="200"/>
        <w:rPr>
          <w:sz w:val="24"/>
        </w:rPr>
      </w:pPr>
      <w:r>
        <w:rPr>
          <w:sz w:val="24"/>
        </w:rPr>
        <w:t>（1）采购人与中标供应商签订合同后20个工作日内，采购人向中标供应商支付本项目中</w:t>
      </w:r>
      <w:bookmarkStart w:id="850" w:name="_Hlk7366242"/>
      <w:r>
        <w:rPr>
          <w:sz w:val="24"/>
        </w:rPr>
        <w:t>监测仪器维护费</w:t>
      </w:r>
      <w:bookmarkEnd w:id="850"/>
      <w:r>
        <w:rPr>
          <w:sz w:val="24"/>
        </w:rPr>
        <w:t>50%，即</w:t>
      </w:r>
      <w:r>
        <w:rPr>
          <w:sz w:val="24"/>
          <w:u w:val="single"/>
        </w:rPr>
        <w:t>人民币（大写）</w:t>
      </w:r>
      <w:r>
        <w:rPr>
          <w:rFonts w:hint="eastAsia"/>
          <w:sz w:val="24"/>
          <w:u w:val="single"/>
        </w:rPr>
        <w:t xml:space="preserve">          </w:t>
      </w:r>
      <w:r>
        <w:rPr>
          <w:sz w:val="24"/>
          <w:u w:val="single"/>
        </w:rPr>
        <w:t>元整（¥</w:t>
      </w:r>
      <w:r>
        <w:rPr>
          <w:rFonts w:hint="eastAsia"/>
          <w:sz w:val="24"/>
          <w:u w:val="single"/>
        </w:rPr>
        <w:t xml:space="preserve">          </w:t>
      </w:r>
      <w:r>
        <w:rPr>
          <w:sz w:val="24"/>
          <w:u w:val="single"/>
        </w:rPr>
        <w:t>元）</w:t>
      </w:r>
      <w:bookmarkStart w:id="851" w:name="_Hlk7366249"/>
      <w:r>
        <w:rPr>
          <w:sz w:val="24"/>
        </w:rPr>
        <w:t>及监测仪器维修费50%，即</w:t>
      </w:r>
      <w:r>
        <w:rPr>
          <w:sz w:val="24"/>
          <w:u w:val="single"/>
        </w:rPr>
        <w:t>人民币（大写）</w:t>
      </w:r>
      <w:r>
        <w:rPr>
          <w:rFonts w:hint="eastAsia"/>
          <w:sz w:val="24"/>
          <w:u w:val="single"/>
        </w:rPr>
        <w:t xml:space="preserve">          </w:t>
      </w:r>
      <w:r>
        <w:rPr>
          <w:sz w:val="24"/>
          <w:u w:val="single"/>
        </w:rPr>
        <w:t>元整（¥</w:t>
      </w:r>
      <w:r>
        <w:rPr>
          <w:rFonts w:hint="eastAsia"/>
          <w:sz w:val="24"/>
          <w:u w:val="single"/>
        </w:rPr>
        <w:t xml:space="preserve">          </w:t>
      </w:r>
      <w:r>
        <w:rPr>
          <w:sz w:val="24"/>
          <w:u w:val="single"/>
        </w:rPr>
        <w:t>元）</w:t>
      </w:r>
      <w:r>
        <w:rPr>
          <w:sz w:val="24"/>
        </w:rPr>
        <w:t>，二者共计：</w:t>
      </w:r>
      <w:r>
        <w:rPr>
          <w:sz w:val="24"/>
          <w:u w:val="single"/>
        </w:rPr>
        <w:t>人民币（大写）</w:t>
      </w:r>
      <w:r>
        <w:rPr>
          <w:rFonts w:hint="eastAsia"/>
          <w:sz w:val="24"/>
          <w:u w:val="single"/>
        </w:rPr>
        <w:t xml:space="preserve">          </w:t>
      </w:r>
      <w:r>
        <w:rPr>
          <w:sz w:val="24"/>
          <w:u w:val="single"/>
        </w:rPr>
        <w:t>元整（¥</w:t>
      </w:r>
      <w:r>
        <w:rPr>
          <w:rFonts w:hint="eastAsia"/>
          <w:sz w:val="24"/>
          <w:u w:val="single"/>
        </w:rPr>
        <w:t xml:space="preserve">          </w:t>
      </w:r>
      <w:r>
        <w:rPr>
          <w:sz w:val="24"/>
          <w:u w:val="single"/>
        </w:rPr>
        <w:t>元）</w:t>
      </w:r>
      <w:r>
        <w:rPr>
          <w:sz w:val="24"/>
        </w:rPr>
        <w:t>。</w:t>
      </w:r>
    </w:p>
    <w:bookmarkEnd w:id="851"/>
    <w:p w14:paraId="2A7FB149">
      <w:pPr>
        <w:tabs>
          <w:tab w:val="left" w:pos="2400"/>
          <w:tab w:val="left" w:pos="2700"/>
          <w:tab w:val="left" w:pos="3000"/>
          <w:tab w:val="left" w:pos="3300"/>
          <w:tab w:val="left" w:pos="3600"/>
        </w:tabs>
        <w:spacing w:line="360" w:lineRule="auto"/>
        <w:ind w:firstLine="480" w:firstLineChars="200"/>
        <w:rPr>
          <w:color w:val="FF0000"/>
          <w:sz w:val="24"/>
        </w:rPr>
      </w:pPr>
      <w:r>
        <w:rPr>
          <w:sz w:val="24"/>
        </w:rPr>
        <w:t>（2）汛前维护和汛中维护维修工作结束并提交成果后，经采购人验收合格后20个工作日内，支付本项目中监测仪器维护费35%，即</w:t>
      </w:r>
      <w:r>
        <w:rPr>
          <w:sz w:val="24"/>
          <w:u w:val="single"/>
        </w:rPr>
        <w:t>人民币（大写）</w:t>
      </w:r>
      <w:r>
        <w:rPr>
          <w:rFonts w:hint="eastAsia"/>
          <w:sz w:val="24"/>
          <w:u w:val="single"/>
        </w:rPr>
        <w:t xml:space="preserve">          </w:t>
      </w:r>
      <w:r>
        <w:rPr>
          <w:sz w:val="24"/>
          <w:u w:val="single"/>
        </w:rPr>
        <w:t>元整（¥</w:t>
      </w:r>
      <w:r>
        <w:rPr>
          <w:rFonts w:hint="eastAsia"/>
          <w:sz w:val="24"/>
          <w:u w:val="single"/>
        </w:rPr>
        <w:t xml:space="preserve">          </w:t>
      </w:r>
      <w:r>
        <w:rPr>
          <w:sz w:val="24"/>
          <w:u w:val="single"/>
        </w:rPr>
        <w:t>元）</w:t>
      </w:r>
      <w:r>
        <w:rPr>
          <w:sz w:val="24"/>
        </w:rPr>
        <w:t>及监测仪器维修费35%，即</w:t>
      </w:r>
      <w:r>
        <w:rPr>
          <w:sz w:val="24"/>
          <w:u w:val="single"/>
        </w:rPr>
        <w:t>人民币（大写）</w:t>
      </w:r>
      <w:r>
        <w:rPr>
          <w:rFonts w:hint="eastAsia"/>
          <w:sz w:val="24"/>
          <w:u w:val="single"/>
        </w:rPr>
        <w:t xml:space="preserve">          </w:t>
      </w:r>
      <w:r>
        <w:rPr>
          <w:sz w:val="24"/>
          <w:u w:val="single"/>
        </w:rPr>
        <w:t>元整（¥</w:t>
      </w:r>
      <w:r>
        <w:rPr>
          <w:rFonts w:hint="eastAsia"/>
          <w:sz w:val="24"/>
          <w:u w:val="single"/>
        </w:rPr>
        <w:t xml:space="preserve">          </w:t>
      </w:r>
      <w:r>
        <w:rPr>
          <w:sz w:val="24"/>
          <w:u w:val="single"/>
        </w:rPr>
        <w:t>元）</w:t>
      </w:r>
      <w:r>
        <w:rPr>
          <w:sz w:val="24"/>
        </w:rPr>
        <w:t>，此次支付共计：</w:t>
      </w:r>
      <w:r>
        <w:rPr>
          <w:sz w:val="24"/>
          <w:u w:val="single"/>
        </w:rPr>
        <w:t>人民币（大写）</w:t>
      </w:r>
      <w:r>
        <w:rPr>
          <w:rFonts w:hint="eastAsia"/>
          <w:sz w:val="24"/>
          <w:u w:val="single"/>
        </w:rPr>
        <w:t xml:space="preserve">          </w:t>
      </w:r>
      <w:r>
        <w:rPr>
          <w:sz w:val="24"/>
          <w:u w:val="single"/>
        </w:rPr>
        <w:t>元整（¥</w:t>
      </w:r>
      <w:r>
        <w:rPr>
          <w:rFonts w:hint="eastAsia"/>
          <w:sz w:val="24"/>
          <w:u w:val="single"/>
        </w:rPr>
        <w:t xml:space="preserve">          </w:t>
      </w:r>
      <w:r>
        <w:rPr>
          <w:sz w:val="24"/>
          <w:u w:val="single"/>
        </w:rPr>
        <w:t>元）</w:t>
      </w:r>
      <w:r>
        <w:rPr>
          <w:sz w:val="24"/>
        </w:rPr>
        <w:t>。甲方支付款项前，乙方须提交请款申请，申请内须包含本阶段完成工作情况，并由甲方确认。</w:t>
      </w:r>
    </w:p>
    <w:p w14:paraId="7FC0F50A">
      <w:pPr>
        <w:snapToGrid w:val="0"/>
        <w:spacing w:line="360" w:lineRule="auto"/>
        <w:jc w:val="left"/>
        <w:rPr>
          <w:rFonts w:hint="eastAsia" w:ascii="宋体" w:hAnsi="宋体" w:cs="宋体"/>
          <w:color w:val="000000"/>
          <w:sz w:val="24"/>
        </w:rPr>
      </w:pPr>
      <w:r>
        <w:rPr>
          <w:sz w:val="24"/>
        </w:rPr>
        <w:t>（3）汛后维护工作结束后并提交全部成果资料（含具体维修维护明细单）并经采购人验收合格后20个工作日内支付本项目中监测仪器维护费15%，即</w:t>
      </w:r>
      <w:r>
        <w:rPr>
          <w:sz w:val="24"/>
          <w:u w:val="single"/>
        </w:rPr>
        <w:t>人民币（大写）</w:t>
      </w:r>
      <w:r>
        <w:rPr>
          <w:rFonts w:hint="eastAsia"/>
          <w:sz w:val="24"/>
          <w:u w:val="single"/>
        </w:rPr>
        <w:t xml:space="preserve">          </w:t>
      </w:r>
      <w:r>
        <w:rPr>
          <w:sz w:val="24"/>
          <w:u w:val="single"/>
        </w:rPr>
        <w:t>元整（¥</w:t>
      </w:r>
      <w:r>
        <w:rPr>
          <w:rFonts w:hint="eastAsia"/>
          <w:sz w:val="24"/>
          <w:u w:val="single"/>
        </w:rPr>
        <w:t xml:space="preserve">          </w:t>
      </w:r>
      <w:r>
        <w:rPr>
          <w:sz w:val="24"/>
          <w:u w:val="single"/>
        </w:rPr>
        <w:t>元）</w:t>
      </w:r>
      <w:r>
        <w:rPr>
          <w:sz w:val="24"/>
        </w:rPr>
        <w:t>及监测仪器维修费15%，即</w:t>
      </w:r>
      <w:r>
        <w:rPr>
          <w:sz w:val="24"/>
          <w:u w:val="single"/>
        </w:rPr>
        <w:t>人民币（大写）</w:t>
      </w:r>
      <w:r>
        <w:rPr>
          <w:rFonts w:hint="eastAsia"/>
          <w:sz w:val="24"/>
          <w:u w:val="single"/>
        </w:rPr>
        <w:t xml:space="preserve">          </w:t>
      </w:r>
      <w:r>
        <w:rPr>
          <w:sz w:val="24"/>
          <w:u w:val="single"/>
        </w:rPr>
        <w:t>元整（¥</w:t>
      </w:r>
      <w:r>
        <w:rPr>
          <w:rFonts w:hint="eastAsia"/>
          <w:sz w:val="24"/>
          <w:u w:val="single"/>
        </w:rPr>
        <w:t xml:space="preserve">          </w:t>
      </w:r>
      <w:r>
        <w:rPr>
          <w:sz w:val="24"/>
          <w:u w:val="single"/>
        </w:rPr>
        <w:t>元）</w:t>
      </w:r>
      <w:r>
        <w:rPr>
          <w:sz w:val="24"/>
        </w:rPr>
        <w:t>，此次支付共计</w:t>
      </w:r>
      <w:r>
        <w:rPr>
          <w:sz w:val="24"/>
          <w:u w:val="single"/>
        </w:rPr>
        <w:t>人民币（大写）</w:t>
      </w:r>
      <w:r>
        <w:rPr>
          <w:rFonts w:hint="eastAsia"/>
          <w:sz w:val="24"/>
          <w:u w:val="single"/>
        </w:rPr>
        <w:t xml:space="preserve">          </w:t>
      </w:r>
      <w:r>
        <w:rPr>
          <w:sz w:val="24"/>
          <w:u w:val="single"/>
        </w:rPr>
        <w:t xml:space="preserve">元整（¥ </w:t>
      </w:r>
      <w:r>
        <w:rPr>
          <w:rFonts w:hint="eastAsia"/>
          <w:sz w:val="24"/>
          <w:u w:val="single"/>
        </w:rPr>
        <w:t xml:space="preserve">          </w:t>
      </w:r>
      <w:r>
        <w:rPr>
          <w:sz w:val="24"/>
          <w:u w:val="single"/>
        </w:rPr>
        <w:t>元）</w:t>
      </w:r>
      <w:r>
        <w:rPr>
          <w:sz w:val="24"/>
        </w:rPr>
        <w:t>。甲方支付款项前，乙方须提交请款申请，申请内须包含本阶段完成工作情况及维修维护结算单，并由甲方确认。</w:t>
      </w:r>
    </w:p>
    <w:p w14:paraId="28857154">
      <w:pPr>
        <w:numPr>
          <w:ilvl w:val="0"/>
          <w:numId w:val="22"/>
        </w:numPr>
        <w:snapToGrid w:val="0"/>
        <w:spacing w:line="360" w:lineRule="auto"/>
        <w:jc w:val="left"/>
        <w:rPr>
          <w:rFonts w:hint="eastAsia" w:ascii="宋体" w:hAnsi="宋体" w:cs="宋体"/>
          <w:b/>
          <w:bCs/>
          <w:color w:val="000000"/>
          <w:sz w:val="24"/>
        </w:rPr>
      </w:pPr>
      <w:r>
        <w:rPr>
          <w:rFonts w:hint="eastAsia" w:ascii="宋体" w:hAnsi="宋体" w:cs="宋体"/>
          <w:b/>
          <w:bCs/>
          <w:color w:val="000000"/>
          <w:sz w:val="24"/>
        </w:rPr>
        <w:t>履约保证金</w:t>
      </w:r>
    </w:p>
    <w:p w14:paraId="22595E30">
      <w:pPr>
        <w:snapToGrid w:val="0"/>
        <w:spacing w:line="360" w:lineRule="auto"/>
        <w:jc w:val="left"/>
        <w:rPr>
          <w:rFonts w:hint="eastAsia" w:ascii="宋体" w:hAnsi="宋体" w:cs="宋体"/>
          <w:color w:val="000000"/>
          <w:sz w:val="24"/>
        </w:rPr>
      </w:pPr>
      <w:r>
        <w:rPr>
          <w:sz w:val="24"/>
        </w:rPr>
        <w:t>本项目不适用。</w:t>
      </w:r>
      <w:r>
        <w:rPr>
          <w:rFonts w:hint="eastAsia" w:ascii="宋体" w:hAnsi="宋体" w:cs="宋体"/>
          <w:b/>
          <w:bCs/>
          <w:color w:val="000000"/>
          <w:sz w:val="24"/>
        </w:rPr>
        <w:t xml:space="preserve"> </w:t>
      </w:r>
    </w:p>
    <w:p w14:paraId="597F1387">
      <w:pPr>
        <w:numPr>
          <w:ilvl w:val="0"/>
          <w:numId w:val="22"/>
        </w:numPr>
        <w:snapToGrid w:val="0"/>
        <w:spacing w:line="360" w:lineRule="auto"/>
        <w:jc w:val="left"/>
        <w:rPr>
          <w:rFonts w:hint="eastAsia" w:ascii="宋体" w:hAnsi="宋体" w:cs="宋体"/>
          <w:b/>
          <w:bCs/>
          <w:color w:val="000000"/>
          <w:sz w:val="24"/>
        </w:rPr>
      </w:pPr>
      <w:r>
        <w:rPr>
          <w:rFonts w:hint="eastAsia" w:ascii="宋体" w:hAnsi="宋体" w:cs="宋体"/>
          <w:b/>
          <w:bCs/>
          <w:color w:val="000000"/>
          <w:sz w:val="24"/>
        </w:rPr>
        <w:t>合同的份数及生效</w:t>
      </w:r>
    </w:p>
    <w:p w14:paraId="7B1D15CE">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u w:val="single"/>
        </w:rPr>
        <w:t xml:space="preserve"> 柒 </w:t>
      </w:r>
      <w:r>
        <w:rPr>
          <w:rFonts w:hint="eastAsia" w:ascii="宋体" w:hAnsi="宋体" w:cs="宋体"/>
          <w:color w:val="000000"/>
          <w:sz w:val="24"/>
        </w:rPr>
        <w:t>份，具有同等法律效力。采购人和中标供应商各执</w:t>
      </w:r>
      <w:r>
        <w:rPr>
          <w:rFonts w:hint="eastAsia" w:ascii="宋体" w:hAnsi="宋体" w:cs="宋体"/>
          <w:color w:val="000000"/>
          <w:sz w:val="24"/>
          <w:u w:val="single"/>
        </w:rPr>
        <w:t xml:space="preserve"> 叁 </w:t>
      </w:r>
      <w:r>
        <w:rPr>
          <w:rFonts w:hint="eastAsia" w:ascii="宋体" w:hAnsi="宋体" w:cs="宋体"/>
          <w:color w:val="000000"/>
          <w:sz w:val="24"/>
        </w:rPr>
        <w:t xml:space="preserve">份，招标代理机构执 壹 份。 </w:t>
      </w:r>
    </w:p>
    <w:p w14:paraId="25DA7207">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本合同经双方各自的法定代表人或授权代表签署、加盖单位公章或合同专用章 并由中标供应商递交履约保证金（如有）之日起生效。  </w:t>
      </w:r>
    </w:p>
    <w:p w14:paraId="4855497D">
      <w:pPr>
        <w:ind w:firstLine="528"/>
        <w:rPr>
          <w:rFonts w:hint="eastAsia" w:ascii="宋体" w:hAnsi="宋体" w:cs="宋体"/>
          <w:color w:val="000000"/>
          <w:sz w:val="24"/>
        </w:rPr>
      </w:pPr>
    </w:p>
    <w:p w14:paraId="0AF11D2D">
      <w:pPr>
        <w:rPr>
          <w:rFonts w:hint="eastAsia" w:ascii="宋体" w:hAnsi="宋体" w:cs="宋体"/>
          <w:color w:val="000000"/>
          <w:sz w:val="24"/>
        </w:rPr>
      </w:pPr>
    </w:p>
    <w:p w14:paraId="5EF8F5E0">
      <w:pPr>
        <w:rPr>
          <w:rFonts w:hint="eastAsia" w:ascii="宋体" w:hAnsi="宋体" w:cs="宋体"/>
          <w:color w:val="000000"/>
          <w:sz w:val="24"/>
        </w:rPr>
      </w:pPr>
    </w:p>
    <w:p w14:paraId="0FFD8ADD">
      <w:pPr>
        <w:rPr>
          <w:rFonts w:hint="eastAsia" w:ascii="宋体" w:hAnsi="宋体" w:cs="宋体"/>
          <w:color w:val="000000"/>
          <w:sz w:val="24"/>
        </w:rPr>
      </w:pPr>
    </w:p>
    <w:p w14:paraId="0CC4F6C3">
      <w:pPr>
        <w:rPr>
          <w:rFonts w:hint="eastAsia" w:ascii="宋体" w:hAnsi="宋体" w:cs="宋体"/>
          <w:color w:val="000000"/>
          <w:sz w:val="24"/>
        </w:rPr>
      </w:pPr>
    </w:p>
    <w:p w14:paraId="7B3B4C56">
      <w:pPr>
        <w:rPr>
          <w:rFonts w:hint="eastAsia" w:ascii="宋体" w:hAnsi="宋体" w:cs="宋体"/>
          <w:color w:val="000000"/>
          <w:sz w:val="24"/>
        </w:rPr>
      </w:pPr>
    </w:p>
    <w:p w14:paraId="2CEC739B">
      <w:pPr>
        <w:rPr>
          <w:rFonts w:hint="eastAsia" w:ascii="宋体" w:hAnsi="宋体" w:cs="宋体"/>
          <w:color w:val="000000"/>
          <w:sz w:val="24"/>
        </w:rPr>
      </w:pPr>
    </w:p>
    <w:p w14:paraId="061BDE99">
      <w:pPr>
        <w:ind w:firstLine="528"/>
        <w:rPr>
          <w:rFonts w:hint="eastAsia" w:ascii="宋体" w:hAnsi="宋体" w:cs="宋体"/>
          <w:sz w:val="28"/>
        </w:rPr>
      </w:pPr>
    </w:p>
    <w:tbl>
      <w:tblPr>
        <w:tblStyle w:val="42"/>
        <w:tblW w:w="9094" w:type="dxa"/>
        <w:jc w:val="center"/>
        <w:tblLayout w:type="fixed"/>
        <w:tblCellMar>
          <w:top w:w="0" w:type="dxa"/>
          <w:left w:w="108" w:type="dxa"/>
          <w:bottom w:w="0" w:type="dxa"/>
          <w:right w:w="108" w:type="dxa"/>
        </w:tblCellMar>
      </w:tblPr>
      <w:tblGrid>
        <w:gridCol w:w="1882"/>
        <w:gridCol w:w="2653"/>
        <w:gridCol w:w="1866"/>
        <w:gridCol w:w="2693"/>
      </w:tblGrid>
      <w:tr w14:paraId="427FB2AE">
        <w:tblPrEx>
          <w:tblCellMar>
            <w:top w:w="0" w:type="dxa"/>
            <w:left w:w="108" w:type="dxa"/>
            <w:bottom w:w="0" w:type="dxa"/>
            <w:right w:w="108" w:type="dxa"/>
          </w:tblCellMar>
        </w:tblPrEx>
        <w:trPr>
          <w:trHeight w:val="741" w:hRule="atLeast"/>
          <w:jc w:val="center"/>
        </w:trPr>
        <w:tc>
          <w:tcPr>
            <w:tcW w:w="9094" w:type="dxa"/>
            <w:gridSpan w:val="4"/>
            <w:vAlign w:val="center"/>
          </w:tcPr>
          <w:p w14:paraId="76374C86">
            <w:pPr>
              <w:spacing w:line="360" w:lineRule="exact"/>
              <w:jc w:val="center"/>
              <w:rPr>
                <w:rFonts w:eastAsia="华文仿宋"/>
                <w:b/>
                <w:sz w:val="28"/>
                <w:szCs w:val="28"/>
              </w:rPr>
            </w:pPr>
            <w:r>
              <w:rPr>
                <w:rFonts w:eastAsia="华文仿宋"/>
                <w:b/>
                <w:sz w:val="28"/>
                <w:szCs w:val="28"/>
              </w:rPr>
              <w:br w:type="page"/>
            </w:r>
            <w:r>
              <w:rPr>
                <w:rFonts w:eastAsia="华文仿宋"/>
                <w:b/>
                <w:sz w:val="28"/>
                <w:szCs w:val="28"/>
              </w:rPr>
              <w:t>合同签订双方</w:t>
            </w:r>
          </w:p>
        </w:tc>
      </w:tr>
      <w:tr w14:paraId="5D8C6441">
        <w:tblPrEx>
          <w:tblCellMar>
            <w:top w:w="0" w:type="dxa"/>
            <w:left w:w="108" w:type="dxa"/>
            <w:bottom w:w="0" w:type="dxa"/>
            <w:right w:w="108" w:type="dxa"/>
          </w:tblCellMar>
        </w:tblPrEx>
        <w:trPr>
          <w:trHeight w:val="1042" w:hRule="atLeast"/>
          <w:jc w:val="center"/>
        </w:trPr>
        <w:tc>
          <w:tcPr>
            <w:tcW w:w="1882" w:type="dxa"/>
            <w:vAlign w:val="center"/>
          </w:tcPr>
          <w:p w14:paraId="37F69CBF">
            <w:pPr>
              <w:spacing w:line="360" w:lineRule="exact"/>
              <w:jc w:val="center"/>
              <w:rPr>
                <w:sz w:val="24"/>
              </w:rPr>
            </w:pPr>
            <w:r>
              <w:rPr>
                <w:sz w:val="24"/>
              </w:rPr>
              <w:t>甲方：</w:t>
            </w:r>
          </w:p>
          <w:p w14:paraId="0AE81592">
            <w:pPr>
              <w:spacing w:line="360" w:lineRule="exact"/>
              <w:jc w:val="center"/>
              <w:rPr>
                <w:sz w:val="24"/>
              </w:rPr>
            </w:pPr>
            <w:r>
              <w:rPr>
                <w:sz w:val="18"/>
              </w:rPr>
              <w:t>（合同章或公章）</w:t>
            </w:r>
          </w:p>
        </w:tc>
        <w:tc>
          <w:tcPr>
            <w:tcW w:w="2653" w:type="dxa"/>
            <w:vAlign w:val="center"/>
          </w:tcPr>
          <w:p w14:paraId="04902EC6">
            <w:pPr>
              <w:spacing w:line="360" w:lineRule="exact"/>
              <w:jc w:val="left"/>
              <w:rPr>
                <w:sz w:val="24"/>
                <w:u w:val="single"/>
              </w:rPr>
            </w:pPr>
            <w:r>
              <w:rPr>
                <w:rFonts w:hint="eastAsia"/>
                <w:sz w:val="24"/>
                <w:u w:val="single"/>
              </w:rPr>
              <w:t xml:space="preserve">北京市地质灾害防治研究所                </w:t>
            </w:r>
          </w:p>
        </w:tc>
        <w:tc>
          <w:tcPr>
            <w:tcW w:w="1866" w:type="dxa"/>
            <w:vAlign w:val="center"/>
          </w:tcPr>
          <w:p w14:paraId="2A5F2644">
            <w:pPr>
              <w:spacing w:line="360" w:lineRule="exact"/>
              <w:jc w:val="center"/>
              <w:rPr>
                <w:sz w:val="24"/>
              </w:rPr>
            </w:pPr>
            <w:r>
              <w:rPr>
                <w:sz w:val="24"/>
              </w:rPr>
              <w:t>乙方：</w:t>
            </w:r>
          </w:p>
          <w:p w14:paraId="1F4BCB5B">
            <w:pPr>
              <w:spacing w:line="360" w:lineRule="exact"/>
              <w:jc w:val="center"/>
              <w:rPr>
                <w:sz w:val="18"/>
                <w:szCs w:val="18"/>
              </w:rPr>
            </w:pPr>
            <w:r>
              <w:rPr>
                <w:sz w:val="18"/>
                <w:szCs w:val="18"/>
              </w:rPr>
              <w:t>（合同章或公章）</w:t>
            </w:r>
          </w:p>
        </w:tc>
        <w:tc>
          <w:tcPr>
            <w:tcW w:w="2693" w:type="dxa"/>
            <w:vAlign w:val="center"/>
          </w:tcPr>
          <w:p w14:paraId="39C534EE">
            <w:pPr>
              <w:spacing w:line="360" w:lineRule="exact"/>
              <w:ind w:left="0" w:leftChars="-2" w:hanging="4" w:hangingChars="2"/>
              <w:rPr>
                <w:sz w:val="24"/>
              </w:rPr>
            </w:pPr>
            <w:r>
              <w:rPr>
                <w:rFonts w:hint="eastAsia"/>
                <w:sz w:val="24"/>
                <w:u w:val="single"/>
              </w:rPr>
              <w:t xml:space="preserve">                    </w:t>
            </w:r>
          </w:p>
        </w:tc>
      </w:tr>
      <w:tr w14:paraId="2EFB743D">
        <w:tblPrEx>
          <w:tblCellMar>
            <w:top w:w="0" w:type="dxa"/>
            <w:left w:w="108" w:type="dxa"/>
            <w:bottom w:w="0" w:type="dxa"/>
            <w:right w:w="108" w:type="dxa"/>
          </w:tblCellMar>
        </w:tblPrEx>
        <w:trPr>
          <w:trHeight w:val="526" w:hRule="atLeast"/>
          <w:jc w:val="center"/>
        </w:trPr>
        <w:tc>
          <w:tcPr>
            <w:tcW w:w="1882" w:type="dxa"/>
            <w:vAlign w:val="center"/>
          </w:tcPr>
          <w:p w14:paraId="6DEEEAA0">
            <w:pPr>
              <w:spacing w:line="360" w:lineRule="exact"/>
              <w:jc w:val="center"/>
              <w:rPr>
                <w:sz w:val="18"/>
              </w:rPr>
            </w:pPr>
            <w:r>
              <w:rPr>
                <w:sz w:val="24"/>
              </w:rPr>
              <w:t>名称：（印章）</w:t>
            </w:r>
          </w:p>
        </w:tc>
        <w:tc>
          <w:tcPr>
            <w:tcW w:w="2653" w:type="dxa"/>
            <w:vAlign w:val="center"/>
          </w:tcPr>
          <w:p w14:paraId="01ABF43D">
            <w:pPr>
              <w:spacing w:line="360" w:lineRule="exact"/>
              <w:jc w:val="left"/>
              <w:rPr>
                <w:sz w:val="24"/>
              </w:rPr>
            </w:pPr>
            <w:r>
              <w:rPr>
                <w:rFonts w:hint="eastAsia"/>
                <w:sz w:val="24"/>
                <w:u w:val="single"/>
              </w:rPr>
              <w:t xml:space="preserve">                    </w:t>
            </w:r>
          </w:p>
        </w:tc>
        <w:tc>
          <w:tcPr>
            <w:tcW w:w="1866" w:type="dxa"/>
            <w:vAlign w:val="center"/>
          </w:tcPr>
          <w:p w14:paraId="3CC5823B">
            <w:pPr>
              <w:spacing w:line="360" w:lineRule="exact"/>
              <w:jc w:val="center"/>
              <w:rPr>
                <w:sz w:val="18"/>
                <w:szCs w:val="18"/>
              </w:rPr>
            </w:pPr>
            <w:r>
              <w:rPr>
                <w:sz w:val="24"/>
              </w:rPr>
              <w:t>名称：（印章）</w:t>
            </w:r>
          </w:p>
        </w:tc>
        <w:tc>
          <w:tcPr>
            <w:tcW w:w="2693" w:type="dxa"/>
            <w:vAlign w:val="center"/>
          </w:tcPr>
          <w:p w14:paraId="0021E283">
            <w:pPr>
              <w:spacing w:line="360" w:lineRule="exact"/>
              <w:jc w:val="left"/>
              <w:rPr>
                <w:sz w:val="24"/>
                <w:u w:val="single"/>
              </w:rPr>
            </w:pPr>
            <w:r>
              <w:rPr>
                <w:rFonts w:hint="eastAsia"/>
                <w:sz w:val="24"/>
                <w:u w:val="single"/>
              </w:rPr>
              <w:t xml:space="preserve">                     </w:t>
            </w:r>
          </w:p>
        </w:tc>
      </w:tr>
      <w:tr w14:paraId="29994727">
        <w:tblPrEx>
          <w:tblCellMar>
            <w:top w:w="0" w:type="dxa"/>
            <w:left w:w="108" w:type="dxa"/>
            <w:bottom w:w="0" w:type="dxa"/>
            <w:right w:w="108" w:type="dxa"/>
          </w:tblCellMar>
        </w:tblPrEx>
        <w:trPr>
          <w:trHeight w:val="847" w:hRule="atLeast"/>
          <w:jc w:val="center"/>
        </w:trPr>
        <w:tc>
          <w:tcPr>
            <w:tcW w:w="1882" w:type="dxa"/>
            <w:vAlign w:val="center"/>
          </w:tcPr>
          <w:p w14:paraId="7FA707EC">
            <w:pPr>
              <w:spacing w:line="360" w:lineRule="exact"/>
              <w:jc w:val="center"/>
              <w:rPr>
                <w:sz w:val="24"/>
              </w:rPr>
            </w:pPr>
          </w:p>
        </w:tc>
        <w:tc>
          <w:tcPr>
            <w:tcW w:w="2653" w:type="dxa"/>
            <w:vAlign w:val="center"/>
          </w:tcPr>
          <w:p w14:paraId="45E7E710">
            <w:pPr>
              <w:spacing w:line="360" w:lineRule="exact"/>
              <w:jc w:val="center"/>
              <w:rPr>
                <w:sz w:val="24"/>
                <w:u w:val="single"/>
              </w:rPr>
            </w:pPr>
            <w:r>
              <w:rPr>
                <w:sz w:val="24"/>
                <w:u w:val="single"/>
              </w:rPr>
              <w:t xml:space="preserve">      </w:t>
            </w:r>
            <w:r>
              <w:rPr>
                <w:sz w:val="24"/>
              </w:rPr>
              <w:t>年</w:t>
            </w:r>
            <w:r>
              <w:rPr>
                <w:sz w:val="24"/>
                <w:u w:val="single"/>
              </w:rPr>
              <w:t xml:space="preserve">   </w:t>
            </w:r>
            <w:r>
              <w:rPr>
                <w:rFonts w:hint="eastAsia"/>
                <w:sz w:val="24"/>
                <w:u w:val="single"/>
              </w:rPr>
              <w:t xml:space="preserve"> </w:t>
            </w:r>
            <w:r>
              <w:rPr>
                <w:sz w:val="24"/>
              </w:rPr>
              <w:t>月</w:t>
            </w:r>
            <w:r>
              <w:rPr>
                <w:sz w:val="24"/>
                <w:u w:val="single"/>
              </w:rPr>
              <w:t xml:space="preserve">    </w:t>
            </w:r>
            <w:r>
              <w:rPr>
                <w:sz w:val="24"/>
              </w:rPr>
              <w:t>日</w:t>
            </w:r>
          </w:p>
        </w:tc>
        <w:tc>
          <w:tcPr>
            <w:tcW w:w="1866" w:type="dxa"/>
            <w:vAlign w:val="center"/>
          </w:tcPr>
          <w:p w14:paraId="6C98343D">
            <w:pPr>
              <w:spacing w:line="360" w:lineRule="exact"/>
              <w:jc w:val="center"/>
              <w:rPr>
                <w:sz w:val="24"/>
              </w:rPr>
            </w:pPr>
          </w:p>
        </w:tc>
        <w:tc>
          <w:tcPr>
            <w:tcW w:w="2693" w:type="dxa"/>
            <w:vAlign w:val="center"/>
          </w:tcPr>
          <w:p w14:paraId="261909CA">
            <w:pPr>
              <w:spacing w:line="360" w:lineRule="exact"/>
              <w:ind w:left="0" w:leftChars="-2" w:hanging="4" w:hangingChars="2"/>
              <w:rPr>
                <w:sz w:val="24"/>
                <w:u w:val="single"/>
              </w:rPr>
            </w:pPr>
            <w:r>
              <w:rPr>
                <w:sz w:val="24"/>
                <w:u w:val="single"/>
              </w:rPr>
              <w:t xml:space="preserve">      </w:t>
            </w:r>
            <w:r>
              <w:rPr>
                <w:sz w:val="24"/>
              </w:rPr>
              <w:t>年</w:t>
            </w:r>
            <w:r>
              <w:rPr>
                <w:sz w:val="24"/>
                <w:u w:val="single"/>
              </w:rPr>
              <w:t xml:space="preserve">   </w:t>
            </w:r>
            <w:r>
              <w:rPr>
                <w:rFonts w:hint="eastAsia"/>
                <w:sz w:val="24"/>
                <w:u w:val="single"/>
              </w:rPr>
              <w:t xml:space="preserve"> </w:t>
            </w:r>
            <w:r>
              <w:rPr>
                <w:sz w:val="24"/>
              </w:rPr>
              <w:t>月</w:t>
            </w:r>
            <w:r>
              <w:rPr>
                <w:sz w:val="24"/>
                <w:u w:val="single"/>
              </w:rPr>
              <w:t xml:space="preserve">    </w:t>
            </w:r>
            <w:r>
              <w:rPr>
                <w:sz w:val="24"/>
              </w:rPr>
              <w:t>日</w:t>
            </w:r>
          </w:p>
        </w:tc>
      </w:tr>
      <w:tr w14:paraId="1D1E0E7E">
        <w:tblPrEx>
          <w:tblCellMar>
            <w:top w:w="0" w:type="dxa"/>
            <w:left w:w="108" w:type="dxa"/>
            <w:bottom w:w="0" w:type="dxa"/>
            <w:right w:w="108" w:type="dxa"/>
          </w:tblCellMar>
        </w:tblPrEx>
        <w:trPr>
          <w:trHeight w:val="1162" w:hRule="atLeast"/>
          <w:jc w:val="center"/>
        </w:trPr>
        <w:tc>
          <w:tcPr>
            <w:tcW w:w="1882" w:type="dxa"/>
            <w:vAlign w:val="center"/>
          </w:tcPr>
          <w:p w14:paraId="784B628E">
            <w:pPr>
              <w:spacing w:line="360" w:lineRule="exact"/>
              <w:jc w:val="center"/>
              <w:rPr>
                <w:sz w:val="24"/>
              </w:rPr>
            </w:pPr>
            <w:r>
              <w:rPr>
                <w:sz w:val="24"/>
              </w:rPr>
              <w:t>法定代表人</w:t>
            </w:r>
          </w:p>
          <w:p w14:paraId="7F10D50C">
            <w:pPr>
              <w:spacing w:line="360" w:lineRule="exact"/>
              <w:jc w:val="center"/>
              <w:rPr>
                <w:sz w:val="24"/>
              </w:rPr>
            </w:pPr>
            <w:r>
              <w:rPr>
                <w:sz w:val="20"/>
              </w:rPr>
              <w:t>（签字）</w:t>
            </w:r>
            <w:r>
              <w:rPr>
                <w:sz w:val="24"/>
              </w:rPr>
              <w:t>：</w:t>
            </w:r>
          </w:p>
        </w:tc>
        <w:tc>
          <w:tcPr>
            <w:tcW w:w="2653" w:type="dxa"/>
            <w:vAlign w:val="bottom"/>
          </w:tcPr>
          <w:p w14:paraId="43CA2A1D">
            <w:pPr>
              <w:spacing w:line="360" w:lineRule="exact"/>
              <w:rPr>
                <w:sz w:val="24"/>
                <w:u w:val="single"/>
              </w:rPr>
            </w:pPr>
            <w:r>
              <w:rPr>
                <w:rFonts w:hint="eastAsia"/>
                <w:sz w:val="24"/>
                <w:u w:val="single"/>
              </w:rPr>
              <w:t xml:space="preserve">                    </w:t>
            </w:r>
          </w:p>
        </w:tc>
        <w:tc>
          <w:tcPr>
            <w:tcW w:w="1866" w:type="dxa"/>
            <w:vAlign w:val="center"/>
          </w:tcPr>
          <w:p w14:paraId="3DBE8502">
            <w:pPr>
              <w:spacing w:line="360" w:lineRule="exact"/>
              <w:jc w:val="center"/>
              <w:rPr>
                <w:sz w:val="24"/>
              </w:rPr>
            </w:pPr>
            <w:r>
              <w:rPr>
                <w:sz w:val="24"/>
              </w:rPr>
              <w:t>法定代表人</w:t>
            </w:r>
          </w:p>
          <w:p w14:paraId="51017BD6">
            <w:pPr>
              <w:spacing w:line="360" w:lineRule="exact"/>
              <w:jc w:val="center"/>
              <w:rPr>
                <w:sz w:val="24"/>
              </w:rPr>
            </w:pPr>
            <w:r>
              <w:rPr>
                <w:sz w:val="20"/>
              </w:rPr>
              <w:t>（签字）</w:t>
            </w:r>
            <w:r>
              <w:rPr>
                <w:sz w:val="24"/>
              </w:rPr>
              <w:t>：</w:t>
            </w:r>
          </w:p>
        </w:tc>
        <w:tc>
          <w:tcPr>
            <w:tcW w:w="2693" w:type="dxa"/>
            <w:vAlign w:val="bottom"/>
          </w:tcPr>
          <w:p w14:paraId="40F89FFA">
            <w:pPr>
              <w:spacing w:line="360" w:lineRule="exact"/>
              <w:rPr>
                <w:sz w:val="24"/>
                <w:u w:val="single"/>
              </w:rPr>
            </w:pPr>
            <w:r>
              <w:rPr>
                <w:rFonts w:hint="eastAsia"/>
                <w:sz w:val="24"/>
                <w:u w:val="single"/>
              </w:rPr>
              <w:t xml:space="preserve">                     </w:t>
            </w:r>
          </w:p>
        </w:tc>
      </w:tr>
      <w:tr w14:paraId="2FBF5594">
        <w:tblPrEx>
          <w:tblCellMar>
            <w:top w:w="0" w:type="dxa"/>
            <w:left w:w="108" w:type="dxa"/>
            <w:bottom w:w="0" w:type="dxa"/>
            <w:right w:w="108" w:type="dxa"/>
          </w:tblCellMar>
        </w:tblPrEx>
        <w:trPr>
          <w:trHeight w:val="1144" w:hRule="atLeast"/>
          <w:jc w:val="center"/>
        </w:trPr>
        <w:tc>
          <w:tcPr>
            <w:tcW w:w="1882" w:type="dxa"/>
            <w:vAlign w:val="center"/>
          </w:tcPr>
          <w:p w14:paraId="251EB4FE">
            <w:pPr>
              <w:spacing w:line="360" w:lineRule="exact"/>
              <w:jc w:val="center"/>
              <w:rPr>
                <w:sz w:val="24"/>
              </w:rPr>
            </w:pPr>
            <w:r>
              <w:rPr>
                <w:sz w:val="24"/>
              </w:rPr>
              <w:t>委托代理人</w:t>
            </w:r>
          </w:p>
          <w:p w14:paraId="2612371D">
            <w:pPr>
              <w:spacing w:line="360" w:lineRule="exact"/>
              <w:jc w:val="center"/>
              <w:rPr>
                <w:sz w:val="24"/>
              </w:rPr>
            </w:pPr>
            <w:r>
              <w:rPr>
                <w:sz w:val="20"/>
              </w:rPr>
              <w:t>（签字）</w:t>
            </w:r>
            <w:r>
              <w:rPr>
                <w:sz w:val="24"/>
              </w:rPr>
              <w:t>：</w:t>
            </w:r>
          </w:p>
        </w:tc>
        <w:tc>
          <w:tcPr>
            <w:tcW w:w="2653" w:type="dxa"/>
            <w:vAlign w:val="bottom"/>
          </w:tcPr>
          <w:p w14:paraId="23D907E9">
            <w:pPr>
              <w:spacing w:line="360" w:lineRule="exact"/>
              <w:rPr>
                <w:sz w:val="24"/>
              </w:rPr>
            </w:pPr>
            <w:r>
              <w:rPr>
                <w:rFonts w:hint="eastAsia"/>
                <w:sz w:val="24"/>
                <w:u w:val="single"/>
              </w:rPr>
              <w:t xml:space="preserve">                    </w:t>
            </w:r>
          </w:p>
        </w:tc>
        <w:tc>
          <w:tcPr>
            <w:tcW w:w="1866" w:type="dxa"/>
            <w:vAlign w:val="center"/>
          </w:tcPr>
          <w:p w14:paraId="58114E35">
            <w:pPr>
              <w:spacing w:line="360" w:lineRule="exact"/>
              <w:jc w:val="center"/>
              <w:rPr>
                <w:sz w:val="24"/>
              </w:rPr>
            </w:pPr>
            <w:r>
              <w:rPr>
                <w:sz w:val="24"/>
              </w:rPr>
              <w:t>委托代理人</w:t>
            </w:r>
          </w:p>
          <w:p w14:paraId="2AF23BEB">
            <w:pPr>
              <w:spacing w:line="360" w:lineRule="exact"/>
              <w:jc w:val="center"/>
              <w:rPr>
                <w:sz w:val="24"/>
              </w:rPr>
            </w:pPr>
            <w:r>
              <w:rPr>
                <w:sz w:val="20"/>
              </w:rPr>
              <w:t>（签字）</w:t>
            </w:r>
            <w:r>
              <w:rPr>
                <w:sz w:val="24"/>
              </w:rPr>
              <w:t>：</w:t>
            </w:r>
          </w:p>
        </w:tc>
        <w:tc>
          <w:tcPr>
            <w:tcW w:w="2693" w:type="dxa"/>
            <w:vAlign w:val="bottom"/>
          </w:tcPr>
          <w:p w14:paraId="29F17918">
            <w:pPr>
              <w:spacing w:line="360" w:lineRule="exact"/>
              <w:rPr>
                <w:sz w:val="24"/>
                <w:u w:val="single"/>
              </w:rPr>
            </w:pPr>
            <w:r>
              <w:rPr>
                <w:rFonts w:hint="eastAsia"/>
                <w:sz w:val="24"/>
                <w:u w:val="single"/>
              </w:rPr>
              <w:t xml:space="preserve">                     </w:t>
            </w:r>
          </w:p>
        </w:tc>
      </w:tr>
      <w:tr w14:paraId="73EF1ED8">
        <w:tblPrEx>
          <w:tblCellMar>
            <w:top w:w="0" w:type="dxa"/>
            <w:left w:w="108" w:type="dxa"/>
            <w:bottom w:w="0" w:type="dxa"/>
            <w:right w:w="108" w:type="dxa"/>
          </w:tblCellMar>
        </w:tblPrEx>
        <w:trPr>
          <w:trHeight w:val="1120" w:hRule="atLeast"/>
          <w:jc w:val="center"/>
        </w:trPr>
        <w:tc>
          <w:tcPr>
            <w:tcW w:w="1882" w:type="dxa"/>
            <w:vAlign w:val="center"/>
          </w:tcPr>
          <w:p w14:paraId="5A42C9A8">
            <w:pPr>
              <w:spacing w:line="360" w:lineRule="exact"/>
              <w:jc w:val="center"/>
              <w:rPr>
                <w:sz w:val="24"/>
              </w:rPr>
            </w:pPr>
            <w:r>
              <w:rPr>
                <w:sz w:val="24"/>
              </w:rPr>
              <w:t>地    址：</w:t>
            </w:r>
          </w:p>
        </w:tc>
        <w:tc>
          <w:tcPr>
            <w:tcW w:w="2653" w:type="dxa"/>
            <w:vAlign w:val="center"/>
          </w:tcPr>
          <w:p w14:paraId="4F3F2964">
            <w:pPr>
              <w:spacing w:line="360" w:lineRule="exact"/>
              <w:rPr>
                <w:sz w:val="24"/>
                <w:u w:val="single"/>
              </w:rPr>
            </w:pPr>
            <w:r>
              <w:rPr>
                <w:sz w:val="24"/>
                <w:u w:val="single"/>
              </w:rPr>
              <w:t>北京市西城区黄寺大街24号（22号楼）</w:t>
            </w:r>
            <w:r>
              <w:rPr>
                <w:rFonts w:hint="eastAsia"/>
                <w:sz w:val="24"/>
                <w:u w:val="single"/>
              </w:rPr>
              <w:t xml:space="preserve">     </w:t>
            </w:r>
          </w:p>
        </w:tc>
        <w:tc>
          <w:tcPr>
            <w:tcW w:w="1866" w:type="dxa"/>
            <w:vAlign w:val="center"/>
          </w:tcPr>
          <w:p w14:paraId="4523C8BB">
            <w:pPr>
              <w:spacing w:line="360" w:lineRule="exact"/>
              <w:jc w:val="center"/>
              <w:rPr>
                <w:sz w:val="24"/>
              </w:rPr>
            </w:pPr>
            <w:r>
              <w:rPr>
                <w:sz w:val="24"/>
              </w:rPr>
              <w:t>地    址：</w:t>
            </w:r>
          </w:p>
        </w:tc>
        <w:tc>
          <w:tcPr>
            <w:tcW w:w="2693" w:type="dxa"/>
            <w:vAlign w:val="center"/>
          </w:tcPr>
          <w:p w14:paraId="08D87AE3">
            <w:pPr>
              <w:spacing w:line="360" w:lineRule="exact"/>
              <w:rPr>
                <w:sz w:val="24"/>
              </w:rPr>
            </w:pPr>
            <w:r>
              <w:rPr>
                <w:rFonts w:hint="eastAsia"/>
                <w:sz w:val="24"/>
                <w:u w:val="single"/>
              </w:rPr>
              <w:t xml:space="preserve">                     </w:t>
            </w:r>
          </w:p>
        </w:tc>
      </w:tr>
      <w:tr w14:paraId="1A82604C">
        <w:tblPrEx>
          <w:tblCellMar>
            <w:top w:w="0" w:type="dxa"/>
            <w:left w:w="108" w:type="dxa"/>
            <w:bottom w:w="0" w:type="dxa"/>
            <w:right w:w="108" w:type="dxa"/>
          </w:tblCellMar>
        </w:tblPrEx>
        <w:trPr>
          <w:trHeight w:val="850" w:hRule="exact"/>
          <w:jc w:val="center"/>
        </w:trPr>
        <w:tc>
          <w:tcPr>
            <w:tcW w:w="1882" w:type="dxa"/>
            <w:vAlign w:val="center"/>
          </w:tcPr>
          <w:p w14:paraId="377F3024">
            <w:pPr>
              <w:spacing w:line="360" w:lineRule="exact"/>
              <w:jc w:val="center"/>
              <w:rPr>
                <w:sz w:val="24"/>
              </w:rPr>
            </w:pPr>
            <w:r>
              <w:rPr>
                <w:rFonts w:hint="eastAsia"/>
                <w:sz w:val="24"/>
              </w:rPr>
              <w:t>邮政编码：</w:t>
            </w:r>
          </w:p>
        </w:tc>
        <w:tc>
          <w:tcPr>
            <w:tcW w:w="2653" w:type="dxa"/>
            <w:vAlign w:val="center"/>
          </w:tcPr>
          <w:p w14:paraId="2566AFAB">
            <w:pPr>
              <w:spacing w:line="360" w:lineRule="exact"/>
              <w:rPr>
                <w:sz w:val="24"/>
              </w:rPr>
            </w:pPr>
            <w:r>
              <w:rPr>
                <w:sz w:val="24"/>
                <w:u w:val="single"/>
                <w:lang w:bidi="ar"/>
              </w:rPr>
              <w:t>100120</w:t>
            </w:r>
            <w:r>
              <w:rPr>
                <w:rFonts w:hint="eastAsia"/>
                <w:sz w:val="24"/>
                <w:u w:val="single"/>
                <w:lang w:bidi="ar"/>
              </w:rPr>
              <w:t xml:space="preserve">              </w:t>
            </w:r>
          </w:p>
        </w:tc>
        <w:tc>
          <w:tcPr>
            <w:tcW w:w="1866" w:type="dxa"/>
            <w:vAlign w:val="center"/>
          </w:tcPr>
          <w:p w14:paraId="6F6DFDBF">
            <w:pPr>
              <w:spacing w:line="360" w:lineRule="exact"/>
              <w:jc w:val="center"/>
              <w:rPr>
                <w:sz w:val="24"/>
              </w:rPr>
            </w:pPr>
            <w:r>
              <w:rPr>
                <w:rFonts w:hint="eastAsia"/>
                <w:sz w:val="24"/>
              </w:rPr>
              <w:t>邮政编码：</w:t>
            </w:r>
          </w:p>
        </w:tc>
        <w:tc>
          <w:tcPr>
            <w:tcW w:w="2693" w:type="dxa"/>
            <w:vAlign w:val="center"/>
          </w:tcPr>
          <w:p w14:paraId="69AC854A">
            <w:pPr>
              <w:spacing w:line="360" w:lineRule="exact"/>
              <w:rPr>
                <w:sz w:val="24"/>
                <w:u w:val="single"/>
              </w:rPr>
            </w:pPr>
            <w:r>
              <w:rPr>
                <w:rFonts w:hint="eastAsia"/>
                <w:sz w:val="24"/>
                <w:u w:val="single"/>
              </w:rPr>
              <w:t xml:space="preserve">                      </w:t>
            </w:r>
          </w:p>
        </w:tc>
      </w:tr>
      <w:tr w14:paraId="17EF4B1B">
        <w:tblPrEx>
          <w:tblCellMar>
            <w:top w:w="0" w:type="dxa"/>
            <w:left w:w="108" w:type="dxa"/>
            <w:bottom w:w="0" w:type="dxa"/>
            <w:right w:w="108" w:type="dxa"/>
          </w:tblCellMar>
        </w:tblPrEx>
        <w:trPr>
          <w:trHeight w:val="850" w:hRule="exact"/>
          <w:jc w:val="center"/>
        </w:trPr>
        <w:tc>
          <w:tcPr>
            <w:tcW w:w="1882" w:type="dxa"/>
            <w:vAlign w:val="center"/>
          </w:tcPr>
          <w:p w14:paraId="16B4F31E">
            <w:pPr>
              <w:spacing w:line="360" w:lineRule="exact"/>
              <w:jc w:val="center"/>
              <w:rPr>
                <w:sz w:val="24"/>
              </w:rPr>
            </w:pPr>
            <w:r>
              <w:rPr>
                <w:sz w:val="24"/>
              </w:rPr>
              <w:t>联系电话：</w:t>
            </w:r>
          </w:p>
        </w:tc>
        <w:tc>
          <w:tcPr>
            <w:tcW w:w="2653" w:type="dxa"/>
            <w:vAlign w:val="center"/>
          </w:tcPr>
          <w:p w14:paraId="36DF7F85">
            <w:pPr>
              <w:spacing w:line="360" w:lineRule="exact"/>
              <w:rPr>
                <w:sz w:val="24"/>
              </w:rPr>
            </w:pPr>
            <w:r>
              <w:rPr>
                <w:sz w:val="24"/>
                <w:u w:val="single"/>
                <w:lang w:bidi="ar"/>
              </w:rPr>
              <w:t>010-51632</w:t>
            </w:r>
            <w:r>
              <w:rPr>
                <w:rFonts w:hint="eastAsia"/>
                <w:sz w:val="24"/>
                <w:u w:val="single"/>
                <w:lang w:bidi="ar"/>
              </w:rPr>
              <w:t xml:space="preserve">203         </w:t>
            </w:r>
          </w:p>
        </w:tc>
        <w:tc>
          <w:tcPr>
            <w:tcW w:w="1866" w:type="dxa"/>
            <w:vAlign w:val="center"/>
          </w:tcPr>
          <w:p w14:paraId="372BDEF1">
            <w:pPr>
              <w:spacing w:line="360" w:lineRule="exact"/>
              <w:jc w:val="center"/>
              <w:rPr>
                <w:sz w:val="24"/>
              </w:rPr>
            </w:pPr>
            <w:r>
              <w:rPr>
                <w:sz w:val="24"/>
              </w:rPr>
              <w:t>联系电话：</w:t>
            </w:r>
          </w:p>
        </w:tc>
        <w:tc>
          <w:tcPr>
            <w:tcW w:w="2693" w:type="dxa"/>
            <w:vAlign w:val="center"/>
          </w:tcPr>
          <w:p w14:paraId="2914A449">
            <w:pPr>
              <w:spacing w:line="360" w:lineRule="exact"/>
              <w:rPr>
                <w:sz w:val="24"/>
              </w:rPr>
            </w:pPr>
            <w:r>
              <w:rPr>
                <w:rFonts w:hint="eastAsia"/>
                <w:sz w:val="24"/>
                <w:u w:val="single"/>
              </w:rPr>
              <w:t xml:space="preserve">                        </w:t>
            </w:r>
          </w:p>
        </w:tc>
      </w:tr>
      <w:tr w14:paraId="1F20B539">
        <w:tblPrEx>
          <w:tblCellMar>
            <w:top w:w="0" w:type="dxa"/>
            <w:left w:w="108" w:type="dxa"/>
            <w:bottom w:w="0" w:type="dxa"/>
            <w:right w:w="108" w:type="dxa"/>
          </w:tblCellMar>
        </w:tblPrEx>
        <w:trPr>
          <w:trHeight w:val="850" w:hRule="exact"/>
          <w:jc w:val="center"/>
        </w:trPr>
        <w:tc>
          <w:tcPr>
            <w:tcW w:w="1882" w:type="dxa"/>
            <w:vAlign w:val="center"/>
          </w:tcPr>
          <w:p w14:paraId="52210254">
            <w:pPr>
              <w:spacing w:line="360" w:lineRule="exact"/>
              <w:jc w:val="center"/>
              <w:rPr>
                <w:sz w:val="24"/>
              </w:rPr>
            </w:pPr>
            <w:r>
              <w:rPr>
                <w:sz w:val="24"/>
              </w:rPr>
              <w:t>开 户 行：</w:t>
            </w:r>
          </w:p>
        </w:tc>
        <w:tc>
          <w:tcPr>
            <w:tcW w:w="2653" w:type="dxa"/>
            <w:vAlign w:val="center"/>
          </w:tcPr>
          <w:p w14:paraId="57634135">
            <w:pPr>
              <w:spacing w:line="360" w:lineRule="exact"/>
              <w:rPr>
                <w:sz w:val="24"/>
                <w:u w:val="single"/>
              </w:rPr>
            </w:pPr>
            <w:r>
              <w:rPr>
                <w:sz w:val="24"/>
                <w:u w:val="single"/>
              </w:rPr>
              <w:t>中国银行北京黄寺支行</w:t>
            </w:r>
            <w:r>
              <w:rPr>
                <w:rFonts w:hint="eastAsia"/>
                <w:sz w:val="24"/>
                <w:u w:val="single"/>
              </w:rPr>
              <w:t xml:space="preserve"> </w:t>
            </w:r>
          </w:p>
        </w:tc>
        <w:tc>
          <w:tcPr>
            <w:tcW w:w="1866" w:type="dxa"/>
            <w:vAlign w:val="center"/>
          </w:tcPr>
          <w:p w14:paraId="15C96F4A">
            <w:pPr>
              <w:spacing w:line="360" w:lineRule="exact"/>
              <w:jc w:val="center"/>
              <w:rPr>
                <w:sz w:val="24"/>
              </w:rPr>
            </w:pPr>
            <w:r>
              <w:rPr>
                <w:sz w:val="24"/>
              </w:rPr>
              <w:t>开 户 行：</w:t>
            </w:r>
          </w:p>
        </w:tc>
        <w:tc>
          <w:tcPr>
            <w:tcW w:w="2693" w:type="dxa"/>
            <w:vAlign w:val="center"/>
          </w:tcPr>
          <w:p w14:paraId="6BBF25F9">
            <w:pPr>
              <w:spacing w:line="360" w:lineRule="exact"/>
              <w:rPr>
                <w:sz w:val="24"/>
              </w:rPr>
            </w:pPr>
            <w:r>
              <w:rPr>
                <w:rFonts w:hint="eastAsia"/>
                <w:sz w:val="24"/>
                <w:u w:val="single"/>
              </w:rPr>
              <w:t xml:space="preserve">                        </w:t>
            </w:r>
          </w:p>
        </w:tc>
      </w:tr>
      <w:tr w14:paraId="5B16CF5C">
        <w:tblPrEx>
          <w:tblCellMar>
            <w:top w:w="0" w:type="dxa"/>
            <w:left w:w="108" w:type="dxa"/>
            <w:bottom w:w="0" w:type="dxa"/>
            <w:right w:w="108" w:type="dxa"/>
          </w:tblCellMar>
        </w:tblPrEx>
        <w:trPr>
          <w:trHeight w:val="850" w:hRule="exact"/>
          <w:jc w:val="center"/>
        </w:trPr>
        <w:tc>
          <w:tcPr>
            <w:tcW w:w="1882" w:type="dxa"/>
            <w:vAlign w:val="center"/>
          </w:tcPr>
          <w:p w14:paraId="44D5179C">
            <w:pPr>
              <w:spacing w:line="360" w:lineRule="exact"/>
              <w:jc w:val="center"/>
              <w:rPr>
                <w:sz w:val="24"/>
              </w:rPr>
            </w:pPr>
            <w:r>
              <w:rPr>
                <w:sz w:val="24"/>
              </w:rPr>
              <w:t>帐     号：</w:t>
            </w:r>
          </w:p>
        </w:tc>
        <w:tc>
          <w:tcPr>
            <w:tcW w:w="2653" w:type="dxa"/>
            <w:vAlign w:val="center"/>
          </w:tcPr>
          <w:p w14:paraId="3DF79596">
            <w:pPr>
              <w:spacing w:line="360" w:lineRule="exact"/>
              <w:rPr>
                <w:sz w:val="24"/>
                <w:u w:val="single"/>
              </w:rPr>
            </w:pPr>
            <w:r>
              <w:rPr>
                <w:sz w:val="24"/>
                <w:u w:val="single"/>
              </w:rPr>
              <w:t>333761859012</w:t>
            </w:r>
            <w:r>
              <w:rPr>
                <w:rFonts w:hint="eastAsia"/>
                <w:sz w:val="24"/>
                <w:u w:val="single"/>
              </w:rPr>
              <w:t xml:space="preserve">        </w:t>
            </w:r>
          </w:p>
        </w:tc>
        <w:tc>
          <w:tcPr>
            <w:tcW w:w="1866" w:type="dxa"/>
            <w:vAlign w:val="center"/>
          </w:tcPr>
          <w:p w14:paraId="5E327421">
            <w:pPr>
              <w:spacing w:line="360" w:lineRule="exact"/>
              <w:jc w:val="center"/>
              <w:rPr>
                <w:sz w:val="24"/>
              </w:rPr>
            </w:pPr>
            <w:r>
              <w:rPr>
                <w:sz w:val="24"/>
              </w:rPr>
              <w:t>帐     号：</w:t>
            </w:r>
          </w:p>
        </w:tc>
        <w:tc>
          <w:tcPr>
            <w:tcW w:w="2693" w:type="dxa"/>
            <w:vAlign w:val="center"/>
          </w:tcPr>
          <w:p w14:paraId="509E119F">
            <w:pPr>
              <w:spacing w:line="360" w:lineRule="exact"/>
              <w:rPr>
                <w:sz w:val="24"/>
              </w:rPr>
            </w:pPr>
            <w:r>
              <w:rPr>
                <w:rFonts w:hint="eastAsia"/>
                <w:sz w:val="24"/>
                <w:u w:val="single"/>
                <w:lang w:bidi="ar"/>
              </w:rPr>
              <w:t xml:space="preserve">                       </w:t>
            </w:r>
          </w:p>
        </w:tc>
      </w:tr>
      <w:tr w14:paraId="3CCE39AF">
        <w:tblPrEx>
          <w:tblCellMar>
            <w:top w:w="0" w:type="dxa"/>
            <w:left w:w="108" w:type="dxa"/>
            <w:bottom w:w="0" w:type="dxa"/>
            <w:right w:w="108" w:type="dxa"/>
          </w:tblCellMar>
        </w:tblPrEx>
        <w:trPr>
          <w:trHeight w:val="850" w:hRule="exact"/>
          <w:jc w:val="center"/>
        </w:trPr>
        <w:tc>
          <w:tcPr>
            <w:tcW w:w="1882" w:type="dxa"/>
            <w:vAlign w:val="center"/>
          </w:tcPr>
          <w:p w14:paraId="151DEB05">
            <w:pPr>
              <w:spacing w:line="360" w:lineRule="exact"/>
              <w:jc w:val="center"/>
              <w:rPr>
                <w:sz w:val="24"/>
              </w:rPr>
            </w:pPr>
            <w:r>
              <w:rPr>
                <w:rFonts w:hint="eastAsia"/>
                <w:sz w:val="24"/>
              </w:rPr>
              <w:t>纳税人识别号：</w:t>
            </w:r>
          </w:p>
        </w:tc>
        <w:tc>
          <w:tcPr>
            <w:tcW w:w="2653" w:type="dxa"/>
            <w:vAlign w:val="center"/>
          </w:tcPr>
          <w:p w14:paraId="37CDD630">
            <w:pPr>
              <w:spacing w:line="360" w:lineRule="exact"/>
              <w:rPr>
                <w:sz w:val="24"/>
                <w:u w:val="single"/>
              </w:rPr>
            </w:pPr>
            <w:r>
              <w:rPr>
                <w:rFonts w:hint="eastAsia"/>
                <w:sz w:val="24"/>
                <w:u w:val="single"/>
              </w:rPr>
              <w:t xml:space="preserve">121100004000030913  </w:t>
            </w:r>
          </w:p>
        </w:tc>
        <w:tc>
          <w:tcPr>
            <w:tcW w:w="1866" w:type="dxa"/>
            <w:vAlign w:val="center"/>
          </w:tcPr>
          <w:p w14:paraId="6E9ED231">
            <w:pPr>
              <w:spacing w:line="360" w:lineRule="exact"/>
              <w:jc w:val="center"/>
              <w:rPr>
                <w:sz w:val="24"/>
              </w:rPr>
            </w:pPr>
            <w:r>
              <w:rPr>
                <w:rFonts w:hint="eastAsia"/>
                <w:sz w:val="24"/>
              </w:rPr>
              <w:t>纳税人识别号：</w:t>
            </w:r>
          </w:p>
        </w:tc>
        <w:tc>
          <w:tcPr>
            <w:tcW w:w="2693" w:type="dxa"/>
            <w:vAlign w:val="center"/>
          </w:tcPr>
          <w:p w14:paraId="5DF28B13">
            <w:pPr>
              <w:spacing w:line="360" w:lineRule="exact"/>
              <w:rPr>
                <w:sz w:val="24"/>
                <w:u w:val="single"/>
              </w:rPr>
            </w:pPr>
            <w:r>
              <w:rPr>
                <w:rFonts w:hint="eastAsia"/>
                <w:sz w:val="24"/>
                <w:u w:val="single"/>
              </w:rPr>
              <w:t xml:space="preserve">                     </w:t>
            </w:r>
          </w:p>
        </w:tc>
      </w:tr>
    </w:tbl>
    <w:p w14:paraId="4E87C9FC">
      <w:pPr>
        <w:spacing w:line="360" w:lineRule="auto"/>
        <w:rPr>
          <w:rFonts w:hint="eastAsia" w:ascii="宋体" w:hAnsi="宋体" w:cs="宋体"/>
          <w:b/>
          <w:color w:val="000000"/>
          <w:sz w:val="28"/>
          <w:szCs w:val="28"/>
          <w:highlight w:val="yellow"/>
        </w:rPr>
      </w:pPr>
    </w:p>
    <w:p w14:paraId="4A5CB977">
      <w:pPr>
        <w:spacing w:line="360" w:lineRule="auto"/>
        <w:rPr>
          <w:rFonts w:hint="eastAsia" w:ascii="宋体" w:hAnsi="宋体" w:cs="宋体"/>
          <w:b/>
          <w:color w:val="000000"/>
          <w:sz w:val="28"/>
          <w:szCs w:val="28"/>
          <w:highlight w:val="yellow"/>
        </w:rPr>
      </w:pPr>
    </w:p>
    <w:p w14:paraId="6243D9CD">
      <w:pPr>
        <w:spacing w:line="360" w:lineRule="auto"/>
        <w:rPr>
          <w:rFonts w:hint="eastAsia" w:ascii="宋体" w:hAnsi="宋体" w:cs="宋体"/>
          <w:b/>
          <w:color w:val="000000"/>
          <w:sz w:val="28"/>
          <w:szCs w:val="28"/>
          <w:highlight w:val="yellow"/>
        </w:rPr>
      </w:pPr>
    </w:p>
    <w:p w14:paraId="600789ED">
      <w:pPr>
        <w:spacing w:line="360" w:lineRule="auto"/>
        <w:rPr>
          <w:rFonts w:hint="eastAsia" w:ascii="宋体" w:hAnsi="宋体" w:cs="宋体"/>
          <w:b/>
          <w:color w:val="000000"/>
          <w:sz w:val="28"/>
          <w:szCs w:val="28"/>
          <w:highlight w:val="yellow"/>
        </w:rPr>
      </w:pPr>
    </w:p>
    <w:p w14:paraId="1C433DFD">
      <w:pPr>
        <w:spacing w:line="360" w:lineRule="auto"/>
        <w:rPr>
          <w:rFonts w:hint="eastAsia" w:ascii="宋体" w:hAnsi="宋体" w:cs="宋体"/>
          <w:b/>
          <w:color w:val="000000"/>
          <w:sz w:val="28"/>
          <w:szCs w:val="28"/>
          <w:highlight w:val="yellow"/>
        </w:rPr>
      </w:pPr>
    </w:p>
    <w:p w14:paraId="5AADD42C">
      <w:pPr>
        <w:spacing w:line="360" w:lineRule="auto"/>
        <w:rPr>
          <w:rFonts w:hint="eastAsia" w:ascii="宋体" w:hAnsi="宋体" w:cs="宋体"/>
          <w:b/>
          <w:color w:val="000000"/>
          <w:sz w:val="28"/>
          <w:szCs w:val="28"/>
          <w:highlight w:val="yellow"/>
        </w:rPr>
      </w:pPr>
    </w:p>
    <w:p w14:paraId="59B17DD7">
      <w:pPr>
        <w:spacing w:line="360" w:lineRule="auto"/>
        <w:rPr>
          <w:rFonts w:hint="eastAsia" w:ascii="宋体" w:hAnsi="宋体" w:cs="宋体"/>
          <w:b/>
          <w:color w:val="000000"/>
          <w:sz w:val="28"/>
          <w:szCs w:val="28"/>
          <w:highlight w:val="yellow"/>
        </w:rPr>
      </w:pPr>
    </w:p>
    <w:p w14:paraId="0935837D">
      <w:pPr>
        <w:spacing w:line="360" w:lineRule="auto"/>
        <w:rPr>
          <w:rFonts w:hint="eastAsia" w:ascii="宋体" w:hAnsi="宋体" w:cs="宋体"/>
          <w:b/>
          <w:color w:val="000000"/>
          <w:sz w:val="28"/>
          <w:szCs w:val="28"/>
          <w:highlight w:val="yellow"/>
        </w:rPr>
      </w:pPr>
    </w:p>
    <w:p w14:paraId="650218D7">
      <w:pPr>
        <w:jc w:val="center"/>
        <w:rPr>
          <w:rFonts w:hint="eastAsia" w:ascii="宋体" w:hAnsi="宋体" w:cs="宋体"/>
          <w:b/>
          <w:bCs/>
          <w:color w:val="000000"/>
          <w:sz w:val="24"/>
        </w:rPr>
      </w:pPr>
      <w:r>
        <w:rPr>
          <w:rFonts w:hint="eastAsia" w:ascii="宋体" w:hAnsi="宋体" w:cs="宋体"/>
          <w:b/>
          <w:bCs/>
          <w:color w:val="000000"/>
          <w:sz w:val="24"/>
        </w:rPr>
        <w:t>合同特殊条款</w:t>
      </w:r>
    </w:p>
    <w:p w14:paraId="1C7FE66B">
      <w:pPr>
        <w:ind w:firstLine="528"/>
        <w:rPr>
          <w:rFonts w:hint="eastAsia" w:ascii="宋体" w:hAnsi="宋体" w:cs="宋体"/>
          <w:sz w:val="28"/>
        </w:rPr>
      </w:pPr>
    </w:p>
    <w:p w14:paraId="71B76970">
      <w:pPr>
        <w:spacing w:before="120" w:line="360" w:lineRule="auto"/>
        <w:ind w:firstLine="508" w:firstLineChars="212"/>
        <w:rPr>
          <w:sz w:val="24"/>
        </w:rPr>
      </w:pPr>
      <w:r>
        <w:rPr>
          <w:sz w:val="24"/>
        </w:rPr>
        <w:t>合同特殊条款是合同一般条款的补充和修改。如果两者之间有抵触，应当以特殊条款为准。合同特殊条款的序号将与招标文件第一册中第二章合同一般条款序号相对应。</w:t>
      </w:r>
    </w:p>
    <w:p w14:paraId="2454F456">
      <w:pPr>
        <w:spacing w:before="120" w:line="360" w:lineRule="auto"/>
        <w:rPr>
          <w:sz w:val="24"/>
        </w:rPr>
      </w:pPr>
      <w:r>
        <w:rPr>
          <w:sz w:val="24"/>
        </w:rPr>
        <w:t>1、定义</w:t>
      </w:r>
    </w:p>
    <w:p w14:paraId="6A2E4A73">
      <w:pPr>
        <w:spacing w:before="120" w:line="360" w:lineRule="auto"/>
        <w:rPr>
          <w:sz w:val="24"/>
        </w:rPr>
      </w:pPr>
      <w:r>
        <w:rPr>
          <w:sz w:val="24"/>
        </w:rPr>
        <w:t>1.3  采购人：</w:t>
      </w:r>
      <w:r>
        <w:rPr>
          <w:sz w:val="24"/>
          <w:u w:val="single"/>
        </w:rPr>
        <w:t>北京市地质灾害防治研究所</w:t>
      </w:r>
      <w:r>
        <w:rPr>
          <w:rFonts w:hint="eastAsia"/>
          <w:sz w:val="24"/>
          <w:u w:val="single"/>
        </w:rPr>
        <w:t>。</w:t>
      </w:r>
    </w:p>
    <w:p w14:paraId="0CEB1B5C">
      <w:pPr>
        <w:spacing w:before="120" w:line="360" w:lineRule="auto"/>
        <w:rPr>
          <w:sz w:val="24"/>
        </w:rPr>
      </w:pPr>
      <w:r>
        <w:rPr>
          <w:sz w:val="24"/>
        </w:rPr>
        <w:t>1.4  中标供应商：</w:t>
      </w:r>
      <w:r>
        <w:rPr>
          <w:sz w:val="24"/>
          <w:u w:val="single"/>
        </w:rPr>
        <w:t>　</w:t>
      </w:r>
      <w:r>
        <w:rPr>
          <w:rFonts w:hint="eastAsia"/>
          <w:sz w:val="24"/>
          <w:u w:val="single"/>
        </w:rPr>
        <w:t xml:space="preserve">                </w:t>
      </w:r>
      <w:r>
        <w:rPr>
          <w:sz w:val="24"/>
          <w:u w:val="single"/>
        </w:rPr>
        <w:t xml:space="preserve">    </w:t>
      </w:r>
    </w:p>
    <w:p w14:paraId="32855C62">
      <w:pPr>
        <w:spacing w:line="360" w:lineRule="auto"/>
        <w:rPr>
          <w:sz w:val="24"/>
        </w:rPr>
      </w:pPr>
      <w:bookmarkStart w:id="852" w:name="_Toc96998521"/>
      <w:r>
        <w:rPr>
          <w:sz w:val="24"/>
        </w:rPr>
        <w:t>3、</w:t>
      </w:r>
      <w:bookmarkEnd w:id="852"/>
      <w:r>
        <w:rPr>
          <w:sz w:val="24"/>
        </w:rPr>
        <w:t>服务内容</w:t>
      </w:r>
    </w:p>
    <w:p w14:paraId="4135EBC6">
      <w:pPr>
        <w:spacing w:line="360" w:lineRule="auto"/>
        <w:ind w:firstLine="480" w:firstLineChars="200"/>
        <w:rPr>
          <w:sz w:val="24"/>
        </w:rPr>
      </w:pPr>
      <w:r>
        <w:rPr>
          <w:sz w:val="24"/>
          <w:u w:val="single"/>
        </w:rPr>
        <w:t>仪器维护、仪器维修</w:t>
      </w:r>
      <w:r>
        <w:rPr>
          <w:rFonts w:hint="eastAsia"/>
          <w:sz w:val="24"/>
          <w:u w:val="single"/>
        </w:rPr>
        <w:t>。</w:t>
      </w:r>
    </w:p>
    <w:p w14:paraId="4CA2F268">
      <w:pPr>
        <w:spacing w:line="360" w:lineRule="auto"/>
        <w:rPr>
          <w:sz w:val="24"/>
        </w:rPr>
      </w:pPr>
      <w:r>
        <w:rPr>
          <w:sz w:val="24"/>
        </w:rPr>
        <w:t>4、提供服务期限、地点</w:t>
      </w:r>
    </w:p>
    <w:p w14:paraId="223A53B4">
      <w:pPr>
        <w:spacing w:before="120" w:line="360" w:lineRule="auto"/>
        <w:ind w:left="1" w:firstLine="482" w:firstLineChars="200"/>
        <w:rPr>
          <w:b/>
          <w:sz w:val="24"/>
          <w:u w:val="single"/>
        </w:rPr>
      </w:pPr>
      <w:r>
        <w:rPr>
          <w:b/>
          <w:sz w:val="24"/>
          <w:u w:val="single"/>
        </w:rPr>
        <w:t>服务期要求：</w:t>
      </w:r>
      <w:r>
        <w:rPr>
          <w:sz w:val="24"/>
          <w:u w:val="single"/>
        </w:rPr>
        <w:t>合同签订之日起至202</w:t>
      </w:r>
      <w:r>
        <w:rPr>
          <w:rFonts w:hint="eastAsia"/>
          <w:sz w:val="24"/>
          <w:u w:val="single"/>
        </w:rPr>
        <w:t>6</w:t>
      </w:r>
      <w:r>
        <w:rPr>
          <w:sz w:val="24"/>
          <w:u w:val="single"/>
        </w:rPr>
        <w:t>年12月31日前，完成本项目全部工作内容。</w:t>
      </w:r>
    </w:p>
    <w:p w14:paraId="32A9E4A7">
      <w:pPr>
        <w:spacing w:before="120" w:line="360" w:lineRule="auto"/>
        <w:ind w:left="1" w:firstLine="482" w:firstLineChars="200"/>
        <w:rPr>
          <w:sz w:val="24"/>
        </w:rPr>
      </w:pPr>
      <w:r>
        <w:rPr>
          <w:b/>
          <w:sz w:val="24"/>
          <w:u w:val="single"/>
        </w:rPr>
        <w:t>地点：</w:t>
      </w:r>
      <w:r>
        <w:rPr>
          <w:sz w:val="24"/>
          <w:u w:val="single"/>
        </w:rPr>
        <w:t>密云、</w:t>
      </w:r>
      <w:r>
        <w:rPr>
          <w:rFonts w:hint="eastAsia"/>
          <w:sz w:val="24"/>
          <w:u w:val="single"/>
        </w:rPr>
        <w:t>怀柔等</w:t>
      </w:r>
      <w:r>
        <w:rPr>
          <w:sz w:val="24"/>
          <w:u w:val="single"/>
        </w:rPr>
        <w:t>区范围内等甲方指定地点。</w:t>
      </w:r>
    </w:p>
    <w:p w14:paraId="3AB5A05A">
      <w:pPr>
        <w:spacing w:line="360" w:lineRule="auto"/>
        <w:rPr>
          <w:sz w:val="24"/>
        </w:rPr>
      </w:pPr>
      <w:r>
        <w:rPr>
          <w:sz w:val="24"/>
        </w:rPr>
        <w:t>5、付款方式</w:t>
      </w:r>
    </w:p>
    <w:p w14:paraId="64D573AF">
      <w:pPr>
        <w:spacing w:before="120" w:line="360" w:lineRule="auto"/>
        <w:ind w:left="1" w:firstLine="480" w:firstLineChars="200"/>
        <w:rPr>
          <w:sz w:val="24"/>
        </w:rPr>
      </w:pPr>
      <w:r>
        <w:rPr>
          <w:sz w:val="24"/>
        </w:rPr>
        <w:t>5.1 付款方式</w:t>
      </w:r>
      <w:r>
        <w:rPr>
          <w:sz w:val="24"/>
          <w:u w:val="single"/>
        </w:rPr>
        <w:t>：采购人与中标供应商签订合同后二十个工作日内，采购人向中标供应商支付本项目中标金额50%的预付款，汛前维护和汛中维护维修工作结束并提交成果后支付本项目中标金额35%的预付款，汛后维护工作结束后并提交全部成果资料并经采购人验收合格后20个工作日内一次性付清本次中标金额15%的余款。</w:t>
      </w:r>
    </w:p>
    <w:p w14:paraId="6BC3FC5A">
      <w:pPr>
        <w:spacing w:before="120" w:line="360" w:lineRule="auto"/>
        <w:rPr>
          <w:sz w:val="24"/>
        </w:rPr>
      </w:pPr>
      <w:r>
        <w:rPr>
          <w:sz w:val="24"/>
        </w:rPr>
        <w:t>8、索赔：根据合同一般条款约定。</w:t>
      </w:r>
    </w:p>
    <w:p w14:paraId="58B50B98">
      <w:pPr>
        <w:spacing w:before="120" w:line="360" w:lineRule="auto"/>
        <w:rPr>
          <w:sz w:val="24"/>
        </w:rPr>
      </w:pPr>
      <w:r>
        <w:rPr>
          <w:sz w:val="24"/>
        </w:rPr>
        <w:t>10、不可抗力：根据合同一般条款约定。</w:t>
      </w:r>
    </w:p>
    <w:p w14:paraId="348AACA6">
      <w:pPr>
        <w:spacing w:before="120" w:line="360" w:lineRule="auto"/>
        <w:jc w:val="left"/>
        <w:rPr>
          <w:sz w:val="24"/>
        </w:rPr>
      </w:pPr>
      <w:r>
        <w:rPr>
          <w:sz w:val="24"/>
        </w:rPr>
        <w:t>12、履约保证金：本项目不适用。</w:t>
      </w:r>
    </w:p>
    <w:p w14:paraId="470E1B65">
      <w:pPr>
        <w:spacing w:line="360" w:lineRule="auto"/>
        <w:rPr>
          <w:rFonts w:hint="eastAsia" w:ascii="宋体" w:hAnsi="宋体" w:cs="宋体"/>
          <w:color w:val="000000"/>
          <w:sz w:val="24"/>
        </w:rPr>
      </w:pPr>
      <w:r>
        <w:rPr>
          <w:sz w:val="24"/>
        </w:rPr>
        <w:t>22.3 本合同一式</w:t>
      </w:r>
      <w:r>
        <w:rPr>
          <w:sz w:val="24"/>
          <w:u w:val="single"/>
        </w:rPr>
        <w:t>柒</w:t>
      </w:r>
      <w:r>
        <w:rPr>
          <w:sz w:val="24"/>
        </w:rPr>
        <w:t>份，具有同等法律效力。</w:t>
      </w:r>
      <w:r>
        <w:rPr>
          <w:sz w:val="24"/>
          <w:u w:val="single"/>
        </w:rPr>
        <w:t>采购人</w:t>
      </w:r>
      <w:r>
        <w:rPr>
          <w:sz w:val="24"/>
        </w:rPr>
        <w:t>和</w:t>
      </w:r>
      <w:r>
        <w:rPr>
          <w:sz w:val="24"/>
          <w:u w:val="single"/>
        </w:rPr>
        <w:t>中标供应商</w:t>
      </w:r>
      <w:r>
        <w:rPr>
          <w:sz w:val="24"/>
        </w:rPr>
        <w:t>各执</w:t>
      </w:r>
      <w:r>
        <w:rPr>
          <w:sz w:val="24"/>
          <w:u w:val="single"/>
        </w:rPr>
        <w:t>叁</w:t>
      </w:r>
      <w:r>
        <w:rPr>
          <w:sz w:val="24"/>
        </w:rPr>
        <w:t>份，招标代理机构执壹份。</w:t>
      </w:r>
      <w:r>
        <w:rPr>
          <w:rFonts w:hint="eastAsia" w:ascii="宋体" w:hAnsi="宋体" w:cs="宋体"/>
          <w:color w:val="000000"/>
          <w:sz w:val="24"/>
        </w:rPr>
        <w:br w:type="page"/>
      </w:r>
    </w:p>
    <w:p w14:paraId="033DC949">
      <w:pPr>
        <w:jc w:val="center"/>
        <w:rPr>
          <w:b/>
          <w:bCs/>
          <w:color w:val="000000"/>
          <w:sz w:val="24"/>
        </w:rPr>
      </w:pPr>
      <w:bookmarkStart w:id="853" w:name="_Toc96998517"/>
      <w:bookmarkStart w:id="854" w:name="_Toc109542391"/>
      <w:bookmarkStart w:id="855" w:name="_Toc487900374"/>
      <w:bookmarkStart w:id="856" w:name="_Toc109543211"/>
      <w:r>
        <w:rPr>
          <w:b/>
          <w:bCs/>
          <w:color w:val="000000"/>
          <w:sz w:val="24"/>
        </w:rPr>
        <w:t>合同一般条款</w:t>
      </w:r>
    </w:p>
    <w:p w14:paraId="745FB5F4">
      <w:pPr>
        <w:spacing w:line="360" w:lineRule="auto"/>
        <w:rPr>
          <w:b/>
          <w:bCs/>
          <w:sz w:val="24"/>
        </w:rPr>
      </w:pPr>
      <w:r>
        <w:rPr>
          <w:b/>
          <w:bCs/>
          <w:sz w:val="24"/>
        </w:rPr>
        <w:t>1、定义</w:t>
      </w:r>
      <w:bookmarkEnd w:id="853"/>
    </w:p>
    <w:p w14:paraId="16D459F1">
      <w:pPr>
        <w:spacing w:line="360" w:lineRule="auto"/>
        <w:ind w:firstLine="480" w:firstLineChars="200"/>
        <w:rPr>
          <w:sz w:val="24"/>
        </w:rPr>
      </w:pPr>
      <w:r>
        <w:rPr>
          <w:sz w:val="24"/>
        </w:rPr>
        <w:t>本合同中的下列术语应解释为：</w:t>
      </w:r>
    </w:p>
    <w:p w14:paraId="6B8B262D">
      <w:pPr>
        <w:spacing w:line="360" w:lineRule="auto"/>
        <w:ind w:firstLine="480" w:firstLineChars="200"/>
        <w:rPr>
          <w:sz w:val="24"/>
        </w:rPr>
      </w:pPr>
      <w:r>
        <w:rPr>
          <w:sz w:val="24"/>
        </w:rPr>
        <w:t>1.1“合同”系指采购人与中标供应商签署的、合同格式中载明的采购人与中标供应商所达成的合同，包括所有的附件、附录和构成合同的其它文件。</w:t>
      </w:r>
    </w:p>
    <w:p w14:paraId="54446BF5">
      <w:pPr>
        <w:spacing w:line="360" w:lineRule="auto"/>
        <w:ind w:firstLine="480" w:firstLineChars="200"/>
        <w:rPr>
          <w:sz w:val="24"/>
          <w:u w:val="single"/>
        </w:rPr>
      </w:pPr>
      <w:r>
        <w:rPr>
          <w:sz w:val="24"/>
        </w:rPr>
        <w:t>1.2“服务”系指根据合同规定中标供应商承担的服务。</w:t>
      </w:r>
    </w:p>
    <w:p w14:paraId="5FEE6726">
      <w:pPr>
        <w:spacing w:line="360" w:lineRule="auto"/>
        <w:ind w:firstLine="480" w:firstLineChars="200"/>
        <w:rPr>
          <w:sz w:val="24"/>
        </w:rPr>
      </w:pPr>
      <w:r>
        <w:rPr>
          <w:sz w:val="24"/>
        </w:rPr>
        <w:t>1.3“采购人”系指与中标供应商签署采购合同的单位（含最终用户）</w:t>
      </w:r>
    </w:p>
    <w:p w14:paraId="57F81224">
      <w:pPr>
        <w:spacing w:line="360" w:lineRule="auto"/>
        <w:ind w:firstLine="480" w:firstLineChars="200"/>
        <w:rPr>
          <w:sz w:val="24"/>
          <w:u w:val="single"/>
        </w:rPr>
      </w:pPr>
      <w:r>
        <w:rPr>
          <w:sz w:val="24"/>
        </w:rPr>
        <w:t>1.4“中标供应商”系指</w:t>
      </w:r>
      <w:r>
        <w:rPr>
          <w:sz w:val="24"/>
          <w:u w:val="single"/>
        </w:rPr>
        <w:t>根据合同规定提供服务的中标供应商。</w:t>
      </w:r>
    </w:p>
    <w:p w14:paraId="62DCDA26">
      <w:pPr>
        <w:spacing w:line="360" w:lineRule="auto"/>
        <w:ind w:firstLine="480" w:firstLineChars="200"/>
        <w:rPr>
          <w:sz w:val="24"/>
        </w:rPr>
      </w:pPr>
      <w:r>
        <w:rPr>
          <w:sz w:val="24"/>
        </w:rPr>
        <w:t>1.5“招标代理机构”系</w:t>
      </w:r>
      <w:r>
        <w:rPr>
          <w:sz w:val="24"/>
          <w:u w:val="single"/>
        </w:rPr>
        <w:t>指</w:t>
      </w:r>
      <w:r>
        <w:rPr>
          <w:rFonts w:hint="eastAsia"/>
          <w:sz w:val="24"/>
          <w:u w:val="single"/>
        </w:rPr>
        <w:t>国信招标集团股份有限公司</w:t>
      </w:r>
      <w:r>
        <w:rPr>
          <w:sz w:val="24"/>
          <w:u w:val="single"/>
        </w:rPr>
        <w:t>。</w:t>
      </w:r>
    </w:p>
    <w:p w14:paraId="4DA9D34C">
      <w:pPr>
        <w:spacing w:line="360" w:lineRule="auto"/>
        <w:ind w:firstLine="480" w:firstLineChars="200"/>
        <w:rPr>
          <w:sz w:val="24"/>
        </w:rPr>
      </w:pPr>
      <w:r>
        <w:rPr>
          <w:sz w:val="24"/>
        </w:rPr>
        <w:t>1.6“现场”系指</w:t>
      </w:r>
      <w:r>
        <w:rPr>
          <w:sz w:val="24"/>
          <w:u w:val="single"/>
        </w:rPr>
        <w:t>合同项下服务的实施地点。</w:t>
      </w:r>
    </w:p>
    <w:p w14:paraId="071BEF3E">
      <w:pPr>
        <w:spacing w:line="360" w:lineRule="auto"/>
        <w:ind w:firstLine="480" w:firstLineChars="200"/>
        <w:rPr>
          <w:sz w:val="24"/>
          <w:u w:val="single"/>
        </w:rPr>
      </w:pPr>
      <w:r>
        <w:rPr>
          <w:sz w:val="24"/>
        </w:rPr>
        <w:t>1.7“验收”系指</w:t>
      </w:r>
      <w:r>
        <w:rPr>
          <w:sz w:val="24"/>
          <w:u w:val="single"/>
        </w:rPr>
        <w:t>合同双方依据规定的程序和条件确认合同项下的服务符合技术规范的要求。</w:t>
      </w:r>
    </w:p>
    <w:p w14:paraId="55B5CED3">
      <w:pPr>
        <w:spacing w:line="360" w:lineRule="auto"/>
        <w:rPr>
          <w:b/>
          <w:bCs/>
          <w:sz w:val="24"/>
        </w:rPr>
      </w:pPr>
      <w:r>
        <w:rPr>
          <w:b/>
          <w:bCs/>
          <w:sz w:val="24"/>
        </w:rPr>
        <w:t>2、技术规范</w:t>
      </w:r>
    </w:p>
    <w:p w14:paraId="3ACC626C">
      <w:pPr>
        <w:spacing w:line="360" w:lineRule="auto"/>
        <w:ind w:firstLine="480" w:firstLineChars="200"/>
        <w:rPr>
          <w:sz w:val="24"/>
        </w:rPr>
      </w:pPr>
      <w:r>
        <w:rPr>
          <w:sz w:val="24"/>
        </w:rPr>
        <w:t>2.1维护维修工作的技术要求应与招标文件规定的技术规范及附件相一致。</w:t>
      </w:r>
    </w:p>
    <w:p w14:paraId="4DE8A70B">
      <w:pPr>
        <w:spacing w:line="360" w:lineRule="auto"/>
        <w:ind w:firstLine="480" w:firstLineChars="200"/>
        <w:rPr>
          <w:sz w:val="24"/>
        </w:rPr>
      </w:pPr>
      <w:r>
        <w:rPr>
          <w:sz w:val="24"/>
        </w:rPr>
        <w:t>2.2 汛期设备监管包括通过网络平台检查监测设备状态是否正常和发现异常后在规定时限内进行维修。</w:t>
      </w:r>
    </w:p>
    <w:p w14:paraId="715D3AB8">
      <w:pPr>
        <w:spacing w:line="360" w:lineRule="auto"/>
        <w:ind w:firstLine="480" w:firstLineChars="200"/>
        <w:rPr>
          <w:sz w:val="24"/>
        </w:rPr>
      </w:pPr>
      <w:r>
        <w:rPr>
          <w:sz w:val="24"/>
        </w:rPr>
        <w:t>2.3维护工作须按照 “北京地灾” APP中维护任务的下发列表完成，并形成符合招标人要求的维护记录，维护后按工作阶段提交旬报、月报，重点阐述数据传输质量、设备状态、存在问题及解决方案。</w:t>
      </w:r>
    </w:p>
    <w:p w14:paraId="20A28A00">
      <w:pPr>
        <w:spacing w:line="360" w:lineRule="auto"/>
        <w:ind w:firstLine="480" w:firstLineChars="200"/>
        <w:rPr>
          <w:sz w:val="24"/>
        </w:rPr>
      </w:pPr>
      <w:r>
        <w:rPr>
          <w:sz w:val="24"/>
        </w:rPr>
        <w:t>2.4设备维护工作以野外设备正常运行，监测数据正常传输至招标人的地质灾害监测预警系统中，且上线率达到90%，为考核合格依据。</w:t>
      </w:r>
    </w:p>
    <w:p w14:paraId="1694DDDF">
      <w:pPr>
        <w:spacing w:line="360" w:lineRule="auto"/>
        <w:ind w:firstLine="480" w:firstLineChars="200"/>
        <w:rPr>
          <w:sz w:val="24"/>
        </w:rPr>
      </w:pPr>
      <w:r>
        <w:rPr>
          <w:sz w:val="24"/>
        </w:rPr>
        <w:t>2.5每个监测设备均须提交设备维护路线轨迹；维护完成后，需拍摄设备照片，并按设备位置名称命名分类存档。</w:t>
      </w:r>
    </w:p>
    <w:p w14:paraId="68106C81">
      <w:pPr>
        <w:spacing w:line="360" w:lineRule="auto"/>
        <w:ind w:firstLine="480" w:firstLineChars="200"/>
        <w:rPr>
          <w:sz w:val="24"/>
        </w:rPr>
      </w:pPr>
      <w:r>
        <w:rPr>
          <w:sz w:val="24"/>
        </w:rPr>
        <w:t>2.6中标人在各维护行政区内应分别安排维修负责人，以保证监测设备维修工作能够快速、有效的开展，并在规定时间内完成维修并填写相关记录。</w:t>
      </w:r>
    </w:p>
    <w:p w14:paraId="591F8F6A">
      <w:pPr>
        <w:spacing w:line="360" w:lineRule="auto"/>
        <w:ind w:firstLine="480" w:firstLineChars="200"/>
        <w:rPr>
          <w:sz w:val="24"/>
        </w:rPr>
      </w:pPr>
      <w:r>
        <w:rPr>
          <w:sz w:val="24"/>
        </w:rPr>
        <w:t>2.7须安排一名专职工作人员于每日定时检查监测系统设备运行情况，发现设备故障及时维修，做好每日系统运行及设备维修记录，以确保监测系统全年正常运行，系统运行记录及设备维修记录均应提供纸质原始文件。</w:t>
      </w:r>
    </w:p>
    <w:p w14:paraId="2ACDCDB2">
      <w:pPr>
        <w:spacing w:line="360" w:lineRule="auto"/>
        <w:ind w:firstLine="480" w:firstLineChars="200"/>
        <w:rPr>
          <w:sz w:val="24"/>
        </w:rPr>
      </w:pPr>
      <w:r>
        <w:rPr>
          <w:sz w:val="24"/>
        </w:rPr>
        <w:t>2.8中标人提前准备本包所涉及各种类型设备配件的初始易损易耗配件备件，中标人的投标报价中须包含完成上述工作所需的采购、安装、人工、利润、税金等全部费用（采购人有权根据实际维护情况要求设备变更，要求中标公司提供价值相当的备品备件）。</w:t>
      </w:r>
    </w:p>
    <w:p w14:paraId="3458E6A1">
      <w:pPr>
        <w:spacing w:line="360" w:lineRule="auto"/>
        <w:ind w:firstLine="480" w:firstLineChars="200"/>
        <w:rPr>
          <w:sz w:val="24"/>
        </w:rPr>
      </w:pPr>
      <w:r>
        <w:rPr>
          <w:sz w:val="24"/>
        </w:rPr>
        <w:t>2.9 按招标文件要求在规定时间内提交相应维护维修成果。</w:t>
      </w:r>
    </w:p>
    <w:p w14:paraId="51947478">
      <w:pPr>
        <w:numPr>
          <w:ilvl w:val="0"/>
          <w:numId w:val="24"/>
        </w:numPr>
        <w:spacing w:line="360" w:lineRule="auto"/>
        <w:rPr>
          <w:b/>
          <w:bCs/>
          <w:sz w:val="24"/>
        </w:rPr>
      </w:pPr>
      <w:r>
        <w:rPr>
          <w:b/>
          <w:bCs/>
          <w:sz w:val="24"/>
        </w:rPr>
        <w:t>服务内容</w:t>
      </w:r>
    </w:p>
    <w:p w14:paraId="47451275">
      <w:pPr>
        <w:spacing w:line="360" w:lineRule="auto"/>
        <w:ind w:firstLine="480" w:firstLineChars="200"/>
        <w:rPr>
          <w:sz w:val="24"/>
        </w:rPr>
      </w:pPr>
      <w:r>
        <w:rPr>
          <w:sz w:val="24"/>
        </w:rPr>
        <w:t>详见合同书中规定。</w:t>
      </w:r>
    </w:p>
    <w:p w14:paraId="3FE1FDCD">
      <w:pPr>
        <w:spacing w:line="360" w:lineRule="auto"/>
        <w:rPr>
          <w:b/>
          <w:bCs/>
          <w:sz w:val="24"/>
        </w:rPr>
      </w:pPr>
      <w:r>
        <w:rPr>
          <w:b/>
          <w:bCs/>
          <w:sz w:val="24"/>
        </w:rPr>
        <w:t>4、提供服务期限、地点</w:t>
      </w:r>
    </w:p>
    <w:p w14:paraId="5BD27F82">
      <w:pPr>
        <w:spacing w:line="360" w:lineRule="auto"/>
        <w:ind w:firstLine="480" w:firstLineChars="200"/>
        <w:rPr>
          <w:bCs/>
          <w:sz w:val="24"/>
        </w:rPr>
      </w:pPr>
      <w:r>
        <w:rPr>
          <w:sz w:val="24"/>
        </w:rPr>
        <w:t xml:space="preserve">详见合同书中规定。                    </w:t>
      </w:r>
    </w:p>
    <w:p w14:paraId="3572767E">
      <w:pPr>
        <w:spacing w:line="360" w:lineRule="auto"/>
        <w:rPr>
          <w:b/>
          <w:bCs/>
          <w:sz w:val="24"/>
        </w:rPr>
      </w:pPr>
      <w:bookmarkStart w:id="857" w:name="_Toc96998522"/>
      <w:r>
        <w:rPr>
          <w:b/>
          <w:bCs/>
          <w:sz w:val="24"/>
        </w:rPr>
        <w:t>5、付款方式</w:t>
      </w:r>
      <w:bookmarkEnd w:id="857"/>
      <w:bookmarkStart w:id="858" w:name="_Toc96998524"/>
    </w:p>
    <w:bookmarkEnd w:id="858"/>
    <w:p w14:paraId="03389891">
      <w:pPr>
        <w:spacing w:before="120" w:line="360" w:lineRule="auto"/>
        <w:ind w:left="1020" w:leftChars="200" w:hanging="600" w:hangingChars="250"/>
        <w:rPr>
          <w:sz w:val="24"/>
        </w:rPr>
      </w:pPr>
      <w:bookmarkStart w:id="859" w:name="_Toc96998526"/>
      <w:r>
        <w:rPr>
          <w:sz w:val="24"/>
        </w:rPr>
        <w:t>付款条件详见合同书中规定。</w:t>
      </w:r>
    </w:p>
    <w:p w14:paraId="2D41AF85">
      <w:pPr>
        <w:spacing w:line="360" w:lineRule="auto"/>
        <w:rPr>
          <w:b/>
          <w:bCs/>
          <w:sz w:val="24"/>
        </w:rPr>
      </w:pPr>
      <w:r>
        <w:rPr>
          <w:b/>
          <w:bCs/>
          <w:sz w:val="24"/>
        </w:rPr>
        <w:t>6、索赔</w:t>
      </w:r>
      <w:bookmarkEnd w:id="859"/>
    </w:p>
    <w:p w14:paraId="4BF747AD">
      <w:pPr>
        <w:spacing w:line="360" w:lineRule="auto"/>
        <w:ind w:firstLine="480" w:firstLineChars="200"/>
        <w:rPr>
          <w:sz w:val="24"/>
        </w:rPr>
      </w:pPr>
      <w:r>
        <w:rPr>
          <w:sz w:val="24"/>
        </w:rPr>
        <w:t>如果中标供应商提供的服务质量与合同不符，采购人有权根据合同约定向中标供应商提出索赔。</w:t>
      </w:r>
    </w:p>
    <w:p w14:paraId="688597D4">
      <w:pPr>
        <w:spacing w:line="360" w:lineRule="auto"/>
        <w:rPr>
          <w:b/>
          <w:bCs/>
          <w:sz w:val="24"/>
        </w:rPr>
      </w:pPr>
      <w:bookmarkStart w:id="860" w:name="_Toc96998527"/>
      <w:r>
        <w:rPr>
          <w:b/>
          <w:bCs/>
          <w:sz w:val="24"/>
        </w:rPr>
        <w:t>7、延期提供</w:t>
      </w:r>
      <w:bookmarkEnd w:id="860"/>
      <w:r>
        <w:rPr>
          <w:b/>
          <w:bCs/>
          <w:sz w:val="24"/>
        </w:rPr>
        <w:t>服务</w:t>
      </w:r>
    </w:p>
    <w:p w14:paraId="681E9401">
      <w:pPr>
        <w:spacing w:line="360" w:lineRule="auto"/>
        <w:ind w:firstLine="480" w:firstLineChars="200"/>
        <w:rPr>
          <w:sz w:val="24"/>
        </w:rPr>
      </w:pPr>
      <w:r>
        <w:rPr>
          <w:sz w:val="24"/>
        </w:rPr>
        <w:t>7.1中标供应商应按照合同中规定的条款提供服务。</w:t>
      </w:r>
    </w:p>
    <w:p w14:paraId="7820CB18">
      <w:pPr>
        <w:spacing w:line="360" w:lineRule="auto"/>
        <w:ind w:firstLine="480" w:firstLineChars="200"/>
        <w:rPr>
          <w:sz w:val="24"/>
        </w:rPr>
      </w:pPr>
      <w:r>
        <w:rPr>
          <w:sz w:val="24"/>
        </w:rPr>
        <w:t>7.2如果中标供应商延迟交货和/或提供服务并影响采购方正常履行合同的的，采购人可采取以下制裁: 收取违约金、赔偿金，直至解除合同。</w:t>
      </w:r>
    </w:p>
    <w:p w14:paraId="1D1C44AB">
      <w:pPr>
        <w:spacing w:line="360" w:lineRule="auto"/>
        <w:rPr>
          <w:b/>
          <w:bCs/>
          <w:sz w:val="24"/>
        </w:rPr>
      </w:pPr>
      <w:bookmarkStart w:id="861" w:name="_Toc96998528"/>
      <w:r>
        <w:rPr>
          <w:b/>
          <w:sz w:val="24"/>
        </w:rPr>
        <w:t>8</w:t>
      </w:r>
      <w:r>
        <w:rPr>
          <w:b/>
          <w:bCs/>
          <w:sz w:val="24"/>
        </w:rPr>
        <w:t>、违约赔偿</w:t>
      </w:r>
      <w:bookmarkEnd w:id="861"/>
    </w:p>
    <w:p w14:paraId="60830BCB">
      <w:pPr>
        <w:spacing w:line="360" w:lineRule="auto"/>
        <w:ind w:firstLine="480" w:firstLineChars="200"/>
        <w:rPr>
          <w:sz w:val="24"/>
        </w:rPr>
      </w:pPr>
      <w:r>
        <w:rPr>
          <w:sz w:val="24"/>
        </w:rPr>
        <w:t>如果中标供应商没有</w:t>
      </w:r>
      <w:bookmarkStart w:id="862" w:name="_Toc96998529"/>
      <w:r>
        <w:rPr>
          <w:sz w:val="24"/>
        </w:rPr>
        <w:t>按照合同规定的时间交货或提供服务，采购人可从应付款项中先行扣除违约金。违约金的计算标准为中标供应商每迟提供服务一天，按延迟提供服务的价格的1%计收。如果违约金不足以弥补甲方损失的，采购人有权要求中标供应商支付赔偿金，补足违约金不足部分。如果中标供应商在超过</w:t>
      </w:r>
      <w:r>
        <w:rPr>
          <w:b/>
          <w:sz w:val="24"/>
        </w:rPr>
        <w:t>7</w:t>
      </w:r>
      <w:r>
        <w:rPr>
          <w:sz w:val="24"/>
        </w:rPr>
        <w:t>天后仍不能交货和/或提供服务，采购人有权单方解除合同。</w:t>
      </w:r>
    </w:p>
    <w:p w14:paraId="1E684304">
      <w:pPr>
        <w:spacing w:line="360" w:lineRule="auto"/>
        <w:rPr>
          <w:b/>
          <w:bCs/>
          <w:sz w:val="24"/>
        </w:rPr>
      </w:pPr>
      <w:r>
        <w:rPr>
          <w:b/>
          <w:bCs/>
          <w:sz w:val="24"/>
        </w:rPr>
        <w:t>9、验收</w:t>
      </w:r>
    </w:p>
    <w:p w14:paraId="20DFA2E2">
      <w:pPr>
        <w:spacing w:line="360" w:lineRule="auto"/>
        <w:ind w:firstLine="480" w:firstLineChars="200"/>
        <w:rPr>
          <w:sz w:val="24"/>
        </w:rPr>
      </w:pPr>
      <w:r>
        <w:rPr>
          <w:sz w:val="24"/>
        </w:rPr>
        <w:t xml:space="preserve">由采购方进行数据精度检查和接收。   </w:t>
      </w:r>
    </w:p>
    <w:p w14:paraId="3E7874F2">
      <w:pPr>
        <w:spacing w:line="360" w:lineRule="auto"/>
        <w:rPr>
          <w:b/>
          <w:bCs/>
          <w:sz w:val="24"/>
        </w:rPr>
      </w:pPr>
      <w:r>
        <w:rPr>
          <w:b/>
          <w:bCs/>
          <w:sz w:val="24"/>
        </w:rPr>
        <w:t>10、不可抗力</w:t>
      </w:r>
      <w:bookmarkEnd w:id="862"/>
    </w:p>
    <w:p w14:paraId="2E2B2E46">
      <w:pPr>
        <w:spacing w:line="360" w:lineRule="auto"/>
        <w:ind w:firstLine="480" w:firstLineChars="200"/>
        <w:rPr>
          <w:sz w:val="24"/>
        </w:rPr>
      </w:pPr>
      <w:r>
        <w:rPr>
          <w:sz w:val="24"/>
        </w:rPr>
        <w:t>10.1如果双方中任何一方由于战争、严重火灾、水灾、台风和地震以及其它经双方同意属于不可抗力的事故，致使合同履行受阻时，履行合同的期限应予延长，延长的期限应相当于事故所影响的时间。</w:t>
      </w:r>
    </w:p>
    <w:p w14:paraId="499AFC69">
      <w:pPr>
        <w:spacing w:line="360" w:lineRule="auto"/>
        <w:ind w:firstLine="480" w:firstLineChars="200"/>
        <w:rPr>
          <w:sz w:val="24"/>
        </w:rPr>
      </w:pPr>
      <w:r>
        <w:rPr>
          <w:sz w:val="24"/>
        </w:rPr>
        <w:t>10.2 受事故影响的一方应在不可抗力的事故发生后尽快以书面形式通知另一方，并在事故发生后14天内，将有关部门出具的证明文件用挂号信航寄给或送给另一方。</w:t>
      </w:r>
    </w:p>
    <w:p w14:paraId="59D21ED6">
      <w:pPr>
        <w:spacing w:line="360" w:lineRule="auto"/>
        <w:ind w:firstLine="480" w:firstLineChars="200"/>
        <w:rPr>
          <w:sz w:val="24"/>
        </w:rPr>
      </w:pPr>
      <w:r>
        <w:rPr>
          <w:sz w:val="24"/>
        </w:rPr>
        <w:t>10.3因不可抗力不能履行合同的，根据不可抗力的影响，当事人双方部分或全部免除责任，但法律另有规定的除外。当事人延迟履行合同后发生不可抗力的，不能免除责任。</w:t>
      </w:r>
    </w:p>
    <w:p w14:paraId="6CF5D7A6">
      <w:pPr>
        <w:spacing w:line="360" w:lineRule="auto"/>
        <w:rPr>
          <w:b/>
          <w:bCs/>
          <w:sz w:val="24"/>
        </w:rPr>
      </w:pPr>
      <w:bookmarkStart w:id="863" w:name="_Toc96998530"/>
      <w:r>
        <w:rPr>
          <w:b/>
          <w:bCs/>
          <w:sz w:val="24"/>
        </w:rPr>
        <w:t>11、税费</w:t>
      </w:r>
      <w:bookmarkEnd w:id="863"/>
    </w:p>
    <w:p w14:paraId="2E5EE854">
      <w:pPr>
        <w:spacing w:line="360" w:lineRule="auto"/>
        <w:ind w:firstLine="480" w:firstLineChars="200"/>
        <w:rPr>
          <w:sz w:val="24"/>
        </w:rPr>
      </w:pPr>
      <w:r>
        <w:rPr>
          <w:sz w:val="24"/>
        </w:rPr>
        <w:t>与本合同有关的一切税费均适用中华人民共和国法律的相关规定。采购人与中标供应商按照中华人民共和国相关法律的规定各自承担其依法应承担的签订、履行本合同所需缴纳的税费。本合同价格为含税价格。</w:t>
      </w:r>
    </w:p>
    <w:p w14:paraId="0A039D16">
      <w:pPr>
        <w:spacing w:line="360" w:lineRule="auto"/>
        <w:rPr>
          <w:b/>
          <w:bCs/>
          <w:sz w:val="24"/>
        </w:rPr>
      </w:pPr>
      <w:bookmarkStart w:id="864" w:name="_Toc96998531"/>
      <w:r>
        <w:rPr>
          <w:b/>
          <w:bCs/>
          <w:sz w:val="24"/>
        </w:rPr>
        <w:t>12、履约保证金</w:t>
      </w:r>
      <w:bookmarkEnd w:id="864"/>
    </w:p>
    <w:p w14:paraId="47ADFBCE">
      <w:pPr>
        <w:tabs>
          <w:tab w:val="left" w:pos="0"/>
        </w:tabs>
        <w:spacing w:line="360" w:lineRule="auto"/>
        <w:ind w:left="-105" w:leftChars="-50" w:firstLine="480" w:firstLineChars="200"/>
        <w:rPr>
          <w:sz w:val="24"/>
        </w:rPr>
      </w:pPr>
      <w:bookmarkStart w:id="865" w:name="_Toc96998532"/>
      <w:r>
        <w:rPr>
          <w:sz w:val="24"/>
        </w:rPr>
        <w:t>12.1 履约保证金应当使用本合同指定货币，具体规定详见合同书中规定。</w:t>
      </w:r>
    </w:p>
    <w:p w14:paraId="78A1EB1E">
      <w:pPr>
        <w:tabs>
          <w:tab w:val="left" w:pos="0"/>
        </w:tabs>
        <w:spacing w:line="360" w:lineRule="auto"/>
        <w:ind w:left="-105" w:leftChars="-50" w:firstLine="480" w:firstLineChars="200"/>
        <w:rPr>
          <w:sz w:val="24"/>
        </w:rPr>
      </w:pPr>
      <w:r>
        <w:rPr>
          <w:sz w:val="24"/>
        </w:rPr>
        <w:t>12.2 履约保证金用于补偿采购人因中标供应商不能履行其合同义务而蒙受的损失。</w:t>
      </w:r>
    </w:p>
    <w:p w14:paraId="76C5E391">
      <w:pPr>
        <w:tabs>
          <w:tab w:val="left" w:pos="0"/>
        </w:tabs>
        <w:spacing w:line="360" w:lineRule="auto"/>
        <w:ind w:left="-105" w:leftChars="-50" w:firstLine="480" w:firstLineChars="200"/>
        <w:rPr>
          <w:sz w:val="24"/>
        </w:rPr>
      </w:pPr>
      <w:r>
        <w:rPr>
          <w:sz w:val="24"/>
        </w:rPr>
        <w:t>12.3 履约保证金在服务期满前完全有效。</w:t>
      </w:r>
    </w:p>
    <w:p w14:paraId="20B833AE">
      <w:pPr>
        <w:tabs>
          <w:tab w:val="left" w:pos="0"/>
        </w:tabs>
        <w:spacing w:line="360" w:lineRule="auto"/>
        <w:ind w:left="-105" w:leftChars="-50" w:firstLine="480" w:firstLineChars="200"/>
        <w:rPr>
          <w:sz w:val="24"/>
        </w:rPr>
      </w:pPr>
      <w:r>
        <w:rPr>
          <w:sz w:val="24"/>
        </w:rPr>
        <w:t>12.4 如果中标供应商未能按合同规定履行其义务，采购人有权从履约保证金中取得补偿。服务期结束后30天内，采购人将把履约保证金的剩余部分退还中标供应商。</w:t>
      </w:r>
    </w:p>
    <w:p w14:paraId="55A35361">
      <w:pPr>
        <w:spacing w:line="360" w:lineRule="auto"/>
        <w:rPr>
          <w:b/>
          <w:bCs/>
          <w:sz w:val="24"/>
        </w:rPr>
      </w:pPr>
      <w:r>
        <w:rPr>
          <w:b/>
          <w:bCs/>
          <w:sz w:val="24"/>
        </w:rPr>
        <w:t>13、合同争议的解决</w:t>
      </w:r>
      <w:bookmarkEnd w:id="865"/>
    </w:p>
    <w:p w14:paraId="75C2A0C7">
      <w:pPr>
        <w:spacing w:line="360" w:lineRule="auto"/>
        <w:ind w:firstLine="480" w:firstLineChars="200"/>
        <w:rPr>
          <w:sz w:val="24"/>
        </w:rPr>
      </w:pPr>
      <w:r>
        <w:rPr>
          <w:sz w:val="24"/>
        </w:rPr>
        <w:t>采购人、中标供应商双方应通过友好协商， 解决在执行合同中所发生的或与本合同有关的一切争端，如果协商仍得不到解决，双方同意向采购人所在地的人民法院起诉解决。</w:t>
      </w:r>
    </w:p>
    <w:p w14:paraId="469EEBC0">
      <w:pPr>
        <w:spacing w:line="360" w:lineRule="auto"/>
        <w:rPr>
          <w:b/>
          <w:bCs/>
          <w:sz w:val="24"/>
        </w:rPr>
      </w:pPr>
      <w:bookmarkStart w:id="866" w:name="_Toc96998533"/>
      <w:r>
        <w:rPr>
          <w:b/>
          <w:bCs/>
          <w:sz w:val="24"/>
        </w:rPr>
        <w:t>14、</w:t>
      </w:r>
      <w:bookmarkEnd w:id="866"/>
      <w:r>
        <w:rPr>
          <w:b/>
          <w:bCs/>
          <w:sz w:val="24"/>
        </w:rPr>
        <w:t>合同变更和终止</w:t>
      </w:r>
    </w:p>
    <w:p w14:paraId="59C70F86">
      <w:pPr>
        <w:spacing w:line="360" w:lineRule="auto"/>
        <w:ind w:firstLine="480" w:firstLineChars="200"/>
        <w:rPr>
          <w:sz w:val="24"/>
        </w:rPr>
      </w:pPr>
      <w:r>
        <w:rPr>
          <w:sz w:val="24"/>
        </w:rPr>
        <w:t>14.1在本合同有效期内，如合同与其生效后新颁布的有关法律、法规、政策规定不符，由甲、乙双方协商变更，如能协商一致，按照符合新颁法律、法规、政策规定拟定补充合同执行；如不能达成一致，本合同解除。合同解除后，尚未发生的业务，停止履行。</w:t>
      </w:r>
    </w:p>
    <w:p w14:paraId="44AB5B4D">
      <w:pPr>
        <w:spacing w:line="360" w:lineRule="auto"/>
        <w:ind w:firstLine="480" w:firstLineChars="200"/>
        <w:rPr>
          <w:sz w:val="24"/>
        </w:rPr>
      </w:pPr>
      <w:r>
        <w:rPr>
          <w:sz w:val="24"/>
        </w:rPr>
        <w:t>14.2 在中标供应商违约的情况下，采购人可向中标供应商发出书面通知，部分或全部终止合同。同时保留向中标供应商追诉的权利。</w:t>
      </w:r>
    </w:p>
    <w:p w14:paraId="7CDA67B8">
      <w:pPr>
        <w:spacing w:line="360" w:lineRule="auto"/>
        <w:ind w:firstLine="480" w:firstLineChars="200"/>
        <w:rPr>
          <w:sz w:val="24"/>
        </w:rPr>
      </w:pPr>
      <w:r>
        <w:rPr>
          <w:sz w:val="24"/>
        </w:rPr>
        <w:t xml:space="preserve">14.2.1中标供应商未能在合同规定的限期或采购人同意延长的限期内提供全部或部分服务, 合同解除； </w:t>
      </w:r>
    </w:p>
    <w:p w14:paraId="61C9FA5F">
      <w:pPr>
        <w:spacing w:line="360" w:lineRule="auto"/>
        <w:ind w:firstLine="480" w:firstLineChars="200"/>
        <w:rPr>
          <w:sz w:val="24"/>
        </w:rPr>
      </w:pPr>
      <w:r>
        <w:rPr>
          <w:sz w:val="24"/>
        </w:rPr>
        <w:t>14.2.2中标供应商未能履行合同规定的其它主要义务的；</w:t>
      </w:r>
    </w:p>
    <w:p w14:paraId="1C970A85">
      <w:pPr>
        <w:spacing w:line="360" w:lineRule="auto"/>
        <w:ind w:firstLine="480" w:firstLineChars="200"/>
        <w:rPr>
          <w:sz w:val="24"/>
        </w:rPr>
      </w:pPr>
      <w:r>
        <w:rPr>
          <w:sz w:val="24"/>
        </w:rPr>
        <w:t>14.2.3在本合同履行过程中有腐败和欺诈行为的。</w:t>
      </w:r>
    </w:p>
    <w:p w14:paraId="697B5B64">
      <w:pPr>
        <w:spacing w:line="360" w:lineRule="auto"/>
        <w:ind w:firstLine="480" w:firstLineChars="200"/>
        <w:rPr>
          <w:sz w:val="24"/>
        </w:rPr>
      </w:pPr>
      <w:r>
        <w:rPr>
          <w:sz w:val="24"/>
        </w:rPr>
        <w:t>14.2.3.1“腐败行为”和“欺诈行为”定义如下:</w:t>
      </w:r>
    </w:p>
    <w:p w14:paraId="3C6E0BAE">
      <w:pPr>
        <w:spacing w:line="360" w:lineRule="auto"/>
        <w:ind w:firstLine="480" w:firstLineChars="200"/>
        <w:rPr>
          <w:sz w:val="24"/>
        </w:rPr>
      </w:pPr>
      <w:r>
        <w:rPr>
          <w:sz w:val="24"/>
        </w:rPr>
        <w:t>14.2.3.1.1“腐败行为”是指提供/给予/接受或索取任何有价值的东西来影响甲方在合同签订、履行过程中的行为。</w:t>
      </w:r>
    </w:p>
    <w:p w14:paraId="64C2F1D1">
      <w:pPr>
        <w:spacing w:line="360" w:lineRule="auto"/>
        <w:ind w:firstLine="480" w:firstLineChars="200"/>
        <w:rPr>
          <w:sz w:val="24"/>
        </w:rPr>
      </w:pPr>
      <w:r>
        <w:rPr>
          <w:sz w:val="24"/>
        </w:rPr>
        <w:t>14.2.3.1.2“欺诈行为”是指为了影响合同签订、履行过程，以谎报事实的方法，损害采购人的利益的行为。</w:t>
      </w:r>
    </w:p>
    <w:p w14:paraId="25C3D670">
      <w:pPr>
        <w:spacing w:line="360" w:lineRule="auto"/>
        <w:ind w:firstLine="480" w:firstLineChars="200"/>
        <w:rPr>
          <w:sz w:val="24"/>
        </w:rPr>
      </w:pPr>
      <w:r>
        <w:rPr>
          <w:sz w:val="24"/>
        </w:rPr>
        <w:t>14.3合同履行期间，如因中标供应商违反相关规定及本合同约定，采购人终止合同履行的，采购人需以书面形式通知中标供应商，通知送达中标供应商后本合同解除；合同解除前，本合同继续有效。</w:t>
      </w:r>
    </w:p>
    <w:p w14:paraId="650655A9">
      <w:pPr>
        <w:spacing w:line="360" w:lineRule="auto"/>
        <w:ind w:firstLine="480" w:firstLineChars="200"/>
        <w:rPr>
          <w:sz w:val="24"/>
        </w:rPr>
      </w:pPr>
      <w:r>
        <w:rPr>
          <w:sz w:val="24"/>
        </w:rPr>
        <w:t>14.4本合同终止后，需求与中标双方应对合同期间发生的应尽未尽事项负责结清，有关保密义务的条款对双方仍然有效。</w:t>
      </w:r>
    </w:p>
    <w:p w14:paraId="3F111F78">
      <w:pPr>
        <w:spacing w:line="360" w:lineRule="auto"/>
        <w:rPr>
          <w:b/>
          <w:bCs/>
          <w:sz w:val="24"/>
        </w:rPr>
      </w:pPr>
      <w:bookmarkStart w:id="867" w:name="_Toc96998534"/>
      <w:r>
        <w:rPr>
          <w:b/>
          <w:bCs/>
          <w:sz w:val="24"/>
        </w:rPr>
        <w:t>15、破产终止</w:t>
      </w:r>
      <w:bookmarkEnd w:id="867"/>
      <w:r>
        <w:rPr>
          <w:b/>
          <w:bCs/>
          <w:sz w:val="24"/>
        </w:rPr>
        <w:t>合同</w:t>
      </w:r>
    </w:p>
    <w:p w14:paraId="0EF107BA">
      <w:pPr>
        <w:spacing w:line="360" w:lineRule="auto"/>
        <w:ind w:firstLine="480" w:firstLineChars="200"/>
        <w:rPr>
          <w:sz w:val="24"/>
        </w:rPr>
      </w:pPr>
      <w:r>
        <w:rPr>
          <w:sz w:val="24"/>
        </w:rPr>
        <w:t>如果中标供应商因破产、清算、注销、被吊销营业执照、停业等原因导致合同无法履行时，采购人可以书面形式通知中标供应商，单方解除合同而不给中标供应商补偿，但采购人必须以书面形式告知同级政府采购监督管理部门。该合同的解除将不损害或不影响采购人已经采取或将要采取的任何行动或补救措施的权利。</w:t>
      </w:r>
    </w:p>
    <w:p w14:paraId="4FC228D6">
      <w:pPr>
        <w:spacing w:line="360" w:lineRule="auto"/>
        <w:rPr>
          <w:b/>
          <w:bCs/>
          <w:sz w:val="24"/>
        </w:rPr>
      </w:pPr>
      <w:bookmarkStart w:id="868" w:name="_Toc96998535"/>
      <w:r>
        <w:rPr>
          <w:b/>
          <w:bCs/>
          <w:sz w:val="24"/>
        </w:rPr>
        <w:t>16、转让和分包</w:t>
      </w:r>
      <w:bookmarkEnd w:id="868"/>
    </w:p>
    <w:p w14:paraId="66A57168">
      <w:pPr>
        <w:spacing w:line="360" w:lineRule="auto"/>
        <w:ind w:firstLine="480" w:firstLineChars="200"/>
        <w:rPr>
          <w:sz w:val="24"/>
        </w:rPr>
      </w:pPr>
      <w:r>
        <w:rPr>
          <w:sz w:val="24"/>
        </w:rPr>
        <w:t>未经采购人事先书面同意，中标供应商不得部分转让或全部转让其所享有的合同权利或应履行的合同义务。并且，未经采购人事先书面同意，中标供应商不得将本合同项目中实质性内容分包给其他第三方完成。否则，中标供应商应当向采购人支付合同总金额20%的违约金，并且，于此情形下，采购人还有权解除合同。</w:t>
      </w:r>
    </w:p>
    <w:p w14:paraId="73FC908C">
      <w:pPr>
        <w:spacing w:line="360" w:lineRule="auto"/>
        <w:rPr>
          <w:b/>
          <w:bCs/>
          <w:sz w:val="24"/>
        </w:rPr>
      </w:pPr>
      <w:bookmarkStart w:id="869" w:name="_Toc96998536"/>
      <w:r>
        <w:rPr>
          <w:b/>
          <w:bCs/>
          <w:sz w:val="24"/>
        </w:rPr>
        <w:t>17、合同修改</w:t>
      </w:r>
      <w:bookmarkEnd w:id="869"/>
    </w:p>
    <w:p w14:paraId="3B424F09">
      <w:pPr>
        <w:spacing w:line="360" w:lineRule="auto"/>
        <w:ind w:firstLine="480" w:firstLineChars="200"/>
        <w:rPr>
          <w:sz w:val="24"/>
        </w:rPr>
      </w:pPr>
      <w:r>
        <w:rPr>
          <w:sz w:val="24"/>
        </w:rPr>
        <w:t>欲对合同条款进行任何改动，均须由采购人、中标供应商签署书面的合同修改书。</w:t>
      </w:r>
    </w:p>
    <w:p w14:paraId="79DECFA0">
      <w:pPr>
        <w:spacing w:line="360" w:lineRule="auto"/>
        <w:rPr>
          <w:b/>
          <w:bCs/>
          <w:sz w:val="24"/>
        </w:rPr>
      </w:pPr>
      <w:bookmarkStart w:id="870" w:name="_Toc96998537"/>
      <w:r>
        <w:rPr>
          <w:b/>
          <w:bCs/>
          <w:sz w:val="24"/>
        </w:rPr>
        <w:t>18、通知</w:t>
      </w:r>
      <w:bookmarkEnd w:id="870"/>
    </w:p>
    <w:p w14:paraId="73D038A3">
      <w:pPr>
        <w:spacing w:line="360" w:lineRule="auto"/>
        <w:ind w:firstLine="480" w:firstLineChars="200"/>
        <w:rPr>
          <w:sz w:val="24"/>
        </w:rPr>
      </w:pPr>
      <w:r>
        <w:rPr>
          <w:sz w:val="24"/>
        </w:rPr>
        <w:t>本合同任何一方给另一方的通知，都应以书面或传真的形式发送，而另一方应以书面形式确认并发送到对方明确的地址。</w:t>
      </w:r>
    </w:p>
    <w:p w14:paraId="1619CDD0">
      <w:pPr>
        <w:spacing w:line="360" w:lineRule="auto"/>
        <w:rPr>
          <w:b/>
          <w:bCs/>
          <w:sz w:val="24"/>
        </w:rPr>
      </w:pPr>
      <w:bookmarkStart w:id="871" w:name="_Toc96998539"/>
      <w:r>
        <w:rPr>
          <w:b/>
          <w:bCs/>
          <w:sz w:val="24"/>
        </w:rPr>
        <w:t>19、知识产权条款</w:t>
      </w:r>
    </w:p>
    <w:p w14:paraId="76F95D21">
      <w:pPr>
        <w:spacing w:line="360" w:lineRule="auto"/>
        <w:ind w:firstLine="480" w:firstLineChars="200"/>
        <w:rPr>
          <w:sz w:val="24"/>
        </w:rPr>
      </w:pPr>
      <w:r>
        <w:rPr>
          <w:sz w:val="24"/>
        </w:rPr>
        <w:t>19.1本项目成果的知识产权为采购人所有。未经采购人的许可，中标供应商不得向第三方转让、传播、销售。否则，中标供应商应当向采购人支付合同总金额20%的违约金。</w:t>
      </w:r>
    </w:p>
    <w:p w14:paraId="5776C082">
      <w:pPr>
        <w:spacing w:line="360" w:lineRule="auto"/>
        <w:ind w:firstLine="480" w:firstLineChars="200"/>
        <w:rPr>
          <w:sz w:val="24"/>
        </w:rPr>
      </w:pPr>
      <w:r>
        <w:rPr>
          <w:sz w:val="24"/>
        </w:rPr>
        <w:t>19.2中标供应商应保证采购人在使用该项目成果时免受任何第三方提出的侵犯著作权、专利权或其他知识产权的诉讼或指控。如果任何第三方提起基于知识产权的侵权诉讼，将由中标供应商负责处理并承担相关的一切法律责任和费用；由此给采购人造成的任何损失，中标供应商应负责赔偿。</w:t>
      </w:r>
    </w:p>
    <w:p w14:paraId="01C42F72">
      <w:pPr>
        <w:spacing w:line="360" w:lineRule="auto"/>
        <w:rPr>
          <w:b/>
          <w:bCs/>
          <w:sz w:val="24"/>
        </w:rPr>
      </w:pPr>
      <w:r>
        <w:rPr>
          <w:b/>
          <w:bCs/>
          <w:sz w:val="24"/>
        </w:rPr>
        <w:t>20、技术情报和资料的保密</w:t>
      </w:r>
    </w:p>
    <w:p w14:paraId="5E5CD153">
      <w:pPr>
        <w:spacing w:line="360" w:lineRule="auto"/>
        <w:ind w:firstLine="480" w:firstLineChars="200"/>
        <w:rPr>
          <w:bCs/>
          <w:sz w:val="24"/>
        </w:rPr>
      </w:pPr>
      <w:r>
        <w:rPr>
          <w:bCs/>
          <w:sz w:val="24"/>
        </w:rPr>
        <w:t>中标供应商应对合同执行过程中的技术情报及资料履行保密义务。</w:t>
      </w:r>
    </w:p>
    <w:p w14:paraId="29D73DBD">
      <w:pPr>
        <w:spacing w:line="360" w:lineRule="auto"/>
        <w:rPr>
          <w:b/>
          <w:bCs/>
          <w:sz w:val="24"/>
        </w:rPr>
      </w:pPr>
      <w:r>
        <w:rPr>
          <w:b/>
          <w:bCs/>
          <w:sz w:val="24"/>
        </w:rPr>
        <w:t>21、适用法律</w:t>
      </w:r>
      <w:bookmarkEnd w:id="871"/>
    </w:p>
    <w:p w14:paraId="41684B4F">
      <w:pPr>
        <w:spacing w:line="360" w:lineRule="auto"/>
        <w:ind w:firstLine="480" w:firstLineChars="200"/>
        <w:rPr>
          <w:sz w:val="24"/>
        </w:rPr>
      </w:pPr>
      <w:r>
        <w:rPr>
          <w:sz w:val="24"/>
        </w:rPr>
        <w:t>本合同应按照中华人民共和国的法律进行解释。</w:t>
      </w:r>
    </w:p>
    <w:bookmarkEnd w:id="854"/>
    <w:bookmarkEnd w:id="855"/>
    <w:bookmarkEnd w:id="856"/>
    <w:p w14:paraId="591DF2C2">
      <w:pPr>
        <w:spacing w:line="360" w:lineRule="auto"/>
        <w:rPr>
          <w:b/>
          <w:bCs/>
          <w:sz w:val="24"/>
        </w:rPr>
      </w:pPr>
      <w:bookmarkStart w:id="872" w:name="_Toc96998540"/>
      <w:bookmarkStart w:id="873" w:name="_Toc28794"/>
      <w:bookmarkStart w:id="874" w:name="_Toc12882"/>
      <w:r>
        <w:rPr>
          <w:b/>
          <w:bCs/>
          <w:sz w:val="24"/>
        </w:rPr>
        <w:t>22、</w:t>
      </w:r>
      <w:bookmarkEnd w:id="872"/>
      <w:r>
        <w:rPr>
          <w:b/>
          <w:bCs/>
          <w:sz w:val="24"/>
        </w:rPr>
        <w:t>其他</w:t>
      </w:r>
    </w:p>
    <w:p w14:paraId="6CF6ED3E">
      <w:pPr>
        <w:spacing w:line="360" w:lineRule="auto"/>
        <w:ind w:left="14" w:firstLine="480" w:firstLineChars="200"/>
        <w:rPr>
          <w:sz w:val="24"/>
        </w:rPr>
      </w:pPr>
      <w:r>
        <w:rPr>
          <w:sz w:val="24"/>
        </w:rPr>
        <w:t>22.1 采购人应当自政府采购合同签订之日起2个工作日内，将政府采购合同在省级以上人民政府财政部门指定的媒体上公告，但政府采购合同中涉及国家秘密、商业秘密的内容除外。</w:t>
      </w:r>
    </w:p>
    <w:p w14:paraId="57F84B86">
      <w:pPr>
        <w:spacing w:line="360" w:lineRule="auto"/>
        <w:ind w:left="17" w:firstLine="480" w:firstLineChars="200"/>
      </w:pPr>
      <w:r>
        <w:rPr>
          <w:sz w:val="24"/>
        </w:rPr>
        <w:t>22.2 如需修改或补充合同内容，经协商，采购人与中标供应商应签署书面修改或补充合同，该合同将作为本合同的一个组成部分。</w:t>
      </w:r>
      <w:bookmarkEnd w:id="873"/>
      <w:bookmarkEnd w:id="874"/>
    </w:p>
    <w:p w14:paraId="6B763203">
      <w:pPr>
        <w:autoSpaceDE w:val="0"/>
        <w:autoSpaceDN w:val="0"/>
        <w:adjustRightInd w:val="0"/>
        <w:jc w:val="left"/>
        <w:rPr>
          <w:rFonts w:ascii="宋体"/>
          <w:sz w:val="24"/>
        </w:rPr>
      </w:pPr>
    </w:p>
    <w:p w14:paraId="3069913B">
      <w:pPr>
        <w:rPr>
          <w:sz w:val="24"/>
          <w:u w:val="single"/>
        </w:rPr>
      </w:pPr>
      <w:r>
        <w:rPr>
          <w:sz w:val="24"/>
          <w:u w:val="single"/>
        </w:rPr>
        <w:br w:type="page"/>
      </w:r>
    </w:p>
    <w:p w14:paraId="5CF54CE3">
      <w:pPr>
        <w:rPr>
          <w:sz w:val="24"/>
        </w:rPr>
      </w:pPr>
      <w:r>
        <w:rPr>
          <w:b/>
          <w:bCs/>
          <w:sz w:val="24"/>
        </w:rPr>
        <w:t xml:space="preserve">附件1  </w:t>
      </w:r>
      <w:r>
        <w:rPr>
          <w:b/>
          <w:bCs/>
          <w:color w:val="FF0000"/>
          <w:sz w:val="24"/>
        </w:rPr>
        <w:t xml:space="preserve"> </w:t>
      </w:r>
      <w:r>
        <w:rPr>
          <w:b/>
          <w:bCs/>
          <w:sz w:val="24"/>
        </w:rPr>
        <w:t xml:space="preserve"> </w:t>
      </w:r>
      <w:r>
        <w:rPr>
          <w:color w:val="FF0000"/>
          <w:sz w:val="24"/>
        </w:rPr>
        <w:t xml:space="preserve"> </w:t>
      </w:r>
    </w:p>
    <w:p w14:paraId="4993931B">
      <w:pPr>
        <w:jc w:val="center"/>
        <w:rPr>
          <w:rFonts w:eastAsia="仿宋_GB2312"/>
          <w:sz w:val="24"/>
        </w:rPr>
      </w:pPr>
      <w:r>
        <w:rPr>
          <w:b/>
          <w:bCs/>
          <w:sz w:val="24"/>
        </w:rPr>
        <w:t>监测仪器维护费用清单</w:t>
      </w:r>
    </w:p>
    <w:tbl>
      <w:tblPr>
        <w:tblStyle w:val="42"/>
        <w:tblpPr w:leftFromText="180" w:rightFromText="180" w:vertAnchor="text" w:horzAnchor="page" w:tblpX="1540" w:tblpY="461"/>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2508"/>
        <w:gridCol w:w="843"/>
        <w:gridCol w:w="836"/>
        <w:gridCol w:w="947"/>
        <w:gridCol w:w="776"/>
        <w:gridCol w:w="1221"/>
        <w:gridCol w:w="1163"/>
      </w:tblGrid>
      <w:tr w14:paraId="1A37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03" w:type="dxa"/>
            <w:vMerge w:val="restart"/>
            <w:vAlign w:val="center"/>
          </w:tcPr>
          <w:p w14:paraId="3D7F4934">
            <w:pPr>
              <w:spacing w:line="23" w:lineRule="atLeast"/>
              <w:jc w:val="center"/>
              <w:rPr>
                <w:kern w:val="0"/>
                <w:sz w:val="20"/>
                <w:szCs w:val="21"/>
              </w:rPr>
            </w:pPr>
            <w:r>
              <w:rPr>
                <w:kern w:val="0"/>
                <w:sz w:val="20"/>
                <w:szCs w:val="21"/>
              </w:rPr>
              <w:t>序号</w:t>
            </w:r>
          </w:p>
        </w:tc>
        <w:tc>
          <w:tcPr>
            <w:tcW w:w="2508" w:type="dxa"/>
            <w:vMerge w:val="restart"/>
            <w:vAlign w:val="center"/>
          </w:tcPr>
          <w:p w14:paraId="572813ED">
            <w:pPr>
              <w:tabs>
                <w:tab w:val="center" w:pos="1341"/>
                <w:tab w:val="right" w:pos="2563"/>
              </w:tabs>
              <w:spacing w:line="23" w:lineRule="atLeast"/>
              <w:jc w:val="center"/>
              <w:rPr>
                <w:kern w:val="0"/>
                <w:sz w:val="20"/>
                <w:szCs w:val="21"/>
              </w:rPr>
            </w:pPr>
            <w:r>
              <w:rPr>
                <w:kern w:val="0"/>
                <w:sz w:val="20"/>
                <w:szCs w:val="21"/>
              </w:rPr>
              <w:t>仪器名称</w:t>
            </w:r>
          </w:p>
        </w:tc>
        <w:tc>
          <w:tcPr>
            <w:tcW w:w="3402" w:type="dxa"/>
            <w:gridSpan w:val="4"/>
            <w:vAlign w:val="center"/>
          </w:tcPr>
          <w:p w14:paraId="3791423D">
            <w:pPr>
              <w:spacing w:line="23" w:lineRule="atLeast"/>
              <w:jc w:val="center"/>
              <w:rPr>
                <w:kern w:val="0"/>
                <w:sz w:val="20"/>
                <w:szCs w:val="21"/>
              </w:rPr>
            </w:pPr>
            <w:r>
              <w:rPr>
                <w:kern w:val="0"/>
                <w:sz w:val="20"/>
                <w:szCs w:val="21"/>
                <w:lang w:bidi="ar"/>
              </w:rPr>
              <w:t>数量</w:t>
            </w:r>
          </w:p>
        </w:tc>
        <w:tc>
          <w:tcPr>
            <w:tcW w:w="1221" w:type="dxa"/>
            <w:vMerge w:val="restart"/>
            <w:vAlign w:val="center"/>
          </w:tcPr>
          <w:p w14:paraId="5AA70184">
            <w:pPr>
              <w:spacing w:line="23" w:lineRule="atLeast"/>
              <w:jc w:val="center"/>
              <w:rPr>
                <w:kern w:val="0"/>
                <w:sz w:val="20"/>
                <w:szCs w:val="21"/>
              </w:rPr>
            </w:pPr>
            <w:r>
              <w:rPr>
                <w:kern w:val="0"/>
                <w:sz w:val="20"/>
                <w:szCs w:val="21"/>
              </w:rPr>
              <w:t>单价</w:t>
            </w:r>
          </w:p>
          <w:p w14:paraId="53F1F93F">
            <w:pPr>
              <w:spacing w:line="23" w:lineRule="atLeast"/>
              <w:jc w:val="center"/>
              <w:rPr>
                <w:kern w:val="0"/>
                <w:sz w:val="20"/>
                <w:szCs w:val="21"/>
              </w:rPr>
            </w:pPr>
            <w:r>
              <w:rPr>
                <w:kern w:val="0"/>
                <w:sz w:val="20"/>
                <w:szCs w:val="21"/>
              </w:rPr>
              <w:t>（单位：元）</w:t>
            </w:r>
          </w:p>
        </w:tc>
        <w:tc>
          <w:tcPr>
            <w:tcW w:w="1163" w:type="dxa"/>
            <w:vMerge w:val="restart"/>
            <w:vAlign w:val="center"/>
          </w:tcPr>
          <w:p w14:paraId="04F3CCFE">
            <w:pPr>
              <w:spacing w:line="23" w:lineRule="atLeast"/>
              <w:jc w:val="center"/>
              <w:rPr>
                <w:kern w:val="0"/>
                <w:sz w:val="20"/>
                <w:szCs w:val="21"/>
              </w:rPr>
            </w:pPr>
            <w:r>
              <w:rPr>
                <w:kern w:val="0"/>
                <w:sz w:val="20"/>
                <w:szCs w:val="21"/>
              </w:rPr>
              <w:t>总价</w:t>
            </w:r>
          </w:p>
          <w:p w14:paraId="180BDD5B">
            <w:pPr>
              <w:spacing w:line="23" w:lineRule="atLeast"/>
              <w:jc w:val="center"/>
              <w:rPr>
                <w:kern w:val="0"/>
                <w:sz w:val="20"/>
                <w:szCs w:val="21"/>
              </w:rPr>
            </w:pPr>
            <w:r>
              <w:rPr>
                <w:kern w:val="0"/>
                <w:sz w:val="20"/>
                <w:szCs w:val="21"/>
              </w:rPr>
              <w:t>（单位：元）</w:t>
            </w:r>
          </w:p>
        </w:tc>
      </w:tr>
      <w:tr w14:paraId="327A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03" w:type="dxa"/>
            <w:vMerge w:val="continue"/>
            <w:vAlign w:val="center"/>
          </w:tcPr>
          <w:p w14:paraId="62CABE1F">
            <w:pPr>
              <w:spacing w:line="23" w:lineRule="atLeast"/>
              <w:jc w:val="center"/>
              <w:rPr>
                <w:kern w:val="0"/>
                <w:sz w:val="20"/>
                <w:szCs w:val="21"/>
              </w:rPr>
            </w:pPr>
          </w:p>
        </w:tc>
        <w:tc>
          <w:tcPr>
            <w:tcW w:w="2508" w:type="dxa"/>
            <w:vMerge w:val="continue"/>
            <w:vAlign w:val="center"/>
          </w:tcPr>
          <w:p w14:paraId="16EC93DD">
            <w:pPr>
              <w:spacing w:line="23" w:lineRule="atLeast"/>
              <w:jc w:val="center"/>
              <w:rPr>
                <w:kern w:val="0"/>
                <w:sz w:val="20"/>
                <w:szCs w:val="21"/>
              </w:rPr>
            </w:pPr>
          </w:p>
        </w:tc>
        <w:tc>
          <w:tcPr>
            <w:tcW w:w="843" w:type="dxa"/>
            <w:vAlign w:val="center"/>
          </w:tcPr>
          <w:p w14:paraId="0CF14EA5">
            <w:pPr>
              <w:widowControl/>
              <w:spacing w:line="23" w:lineRule="atLeast"/>
              <w:jc w:val="center"/>
              <w:textAlignment w:val="center"/>
              <w:rPr>
                <w:kern w:val="0"/>
                <w:sz w:val="20"/>
                <w:szCs w:val="21"/>
                <w:lang w:bidi="ar"/>
              </w:rPr>
            </w:pPr>
            <w:r>
              <w:rPr>
                <w:rFonts w:hint="eastAsia"/>
                <w:kern w:val="0"/>
                <w:sz w:val="20"/>
                <w:szCs w:val="21"/>
                <w:lang w:bidi="ar"/>
              </w:rPr>
              <w:t>怀柔</w:t>
            </w:r>
            <w:r>
              <w:rPr>
                <w:kern w:val="0"/>
                <w:sz w:val="20"/>
                <w:szCs w:val="21"/>
                <w:lang w:bidi="ar"/>
              </w:rPr>
              <w:t>区</w:t>
            </w:r>
          </w:p>
        </w:tc>
        <w:tc>
          <w:tcPr>
            <w:tcW w:w="836" w:type="dxa"/>
            <w:vAlign w:val="center"/>
          </w:tcPr>
          <w:p w14:paraId="2062BCC0">
            <w:pPr>
              <w:widowControl/>
              <w:spacing w:line="23" w:lineRule="atLeast"/>
              <w:jc w:val="center"/>
              <w:textAlignment w:val="center"/>
              <w:rPr>
                <w:kern w:val="0"/>
                <w:sz w:val="20"/>
                <w:szCs w:val="21"/>
                <w:lang w:bidi="ar"/>
              </w:rPr>
            </w:pPr>
            <w:r>
              <w:rPr>
                <w:kern w:val="0"/>
                <w:sz w:val="20"/>
                <w:szCs w:val="21"/>
                <w:lang w:bidi="ar"/>
              </w:rPr>
              <w:t>密云区</w:t>
            </w:r>
          </w:p>
        </w:tc>
        <w:tc>
          <w:tcPr>
            <w:tcW w:w="947" w:type="dxa"/>
            <w:vAlign w:val="center"/>
          </w:tcPr>
          <w:p w14:paraId="06EFDD0F">
            <w:pPr>
              <w:widowControl/>
              <w:spacing w:line="23" w:lineRule="atLeast"/>
              <w:jc w:val="center"/>
              <w:textAlignment w:val="center"/>
              <w:rPr>
                <w:kern w:val="0"/>
                <w:sz w:val="20"/>
                <w:szCs w:val="21"/>
                <w:lang w:bidi="ar"/>
              </w:rPr>
            </w:pPr>
          </w:p>
        </w:tc>
        <w:tc>
          <w:tcPr>
            <w:tcW w:w="776" w:type="dxa"/>
            <w:vAlign w:val="center"/>
          </w:tcPr>
          <w:p w14:paraId="3B002A9E">
            <w:pPr>
              <w:widowControl/>
              <w:spacing w:line="23" w:lineRule="atLeast"/>
              <w:jc w:val="center"/>
              <w:textAlignment w:val="center"/>
              <w:rPr>
                <w:kern w:val="0"/>
                <w:sz w:val="20"/>
                <w:szCs w:val="21"/>
                <w:lang w:bidi="ar"/>
              </w:rPr>
            </w:pPr>
            <w:r>
              <w:rPr>
                <w:kern w:val="0"/>
                <w:sz w:val="20"/>
                <w:szCs w:val="21"/>
                <w:lang w:bidi="ar"/>
              </w:rPr>
              <w:t>总计</w:t>
            </w:r>
          </w:p>
        </w:tc>
        <w:tc>
          <w:tcPr>
            <w:tcW w:w="1221" w:type="dxa"/>
            <w:vMerge w:val="continue"/>
            <w:vAlign w:val="center"/>
          </w:tcPr>
          <w:p w14:paraId="106FC2A6">
            <w:pPr>
              <w:spacing w:line="23" w:lineRule="atLeast"/>
              <w:jc w:val="center"/>
              <w:rPr>
                <w:kern w:val="0"/>
                <w:sz w:val="20"/>
                <w:szCs w:val="21"/>
              </w:rPr>
            </w:pPr>
          </w:p>
        </w:tc>
        <w:tc>
          <w:tcPr>
            <w:tcW w:w="1163" w:type="dxa"/>
            <w:vMerge w:val="continue"/>
            <w:vAlign w:val="center"/>
          </w:tcPr>
          <w:p w14:paraId="2A8B0637">
            <w:pPr>
              <w:spacing w:line="23" w:lineRule="atLeast"/>
              <w:jc w:val="center"/>
              <w:rPr>
                <w:kern w:val="0"/>
                <w:sz w:val="20"/>
                <w:szCs w:val="21"/>
              </w:rPr>
            </w:pPr>
          </w:p>
        </w:tc>
      </w:tr>
      <w:tr w14:paraId="7D3E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trPr>
        <w:tc>
          <w:tcPr>
            <w:tcW w:w="603" w:type="dxa"/>
            <w:vAlign w:val="center"/>
          </w:tcPr>
          <w:p w14:paraId="149F3FF3">
            <w:pPr>
              <w:spacing w:line="23" w:lineRule="atLeast"/>
              <w:jc w:val="center"/>
              <w:rPr>
                <w:kern w:val="0"/>
                <w:sz w:val="20"/>
                <w:szCs w:val="21"/>
              </w:rPr>
            </w:pPr>
            <w:r>
              <w:rPr>
                <w:kern w:val="0"/>
                <w:sz w:val="20"/>
                <w:szCs w:val="21"/>
              </w:rPr>
              <w:t>1</w:t>
            </w:r>
          </w:p>
        </w:tc>
        <w:tc>
          <w:tcPr>
            <w:tcW w:w="2508" w:type="dxa"/>
            <w:vAlign w:val="center"/>
          </w:tcPr>
          <w:p w14:paraId="3C651C07">
            <w:pPr>
              <w:widowControl/>
              <w:jc w:val="center"/>
              <w:textAlignment w:val="center"/>
              <w:rPr>
                <w:kern w:val="0"/>
                <w:sz w:val="20"/>
                <w:szCs w:val="21"/>
                <w:lang w:val="zh-CN" w:bidi="ar"/>
              </w:rPr>
            </w:pPr>
          </w:p>
        </w:tc>
        <w:tc>
          <w:tcPr>
            <w:tcW w:w="843" w:type="dxa"/>
            <w:vAlign w:val="center"/>
          </w:tcPr>
          <w:p w14:paraId="0DF10EB7">
            <w:pPr>
              <w:widowControl/>
              <w:jc w:val="center"/>
              <w:textAlignment w:val="center"/>
              <w:rPr>
                <w:kern w:val="0"/>
                <w:sz w:val="20"/>
                <w:szCs w:val="21"/>
                <w:lang w:bidi="ar"/>
              </w:rPr>
            </w:pPr>
          </w:p>
        </w:tc>
        <w:tc>
          <w:tcPr>
            <w:tcW w:w="836" w:type="dxa"/>
            <w:vAlign w:val="center"/>
          </w:tcPr>
          <w:p w14:paraId="73CE319C">
            <w:pPr>
              <w:widowControl/>
              <w:jc w:val="center"/>
              <w:textAlignment w:val="center"/>
              <w:rPr>
                <w:kern w:val="0"/>
                <w:sz w:val="20"/>
                <w:szCs w:val="21"/>
                <w:lang w:bidi="ar"/>
              </w:rPr>
            </w:pPr>
          </w:p>
        </w:tc>
        <w:tc>
          <w:tcPr>
            <w:tcW w:w="947" w:type="dxa"/>
            <w:vAlign w:val="center"/>
          </w:tcPr>
          <w:p w14:paraId="4852112D">
            <w:pPr>
              <w:widowControl/>
              <w:jc w:val="center"/>
              <w:textAlignment w:val="center"/>
              <w:rPr>
                <w:kern w:val="0"/>
                <w:sz w:val="20"/>
                <w:szCs w:val="21"/>
                <w:lang w:bidi="ar"/>
              </w:rPr>
            </w:pPr>
          </w:p>
        </w:tc>
        <w:tc>
          <w:tcPr>
            <w:tcW w:w="776" w:type="dxa"/>
            <w:vAlign w:val="center"/>
          </w:tcPr>
          <w:p w14:paraId="0F69CD95">
            <w:pPr>
              <w:widowControl/>
              <w:jc w:val="center"/>
              <w:textAlignment w:val="center"/>
              <w:rPr>
                <w:kern w:val="0"/>
                <w:sz w:val="20"/>
                <w:szCs w:val="21"/>
                <w:lang w:bidi="ar"/>
              </w:rPr>
            </w:pPr>
          </w:p>
        </w:tc>
        <w:tc>
          <w:tcPr>
            <w:tcW w:w="1221" w:type="dxa"/>
            <w:vAlign w:val="center"/>
          </w:tcPr>
          <w:p w14:paraId="6900859F">
            <w:pPr>
              <w:widowControl/>
              <w:jc w:val="center"/>
              <w:textAlignment w:val="center"/>
              <w:rPr>
                <w:kern w:val="0"/>
                <w:sz w:val="20"/>
                <w:szCs w:val="21"/>
                <w:lang w:bidi="ar"/>
              </w:rPr>
            </w:pPr>
          </w:p>
        </w:tc>
        <w:tc>
          <w:tcPr>
            <w:tcW w:w="1163" w:type="dxa"/>
            <w:vAlign w:val="center"/>
          </w:tcPr>
          <w:p w14:paraId="54132351">
            <w:pPr>
              <w:widowControl/>
              <w:jc w:val="center"/>
              <w:textAlignment w:val="center"/>
              <w:rPr>
                <w:kern w:val="0"/>
                <w:sz w:val="20"/>
                <w:szCs w:val="21"/>
                <w:lang w:bidi="ar"/>
              </w:rPr>
            </w:pPr>
          </w:p>
        </w:tc>
      </w:tr>
      <w:tr w14:paraId="74E1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trPr>
        <w:tc>
          <w:tcPr>
            <w:tcW w:w="603" w:type="dxa"/>
            <w:vAlign w:val="center"/>
          </w:tcPr>
          <w:p w14:paraId="6862D436">
            <w:pPr>
              <w:spacing w:line="23" w:lineRule="atLeast"/>
              <w:jc w:val="center"/>
              <w:rPr>
                <w:kern w:val="0"/>
                <w:sz w:val="20"/>
                <w:szCs w:val="21"/>
              </w:rPr>
            </w:pPr>
            <w:r>
              <w:rPr>
                <w:kern w:val="0"/>
                <w:sz w:val="20"/>
                <w:szCs w:val="21"/>
              </w:rPr>
              <w:t>2</w:t>
            </w:r>
          </w:p>
        </w:tc>
        <w:tc>
          <w:tcPr>
            <w:tcW w:w="2508" w:type="dxa"/>
            <w:vAlign w:val="center"/>
          </w:tcPr>
          <w:p w14:paraId="3274080A">
            <w:pPr>
              <w:widowControl/>
              <w:jc w:val="center"/>
              <w:textAlignment w:val="center"/>
              <w:rPr>
                <w:kern w:val="0"/>
                <w:sz w:val="20"/>
                <w:szCs w:val="21"/>
                <w:lang w:val="zh-CN" w:bidi="ar"/>
              </w:rPr>
            </w:pPr>
          </w:p>
        </w:tc>
        <w:tc>
          <w:tcPr>
            <w:tcW w:w="843" w:type="dxa"/>
            <w:vAlign w:val="center"/>
          </w:tcPr>
          <w:p w14:paraId="28653B1B">
            <w:pPr>
              <w:widowControl/>
              <w:jc w:val="center"/>
              <w:textAlignment w:val="center"/>
              <w:rPr>
                <w:kern w:val="0"/>
                <w:sz w:val="20"/>
                <w:szCs w:val="21"/>
                <w:lang w:bidi="ar"/>
              </w:rPr>
            </w:pPr>
          </w:p>
        </w:tc>
        <w:tc>
          <w:tcPr>
            <w:tcW w:w="836" w:type="dxa"/>
            <w:vAlign w:val="center"/>
          </w:tcPr>
          <w:p w14:paraId="4E993B9F">
            <w:pPr>
              <w:widowControl/>
              <w:jc w:val="center"/>
              <w:textAlignment w:val="center"/>
              <w:rPr>
                <w:kern w:val="0"/>
                <w:sz w:val="20"/>
                <w:szCs w:val="21"/>
                <w:lang w:val="zh-CN" w:bidi="ar"/>
              </w:rPr>
            </w:pPr>
          </w:p>
        </w:tc>
        <w:tc>
          <w:tcPr>
            <w:tcW w:w="947" w:type="dxa"/>
            <w:vAlign w:val="center"/>
          </w:tcPr>
          <w:p w14:paraId="6791212B">
            <w:pPr>
              <w:widowControl/>
              <w:jc w:val="center"/>
              <w:textAlignment w:val="center"/>
              <w:rPr>
                <w:kern w:val="0"/>
                <w:sz w:val="20"/>
                <w:szCs w:val="21"/>
                <w:lang w:bidi="ar"/>
              </w:rPr>
            </w:pPr>
          </w:p>
        </w:tc>
        <w:tc>
          <w:tcPr>
            <w:tcW w:w="776" w:type="dxa"/>
            <w:vAlign w:val="center"/>
          </w:tcPr>
          <w:p w14:paraId="45B269BA">
            <w:pPr>
              <w:widowControl/>
              <w:jc w:val="center"/>
              <w:textAlignment w:val="center"/>
              <w:rPr>
                <w:kern w:val="0"/>
                <w:sz w:val="20"/>
                <w:szCs w:val="21"/>
                <w:lang w:val="zh-CN" w:bidi="ar"/>
              </w:rPr>
            </w:pPr>
          </w:p>
        </w:tc>
        <w:tc>
          <w:tcPr>
            <w:tcW w:w="1221" w:type="dxa"/>
            <w:vAlign w:val="center"/>
          </w:tcPr>
          <w:p w14:paraId="688EEF1E">
            <w:pPr>
              <w:widowControl/>
              <w:jc w:val="center"/>
              <w:textAlignment w:val="center"/>
              <w:rPr>
                <w:kern w:val="0"/>
                <w:sz w:val="20"/>
                <w:szCs w:val="21"/>
                <w:lang w:bidi="ar"/>
              </w:rPr>
            </w:pPr>
          </w:p>
        </w:tc>
        <w:tc>
          <w:tcPr>
            <w:tcW w:w="1163" w:type="dxa"/>
            <w:vAlign w:val="center"/>
          </w:tcPr>
          <w:p w14:paraId="4E7836FA">
            <w:pPr>
              <w:widowControl/>
              <w:jc w:val="center"/>
              <w:textAlignment w:val="center"/>
              <w:rPr>
                <w:kern w:val="0"/>
                <w:sz w:val="20"/>
                <w:szCs w:val="21"/>
                <w:lang w:bidi="ar"/>
              </w:rPr>
            </w:pPr>
          </w:p>
        </w:tc>
      </w:tr>
      <w:tr w14:paraId="7A70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03" w:type="dxa"/>
            <w:vAlign w:val="center"/>
          </w:tcPr>
          <w:p w14:paraId="1ABE78DF">
            <w:pPr>
              <w:spacing w:line="23" w:lineRule="atLeast"/>
              <w:jc w:val="center"/>
              <w:rPr>
                <w:kern w:val="0"/>
                <w:sz w:val="20"/>
                <w:szCs w:val="21"/>
              </w:rPr>
            </w:pPr>
            <w:r>
              <w:rPr>
                <w:kern w:val="0"/>
                <w:sz w:val="20"/>
                <w:szCs w:val="21"/>
              </w:rPr>
              <w:t>3</w:t>
            </w:r>
          </w:p>
        </w:tc>
        <w:tc>
          <w:tcPr>
            <w:tcW w:w="2508" w:type="dxa"/>
            <w:vAlign w:val="center"/>
          </w:tcPr>
          <w:p w14:paraId="182FBCC9">
            <w:pPr>
              <w:widowControl/>
              <w:jc w:val="center"/>
              <w:textAlignment w:val="center"/>
              <w:rPr>
                <w:kern w:val="0"/>
                <w:sz w:val="20"/>
                <w:szCs w:val="21"/>
                <w:lang w:val="zh-CN" w:bidi="ar"/>
              </w:rPr>
            </w:pPr>
          </w:p>
        </w:tc>
        <w:tc>
          <w:tcPr>
            <w:tcW w:w="843" w:type="dxa"/>
            <w:vAlign w:val="center"/>
          </w:tcPr>
          <w:p w14:paraId="7A6A2037">
            <w:pPr>
              <w:widowControl/>
              <w:jc w:val="center"/>
              <w:textAlignment w:val="center"/>
              <w:rPr>
                <w:kern w:val="0"/>
                <w:sz w:val="20"/>
                <w:szCs w:val="21"/>
                <w:lang w:bidi="ar"/>
              </w:rPr>
            </w:pPr>
          </w:p>
        </w:tc>
        <w:tc>
          <w:tcPr>
            <w:tcW w:w="836" w:type="dxa"/>
            <w:vAlign w:val="center"/>
          </w:tcPr>
          <w:p w14:paraId="5462DCD5">
            <w:pPr>
              <w:jc w:val="center"/>
              <w:rPr>
                <w:kern w:val="0"/>
                <w:sz w:val="20"/>
                <w:szCs w:val="21"/>
                <w:lang w:val="zh-CN" w:bidi="ar"/>
              </w:rPr>
            </w:pPr>
          </w:p>
        </w:tc>
        <w:tc>
          <w:tcPr>
            <w:tcW w:w="947" w:type="dxa"/>
            <w:vAlign w:val="center"/>
          </w:tcPr>
          <w:p w14:paraId="6FBEC525">
            <w:pPr>
              <w:widowControl/>
              <w:jc w:val="center"/>
              <w:textAlignment w:val="center"/>
              <w:rPr>
                <w:kern w:val="0"/>
                <w:sz w:val="20"/>
                <w:szCs w:val="21"/>
                <w:lang w:val="zh-CN" w:bidi="ar"/>
              </w:rPr>
            </w:pPr>
          </w:p>
        </w:tc>
        <w:tc>
          <w:tcPr>
            <w:tcW w:w="776" w:type="dxa"/>
            <w:vAlign w:val="center"/>
          </w:tcPr>
          <w:p w14:paraId="049E209E">
            <w:pPr>
              <w:widowControl/>
              <w:jc w:val="center"/>
              <w:textAlignment w:val="center"/>
              <w:rPr>
                <w:kern w:val="0"/>
                <w:sz w:val="20"/>
                <w:szCs w:val="21"/>
                <w:lang w:val="zh-CN" w:bidi="ar"/>
              </w:rPr>
            </w:pPr>
          </w:p>
        </w:tc>
        <w:tc>
          <w:tcPr>
            <w:tcW w:w="1221" w:type="dxa"/>
            <w:vAlign w:val="center"/>
          </w:tcPr>
          <w:p w14:paraId="415610C2">
            <w:pPr>
              <w:widowControl/>
              <w:jc w:val="center"/>
              <w:textAlignment w:val="center"/>
              <w:rPr>
                <w:kern w:val="0"/>
                <w:sz w:val="20"/>
                <w:szCs w:val="21"/>
                <w:lang w:bidi="ar"/>
              </w:rPr>
            </w:pPr>
          </w:p>
        </w:tc>
        <w:tc>
          <w:tcPr>
            <w:tcW w:w="1163" w:type="dxa"/>
            <w:vAlign w:val="center"/>
          </w:tcPr>
          <w:p w14:paraId="1DCDC7A2">
            <w:pPr>
              <w:widowControl/>
              <w:jc w:val="center"/>
              <w:textAlignment w:val="center"/>
              <w:rPr>
                <w:kern w:val="0"/>
                <w:sz w:val="20"/>
                <w:szCs w:val="21"/>
                <w:lang w:bidi="ar"/>
              </w:rPr>
            </w:pPr>
          </w:p>
        </w:tc>
      </w:tr>
      <w:tr w14:paraId="3CC8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03" w:type="dxa"/>
            <w:vAlign w:val="center"/>
          </w:tcPr>
          <w:p w14:paraId="415CAAF6">
            <w:pPr>
              <w:spacing w:line="23" w:lineRule="atLeast"/>
              <w:jc w:val="center"/>
              <w:rPr>
                <w:kern w:val="0"/>
                <w:sz w:val="20"/>
                <w:szCs w:val="21"/>
              </w:rPr>
            </w:pPr>
            <w:r>
              <w:rPr>
                <w:kern w:val="0"/>
                <w:sz w:val="20"/>
                <w:szCs w:val="21"/>
              </w:rPr>
              <w:t>4</w:t>
            </w:r>
          </w:p>
        </w:tc>
        <w:tc>
          <w:tcPr>
            <w:tcW w:w="2508" w:type="dxa"/>
            <w:vAlign w:val="center"/>
          </w:tcPr>
          <w:p w14:paraId="1B177FCD">
            <w:pPr>
              <w:widowControl/>
              <w:jc w:val="center"/>
              <w:textAlignment w:val="center"/>
              <w:rPr>
                <w:kern w:val="0"/>
                <w:sz w:val="20"/>
                <w:szCs w:val="21"/>
                <w:lang w:val="zh-CN" w:bidi="ar"/>
              </w:rPr>
            </w:pPr>
          </w:p>
        </w:tc>
        <w:tc>
          <w:tcPr>
            <w:tcW w:w="843" w:type="dxa"/>
            <w:vAlign w:val="center"/>
          </w:tcPr>
          <w:p w14:paraId="6F8EAC8B">
            <w:pPr>
              <w:widowControl/>
              <w:jc w:val="center"/>
              <w:textAlignment w:val="center"/>
              <w:rPr>
                <w:kern w:val="0"/>
                <w:sz w:val="20"/>
                <w:szCs w:val="21"/>
                <w:lang w:bidi="ar"/>
              </w:rPr>
            </w:pPr>
          </w:p>
        </w:tc>
        <w:tc>
          <w:tcPr>
            <w:tcW w:w="836" w:type="dxa"/>
            <w:vAlign w:val="center"/>
          </w:tcPr>
          <w:p w14:paraId="4F7E3EDD">
            <w:pPr>
              <w:widowControl/>
              <w:jc w:val="center"/>
              <w:textAlignment w:val="center"/>
              <w:rPr>
                <w:kern w:val="0"/>
                <w:sz w:val="20"/>
                <w:szCs w:val="21"/>
                <w:lang w:bidi="ar"/>
              </w:rPr>
            </w:pPr>
          </w:p>
        </w:tc>
        <w:tc>
          <w:tcPr>
            <w:tcW w:w="947" w:type="dxa"/>
            <w:vAlign w:val="center"/>
          </w:tcPr>
          <w:p w14:paraId="393E938E">
            <w:pPr>
              <w:widowControl/>
              <w:jc w:val="center"/>
              <w:textAlignment w:val="center"/>
              <w:rPr>
                <w:kern w:val="0"/>
                <w:sz w:val="20"/>
                <w:szCs w:val="21"/>
                <w:lang w:bidi="ar"/>
              </w:rPr>
            </w:pPr>
          </w:p>
        </w:tc>
        <w:tc>
          <w:tcPr>
            <w:tcW w:w="776" w:type="dxa"/>
            <w:vAlign w:val="center"/>
          </w:tcPr>
          <w:p w14:paraId="30AF7E50">
            <w:pPr>
              <w:widowControl/>
              <w:jc w:val="center"/>
              <w:textAlignment w:val="center"/>
              <w:rPr>
                <w:kern w:val="0"/>
                <w:sz w:val="20"/>
                <w:szCs w:val="21"/>
                <w:lang w:bidi="ar"/>
              </w:rPr>
            </w:pPr>
          </w:p>
        </w:tc>
        <w:tc>
          <w:tcPr>
            <w:tcW w:w="1221" w:type="dxa"/>
            <w:vAlign w:val="center"/>
          </w:tcPr>
          <w:p w14:paraId="578D80BA">
            <w:pPr>
              <w:widowControl/>
              <w:jc w:val="center"/>
              <w:textAlignment w:val="center"/>
              <w:rPr>
                <w:kern w:val="0"/>
                <w:sz w:val="20"/>
                <w:szCs w:val="21"/>
                <w:lang w:bidi="ar"/>
              </w:rPr>
            </w:pPr>
          </w:p>
        </w:tc>
        <w:tc>
          <w:tcPr>
            <w:tcW w:w="1163" w:type="dxa"/>
            <w:vAlign w:val="center"/>
          </w:tcPr>
          <w:p w14:paraId="6A904C37">
            <w:pPr>
              <w:widowControl/>
              <w:jc w:val="center"/>
              <w:textAlignment w:val="center"/>
              <w:rPr>
                <w:kern w:val="0"/>
                <w:sz w:val="20"/>
                <w:szCs w:val="21"/>
                <w:lang w:bidi="ar"/>
              </w:rPr>
            </w:pPr>
          </w:p>
        </w:tc>
      </w:tr>
      <w:tr w14:paraId="080E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03" w:type="dxa"/>
            <w:vAlign w:val="center"/>
          </w:tcPr>
          <w:p w14:paraId="7CD4F7DE">
            <w:pPr>
              <w:spacing w:line="23" w:lineRule="atLeast"/>
              <w:jc w:val="center"/>
              <w:rPr>
                <w:kern w:val="0"/>
                <w:sz w:val="20"/>
                <w:szCs w:val="21"/>
              </w:rPr>
            </w:pPr>
            <w:r>
              <w:rPr>
                <w:kern w:val="0"/>
                <w:sz w:val="20"/>
                <w:szCs w:val="21"/>
              </w:rPr>
              <w:t>5</w:t>
            </w:r>
          </w:p>
        </w:tc>
        <w:tc>
          <w:tcPr>
            <w:tcW w:w="2508" w:type="dxa"/>
            <w:vAlign w:val="center"/>
          </w:tcPr>
          <w:p w14:paraId="1136058C">
            <w:pPr>
              <w:widowControl/>
              <w:jc w:val="center"/>
              <w:textAlignment w:val="center"/>
              <w:rPr>
                <w:kern w:val="0"/>
                <w:sz w:val="20"/>
                <w:szCs w:val="21"/>
                <w:lang w:val="zh-CN" w:bidi="ar"/>
              </w:rPr>
            </w:pPr>
          </w:p>
        </w:tc>
        <w:tc>
          <w:tcPr>
            <w:tcW w:w="843" w:type="dxa"/>
            <w:vAlign w:val="center"/>
          </w:tcPr>
          <w:p w14:paraId="607F961D">
            <w:pPr>
              <w:widowControl/>
              <w:jc w:val="center"/>
              <w:textAlignment w:val="center"/>
              <w:rPr>
                <w:kern w:val="0"/>
                <w:sz w:val="20"/>
                <w:szCs w:val="21"/>
                <w:lang w:bidi="ar"/>
              </w:rPr>
            </w:pPr>
          </w:p>
        </w:tc>
        <w:tc>
          <w:tcPr>
            <w:tcW w:w="836" w:type="dxa"/>
            <w:vAlign w:val="center"/>
          </w:tcPr>
          <w:p w14:paraId="19AEB09A">
            <w:pPr>
              <w:widowControl/>
              <w:jc w:val="center"/>
              <w:textAlignment w:val="center"/>
              <w:rPr>
                <w:kern w:val="0"/>
                <w:sz w:val="20"/>
                <w:szCs w:val="21"/>
                <w:lang w:bidi="ar"/>
              </w:rPr>
            </w:pPr>
          </w:p>
        </w:tc>
        <w:tc>
          <w:tcPr>
            <w:tcW w:w="947" w:type="dxa"/>
            <w:vAlign w:val="center"/>
          </w:tcPr>
          <w:p w14:paraId="5DB9C428">
            <w:pPr>
              <w:widowControl/>
              <w:jc w:val="center"/>
              <w:textAlignment w:val="center"/>
              <w:rPr>
                <w:kern w:val="0"/>
                <w:sz w:val="20"/>
                <w:szCs w:val="21"/>
                <w:lang w:bidi="ar"/>
              </w:rPr>
            </w:pPr>
          </w:p>
        </w:tc>
        <w:tc>
          <w:tcPr>
            <w:tcW w:w="776" w:type="dxa"/>
            <w:vAlign w:val="center"/>
          </w:tcPr>
          <w:p w14:paraId="3AA725EC">
            <w:pPr>
              <w:widowControl/>
              <w:jc w:val="center"/>
              <w:textAlignment w:val="center"/>
              <w:rPr>
                <w:kern w:val="0"/>
                <w:sz w:val="20"/>
                <w:szCs w:val="21"/>
                <w:lang w:val="zh-CN" w:bidi="ar"/>
              </w:rPr>
            </w:pPr>
          </w:p>
        </w:tc>
        <w:tc>
          <w:tcPr>
            <w:tcW w:w="1221" w:type="dxa"/>
            <w:vAlign w:val="center"/>
          </w:tcPr>
          <w:p w14:paraId="39669E16">
            <w:pPr>
              <w:widowControl/>
              <w:jc w:val="center"/>
              <w:textAlignment w:val="center"/>
              <w:rPr>
                <w:kern w:val="0"/>
                <w:sz w:val="20"/>
                <w:szCs w:val="21"/>
                <w:lang w:bidi="ar"/>
              </w:rPr>
            </w:pPr>
          </w:p>
        </w:tc>
        <w:tc>
          <w:tcPr>
            <w:tcW w:w="1163" w:type="dxa"/>
            <w:vAlign w:val="center"/>
          </w:tcPr>
          <w:p w14:paraId="30CB732E">
            <w:pPr>
              <w:widowControl/>
              <w:jc w:val="center"/>
              <w:textAlignment w:val="center"/>
              <w:rPr>
                <w:kern w:val="0"/>
                <w:sz w:val="20"/>
                <w:szCs w:val="21"/>
                <w:lang w:bidi="ar"/>
              </w:rPr>
            </w:pPr>
          </w:p>
        </w:tc>
      </w:tr>
      <w:tr w14:paraId="7E55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03" w:type="dxa"/>
            <w:vAlign w:val="center"/>
          </w:tcPr>
          <w:p w14:paraId="304E8216">
            <w:pPr>
              <w:spacing w:line="23" w:lineRule="atLeast"/>
              <w:jc w:val="center"/>
              <w:rPr>
                <w:kern w:val="0"/>
                <w:sz w:val="20"/>
                <w:szCs w:val="21"/>
              </w:rPr>
            </w:pPr>
            <w:r>
              <w:rPr>
                <w:kern w:val="0"/>
                <w:sz w:val="20"/>
                <w:szCs w:val="21"/>
              </w:rPr>
              <w:t>6</w:t>
            </w:r>
          </w:p>
        </w:tc>
        <w:tc>
          <w:tcPr>
            <w:tcW w:w="2508" w:type="dxa"/>
            <w:vAlign w:val="center"/>
          </w:tcPr>
          <w:p w14:paraId="4EE14C0D">
            <w:pPr>
              <w:widowControl/>
              <w:jc w:val="center"/>
              <w:textAlignment w:val="center"/>
              <w:rPr>
                <w:kern w:val="0"/>
                <w:sz w:val="20"/>
                <w:szCs w:val="21"/>
                <w:lang w:val="zh-CN" w:bidi="ar"/>
              </w:rPr>
            </w:pPr>
          </w:p>
        </w:tc>
        <w:tc>
          <w:tcPr>
            <w:tcW w:w="843" w:type="dxa"/>
            <w:vAlign w:val="center"/>
          </w:tcPr>
          <w:p w14:paraId="342F6232">
            <w:pPr>
              <w:widowControl/>
              <w:jc w:val="center"/>
              <w:textAlignment w:val="center"/>
              <w:rPr>
                <w:kern w:val="0"/>
                <w:sz w:val="20"/>
                <w:szCs w:val="21"/>
                <w:lang w:bidi="ar"/>
              </w:rPr>
            </w:pPr>
          </w:p>
        </w:tc>
        <w:tc>
          <w:tcPr>
            <w:tcW w:w="836" w:type="dxa"/>
            <w:vAlign w:val="center"/>
          </w:tcPr>
          <w:p w14:paraId="18D6D8FB">
            <w:pPr>
              <w:jc w:val="center"/>
              <w:rPr>
                <w:kern w:val="0"/>
                <w:sz w:val="20"/>
                <w:szCs w:val="21"/>
                <w:lang w:val="zh-CN" w:bidi="ar"/>
              </w:rPr>
            </w:pPr>
          </w:p>
        </w:tc>
        <w:tc>
          <w:tcPr>
            <w:tcW w:w="947" w:type="dxa"/>
            <w:vAlign w:val="center"/>
          </w:tcPr>
          <w:p w14:paraId="054ECD3C">
            <w:pPr>
              <w:widowControl/>
              <w:jc w:val="center"/>
              <w:textAlignment w:val="center"/>
              <w:rPr>
                <w:kern w:val="0"/>
                <w:sz w:val="20"/>
                <w:szCs w:val="21"/>
                <w:lang w:val="zh-CN" w:bidi="ar"/>
              </w:rPr>
            </w:pPr>
          </w:p>
        </w:tc>
        <w:tc>
          <w:tcPr>
            <w:tcW w:w="776" w:type="dxa"/>
            <w:vAlign w:val="center"/>
          </w:tcPr>
          <w:p w14:paraId="3B24252E">
            <w:pPr>
              <w:widowControl/>
              <w:jc w:val="center"/>
              <w:textAlignment w:val="center"/>
              <w:rPr>
                <w:kern w:val="0"/>
                <w:sz w:val="20"/>
                <w:szCs w:val="21"/>
                <w:lang w:val="zh-CN" w:bidi="ar"/>
              </w:rPr>
            </w:pPr>
          </w:p>
        </w:tc>
        <w:tc>
          <w:tcPr>
            <w:tcW w:w="1221" w:type="dxa"/>
            <w:vAlign w:val="center"/>
          </w:tcPr>
          <w:p w14:paraId="74B319E5">
            <w:pPr>
              <w:widowControl/>
              <w:jc w:val="center"/>
              <w:textAlignment w:val="center"/>
              <w:rPr>
                <w:kern w:val="0"/>
                <w:sz w:val="20"/>
                <w:szCs w:val="21"/>
                <w:lang w:bidi="ar"/>
              </w:rPr>
            </w:pPr>
          </w:p>
        </w:tc>
        <w:tc>
          <w:tcPr>
            <w:tcW w:w="1163" w:type="dxa"/>
            <w:vAlign w:val="center"/>
          </w:tcPr>
          <w:p w14:paraId="15F54B46">
            <w:pPr>
              <w:widowControl/>
              <w:jc w:val="center"/>
              <w:textAlignment w:val="center"/>
              <w:rPr>
                <w:kern w:val="0"/>
                <w:sz w:val="20"/>
                <w:szCs w:val="21"/>
                <w:lang w:bidi="ar"/>
              </w:rPr>
            </w:pPr>
          </w:p>
        </w:tc>
      </w:tr>
      <w:tr w14:paraId="02B4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03" w:type="dxa"/>
            <w:vAlign w:val="center"/>
          </w:tcPr>
          <w:p w14:paraId="2EE6A6A0">
            <w:pPr>
              <w:spacing w:line="23" w:lineRule="atLeast"/>
              <w:jc w:val="center"/>
              <w:rPr>
                <w:kern w:val="0"/>
                <w:sz w:val="20"/>
                <w:szCs w:val="21"/>
              </w:rPr>
            </w:pPr>
            <w:r>
              <w:rPr>
                <w:kern w:val="0"/>
                <w:sz w:val="20"/>
                <w:szCs w:val="21"/>
              </w:rPr>
              <w:t>7</w:t>
            </w:r>
          </w:p>
        </w:tc>
        <w:tc>
          <w:tcPr>
            <w:tcW w:w="2508" w:type="dxa"/>
            <w:vAlign w:val="center"/>
          </w:tcPr>
          <w:p w14:paraId="6193240F">
            <w:pPr>
              <w:widowControl/>
              <w:jc w:val="center"/>
              <w:textAlignment w:val="center"/>
              <w:rPr>
                <w:kern w:val="0"/>
                <w:sz w:val="20"/>
                <w:szCs w:val="21"/>
                <w:lang w:val="zh-CN" w:bidi="ar"/>
              </w:rPr>
            </w:pPr>
          </w:p>
        </w:tc>
        <w:tc>
          <w:tcPr>
            <w:tcW w:w="843" w:type="dxa"/>
            <w:vAlign w:val="center"/>
          </w:tcPr>
          <w:p w14:paraId="64DB4EC7">
            <w:pPr>
              <w:jc w:val="center"/>
              <w:rPr>
                <w:kern w:val="0"/>
                <w:sz w:val="20"/>
                <w:szCs w:val="21"/>
                <w:lang w:bidi="ar"/>
              </w:rPr>
            </w:pPr>
          </w:p>
        </w:tc>
        <w:tc>
          <w:tcPr>
            <w:tcW w:w="836" w:type="dxa"/>
            <w:vAlign w:val="center"/>
          </w:tcPr>
          <w:p w14:paraId="4C6A27BF">
            <w:pPr>
              <w:widowControl/>
              <w:jc w:val="center"/>
              <w:textAlignment w:val="center"/>
              <w:rPr>
                <w:kern w:val="0"/>
                <w:sz w:val="20"/>
                <w:szCs w:val="21"/>
                <w:lang w:bidi="ar"/>
              </w:rPr>
            </w:pPr>
          </w:p>
        </w:tc>
        <w:tc>
          <w:tcPr>
            <w:tcW w:w="947" w:type="dxa"/>
            <w:vAlign w:val="center"/>
          </w:tcPr>
          <w:p w14:paraId="1F83A31B">
            <w:pPr>
              <w:jc w:val="center"/>
              <w:rPr>
                <w:kern w:val="0"/>
                <w:sz w:val="20"/>
                <w:szCs w:val="21"/>
                <w:lang w:bidi="ar"/>
              </w:rPr>
            </w:pPr>
          </w:p>
        </w:tc>
        <w:tc>
          <w:tcPr>
            <w:tcW w:w="776" w:type="dxa"/>
            <w:vAlign w:val="center"/>
          </w:tcPr>
          <w:p w14:paraId="1814F8AF">
            <w:pPr>
              <w:widowControl/>
              <w:jc w:val="center"/>
              <w:textAlignment w:val="center"/>
              <w:rPr>
                <w:kern w:val="0"/>
                <w:sz w:val="20"/>
                <w:szCs w:val="21"/>
                <w:lang w:val="zh-CN" w:bidi="ar"/>
              </w:rPr>
            </w:pPr>
          </w:p>
        </w:tc>
        <w:tc>
          <w:tcPr>
            <w:tcW w:w="1221" w:type="dxa"/>
            <w:vAlign w:val="center"/>
          </w:tcPr>
          <w:p w14:paraId="77951C0D">
            <w:pPr>
              <w:widowControl/>
              <w:jc w:val="center"/>
              <w:textAlignment w:val="center"/>
              <w:rPr>
                <w:kern w:val="0"/>
                <w:sz w:val="20"/>
                <w:szCs w:val="21"/>
                <w:lang w:bidi="ar"/>
              </w:rPr>
            </w:pPr>
          </w:p>
        </w:tc>
        <w:tc>
          <w:tcPr>
            <w:tcW w:w="1163" w:type="dxa"/>
            <w:vAlign w:val="center"/>
          </w:tcPr>
          <w:p w14:paraId="2E620DB1">
            <w:pPr>
              <w:widowControl/>
              <w:jc w:val="center"/>
              <w:textAlignment w:val="center"/>
              <w:rPr>
                <w:kern w:val="0"/>
                <w:sz w:val="20"/>
                <w:szCs w:val="21"/>
                <w:lang w:bidi="ar"/>
              </w:rPr>
            </w:pPr>
          </w:p>
        </w:tc>
      </w:tr>
      <w:tr w14:paraId="1BF7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03" w:type="dxa"/>
            <w:vAlign w:val="center"/>
          </w:tcPr>
          <w:p w14:paraId="52468AF9">
            <w:pPr>
              <w:spacing w:line="23" w:lineRule="atLeast"/>
              <w:jc w:val="center"/>
              <w:rPr>
                <w:kern w:val="0"/>
                <w:sz w:val="20"/>
                <w:szCs w:val="21"/>
              </w:rPr>
            </w:pPr>
            <w:r>
              <w:rPr>
                <w:kern w:val="0"/>
                <w:sz w:val="20"/>
                <w:szCs w:val="21"/>
              </w:rPr>
              <w:t>8</w:t>
            </w:r>
          </w:p>
        </w:tc>
        <w:tc>
          <w:tcPr>
            <w:tcW w:w="2508" w:type="dxa"/>
            <w:vAlign w:val="center"/>
          </w:tcPr>
          <w:p w14:paraId="774E597C">
            <w:pPr>
              <w:widowControl/>
              <w:jc w:val="center"/>
              <w:textAlignment w:val="center"/>
              <w:rPr>
                <w:kern w:val="0"/>
                <w:sz w:val="20"/>
                <w:szCs w:val="21"/>
                <w:lang w:val="zh-CN" w:bidi="ar"/>
              </w:rPr>
            </w:pPr>
          </w:p>
        </w:tc>
        <w:tc>
          <w:tcPr>
            <w:tcW w:w="843" w:type="dxa"/>
            <w:vAlign w:val="center"/>
          </w:tcPr>
          <w:p w14:paraId="13CBD187">
            <w:pPr>
              <w:jc w:val="center"/>
              <w:rPr>
                <w:kern w:val="0"/>
                <w:sz w:val="20"/>
                <w:szCs w:val="21"/>
                <w:lang w:val="zh-CN" w:bidi="ar"/>
              </w:rPr>
            </w:pPr>
          </w:p>
        </w:tc>
        <w:tc>
          <w:tcPr>
            <w:tcW w:w="836" w:type="dxa"/>
            <w:vAlign w:val="center"/>
          </w:tcPr>
          <w:p w14:paraId="0D31D5AD">
            <w:pPr>
              <w:jc w:val="center"/>
              <w:rPr>
                <w:kern w:val="0"/>
                <w:sz w:val="20"/>
                <w:szCs w:val="21"/>
                <w:lang w:val="zh-CN" w:bidi="ar"/>
              </w:rPr>
            </w:pPr>
          </w:p>
        </w:tc>
        <w:tc>
          <w:tcPr>
            <w:tcW w:w="947" w:type="dxa"/>
            <w:vAlign w:val="center"/>
          </w:tcPr>
          <w:p w14:paraId="4BDF1913">
            <w:pPr>
              <w:widowControl/>
              <w:jc w:val="center"/>
              <w:textAlignment w:val="center"/>
              <w:rPr>
                <w:kern w:val="0"/>
                <w:sz w:val="20"/>
                <w:szCs w:val="21"/>
                <w:lang w:val="zh-CN" w:bidi="ar"/>
              </w:rPr>
            </w:pPr>
          </w:p>
        </w:tc>
        <w:tc>
          <w:tcPr>
            <w:tcW w:w="776" w:type="dxa"/>
            <w:vAlign w:val="center"/>
          </w:tcPr>
          <w:p w14:paraId="48D1D5D4">
            <w:pPr>
              <w:widowControl/>
              <w:jc w:val="center"/>
              <w:textAlignment w:val="center"/>
              <w:rPr>
                <w:kern w:val="0"/>
                <w:sz w:val="20"/>
                <w:szCs w:val="21"/>
                <w:lang w:val="zh-CN" w:bidi="ar"/>
              </w:rPr>
            </w:pPr>
          </w:p>
        </w:tc>
        <w:tc>
          <w:tcPr>
            <w:tcW w:w="1221" w:type="dxa"/>
            <w:vAlign w:val="center"/>
          </w:tcPr>
          <w:p w14:paraId="3504FD62">
            <w:pPr>
              <w:widowControl/>
              <w:jc w:val="center"/>
              <w:textAlignment w:val="center"/>
              <w:rPr>
                <w:kern w:val="0"/>
                <w:sz w:val="20"/>
                <w:szCs w:val="21"/>
                <w:lang w:bidi="ar"/>
              </w:rPr>
            </w:pPr>
          </w:p>
        </w:tc>
        <w:tc>
          <w:tcPr>
            <w:tcW w:w="1163" w:type="dxa"/>
            <w:vAlign w:val="center"/>
          </w:tcPr>
          <w:p w14:paraId="1B796A80">
            <w:pPr>
              <w:widowControl/>
              <w:jc w:val="center"/>
              <w:textAlignment w:val="center"/>
              <w:rPr>
                <w:kern w:val="0"/>
                <w:sz w:val="20"/>
                <w:szCs w:val="21"/>
                <w:lang w:val="zh-CN" w:bidi="ar"/>
              </w:rPr>
            </w:pPr>
          </w:p>
        </w:tc>
      </w:tr>
      <w:tr w14:paraId="3F3B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trPr>
        <w:tc>
          <w:tcPr>
            <w:tcW w:w="603" w:type="dxa"/>
            <w:vAlign w:val="center"/>
          </w:tcPr>
          <w:p w14:paraId="7FD3FC2F">
            <w:pPr>
              <w:spacing w:line="23" w:lineRule="atLeast"/>
              <w:jc w:val="center"/>
              <w:rPr>
                <w:kern w:val="0"/>
                <w:sz w:val="20"/>
                <w:szCs w:val="21"/>
              </w:rPr>
            </w:pPr>
            <w:r>
              <w:rPr>
                <w:kern w:val="0"/>
                <w:sz w:val="20"/>
                <w:szCs w:val="21"/>
              </w:rPr>
              <w:t>9</w:t>
            </w:r>
          </w:p>
        </w:tc>
        <w:tc>
          <w:tcPr>
            <w:tcW w:w="2508" w:type="dxa"/>
            <w:vAlign w:val="center"/>
          </w:tcPr>
          <w:p w14:paraId="027E8A51">
            <w:pPr>
              <w:widowControl/>
              <w:jc w:val="center"/>
              <w:textAlignment w:val="center"/>
              <w:rPr>
                <w:kern w:val="0"/>
                <w:sz w:val="20"/>
                <w:szCs w:val="21"/>
                <w:lang w:val="zh-CN" w:bidi="ar"/>
              </w:rPr>
            </w:pPr>
          </w:p>
        </w:tc>
        <w:tc>
          <w:tcPr>
            <w:tcW w:w="843" w:type="dxa"/>
            <w:vAlign w:val="center"/>
          </w:tcPr>
          <w:p w14:paraId="4B8D06FD">
            <w:pPr>
              <w:jc w:val="center"/>
              <w:rPr>
                <w:kern w:val="0"/>
                <w:sz w:val="20"/>
                <w:szCs w:val="21"/>
                <w:lang w:val="zh-CN" w:bidi="ar"/>
              </w:rPr>
            </w:pPr>
          </w:p>
        </w:tc>
        <w:tc>
          <w:tcPr>
            <w:tcW w:w="836" w:type="dxa"/>
            <w:vAlign w:val="center"/>
          </w:tcPr>
          <w:p w14:paraId="7C51EF47">
            <w:pPr>
              <w:jc w:val="center"/>
              <w:rPr>
                <w:kern w:val="0"/>
                <w:sz w:val="20"/>
                <w:szCs w:val="21"/>
                <w:lang w:val="zh-CN" w:bidi="ar"/>
              </w:rPr>
            </w:pPr>
          </w:p>
        </w:tc>
        <w:tc>
          <w:tcPr>
            <w:tcW w:w="947" w:type="dxa"/>
            <w:vAlign w:val="center"/>
          </w:tcPr>
          <w:p w14:paraId="6E555FB1">
            <w:pPr>
              <w:widowControl/>
              <w:jc w:val="center"/>
              <w:textAlignment w:val="center"/>
              <w:rPr>
                <w:kern w:val="0"/>
                <w:sz w:val="20"/>
                <w:szCs w:val="21"/>
                <w:lang w:val="zh-CN" w:bidi="ar"/>
              </w:rPr>
            </w:pPr>
          </w:p>
        </w:tc>
        <w:tc>
          <w:tcPr>
            <w:tcW w:w="776" w:type="dxa"/>
            <w:vAlign w:val="center"/>
          </w:tcPr>
          <w:p w14:paraId="5C44EE87">
            <w:pPr>
              <w:widowControl/>
              <w:jc w:val="center"/>
              <w:textAlignment w:val="center"/>
              <w:rPr>
                <w:kern w:val="0"/>
                <w:sz w:val="20"/>
                <w:szCs w:val="21"/>
                <w:lang w:val="zh-CN" w:bidi="ar"/>
              </w:rPr>
            </w:pPr>
          </w:p>
        </w:tc>
        <w:tc>
          <w:tcPr>
            <w:tcW w:w="1221" w:type="dxa"/>
            <w:vAlign w:val="center"/>
          </w:tcPr>
          <w:p w14:paraId="5B7F9A2A">
            <w:pPr>
              <w:widowControl/>
              <w:jc w:val="center"/>
              <w:textAlignment w:val="center"/>
              <w:rPr>
                <w:kern w:val="0"/>
                <w:sz w:val="20"/>
                <w:szCs w:val="21"/>
                <w:lang w:bidi="ar"/>
              </w:rPr>
            </w:pPr>
          </w:p>
        </w:tc>
        <w:tc>
          <w:tcPr>
            <w:tcW w:w="1163" w:type="dxa"/>
            <w:vAlign w:val="center"/>
          </w:tcPr>
          <w:p w14:paraId="494A3764">
            <w:pPr>
              <w:widowControl/>
              <w:jc w:val="center"/>
              <w:textAlignment w:val="center"/>
              <w:rPr>
                <w:kern w:val="0"/>
                <w:sz w:val="20"/>
                <w:szCs w:val="21"/>
                <w:lang w:val="zh-CN" w:bidi="ar"/>
              </w:rPr>
            </w:pPr>
          </w:p>
        </w:tc>
      </w:tr>
      <w:tr w14:paraId="5053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03" w:type="dxa"/>
            <w:vAlign w:val="center"/>
          </w:tcPr>
          <w:p w14:paraId="75416B60">
            <w:pPr>
              <w:spacing w:line="23" w:lineRule="atLeast"/>
              <w:jc w:val="center"/>
              <w:rPr>
                <w:kern w:val="0"/>
                <w:sz w:val="20"/>
                <w:szCs w:val="21"/>
              </w:rPr>
            </w:pPr>
            <w:r>
              <w:rPr>
                <w:kern w:val="0"/>
                <w:sz w:val="20"/>
                <w:szCs w:val="21"/>
              </w:rPr>
              <w:t>10</w:t>
            </w:r>
          </w:p>
        </w:tc>
        <w:tc>
          <w:tcPr>
            <w:tcW w:w="2508" w:type="dxa"/>
            <w:vAlign w:val="center"/>
          </w:tcPr>
          <w:p w14:paraId="69C13E7B">
            <w:pPr>
              <w:widowControl/>
              <w:jc w:val="center"/>
              <w:textAlignment w:val="center"/>
              <w:rPr>
                <w:kern w:val="0"/>
                <w:sz w:val="20"/>
                <w:szCs w:val="21"/>
                <w:lang w:val="zh-CN" w:bidi="ar"/>
              </w:rPr>
            </w:pPr>
          </w:p>
        </w:tc>
        <w:tc>
          <w:tcPr>
            <w:tcW w:w="843" w:type="dxa"/>
            <w:vAlign w:val="center"/>
          </w:tcPr>
          <w:p w14:paraId="3586D139">
            <w:pPr>
              <w:jc w:val="center"/>
              <w:rPr>
                <w:kern w:val="0"/>
                <w:sz w:val="20"/>
                <w:szCs w:val="21"/>
                <w:lang w:val="zh-CN" w:bidi="ar"/>
              </w:rPr>
            </w:pPr>
          </w:p>
        </w:tc>
        <w:tc>
          <w:tcPr>
            <w:tcW w:w="836" w:type="dxa"/>
            <w:vAlign w:val="center"/>
          </w:tcPr>
          <w:p w14:paraId="101537B3">
            <w:pPr>
              <w:jc w:val="center"/>
              <w:rPr>
                <w:kern w:val="0"/>
                <w:sz w:val="20"/>
                <w:szCs w:val="21"/>
                <w:lang w:val="zh-CN" w:bidi="ar"/>
              </w:rPr>
            </w:pPr>
          </w:p>
        </w:tc>
        <w:tc>
          <w:tcPr>
            <w:tcW w:w="947" w:type="dxa"/>
            <w:vAlign w:val="center"/>
          </w:tcPr>
          <w:p w14:paraId="19068627">
            <w:pPr>
              <w:widowControl/>
              <w:jc w:val="center"/>
              <w:textAlignment w:val="center"/>
              <w:rPr>
                <w:kern w:val="0"/>
                <w:sz w:val="20"/>
                <w:szCs w:val="21"/>
                <w:lang w:val="zh-CN" w:bidi="ar"/>
              </w:rPr>
            </w:pPr>
          </w:p>
        </w:tc>
        <w:tc>
          <w:tcPr>
            <w:tcW w:w="776" w:type="dxa"/>
            <w:vAlign w:val="center"/>
          </w:tcPr>
          <w:p w14:paraId="2A553B85">
            <w:pPr>
              <w:widowControl/>
              <w:jc w:val="center"/>
              <w:textAlignment w:val="center"/>
              <w:rPr>
                <w:kern w:val="0"/>
                <w:sz w:val="20"/>
                <w:szCs w:val="21"/>
                <w:lang w:val="zh-CN" w:bidi="ar"/>
              </w:rPr>
            </w:pPr>
          </w:p>
        </w:tc>
        <w:tc>
          <w:tcPr>
            <w:tcW w:w="1221" w:type="dxa"/>
            <w:vAlign w:val="center"/>
          </w:tcPr>
          <w:p w14:paraId="22D91D62">
            <w:pPr>
              <w:widowControl/>
              <w:jc w:val="center"/>
              <w:textAlignment w:val="center"/>
              <w:rPr>
                <w:kern w:val="0"/>
                <w:sz w:val="20"/>
                <w:szCs w:val="21"/>
                <w:lang w:bidi="ar"/>
              </w:rPr>
            </w:pPr>
          </w:p>
        </w:tc>
        <w:tc>
          <w:tcPr>
            <w:tcW w:w="1163" w:type="dxa"/>
            <w:vAlign w:val="center"/>
          </w:tcPr>
          <w:p w14:paraId="7E48F7B0">
            <w:pPr>
              <w:widowControl/>
              <w:jc w:val="center"/>
              <w:textAlignment w:val="center"/>
              <w:rPr>
                <w:kern w:val="0"/>
                <w:sz w:val="20"/>
                <w:szCs w:val="21"/>
                <w:lang w:val="zh-CN" w:bidi="ar"/>
              </w:rPr>
            </w:pPr>
          </w:p>
        </w:tc>
      </w:tr>
      <w:tr w14:paraId="3A38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03" w:type="dxa"/>
            <w:vAlign w:val="center"/>
          </w:tcPr>
          <w:p w14:paraId="1EEEC9B5">
            <w:pPr>
              <w:spacing w:line="23" w:lineRule="atLeast"/>
              <w:jc w:val="center"/>
              <w:rPr>
                <w:kern w:val="0"/>
                <w:sz w:val="20"/>
                <w:szCs w:val="21"/>
              </w:rPr>
            </w:pPr>
            <w:r>
              <w:rPr>
                <w:kern w:val="0"/>
                <w:sz w:val="20"/>
                <w:szCs w:val="21"/>
              </w:rPr>
              <w:t>11</w:t>
            </w:r>
          </w:p>
        </w:tc>
        <w:tc>
          <w:tcPr>
            <w:tcW w:w="2508" w:type="dxa"/>
            <w:vAlign w:val="center"/>
          </w:tcPr>
          <w:p w14:paraId="49BCE74A">
            <w:pPr>
              <w:widowControl/>
              <w:jc w:val="center"/>
              <w:textAlignment w:val="center"/>
              <w:rPr>
                <w:kern w:val="0"/>
                <w:sz w:val="20"/>
                <w:szCs w:val="21"/>
                <w:lang w:bidi="ar"/>
              </w:rPr>
            </w:pPr>
          </w:p>
        </w:tc>
        <w:tc>
          <w:tcPr>
            <w:tcW w:w="843" w:type="dxa"/>
            <w:vAlign w:val="center"/>
          </w:tcPr>
          <w:p w14:paraId="6F01E71C">
            <w:pPr>
              <w:jc w:val="center"/>
              <w:rPr>
                <w:kern w:val="0"/>
                <w:sz w:val="20"/>
                <w:szCs w:val="21"/>
                <w:lang w:bidi="ar"/>
              </w:rPr>
            </w:pPr>
          </w:p>
        </w:tc>
        <w:tc>
          <w:tcPr>
            <w:tcW w:w="836" w:type="dxa"/>
            <w:vAlign w:val="center"/>
          </w:tcPr>
          <w:p w14:paraId="370C0639">
            <w:pPr>
              <w:jc w:val="center"/>
              <w:rPr>
                <w:kern w:val="0"/>
                <w:sz w:val="20"/>
                <w:szCs w:val="21"/>
                <w:lang w:bidi="ar"/>
              </w:rPr>
            </w:pPr>
          </w:p>
        </w:tc>
        <w:tc>
          <w:tcPr>
            <w:tcW w:w="947" w:type="dxa"/>
            <w:vAlign w:val="center"/>
          </w:tcPr>
          <w:p w14:paraId="635785A8">
            <w:pPr>
              <w:widowControl/>
              <w:jc w:val="center"/>
              <w:textAlignment w:val="center"/>
              <w:rPr>
                <w:kern w:val="0"/>
                <w:sz w:val="20"/>
                <w:szCs w:val="21"/>
                <w:lang w:bidi="ar"/>
              </w:rPr>
            </w:pPr>
          </w:p>
        </w:tc>
        <w:tc>
          <w:tcPr>
            <w:tcW w:w="776" w:type="dxa"/>
            <w:vAlign w:val="center"/>
          </w:tcPr>
          <w:p w14:paraId="2FAF6CC7">
            <w:pPr>
              <w:widowControl/>
              <w:jc w:val="center"/>
              <w:textAlignment w:val="center"/>
              <w:rPr>
                <w:kern w:val="0"/>
                <w:sz w:val="20"/>
                <w:szCs w:val="21"/>
                <w:lang w:val="zh-CN" w:bidi="ar"/>
              </w:rPr>
            </w:pPr>
          </w:p>
        </w:tc>
        <w:tc>
          <w:tcPr>
            <w:tcW w:w="1221" w:type="dxa"/>
            <w:vAlign w:val="center"/>
          </w:tcPr>
          <w:p w14:paraId="77ECD399">
            <w:pPr>
              <w:widowControl/>
              <w:jc w:val="center"/>
              <w:textAlignment w:val="center"/>
              <w:rPr>
                <w:kern w:val="0"/>
                <w:sz w:val="20"/>
                <w:szCs w:val="21"/>
                <w:lang w:bidi="ar"/>
              </w:rPr>
            </w:pPr>
          </w:p>
        </w:tc>
        <w:tc>
          <w:tcPr>
            <w:tcW w:w="1163" w:type="dxa"/>
            <w:vAlign w:val="center"/>
          </w:tcPr>
          <w:p w14:paraId="537E9575">
            <w:pPr>
              <w:widowControl/>
              <w:jc w:val="center"/>
              <w:textAlignment w:val="center"/>
              <w:rPr>
                <w:kern w:val="0"/>
                <w:sz w:val="20"/>
                <w:szCs w:val="21"/>
                <w:lang w:bidi="ar"/>
              </w:rPr>
            </w:pPr>
          </w:p>
        </w:tc>
      </w:tr>
      <w:tr w14:paraId="1838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03" w:type="dxa"/>
            <w:vAlign w:val="center"/>
          </w:tcPr>
          <w:p w14:paraId="27807CB5">
            <w:pPr>
              <w:spacing w:line="23" w:lineRule="atLeast"/>
              <w:jc w:val="center"/>
              <w:rPr>
                <w:kern w:val="0"/>
                <w:sz w:val="20"/>
                <w:szCs w:val="21"/>
              </w:rPr>
            </w:pPr>
            <w:r>
              <w:rPr>
                <w:kern w:val="0"/>
                <w:sz w:val="20"/>
                <w:szCs w:val="21"/>
              </w:rPr>
              <w:t>12</w:t>
            </w:r>
          </w:p>
        </w:tc>
        <w:tc>
          <w:tcPr>
            <w:tcW w:w="2508" w:type="dxa"/>
            <w:vAlign w:val="center"/>
          </w:tcPr>
          <w:p w14:paraId="073CFD5B">
            <w:pPr>
              <w:widowControl/>
              <w:jc w:val="center"/>
              <w:textAlignment w:val="center"/>
              <w:rPr>
                <w:kern w:val="0"/>
                <w:sz w:val="20"/>
                <w:szCs w:val="21"/>
                <w:lang w:val="zh-CN" w:bidi="ar"/>
              </w:rPr>
            </w:pPr>
          </w:p>
        </w:tc>
        <w:tc>
          <w:tcPr>
            <w:tcW w:w="843" w:type="dxa"/>
            <w:vAlign w:val="center"/>
          </w:tcPr>
          <w:p w14:paraId="49D0381E">
            <w:pPr>
              <w:widowControl/>
              <w:jc w:val="center"/>
              <w:textAlignment w:val="center"/>
              <w:rPr>
                <w:kern w:val="0"/>
                <w:sz w:val="20"/>
                <w:szCs w:val="21"/>
                <w:lang w:bidi="ar"/>
              </w:rPr>
            </w:pPr>
          </w:p>
        </w:tc>
        <w:tc>
          <w:tcPr>
            <w:tcW w:w="836" w:type="dxa"/>
            <w:vAlign w:val="center"/>
          </w:tcPr>
          <w:p w14:paraId="5405A93E">
            <w:pPr>
              <w:jc w:val="center"/>
              <w:rPr>
                <w:kern w:val="0"/>
                <w:sz w:val="20"/>
                <w:szCs w:val="21"/>
                <w:lang w:bidi="ar"/>
              </w:rPr>
            </w:pPr>
          </w:p>
        </w:tc>
        <w:tc>
          <w:tcPr>
            <w:tcW w:w="947" w:type="dxa"/>
            <w:vAlign w:val="center"/>
          </w:tcPr>
          <w:p w14:paraId="783AA143">
            <w:pPr>
              <w:widowControl/>
              <w:jc w:val="center"/>
              <w:textAlignment w:val="center"/>
              <w:rPr>
                <w:kern w:val="0"/>
                <w:sz w:val="20"/>
                <w:szCs w:val="21"/>
                <w:lang w:bidi="ar"/>
              </w:rPr>
            </w:pPr>
          </w:p>
        </w:tc>
        <w:tc>
          <w:tcPr>
            <w:tcW w:w="776" w:type="dxa"/>
            <w:vAlign w:val="center"/>
          </w:tcPr>
          <w:p w14:paraId="7C497D33">
            <w:pPr>
              <w:widowControl/>
              <w:jc w:val="center"/>
              <w:textAlignment w:val="center"/>
              <w:rPr>
                <w:kern w:val="0"/>
                <w:sz w:val="20"/>
                <w:szCs w:val="21"/>
                <w:lang w:val="zh-CN" w:bidi="ar"/>
              </w:rPr>
            </w:pPr>
          </w:p>
        </w:tc>
        <w:tc>
          <w:tcPr>
            <w:tcW w:w="1221" w:type="dxa"/>
            <w:vAlign w:val="center"/>
          </w:tcPr>
          <w:p w14:paraId="2A550317">
            <w:pPr>
              <w:widowControl/>
              <w:jc w:val="center"/>
              <w:textAlignment w:val="center"/>
              <w:rPr>
                <w:kern w:val="0"/>
                <w:sz w:val="20"/>
                <w:szCs w:val="21"/>
                <w:lang w:bidi="ar"/>
              </w:rPr>
            </w:pPr>
          </w:p>
        </w:tc>
        <w:tc>
          <w:tcPr>
            <w:tcW w:w="1163" w:type="dxa"/>
            <w:vAlign w:val="center"/>
          </w:tcPr>
          <w:p w14:paraId="1A64630C">
            <w:pPr>
              <w:widowControl/>
              <w:jc w:val="center"/>
              <w:textAlignment w:val="center"/>
              <w:rPr>
                <w:kern w:val="0"/>
                <w:sz w:val="20"/>
                <w:szCs w:val="21"/>
                <w:lang w:bidi="ar"/>
              </w:rPr>
            </w:pPr>
          </w:p>
        </w:tc>
      </w:tr>
      <w:tr w14:paraId="4F41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trPr>
        <w:tc>
          <w:tcPr>
            <w:tcW w:w="603" w:type="dxa"/>
            <w:vAlign w:val="center"/>
          </w:tcPr>
          <w:p w14:paraId="4BA3855A">
            <w:pPr>
              <w:spacing w:line="23" w:lineRule="atLeast"/>
              <w:jc w:val="center"/>
              <w:rPr>
                <w:kern w:val="0"/>
                <w:sz w:val="20"/>
                <w:szCs w:val="21"/>
              </w:rPr>
            </w:pPr>
            <w:r>
              <w:rPr>
                <w:kern w:val="0"/>
                <w:sz w:val="20"/>
                <w:szCs w:val="21"/>
              </w:rPr>
              <w:t>13</w:t>
            </w:r>
          </w:p>
        </w:tc>
        <w:tc>
          <w:tcPr>
            <w:tcW w:w="2508" w:type="dxa"/>
            <w:vAlign w:val="center"/>
          </w:tcPr>
          <w:p w14:paraId="5B3F9B2B">
            <w:pPr>
              <w:widowControl/>
              <w:jc w:val="center"/>
              <w:textAlignment w:val="center"/>
              <w:rPr>
                <w:kern w:val="0"/>
                <w:sz w:val="20"/>
                <w:szCs w:val="21"/>
                <w:lang w:val="zh-CN" w:bidi="ar"/>
              </w:rPr>
            </w:pPr>
          </w:p>
        </w:tc>
        <w:tc>
          <w:tcPr>
            <w:tcW w:w="843" w:type="dxa"/>
            <w:vAlign w:val="center"/>
          </w:tcPr>
          <w:p w14:paraId="3230B9C8">
            <w:pPr>
              <w:widowControl/>
              <w:jc w:val="center"/>
              <w:textAlignment w:val="center"/>
              <w:rPr>
                <w:kern w:val="0"/>
                <w:sz w:val="20"/>
                <w:szCs w:val="21"/>
                <w:lang w:bidi="ar"/>
              </w:rPr>
            </w:pPr>
          </w:p>
        </w:tc>
        <w:tc>
          <w:tcPr>
            <w:tcW w:w="836" w:type="dxa"/>
            <w:vAlign w:val="center"/>
          </w:tcPr>
          <w:p w14:paraId="1253FC7C">
            <w:pPr>
              <w:jc w:val="center"/>
              <w:rPr>
                <w:kern w:val="0"/>
                <w:sz w:val="20"/>
                <w:szCs w:val="21"/>
                <w:lang w:bidi="ar"/>
              </w:rPr>
            </w:pPr>
          </w:p>
        </w:tc>
        <w:tc>
          <w:tcPr>
            <w:tcW w:w="947" w:type="dxa"/>
            <w:vAlign w:val="center"/>
          </w:tcPr>
          <w:p w14:paraId="3B09D7D2">
            <w:pPr>
              <w:widowControl/>
              <w:jc w:val="center"/>
              <w:textAlignment w:val="center"/>
              <w:rPr>
                <w:kern w:val="0"/>
                <w:sz w:val="20"/>
                <w:szCs w:val="21"/>
                <w:lang w:bidi="ar"/>
              </w:rPr>
            </w:pPr>
          </w:p>
        </w:tc>
        <w:tc>
          <w:tcPr>
            <w:tcW w:w="776" w:type="dxa"/>
            <w:vAlign w:val="center"/>
          </w:tcPr>
          <w:p w14:paraId="03A964AA">
            <w:pPr>
              <w:widowControl/>
              <w:jc w:val="center"/>
              <w:textAlignment w:val="center"/>
              <w:rPr>
                <w:kern w:val="0"/>
                <w:sz w:val="20"/>
                <w:szCs w:val="21"/>
                <w:lang w:val="zh-CN" w:bidi="ar"/>
              </w:rPr>
            </w:pPr>
          </w:p>
        </w:tc>
        <w:tc>
          <w:tcPr>
            <w:tcW w:w="1221" w:type="dxa"/>
            <w:vAlign w:val="center"/>
          </w:tcPr>
          <w:p w14:paraId="14878B47">
            <w:pPr>
              <w:widowControl/>
              <w:jc w:val="center"/>
              <w:textAlignment w:val="center"/>
              <w:rPr>
                <w:kern w:val="0"/>
                <w:sz w:val="20"/>
                <w:szCs w:val="21"/>
                <w:lang w:bidi="ar"/>
              </w:rPr>
            </w:pPr>
          </w:p>
        </w:tc>
        <w:tc>
          <w:tcPr>
            <w:tcW w:w="1163" w:type="dxa"/>
            <w:vAlign w:val="center"/>
          </w:tcPr>
          <w:p w14:paraId="2EF6DB24">
            <w:pPr>
              <w:widowControl/>
              <w:jc w:val="center"/>
              <w:textAlignment w:val="center"/>
              <w:rPr>
                <w:kern w:val="0"/>
                <w:sz w:val="20"/>
                <w:szCs w:val="21"/>
                <w:lang w:bidi="ar"/>
              </w:rPr>
            </w:pPr>
          </w:p>
        </w:tc>
      </w:tr>
      <w:tr w14:paraId="6D46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03" w:type="dxa"/>
            <w:vAlign w:val="center"/>
          </w:tcPr>
          <w:p w14:paraId="282F9CF2">
            <w:pPr>
              <w:spacing w:line="23" w:lineRule="atLeast"/>
              <w:jc w:val="center"/>
              <w:rPr>
                <w:kern w:val="0"/>
                <w:sz w:val="20"/>
                <w:szCs w:val="21"/>
              </w:rPr>
            </w:pPr>
            <w:r>
              <w:rPr>
                <w:kern w:val="0"/>
                <w:sz w:val="20"/>
                <w:szCs w:val="21"/>
              </w:rPr>
              <w:t>14</w:t>
            </w:r>
          </w:p>
        </w:tc>
        <w:tc>
          <w:tcPr>
            <w:tcW w:w="2508" w:type="dxa"/>
            <w:vAlign w:val="center"/>
          </w:tcPr>
          <w:p w14:paraId="45A4B021">
            <w:pPr>
              <w:widowControl/>
              <w:jc w:val="center"/>
              <w:textAlignment w:val="center"/>
              <w:rPr>
                <w:kern w:val="0"/>
                <w:sz w:val="20"/>
                <w:szCs w:val="21"/>
                <w:lang w:val="zh-CN" w:bidi="ar"/>
              </w:rPr>
            </w:pPr>
          </w:p>
        </w:tc>
        <w:tc>
          <w:tcPr>
            <w:tcW w:w="843" w:type="dxa"/>
            <w:vAlign w:val="center"/>
          </w:tcPr>
          <w:p w14:paraId="5A05AF03">
            <w:pPr>
              <w:widowControl/>
              <w:jc w:val="center"/>
              <w:textAlignment w:val="center"/>
              <w:rPr>
                <w:kern w:val="0"/>
                <w:sz w:val="20"/>
                <w:szCs w:val="21"/>
                <w:lang w:bidi="ar"/>
              </w:rPr>
            </w:pPr>
          </w:p>
        </w:tc>
        <w:tc>
          <w:tcPr>
            <w:tcW w:w="836" w:type="dxa"/>
            <w:vAlign w:val="center"/>
          </w:tcPr>
          <w:p w14:paraId="2717FBCE">
            <w:pPr>
              <w:widowControl/>
              <w:jc w:val="center"/>
              <w:textAlignment w:val="center"/>
              <w:rPr>
                <w:kern w:val="0"/>
                <w:sz w:val="20"/>
                <w:szCs w:val="21"/>
                <w:lang w:val="zh-CN" w:bidi="ar"/>
              </w:rPr>
            </w:pPr>
          </w:p>
        </w:tc>
        <w:tc>
          <w:tcPr>
            <w:tcW w:w="947" w:type="dxa"/>
            <w:vAlign w:val="center"/>
          </w:tcPr>
          <w:p w14:paraId="5E23CF06">
            <w:pPr>
              <w:widowControl/>
              <w:jc w:val="center"/>
              <w:textAlignment w:val="center"/>
              <w:rPr>
                <w:kern w:val="0"/>
                <w:sz w:val="20"/>
                <w:szCs w:val="21"/>
                <w:lang w:bidi="ar"/>
              </w:rPr>
            </w:pPr>
          </w:p>
        </w:tc>
        <w:tc>
          <w:tcPr>
            <w:tcW w:w="776" w:type="dxa"/>
            <w:vAlign w:val="center"/>
          </w:tcPr>
          <w:p w14:paraId="1EC9F412">
            <w:pPr>
              <w:widowControl/>
              <w:jc w:val="center"/>
              <w:textAlignment w:val="center"/>
              <w:rPr>
                <w:kern w:val="0"/>
                <w:sz w:val="20"/>
                <w:szCs w:val="21"/>
                <w:lang w:val="zh-CN" w:bidi="ar"/>
              </w:rPr>
            </w:pPr>
          </w:p>
        </w:tc>
        <w:tc>
          <w:tcPr>
            <w:tcW w:w="1221" w:type="dxa"/>
            <w:vAlign w:val="center"/>
          </w:tcPr>
          <w:p w14:paraId="44A516AD">
            <w:pPr>
              <w:widowControl/>
              <w:jc w:val="center"/>
              <w:textAlignment w:val="center"/>
              <w:rPr>
                <w:kern w:val="0"/>
                <w:sz w:val="20"/>
                <w:szCs w:val="21"/>
                <w:lang w:bidi="ar"/>
              </w:rPr>
            </w:pPr>
          </w:p>
        </w:tc>
        <w:tc>
          <w:tcPr>
            <w:tcW w:w="1163" w:type="dxa"/>
            <w:vAlign w:val="center"/>
          </w:tcPr>
          <w:p w14:paraId="0C63D746">
            <w:pPr>
              <w:widowControl/>
              <w:jc w:val="center"/>
              <w:textAlignment w:val="center"/>
              <w:rPr>
                <w:kern w:val="0"/>
                <w:sz w:val="20"/>
                <w:szCs w:val="21"/>
                <w:lang w:bidi="ar"/>
              </w:rPr>
            </w:pPr>
          </w:p>
        </w:tc>
      </w:tr>
      <w:tr w14:paraId="028F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03" w:type="dxa"/>
            <w:vAlign w:val="center"/>
          </w:tcPr>
          <w:p w14:paraId="3BE67FF2">
            <w:pPr>
              <w:spacing w:line="23" w:lineRule="atLeast"/>
              <w:jc w:val="center"/>
              <w:rPr>
                <w:kern w:val="0"/>
                <w:sz w:val="20"/>
                <w:szCs w:val="21"/>
              </w:rPr>
            </w:pPr>
            <w:r>
              <w:rPr>
                <w:kern w:val="0"/>
                <w:sz w:val="20"/>
                <w:szCs w:val="21"/>
              </w:rPr>
              <w:t>15</w:t>
            </w:r>
          </w:p>
        </w:tc>
        <w:tc>
          <w:tcPr>
            <w:tcW w:w="2508" w:type="dxa"/>
            <w:vAlign w:val="center"/>
          </w:tcPr>
          <w:p w14:paraId="14C74567">
            <w:pPr>
              <w:widowControl/>
              <w:jc w:val="center"/>
              <w:textAlignment w:val="center"/>
              <w:rPr>
                <w:kern w:val="0"/>
                <w:sz w:val="20"/>
                <w:szCs w:val="21"/>
                <w:lang w:val="zh-CN" w:bidi="ar"/>
              </w:rPr>
            </w:pPr>
          </w:p>
        </w:tc>
        <w:tc>
          <w:tcPr>
            <w:tcW w:w="843" w:type="dxa"/>
            <w:vAlign w:val="center"/>
          </w:tcPr>
          <w:p w14:paraId="3BBE35C4">
            <w:pPr>
              <w:widowControl/>
              <w:jc w:val="center"/>
              <w:textAlignment w:val="center"/>
              <w:rPr>
                <w:kern w:val="0"/>
                <w:sz w:val="20"/>
                <w:szCs w:val="21"/>
                <w:lang w:bidi="ar"/>
              </w:rPr>
            </w:pPr>
          </w:p>
        </w:tc>
        <w:tc>
          <w:tcPr>
            <w:tcW w:w="836" w:type="dxa"/>
            <w:vAlign w:val="center"/>
          </w:tcPr>
          <w:p w14:paraId="0B2186A2">
            <w:pPr>
              <w:widowControl/>
              <w:jc w:val="center"/>
              <w:textAlignment w:val="center"/>
              <w:rPr>
                <w:kern w:val="0"/>
                <w:sz w:val="20"/>
                <w:szCs w:val="21"/>
                <w:lang w:val="zh-CN" w:bidi="ar"/>
              </w:rPr>
            </w:pPr>
          </w:p>
        </w:tc>
        <w:tc>
          <w:tcPr>
            <w:tcW w:w="947" w:type="dxa"/>
            <w:vAlign w:val="center"/>
          </w:tcPr>
          <w:p w14:paraId="2036B3F2">
            <w:pPr>
              <w:widowControl/>
              <w:jc w:val="center"/>
              <w:textAlignment w:val="center"/>
              <w:rPr>
                <w:kern w:val="0"/>
                <w:sz w:val="20"/>
                <w:szCs w:val="21"/>
                <w:lang w:val="zh-CN" w:bidi="ar"/>
              </w:rPr>
            </w:pPr>
          </w:p>
        </w:tc>
        <w:tc>
          <w:tcPr>
            <w:tcW w:w="776" w:type="dxa"/>
            <w:vAlign w:val="center"/>
          </w:tcPr>
          <w:p w14:paraId="6DA1FC24">
            <w:pPr>
              <w:widowControl/>
              <w:jc w:val="center"/>
              <w:textAlignment w:val="center"/>
              <w:rPr>
                <w:kern w:val="0"/>
                <w:sz w:val="20"/>
                <w:szCs w:val="21"/>
                <w:lang w:val="zh-CN" w:bidi="ar"/>
              </w:rPr>
            </w:pPr>
          </w:p>
        </w:tc>
        <w:tc>
          <w:tcPr>
            <w:tcW w:w="1221" w:type="dxa"/>
            <w:vAlign w:val="center"/>
          </w:tcPr>
          <w:p w14:paraId="7A52D7E0">
            <w:pPr>
              <w:widowControl/>
              <w:jc w:val="center"/>
              <w:textAlignment w:val="center"/>
              <w:rPr>
                <w:kern w:val="0"/>
                <w:sz w:val="20"/>
                <w:szCs w:val="21"/>
                <w:lang w:bidi="ar"/>
              </w:rPr>
            </w:pPr>
          </w:p>
        </w:tc>
        <w:tc>
          <w:tcPr>
            <w:tcW w:w="1163" w:type="dxa"/>
            <w:vAlign w:val="center"/>
          </w:tcPr>
          <w:p w14:paraId="5730B4AB">
            <w:pPr>
              <w:widowControl/>
              <w:jc w:val="center"/>
              <w:textAlignment w:val="center"/>
              <w:rPr>
                <w:kern w:val="0"/>
                <w:sz w:val="20"/>
                <w:szCs w:val="21"/>
                <w:lang w:bidi="ar"/>
              </w:rPr>
            </w:pPr>
          </w:p>
        </w:tc>
      </w:tr>
      <w:tr w14:paraId="6BF4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03" w:type="dxa"/>
            <w:vAlign w:val="center"/>
          </w:tcPr>
          <w:p w14:paraId="6698DD23">
            <w:pPr>
              <w:spacing w:line="23" w:lineRule="atLeast"/>
              <w:jc w:val="center"/>
              <w:rPr>
                <w:kern w:val="0"/>
                <w:sz w:val="20"/>
                <w:szCs w:val="21"/>
              </w:rPr>
            </w:pPr>
            <w:r>
              <w:rPr>
                <w:kern w:val="0"/>
                <w:sz w:val="20"/>
                <w:szCs w:val="21"/>
              </w:rPr>
              <w:t>16</w:t>
            </w:r>
          </w:p>
        </w:tc>
        <w:tc>
          <w:tcPr>
            <w:tcW w:w="2508" w:type="dxa"/>
            <w:vAlign w:val="center"/>
          </w:tcPr>
          <w:p w14:paraId="11687A49">
            <w:pPr>
              <w:widowControl/>
              <w:jc w:val="center"/>
              <w:textAlignment w:val="center"/>
              <w:rPr>
                <w:kern w:val="0"/>
                <w:sz w:val="20"/>
                <w:szCs w:val="21"/>
                <w:lang w:val="zh-CN" w:bidi="ar"/>
              </w:rPr>
            </w:pPr>
          </w:p>
        </w:tc>
        <w:tc>
          <w:tcPr>
            <w:tcW w:w="843" w:type="dxa"/>
            <w:vAlign w:val="center"/>
          </w:tcPr>
          <w:p w14:paraId="70280295">
            <w:pPr>
              <w:widowControl/>
              <w:jc w:val="center"/>
              <w:textAlignment w:val="center"/>
              <w:rPr>
                <w:kern w:val="0"/>
                <w:sz w:val="20"/>
                <w:szCs w:val="21"/>
                <w:lang w:bidi="ar"/>
              </w:rPr>
            </w:pPr>
          </w:p>
        </w:tc>
        <w:tc>
          <w:tcPr>
            <w:tcW w:w="836" w:type="dxa"/>
            <w:vAlign w:val="center"/>
          </w:tcPr>
          <w:p w14:paraId="49F7F395">
            <w:pPr>
              <w:widowControl/>
              <w:jc w:val="center"/>
              <w:textAlignment w:val="center"/>
              <w:rPr>
                <w:kern w:val="0"/>
                <w:sz w:val="20"/>
                <w:szCs w:val="21"/>
                <w:lang w:bidi="ar"/>
              </w:rPr>
            </w:pPr>
          </w:p>
        </w:tc>
        <w:tc>
          <w:tcPr>
            <w:tcW w:w="947" w:type="dxa"/>
            <w:vAlign w:val="center"/>
          </w:tcPr>
          <w:p w14:paraId="484872DF">
            <w:pPr>
              <w:widowControl/>
              <w:jc w:val="center"/>
              <w:textAlignment w:val="center"/>
              <w:rPr>
                <w:kern w:val="0"/>
                <w:sz w:val="20"/>
                <w:szCs w:val="21"/>
                <w:lang w:bidi="ar"/>
              </w:rPr>
            </w:pPr>
          </w:p>
        </w:tc>
        <w:tc>
          <w:tcPr>
            <w:tcW w:w="776" w:type="dxa"/>
            <w:vAlign w:val="center"/>
          </w:tcPr>
          <w:p w14:paraId="1E6BA364">
            <w:pPr>
              <w:widowControl/>
              <w:jc w:val="center"/>
              <w:textAlignment w:val="center"/>
              <w:rPr>
                <w:kern w:val="0"/>
                <w:sz w:val="20"/>
                <w:szCs w:val="21"/>
                <w:lang w:val="zh-CN" w:bidi="ar"/>
              </w:rPr>
            </w:pPr>
          </w:p>
        </w:tc>
        <w:tc>
          <w:tcPr>
            <w:tcW w:w="1221" w:type="dxa"/>
            <w:vAlign w:val="center"/>
          </w:tcPr>
          <w:p w14:paraId="2267E6A8">
            <w:pPr>
              <w:widowControl/>
              <w:jc w:val="center"/>
              <w:textAlignment w:val="center"/>
              <w:rPr>
                <w:kern w:val="0"/>
                <w:sz w:val="20"/>
                <w:szCs w:val="21"/>
                <w:lang w:bidi="ar"/>
              </w:rPr>
            </w:pPr>
          </w:p>
        </w:tc>
        <w:tc>
          <w:tcPr>
            <w:tcW w:w="1163" w:type="dxa"/>
            <w:vAlign w:val="center"/>
          </w:tcPr>
          <w:p w14:paraId="07087EC5">
            <w:pPr>
              <w:widowControl/>
              <w:jc w:val="center"/>
              <w:textAlignment w:val="center"/>
              <w:rPr>
                <w:kern w:val="0"/>
                <w:sz w:val="20"/>
                <w:szCs w:val="21"/>
                <w:lang w:bidi="ar"/>
              </w:rPr>
            </w:pPr>
          </w:p>
        </w:tc>
      </w:tr>
      <w:tr w14:paraId="1BD3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03" w:type="dxa"/>
            <w:vAlign w:val="center"/>
          </w:tcPr>
          <w:p w14:paraId="0BB70D39">
            <w:pPr>
              <w:spacing w:line="23" w:lineRule="atLeast"/>
              <w:jc w:val="center"/>
              <w:rPr>
                <w:kern w:val="0"/>
                <w:sz w:val="20"/>
                <w:szCs w:val="21"/>
              </w:rPr>
            </w:pPr>
            <w:r>
              <w:rPr>
                <w:kern w:val="0"/>
                <w:sz w:val="20"/>
                <w:szCs w:val="21"/>
              </w:rPr>
              <w:t>17</w:t>
            </w:r>
          </w:p>
        </w:tc>
        <w:tc>
          <w:tcPr>
            <w:tcW w:w="2508" w:type="dxa"/>
            <w:vAlign w:val="center"/>
          </w:tcPr>
          <w:p w14:paraId="0882F04B">
            <w:pPr>
              <w:widowControl/>
              <w:jc w:val="center"/>
              <w:textAlignment w:val="center"/>
              <w:rPr>
                <w:kern w:val="0"/>
                <w:sz w:val="20"/>
                <w:szCs w:val="21"/>
                <w:lang w:val="zh-CN" w:bidi="ar"/>
              </w:rPr>
            </w:pPr>
          </w:p>
        </w:tc>
        <w:tc>
          <w:tcPr>
            <w:tcW w:w="843" w:type="dxa"/>
            <w:vAlign w:val="center"/>
          </w:tcPr>
          <w:p w14:paraId="224923A5">
            <w:pPr>
              <w:widowControl/>
              <w:jc w:val="center"/>
              <w:textAlignment w:val="center"/>
              <w:rPr>
                <w:kern w:val="0"/>
                <w:sz w:val="20"/>
                <w:szCs w:val="21"/>
                <w:lang w:bidi="ar"/>
              </w:rPr>
            </w:pPr>
          </w:p>
        </w:tc>
        <w:tc>
          <w:tcPr>
            <w:tcW w:w="836" w:type="dxa"/>
            <w:vAlign w:val="center"/>
          </w:tcPr>
          <w:p w14:paraId="6AE945D5">
            <w:pPr>
              <w:jc w:val="center"/>
              <w:rPr>
                <w:kern w:val="0"/>
                <w:sz w:val="20"/>
                <w:szCs w:val="21"/>
                <w:lang w:val="zh-CN" w:bidi="ar"/>
              </w:rPr>
            </w:pPr>
          </w:p>
        </w:tc>
        <w:tc>
          <w:tcPr>
            <w:tcW w:w="947" w:type="dxa"/>
            <w:vAlign w:val="center"/>
          </w:tcPr>
          <w:p w14:paraId="1228F4DE">
            <w:pPr>
              <w:widowControl/>
              <w:jc w:val="center"/>
              <w:textAlignment w:val="center"/>
              <w:rPr>
                <w:kern w:val="0"/>
                <w:sz w:val="20"/>
                <w:szCs w:val="21"/>
                <w:lang w:val="zh-CN" w:bidi="ar"/>
              </w:rPr>
            </w:pPr>
          </w:p>
        </w:tc>
        <w:tc>
          <w:tcPr>
            <w:tcW w:w="776" w:type="dxa"/>
            <w:vAlign w:val="center"/>
          </w:tcPr>
          <w:p w14:paraId="48469F1F">
            <w:pPr>
              <w:widowControl/>
              <w:jc w:val="center"/>
              <w:textAlignment w:val="center"/>
              <w:rPr>
                <w:kern w:val="0"/>
                <w:sz w:val="20"/>
                <w:szCs w:val="21"/>
                <w:lang w:val="zh-CN" w:bidi="ar"/>
              </w:rPr>
            </w:pPr>
          </w:p>
        </w:tc>
        <w:tc>
          <w:tcPr>
            <w:tcW w:w="1221" w:type="dxa"/>
            <w:vAlign w:val="center"/>
          </w:tcPr>
          <w:p w14:paraId="5853441F">
            <w:pPr>
              <w:widowControl/>
              <w:jc w:val="center"/>
              <w:textAlignment w:val="center"/>
              <w:rPr>
                <w:kern w:val="0"/>
                <w:sz w:val="20"/>
                <w:szCs w:val="21"/>
                <w:lang w:bidi="ar"/>
              </w:rPr>
            </w:pPr>
          </w:p>
        </w:tc>
        <w:tc>
          <w:tcPr>
            <w:tcW w:w="1163" w:type="dxa"/>
            <w:vAlign w:val="center"/>
          </w:tcPr>
          <w:p w14:paraId="0D694DA1">
            <w:pPr>
              <w:widowControl/>
              <w:jc w:val="center"/>
              <w:textAlignment w:val="center"/>
              <w:rPr>
                <w:kern w:val="0"/>
                <w:sz w:val="20"/>
                <w:szCs w:val="21"/>
                <w:lang w:bidi="ar"/>
              </w:rPr>
            </w:pPr>
          </w:p>
        </w:tc>
      </w:tr>
      <w:tr w14:paraId="4C51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603" w:type="dxa"/>
            <w:vAlign w:val="center"/>
          </w:tcPr>
          <w:p w14:paraId="27EC4B96">
            <w:pPr>
              <w:spacing w:line="23" w:lineRule="atLeast"/>
              <w:jc w:val="center"/>
              <w:rPr>
                <w:kern w:val="0"/>
                <w:sz w:val="20"/>
                <w:szCs w:val="21"/>
              </w:rPr>
            </w:pPr>
            <w:r>
              <w:rPr>
                <w:kern w:val="0"/>
                <w:sz w:val="20"/>
                <w:szCs w:val="21"/>
              </w:rPr>
              <w:t>18</w:t>
            </w:r>
          </w:p>
        </w:tc>
        <w:tc>
          <w:tcPr>
            <w:tcW w:w="2508" w:type="dxa"/>
            <w:vAlign w:val="center"/>
          </w:tcPr>
          <w:p w14:paraId="2F1C72E3">
            <w:pPr>
              <w:widowControl/>
              <w:jc w:val="center"/>
              <w:textAlignment w:val="center"/>
              <w:rPr>
                <w:kern w:val="0"/>
                <w:sz w:val="20"/>
                <w:szCs w:val="21"/>
                <w:lang w:bidi="ar"/>
              </w:rPr>
            </w:pPr>
          </w:p>
        </w:tc>
        <w:tc>
          <w:tcPr>
            <w:tcW w:w="843" w:type="dxa"/>
            <w:vAlign w:val="center"/>
          </w:tcPr>
          <w:p w14:paraId="71704D8C">
            <w:pPr>
              <w:widowControl/>
              <w:jc w:val="center"/>
              <w:textAlignment w:val="center"/>
              <w:rPr>
                <w:kern w:val="0"/>
                <w:sz w:val="20"/>
                <w:szCs w:val="21"/>
                <w:lang w:bidi="ar"/>
              </w:rPr>
            </w:pPr>
          </w:p>
        </w:tc>
        <w:tc>
          <w:tcPr>
            <w:tcW w:w="836" w:type="dxa"/>
            <w:vAlign w:val="center"/>
          </w:tcPr>
          <w:p w14:paraId="7C5BE0F4">
            <w:pPr>
              <w:jc w:val="center"/>
              <w:rPr>
                <w:kern w:val="0"/>
                <w:sz w:val="20"/>
                <w:szCs w:val="21"/>
                <w:lang w:bidi="ar"/>
              </w:rPr>
            </w:pPr>
          </w:p>
        </w:tc>
        <w:tc>
          <w:tcPr>
            <w:tcW w:w="947" w:type="dxa"/>
            <w:vAlign w:val="center"/>
          </w:tcPr>
          <w:p w14:paraId="6BD1DC76">
            <w:pPr>
              <w:widowControl/>
              <w:jc w:val="center"/>
              <w:textAlignment w:val="center"/>
              <w:rPr>
                <w:kern w:val="0"/>
                <w:sz w:val="20"/>
                <w:szCs w:val="21"/>
                <w:lang w:bidi="ar"/>
              </w:rPr>
            </w:pPr>
          </w:p>
        </w:tc>
        <w:tc>
          <w:tcPr>
            <w:tcW w:w="776" w:type="dxa"/>
            <w:vAlign w:val="center"/>
          </w:tcPr>
          <w:p w14:paraId="6D038364">
            <w:pPr>
              <w:widowControl/>
              <w:jc w:val="center"/>
              <w:textAlignment w:val="center"/>
              <w:rPr>
                <w:kern w:val="0"/>
                <w:sz w:val="20"/>
                <w:szCs w:val="21"/>
                <w:lang w:bidi="ar"/>
              </w:rPr>
            </w:pPr>
          </w:p>
        </w:tc>
        <w:tc>
          <w:tcPr>
            <w:tcW w:w="1221" w:type="dxa"/>
            <w:vAlign w:val="center"/>
          </w:tcPr>
          <w:p w14:paraId="3AD47C27">
            <w:pPr>
              <w:widowControl/>
              <w:jc w:val="center"/>
              <w:textAlignment w:val="center"/>
              <w:rPr>
                <w:kern w:val="0"/>
                <w:sz w:val="20"/>
                <w:szCs w:val="21"/>
                <w:lang w:bidi="ar"/>
              </w:rPr>
            </w:pPr>
          </w:p>
        </w:tc>
        <w:tc>
          <w:tcPr>
            <w:tcW w:w="1163" w:type="dxa"/>
            <w:vAlign w:val="center"/>
          </w:tcPr>
          <w:p w14:paraId="04ABC282">
            <w:pPr>
              <w:widowControl/>
              <w:jc w:val="center"/>
              <w:textAlignment w:val="center"/>
              <w:rPr>
                <w:kern w:val="0"/>
                <w:sz w:val="20"/>
                <w:szCs w:val="21"/>
                <w:lang w:bidi="ar"/>
              </w:rPr>
            </w:pPr>
          </w:p>
        </w:tc>
      </w:tr>
      <w:tr w14:paraId="3EF5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603" w:type="dxa"/>
            <w:vAlign w:val="center"/>
          </w:tcPr>
          <w:p w14:paraId="71F307E2">
            <w:pPr>
              <w:spacing w:line="23" w:lineRule="atLeast"/>
              <w:jc w:val="center"/>
              <w:rPr>
                <w:kern w:val="0"/>
                <w:sz w:val="20"/>
                <w:szCs w:val="21"/>
              </w:rPr>
            </w:pPr>
            <w:r>
              <w:rPr>
                <w:kern w:val="0"/>
                <w:sz w:val="20"/>
                <w:szCs w:val="21"/>
              </w:rPr>
              <w:t>19</w:t>
            </w:r>
          </w:p>
        </w:tc>
        <w:tc>
          <w:tcPr>
            <w:tcW w:w="2508" w:type="dxa"/>
            <w:vAlign w:val="center"/>
          </w:tcPr>
          <w:p w14:paraId="13824DCF">
            <w:pPr>
              <w:widowControl/>
              <w:jc w:val="center"/>
              <w:textAlignment w:val="center"/>
              <w:rPr>
                <w:kern w:val="0"/>
                <w:sz w:val="20"/>
                <w:szCs w:val="21"/>
                <w:lang w:bidi="ar"/>
              </w:rPr>
            </w:pPr>
            <w:r>
              <w:rPr>
                <w:color w:val="000000"/>
                <w:kern w:val="0"/>
                <w:sz w:val="20"/>
                <w:szCs w:val="21"/>
                <w:lang w:bidi="ar"/>
              </w:rPr>
              <w:t>合计</w:t>
            </w:r>
          </w:p>
        </w:tc>
        <w:tc>
          <w:tcPr>
            <w:tcW w:w="843" w:type="dxa"/>
            <w:vAlign w:val="center"/>
          </w:tcPr>
          <w:p w14:paraId="08EFB679">
            <w:pPr>
              <w:widowControl/>
              <w:jc w:val="center"/>
              <w:textAlignment w:val="center"/>
              <w:rPr>
                <w:kern w:val="0"/>
                <w:sz w:val="20"/>
                <w:szCs w:val="21"/>
                <w:lang w:bidi="ar"/>
              </w:rPr>
            </w:pPr>
          </w:p>
        </w:tc>
        <w:tc>
          <w:tcPr>
            <w:tcW w:w="836" w:type="dxa"/>
            <w:vAlign w:val="center"/>
          </w:tcPr>
          <w:p w14:paraId="6F38033D">
            <w:pPr>
              <w:widowControl/>
              <w:jc w:val="center"/>
              <w:textAlignment w:val="center"/>
              <w:rPr>
                <w:kern w:val="0"/>
                <w:sz w:val="20"/>
                <w:szCs w:val="21"/>
                <w:lang w:bidi="ar"/>
              </w:rPr>
            </w:pPr>
          </w:p>
        </w:tc>
        <w:tc>
          <w:tcPr>
            <w:tcW w:w="947" w:type="dxa"/>
            <w:vAlign w:val="center"/>
          </w:tcPr>
          <w:p w14:paraId="52E13FB5">
            <w:pPr>
              <w:widowControl/>
              <w:jc w:val="center"/>
              <w:textAlignment w:val="center"/>
              <w:rPr>
                <w:kern w:val="0"/>
                <w:sz w:val="20"/>
                <w:szCs w:val="21"/>
                <w:lang w:bidi="ar"/>
              </w:rPr>
            </w:pPr>
          </w:p>
        </w:tc>
        <w:tc>
          <w:tcPr>
            <w:tcW w:w="776" w:type="dxa"/>
            <w:vAlign w:val="center"/>
          </w:tcPr>
          <w:p w14:paraId="2655E908">
            <w:pPr>
              <w:widowControl/>
              <w:jc w:val="center"/>
              <w:textAlignment w:val="center"/>
              <w:rPr>
                <w:kern w:val="0"/>
                <w:sz w:val="20"/>
                <w:szCs w:val="21"/>
                <w:lang w:bidi="ar"/>
              </w:rPr>
            </w:pPr>
          </w:p>
        </w:tc>
        <w:tc>
          <w:tcPr>
            <w:tcW w:w="1221" w:type="dxa"/>
            <w:vAlign w:val="center"/>
          </w:tcPr>
          <w:p w14:paraId="48D9AF6C">
            <w:pPr>
              <w:widowControl/>
              <w:jc w:val="center"/>
              <w:textAlignment w:val="center"/>
              <w:rPr>
                <w:kern w:val="0"/>
                <w:sz w:val="20"/>
                <w:szCs w:val="21"/>
                <w:lang w:bidi="ar"/>
              </w:rPr>
            </w:pPr>
          </w:p>
        </w:tc>
        <w:tc>
          <w:tcPr>
            <w:tcW w:w="1163" w:type="dxa"/>
            <w:vAlign w:val="center"/>
          </w:tcPr>
          <w:p w14:paraId="622BA211">
            <w:pPr>
              <w:widowControl/>
              <w:jc w:val="center"/>
              <w:textAlignment w:val="center"/>
              <w:rPr>
                <w:b/>
                <w:bCs/>
                <w:kern w:val="0"/>
                <w:sz w:val="20"/>
                <w:szCs w:val="21"/>
                <w:lang w:bidi="ar"/>
              </w:rPr>
            </w:pPr>
          </w:p>
        </w:tc>
      </w:tr>
    </w:tbl>
    <w:p w14:paraId="637A360B">
      <w:pPr>
        <w:rPr>
          <w:rFonts w:eastAsia="仿宋_GB2312"/>
          <w:sz w:val="24"/>
        </w:rPr>
      </w:pPr>
    </w:p>
    <w:p w14:paraId="62783031">
      <w:pPr>
        <w:rPr>
          <w:rFonts w:eastAsia="仿宋_GB2312"/>
          <w:sz w:val="24"/>
        </w:rPr>
      </w:pPr>
    </w:p>
    <w:p w14:paraId="37DDACBB">
      <w:pPr>
        <w:autoSpaceDE w:val="0"/>
        <w:autoSpaceDN w:val="0"/>
        <w:adjustRightInd w:val="0"/>
        <w:ind w:firstLine="420"/>
        <w:jc w:val="left"/>
        <w:rPr>
          <w:rFonts w:ascii="宋体"/>
          <w:sz w:val="24"/>
        </w:rPr>
      </w:pPr>
    </w:p>
    <w:p w14:paraId="4E384F1C">
      <w:pPr>
        <w:rPr>
          <w:rFonts w:eastAsia="仿宋_GB2312"/>
          <w:sz w:val="24"/>
        </w:rPr>
      </w:pPr>
    </w:p>
    <w:p w14:paraId="613FC275">
      <w:pPr>
        <w:rPr>
          <w:rFonts w:eastAsia="仿宋_GB2312"/>
          <w:sz w:val="24"/>
        </w:rPr>
      </w:pPr>
    </w:p>
    <w:p w14:paraId="6613E1D0">
      <w:pPr>
        <w:rPr>
          <w:b/>
          <w:bCs/>
          <w:color w:val="000000"/>
          <w:sz w:val="24"/>
        </w:rPr>
      </w:pPr>
      <w:r>
        <w:rPr>
          <w:rFonts w:eastAsia="仿宋_GB2312"/>
          <w:b/>
          <w:bCs/>
          <w:sz w:val="24"/>
        </w:rPr>
        <w:br w:type="page"/>
      </w:r>
      <w:r>
        <w:rPr>
          <w:b/>
          <w:bCs/>
          <w:sz w:val="24"/>
        </w:rPr>
        <w:t xml:space="preserve">附件2   </w:t>
      </w:r>
    </w:p>
    <w:p w14:paraId="23CAC434">
      <w:pPr>
        <w:spacing w:after="120" w:line="480" w:lineRule="exact"/>
        <w:jc w:val="center"/>
        <w:rPr>
          <w:sz w:val="24"/>
          <w:szCs w:val="20"/>
        </w:rPr>
      </w:pPr>
      <w:r>
        <w:rPr>
          <w:b/>
          <w:bCs/>
          <w:color w:val="000000"/>
          <w:sz w:val="24"/>
          <w:szCs w:val="20"/>
        </w:rPr>
        <w:t>监测仪器维修更换费——维修清单</w:t>
      </w:r>
    </w:p>
    <w:tbl>
      <w:tblPr>
        <w:tblStyle w:val="42"/>
        <w:tblW w:w="8772" w:type="dxa"/>
        <w:jc w:val="center"/>
        <w:tblLayout w:type="fixed"/>
        <w:tblCellMar>
          <w:top w:w="15" w:type="dxa"/>
          <w:left w:w="15" w:type="dxa"/>
          <w:bottom w:w="15" w:type="dxa"/>
          <w:right w:w="15" w:type="dxa"/>
        </w:tblCellMar>
      </w:tblPr>
      <w:tblGrid>
        <w:gridCol w:w="685"/>
        <w:gridCol w:w="3210"/>
        <w:gridCol w:w="1170"/>
        <w:gridCol w:w="2034"/>
        <w:gridCol w:w="1673"/>
      </w:tblGrid>
      <w:tr w14:paraId="5C1D5A38">
        <w:tblPrEx>
          <w:tblCellMar>
            <w:top w:w="15" w:type="dxa"/>
            <w:left w:w="15" w:type="dxa"/>
            <w:bottom w:w="15" w:type="dxa"/>
            <w:right w:w="15" w:type="dxa"/>
          </w:tblCellMar>
        </w:tblPrEx>
        <w:trPr>
          <w:trHeight w:val="89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34D5B7FD">
            <w:pPr>
              <w:widowControl/>
              <w:adjustRightInd w:val="0"/>
              <w:snapToGrid w:val="0"/>
              <w:jc w:val="center"/>
              <w:textAlignment w:val="center"/>
              <w:rPr>
                <w:kern w:val="0"/>
                <w:szCs w:val="21"/>
                <w:lang w:bidi="ar"/>
              </w:rPr>
            </w:pPr>
            <w:r>
              <w:rPr>
                <w:kern w:val="0"/>
                <w:szCs w:val="21"/>
                <w:lang w:bidi="ar"/>
              </w:rPr>
              <w:t>序号</w:t>
            </w:r>
          </w:p>
        </w:tc>
        <w:tc>
          <w:tcPr>
            <w:tcW w:w="3210" w:type="dxa"/>
            <w:tcBorders>
              <w:top w:val="single" w:color="auto" w:sz="4" w:space="0"/>
              <w:left w:val="single" w:color="auto" w:sz="4" w:space="0"/>
              <w:bottom w:val="single" w:color="auto" w:sz="4" w:space="0"/>
              <w:right w:val="single" w:color="auto" w:sz="4" w:space="0"/>
            </w:tcBorders>
            <w:vAlign w:val="center"/>
          </w:tcPr>
          <w:p w14:paraId="06002820">
            <w:pPr>
              <w:widowControl/>
              <w:adjustRightInd w:val="0"/>
              <w:snapToGrid w:val="0"/>
              <w:jc w:val="center"/>
              <w:textAlignment w:val="center"/>
              <w:rPr>
                <w:kern w:val="0"/>
                <w:szCs w:val="21"/>
                <w:lang w:bidi="ar"/>
              </w:rPr>
            </w:pPr>
            <w:r>
              <w:rPr>
                <w:kern w:val="0"/>
                <w:szCs w:val="21"/>
                <w:lang w:bidi="ar"/>
              </w:rPr>
              <w:t>仪器名称</w:t>
            </w:r>
          </w:p>
        </w:tc>
        <w:tc>
          <w:tcPr>
            <w:tcW w:w="1170" w:type="dxa"/>
            <w:tcBorders>
              <w:top w:val="single" w:color="auto" w:sz="4" w:space="0"/>
              <w:left w:val="single" w:color="auto" w:sz="4" w:space="0"/>
              <w:bottom w:val="single" w:color="auto" w:sz="4" w:space="0"/>
              <w:right w:val="single" w:color="auto" w:sz="4" w:space="0"/>
            </w:tcBorders>
            <w:vAlign w:val="center"/>
          </w:tcPr>
          <w:p w14:paraId="4F10047A">
            <w:pPr>
              <w:widowControl/>
              <w:adjustRightInd w:val="0"/>
              <w:snapToGrid w:val="0"/>
              <w:jc w:val="center"/>
              <w:textAlignment w:val="center"/>
              <w:rPr>
                <w:kern w:val="0"/>
                <w:szCs w:val="21"/>
                <w:lang w:bidi="ar"/>
              </w:rPr>
            </w:pPr>
            <w:r>
              <w:rPr>
                <w:kern w:val="0"/>
                <w:szCs w:val="21"/>
                <w:lang w:bidi="ar"/>
              </w:rPr>
              <w:t>数量</w:t>
            </w:r>
          </w:p>
        </w:tc>
        <w:tc>
          <w:tcPr>
            <w:tcW w:w="2034" w:type="dxa"/>
            <w:tcBorders>
              <w:top w:val="single" w:color="auto" w:sz="4" w:space="0"/>
              <w:left w:val="single" w:color="auto" w:sz="4" w:space="0"/>
              <w:bottom w:val="single" w:color="auto" w:sz="4" w:space="0"/>
              <w:right w:val="single" w:color="auto" w:sz="4" w:space="0"/>
            </w:tcBorders>
            <w:vAlign w:val="center"/>
          </w:tcPr>
          <w:p w14:paraId="3488A6A5">
            <w:pPr>
              <w:widowControl/>
              <w:adjustRightInd w:val="0"/>
              <w:snapToGrid w:val="0"/>
              <w:jc w:val="center"/>
              <w:textAlignment w:val="center"/>
              <w:rPr>
                <w:kern w:val="0"/>
                <w:szCs w:val="21"/>
                <w:lang w:bidi="ar"/>
              </w:rPr>
            </w:pPr>
            <w:r>
              <w:rPr>
                <w:kern w:val="0"/>
                <w:szCs w:val="21"/>
                <w:lang w:bidi="ar"/>
              </w:rPr>
              <w:t>单价</w:t>
            </w:r>
          </w:p>
          <w:p w14:paraId="796DD81D">
            <w:pPr>
              <w:widowControl/>
              <w:adjustRightInd w:val="0"/>
              <w:snapToGrid w:val="0"/>
              <w:jc w:val="center"/>
              <w:textAlignment w:val="center"/>
              <w:rPr>
                <w:kern w:val="0"/>
                <w:szCs w:val="21"/>
                <w:lang w:bidi="ar"/>
              </w:rPr>
            </w:pPr>
            <w:r>
              <w:rPr>
                <w:kern w:val="0"/>
                <w:szCs w:val="21"/>
                <w:lang w:bidi="ar"/>
              </w:rPr>
              <w:t>（单位：元）</w:t>
            </w:r>
          </w:p>
        </w:tc>
        <w:tc>
          <w:tcPr>
            <w:tcW w:w="1673" w:type="dxa"/>
            <w:tcBorders>
              <w:top w:val="single" w:color="auto" w:sz="4" w:space="0"/>
              <w:left w:val="single" w:color="auto" w:sz="4" w:space="0"/>
              <w:bottom w:val="single" w:color="auto" w:sz="4" w:space="0"/>
              <w:right w:val="single" w:color="auto" w:sz="4" w:space="0"/>
            </w:tcBorders>
            <w:vAlign w:val="center"/>
          </w:tcPr>
          <w:p w14:paraId="0608B804">
            <w:pPr>
              <w:widowControl/>
              <w:adjustRightInd w:val="0"/>
              <w:snapToGrid w:val="0"/>
              <w:jc w:val="center"/>
              <w:textAlignment w:val="center"/>
              <w:rPr>
                <w:kern w:val="0"/>
                <w:szCs w:val="21"/>
                <w:lang w:bidi="ar"/>
              </w:rPr>
            </w:pPr>
            <w:r>
              <w:rPr>
                <w:kern w:val="0"/>
                <w:szCs w:val="21"/>
                <w:lang w:bidi="ar"/>
              </w:rPr>
              <w:t>总价</w:t>
            </w:r>
          </w:p>
          <w:p w14:paraId="17881F16">
            <w:pPr>
              <w:widowControl/>
              <w:adjustRightInd w:val="0"/>
              <w:snapToGrid w:val="0"/>
              <w:jc w:val="center"/>
              <w:textAlignment w:val="center"/>
              <w:rPr>
                <w:kern w:val="0"/>
                <w:szCs w:val="21"/>
                <w:lang w:bidi="ar"/>
              </w:rPr>
            </w:pPr>
            <w:r>
              <w:rPr>
                <w:kern w:val="0"/>
                <w:szCs w:val="21"/>
                <w:lang w:bidi="ar"/>
              </w:rPr>
              <w:t>（单位：元）</w:t>
            </w:r>
          </w:p>
        </w:tc>
      </w:tr>
      <w:tr w14:paraId="08585714">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6D1AFE44">
            <w:pPr>
              <w:widowControl/>
              <w:jc w:val="center"/>
              <w:textAlignment w:val="center"/>
              <w:rPr>
                <w:kern w:val="0"/>
                <w:szCs w:val="21"/>
                <w:lang w:bidi="ar"/>
              </w:rPr>
            </w:pPr>
            <w:r>
              <w:rPr>
                <w:kern w:val="0"/>
                <w:szCs w:val="21"/>
                <w:lang w:bidi="ar"/>
              </w:rPr>
              <w:t>1</w:t>
            </w:r>
          </w:p>
        </w:tc>
        <w:tc>
          <w:tcPr>
            <w:tcW w:w="3210" w:type="dxa"/>
            <w:tcBorders>
              <w:top w:val="single" w:color="auto" w:sz="4" w:space="0"/>
              <w:left w:val="single" w:color="auto" w:sz="4" w:space="0"/>
              <w:bottom w:val="single" w:color="auto" w:sz="4" w:space="0"/>
              <w:right w:val="single" w:color="auto" w:sz="4" w:space="0"/>
            </w:tcBorders>
            <w:vAlign w:val="center"/>
          </w:tcPr>
          <w:p w14:paraId="3F99746F">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7D14985E">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1A264A62">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4A004B5F">
            <w:pPr>
              <w:widowControl/>
              <w:jc w:val="center"/>
              <w:textAlignment w:val="center"/>
              <w:rPr>
                <w:kern w:val="0"/>
                <w:szCs w:val="21"/>
                <w:lang w:bidi="ar"/>
              </w:rPr>
            </w:pPr>
          </w:p>
        </w:tc>
      </w:tr>
      <w:tr w14:paraId="4EB22B7A">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40114C65">
            <w:pPr>
              <w:widowControl/>
              <w:jc w:val="center"/>
              <w:textAlignment w:val="center"/>
              <w:rPr>
                <w:kern w:val="0"/>
                <w:szCs w:val="21"/>
                <w:lang w:bidi="ar"/>
              </w:rPr>
            </w:pPr>
            <w:r>
              <w:rPr>
                <w:kern w:val="0"/>
                <w:szCs w:val="21"/>
                <w:lang w:bidi="ar"/>
              </w:rPr>
              <w:t>2</w:t>
            </w:r>
          </w:p>
        </w:tc>
        <w:tc>
          <w:tcPr>
            <w:tcW w:w="3210" w:type="dxa"/>
            <w:tcBorders>
              <w:top w:val="single" w:color="auto" w:sz="4" w:space="0"/>
              <w:left w:val="single" w:color="auto" w:sz="4" w:space="0"/>
              <w:bottom w:val="single" w:color="auto" w:sz="4" w:space="0"/>
              <w:right w:val="single" w:color="auto" w:sz="4" w:space="0"/>
            </w:tcBorders>
            <w:vAlign w:val="center"/>
          </w:tcPr>
          <w:p w14:paraId="72AC8605">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5F9E6B05">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5B7C8CBC">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542FF40B">
            <w:pPr>
              <w:widowControl/>
              <w:jc w:val="center"/>
              <w:textAlignment w:val="center"/>
              <w:rPr>
                <w:kern w:val="0"/>
                <w:szCs w:val="21"/>
                <w:lang w:bidi="ar"/>
              </w:rPr>
            </w:pPr>
          </w:p>
        </w:tc>
      </w:tr>
      <w:tr w14:paraId="2558AB8D">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243ACD3A">
            <w:pPr>
              <w:widowControl/>
              <w:jc w:val="center"/>
              <w:textAlignment w:val="center"/>
              <w:rPr>
                <w:kern w:val="0"/>
                <w:szCs w:val="21"/>
                <w:lang w:bidi="ar"/>
              </w:rPr>
            </w:pPr>
            <w:r>
              <w:rPr>
                <w:kern w:val="0"/>
                <w:szCs w:val="21"/>
                <w:lang w:bidi="ar"/>
              </w:rPr>
              <w:t>3</w:t>
            </w:r>
          </w:p>
        </w:tc>
        <w:tc>
          <w:tcPr>
            <w:tcW w:w="3210" w:type="dxa"/>
            <w:tcBorders>
              <w:top w:val="single" w:color="auto" w:sz="4" w:space="0"/>
              <w:left w:val="single" w:color="auto" w:sz="4" w:space="0"/>
              <w:bottom w:val="single" w:color="auto" w:sz="4" w:space="0"/>
              <w:right w:val="single" w:color="auto" w:sz="4" w:space="0"/>
            </w:tcBorders>
            <w:vAlign w:val="center"/>
          </w:tcPr>
          <w:p w14:paraId="7EDFDEBE">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6D711376">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26047A33">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14D0B266">
            <w:pPr>
              <w:widowControl/>
              <w:jc w:val="center"/>
              <w:textAlignment w:val="center"/>
              <w:rPr>
                <w:kern w:val="0"/>
                <w:szCs w:val="21"/>
                <w:lang w:bidi="ar"/>
              </w:rPr>
            </w:pPr>
          </w:p>
        </w:tc>
      </w:tr>
      <w:tr w14:paraId="73E015DF">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55BA186A">
            <w:pPr>
              <w:widowControl/>
              <w:jc w:val="center"/>
              <w:textAlignment w:val="center"/>
              <w:rPr>
                <w:kern w:val="0"/>
                <w:szCs w:val="21"/>
                <w:lang w:bidi="ar"/>
              </w:rPr>
            </w:pPr>
            <w:r>
              <w:rPr>
                <w:kern w:val="0"/>
                <w:szCs w:val="21"/>
                <w:lang w:bidi="ar"/>
              </w:rPr>
              <w:t>4</w:t>
            </w:r>
          </w:p>
        </w:tc>
        <w:tc>
          <w:tcPr>
            <w:tcW w:w="3210" w:type="dxa"/>
            <w:tcBorders>
              <w:top w:val="single" w:color="auto" w:sz="4" w:space="0"/>
              <w:left w:val="single" w:color="auto" w:sz="4" w:space="0"/>
              <w:bottom w:val="single" w:color="auto" w:sz="4" w:space="0"/>
              <w:right w:val="single" w:color="auto" w:sz="4" w:space="0"/>
            </w:tcBorders>
            <w:vAlign w:val="center"/>
          </w:tcPr>
          <w:p w14:paraId="5F476C54">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5213B9D7">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59CD5973">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35ED83A5">
            <w:pPr>
              <w:widowControl/>
              <w:jc w:val="center"/>
              <w:textAlignment w:val="center"/>
              <w:rPr>
                <w:kern w:val="0"/>
                <w:szCs w:val="21"/>
                <w:lang w:bidi="ar"/>
              </w:rPr>
            </w:pPr>
          </w:p>
        </w:tc>
      </w:tr>
      <w:tr w14:paraId="0DF7DC26">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76B41068">
            <w:pPr>
              <w:widowControl/>
              <w:jc w:val="center"/>
              <w:textAlignment w:val="center"/>
              <w:rPr>
                <w:kern w:val="0"/>
                <w:szCs w:val="21"/>
                <w:lang w:bidi="ar"/>
              </w:rPr>
            </w:pPr>
            <w:r>
              <w:rPr>
                <w:kern w:val="0"/>
                <w:szCs w:val="21"/>
                <w:lang w:bidi="ar"/>
              </w:rPr>
              <w:t>5</w:t>
            </w:r>
          </w:p>
        </w:tc>
        <w:tc>
          <w:tcPr>
            <w:tcW w:w="3210" w:type="dxa"/>
            <w:tcBorders>
              <w:top w:val="single" w:color="auto" w:sz="4" w:space="0"/>
              <w:left w:val="single" w:color="auto" w:sz="4" w:space="0"/>
              <w:bottom w:val="single" w:color="auto" w:sz="4" w:space="0"/>
              <w:right w:val="single" w:color="auto" w:sz="4" w:space="0"/>
            </w:tcBorders>
            <w:vAlign w:val="center"/>
          </w:tcPr>
          <w:p w14:paraId="74E6647B">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45A9C8E1">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1D8C45DE">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29611F3B">
            <w:pPr>
              <w:widowControl/>
              <w:jc w:val="center"/>
              <w:textAlignment w:val="center"/>
              <w:rPr>
                <w:kern w:val="0"/>
                <w:szCs w:val="21"/>
                <w:lang w:bidi="ar"/>
              </w:rPr>
            </w:pPr>
          </w:p>
        </w:tc>
      </w:tr>
      <w:tr w14:paraId="6313618C">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78C55CBE">
            <w:pPr>
              <w:widowControl/>
              <w:jc w:val="center"/>
              <w:textAlignment w:val="center"/>
              <w:rPr>
                <w:kern w:val="0"/>
                <w:szCs w:val="21"/>
                <w:lang w:bidi="ar"/>
              </w:rPr>
            </w:pPr>
            <w:r>
              <w:rPr>
                <w:kern w:val="0"/>
                <w:szCs w:val="21"/>
                <w:lang w:bidi="ar"/>
              </w:rPr>
              <w:t>6</w:t>
            </w:r>
          </w:p>
        </w:tc>
        <w:tc>
          <w:tcPr>
            <w:tcW w:w="3210" w:type="dxa"/>
            <w:tcBorders>
              <w:top w:val="single" w:color="auto" w:sz="4" w:space="0"/>
              <w:left w:val="single" w:color="auto" w:sz="4" w:space="0"/>
              <w:bottom w:val="single" w:color="auto" w:sz="4" w:space="0"/>
              <w:right w:val="single" w:color="auto" w:sz="4" w:space="0"/>
            </w:tcBorders>
            <w:vAlign w:val="center"/>
          </w:tcPr>
          <w:p w14:paraId="4683D50B">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4A90CFC0">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307EE0E7">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0E86C3D4">
            <w:pPr>
              <w:widowControl/>
              <w:jc w:val="center"/>
              <w:textAlignment w:val="center"/>
              <w:rPr>
                <w:kern w:val="0"/>
                <w:szCs w:val="21"/>
                <w:lang w:bidi="ar"/>
              </w:rPr>
            </w:pPr>
          </w:p>
        </w:tc>
      </w:tr>
      <w:tr w14:paraId="112A1B13">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79922746">
            <w:pPr>
              <w:widowControl/>
              <w:jc w:val="center"/>
              <w:textAlignment w:val="center"/>
              <w:rPr>
                <w:kern w:val="0"/>
                <w:szCs w:val="21"/>
                <w:lang w:bidi="ar"/>
              </w:rPr>
            </w:pPr>
            <w:r>
              <w:rPr>
                <w:kern w:val="0"/>
                <w:szCs w:val="21"/>
                <w:lang w:bidi="ar"/>
              </w:rPr>
              <w:t>7</w:t>
            </w:r>
          </w:p>
        </w:tc>
        <w:tc>
          <w:tcPr>
            <w:tcW w:w="3210" w:type="dxa"/>
            <w:tcBorders>
              <w:top w:val="single" w:color="auto" w:sz="4" w:space="0"/>
              <w:left w:val="single" w:color="auto" w:sz="4" w:space="0"/>
              <w:bottom w:val="single" w:color="auto" w:sz="4" w:space="0"/>
              <w:right w:val="single" w:color="auto" w:sz="4" w:space="0"/>
            </w:tcBorders>
            <w:vAlign w:val="center"/>
          </w:tcPr>
          <w:p w14:paraId="76F9AC73">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6359BA13">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04446650">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4F15C4C2">
            <w:pPr>
              <w:widowControl/>
              <w:jc w:val="center"/>
              <w:textAlignment w:val="center"/>
              <w:rPr>
                <w:kern w:val="0"/>
                <w:szCs w:val="21"/>
                <w:lang w:bidi="ar"/>
              </w:rPr>
            </w:pPr>
          </w:p>
        </w:tc>
      </w:tr>
      <w:tr w14:paraId="1E274921">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175D5E27">
            <w:pPr>
              <w:widowControl/>
              <w:jc w:val="center"/>
              <w:textAlignment w:val="center"/>
              <w:rPr>
                <w:kern w:val="0"/>
                <w:szCs w:val="21"/>
                <w:lang w:bidi="ar"/>
              </w:rPr>
            </w:pPr>
            <w:r>
              <w:rPr>
                <w:kern w:val="0"/>
                <w:szCs w:val="21"/>
                <w:lang w:bidi="ar"/>
              </w:rPr>
              <w:t>8</w:t>
            </w:r>
          </w:p>
        </w:tc>
        <w:tc>
          <w:tcPr>
            <w:tcW w:w="3210" w:type="dxa"/>
            <w:tcBorders>
              <w:top w:val="single" w:color="auto" w:sz="4" w:space="0"/>
              <w:left w:val="single" w:color="auto" w:sz="4" w:space="0"/>
              <w:bottom w:val="single" w:color="auto" w:sz="4" w:space="0"/>
              <w:right w:val="single" w:color="auto" w:sz="4" w:space="0"/>
            </w:tcBorders>
            <w:vAlign w:val="center"/>
          </w:tcPr>
          <w:p w14:paraId="73F1C51F">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1D2436FE">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115E6426">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6D34D048">
            <w:pPr>
              <w:widowControl/>
              <w:jc w:val="center"/>
              <w:textAlignment w:val="center"/>
              <w:rPr>
                <w:kern w:val="0"/>
                <w:szCs w:val="21"/>
                <w:lang w:bidi="ar"/>
              </w:rPr>
            </w:pPr>
          </w:p>
        </w:tc>
      </w:tr>
      <w:tr w14:paraId="0CA8FA5B">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642D2AE9">
            <w:pPr>
              <w:widowControl/>
              <w:jc w:val="center"/>
              <w:textAlignment w:val="center"/>
              <w:rPr>
                <w:kern w:val="0"/>
                <w:szCs w:val="21"/>
                <w:lang w:bidi="ar"/>
              </w:rPr>
            </w:pPr>
            <w:r>
              <w:rPr>
                <w:kern w:val="0"/>
                <w:szCs w:val="21"/>
                <w:lang w:bidi="ar"/>
              </w:rPr>
              <w:t>9</w:t>
            </w:r>
          </w:p>
        </w:tc>
        <w:tc>
          <w:tcPr>
            <w:tcW w:w="3210" w:type="dxa"/>
            <w:tcBorders>
              <w:top w:val="single" w:color="auto" w:sz="4" w:space="0"/>
              <w:left w:val="single" w:color="auto" w:sz="4" w:space="0"/>
              <w:bottom w:val="single" w:color="auto" w:sz="4" w:space="0"/>
              <w:right w:val="single" w:color="auto" w:sz="4" w:space="0"/>
            </w:tcBorders>
            <w:vAlign w:val="center"/>
          </w:tcPr>
          <w:p w14:paraId="33D42821">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6D143AA6">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3C1AE924">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6F6EE736">
            <w:pPr>
              <w:widowControl/>
              <w:jc w:val="center"/>
              <w:textAlignment w:val="center"/>
              <w:rPr>
                <w:kern w:val="0"/>
                <w:szCs w:val="21"/>
                <w:lang w:bidi="ar"/>
              </w:rPr>
            </w:pPr>
          </w:p>
        </w:tc>
      </w:tr>
      <w:tr w14:paraId="465CA31D">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499932B9">
            <w:pPr>
              <w:widowControl/>
              <w:jc w:val="center"/>
              <w:textAlignment w:val="center"/>
              <w:rPr>
                <w:kern w:val="0"/>
                <w:szCs w:val="21"/>
                <w:lang w:bidi="ar"/>
              </w:rPr>
            </w:pPr>
            <w:r>
              <w:rPr>
                <w:kern w:val="0"/>
                <w:szCs w:val="21"/>
                <w:lang w:bidi="ar"/>
              </w:rPr>
              <w:t>10</w:t>
            </w:r>
          </w:p>
        </w:tc>
        <w:tc>
          <w:tcPr>
            <w:tcW w:w="3210" w:type="dxa"/>
            <w:tcBorders>
              <w:top w:val="single" w:color="auto" w:sz="4" w:space="0"/>
              <w:left w:val="single" w:color="auto" w:sz="4" w:space="0"/>
              <w:bottom w:val="single" w:color="auto" w:sz="4" w:space="0"/>
              <w:right w:val="single" w:color="auto" w:sz="4" w:space="0"/>
            </w:tcBorders>
            <w:vAlign w:val="center"/>
          </w:tcPr>
          <w:p w14:paraId="153BCFDB">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32A1C692">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034BA9DB">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08BFEFBC">
            <w:pPr>
              <w:widowControl/>
              <w:jc w:val="center"/>
              <w:textAlignment w:val="center"/>
              <w:rPr>
                <w:kern w:val="0"/>
                <w:szCs w:val="21"/>
                <w:lang w:bidi="ar"/>
              </w:rPr>
            </w:pPr>
          </w:p>
        </w:tc>
      </w:tr>
      <w:tr w14:paraId="1373F0A8">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6AEA799F">
            <w:pPr>
              <w:widowControl/>
              <w:jc w:val="center"/>
              <w:textAlignment w:val="center"/>
              <w:rPr>
                <w:kern w:val="0"/>
                <w:szCs w:val="21"/>
                <w:lang w:bidi="ar"/>
              </w:rPr>
            </w:pPr>
            <w:r>
              <w:rPr>
                <w:kern w:val="0"/>
                <w:szCs w:val="21"/>
                <w:lang w:bidi="ar"/>
              </w:rPr>
              <w:t>11</w:t>
            </w:r>
          </w:p>
        </w:tc>
        <w:tc>
          <w:tcPr>
            <w:tcW w:w="3210" w:type="dxa"/>
            <w:tcBorders>
              <w:top w:val="single" w:color="auto" w:sz="4" w:space="0"/>
              <w:left w:val="single" w:color="auto" w:sz="4" w:space="0"/>
              <w:bottom w:val="single" w:color="auto" w:sz="4" w:space="0"/>
              <w:right w:val="single" w:color="auto" w:sz="4" w:space="0"/>
            </w:tcBorders>
            <w:vAlign w:val="center"/>
          </w:tcPr>
          <w:p w14:paraId="4048C179">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42330A69">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3B23349D">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50A6360A">
            <w:pPr>
              <w:widowControl/>
              <w:jc w:val="center"/>
              <w:textAlignment w:val="center"/>
              <w:rPr>
                <w:kern w:val="0"/>
                <w:szCs w:val="21"/>
                <w:lang w:bidi="ar"/>
              </w:rPr>
            </w:pPr>
          </w:p>
        </w:tc>
      </w:tr>
      <w:tr w14:paraId="08B53503">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61E41A65">
            <w:pPr>
              <w:widowControl/>
              <w:jc w:val="center"/>
              <w:textAlignment w:val="center"/>
              <w:rPr>
                <w:kern w:val="0"/>
                <w:szCs w:val="21"/>
                <w:lang w:bidi="ar"/>
              </w:rPr>
            </w:pPr>
            <w:r>
              <w:rPr>
                <w:kern w:val="0"/>
                <w:szCs w:val="21"/>
                <w:lang w:bidi="ar"/>
              </w:rPr>
              <w:t>12</w:t>
            </w:r>
          </w:p>
        </w:tc>
        <w:tc>
          <w:tcPr>
            <w:tcW w:w="3210" w:type="dxa"/>
            <w:tcBorders>
              <w:top w:val="single" w:color="auto" w:sz="4" w:space="0"/>
              <w:left w:val="single" w:color="auto" w:sz="4" w:space="0"/>
              <w:bottom w:val="single" w:color="auto" w:sz="4" w:space="0"/>
              <w:right w:val="single" w:color="auto" w:sz="4" w:space="0"/>
            </w:tcBorders>
            <w:vAlign w:val="center"/>
          </w:tcPr>
          <w:p w14:paraId="06D58BD5">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49621683">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530678E7">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3A59238A">
            <w:pPr>
              <w:widowControl/>
              <w:jc w:val="center"/>
              <w:textAlignment w:val="center"/>
              <w:rPr>
                <w:kern w:val="0"/>
                <w:szCs w:val="21"/>
                <w:lang w:bidi="ar"/>
              </w:rPr>
            </w:pPr>
          </w:p>
        </w:tc>
      </w:tr>
      <w:tr w14:paraId="7A4B69C2">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2ABF5955">
            <w:pPr>
              <w:widowControl/>
              <w:jc w:val="center"/>
              <w:textAlignment w:val="center"/>
              <w:rPr>
                <w:kern w:val="0"/>
                <w:szCs w:val="21"/>
                <w:lang w:bidi="ar"/>
              </w:rPr>
            </w:pPr>
            <w:r>
              <w:rPr>
                <w:kern w:val="0"/>
                <w:szCs w:val="21"/>
                <w:lang w:bidi="ar"/>
              </w:rPr>
              <w:t>13</w:t>
            </w:r>
          </w:p>
        </w:tc>
        <w:tc>
          <w:tcPr>
            <w:tcW w:w="3210" w:type="dxa"/>
            <w:tcBorders>
              <w:top w:val="single" w:color="auto" w:sz="4" w:space="0"/>
              <w:left w:val="single" w:color="auto" w:sz="4" w:space="0"/>
              <w:bottom w:val="single" w:color="auto" w:sz="4" w:space="0"/>
              <w:right w:val="single" w:color="auto" w:sz="4" w:space="0"/>
            </w:tcBorders>
            <w:vAlign w:val="center"/>
          </w:tcPr>
          <w:p w14:paraId="09D2CFEC">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777F537E">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6AB302E7">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70835B1D">
            <w:pPr>
              <w:widowControl/>
              <w:jc w:val="center"/>
              <w:textAlignment w:val="center"/>
              <w:rPr>
                <w:kern w:val="0"/>
                <w:szCs w:val="21"/>
                <w:lang w:bidi="ar"/>
              </w:rPr>
            </w:pPr>
          </w:p>
        </w:tc>
      </w:tr>
      <w:tr w14:paraId="75485B0D">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3A252BFE">
            <w:pPr>
              <w:widowControl/>
              <w:jc w:val="center"/>
              <w:textAlignment w:val="center"/>
              <w:rPr>
                <w:kern w:val="0"/>
                <w:szCs w:val="21"/>
                <w:lang w:bidi="ar"/>
              </w:rPr>
            </w:pPr>
            <w:r>
              <w:rPr>
                <w:kern w:val="0"/>
                <w:szCs w:val="21"/>
                <w:lang w:bidi="ar"/>
              </w:rPr>
              <w:t>14</w:t>
            </w:r>
          </w:p>
        </w:tc>
        <w:tc>
          <w:tcPr>
            <w:tcW w:w="3210" w:type="dxa"/>
            <w:tcBorders>
              <w:top w:val="single" w:color="auto" w:sz="4" w:space="0"/>
              <w:left w:val="single" w:color="auto" w:sz="4" w:space="0"/>
              <w:bottom w:val="single" w:color="auto" w:sz="4" w:space="0"/>
              <w:right w:val="single" w:color="auto" w:sz="4" w:space="0"/>
            </w:tcBorders>
            <w:vAlign w:val="center"/>
          </w:tcPr>
          <w:p w14:paraId="3F157422">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3515136B">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0496CC43">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2826D865">
            <w:pPr>
              <w:widowControl/>
              <w:jc w:val="center"/>
              <w:textAlignment w:val="center"/>
              <w:rPr>
                <w:kern w:val="0"/>
                <w:szCs w:val="21"/>
                <w:lang w:bidi="ar"/>
              </w:rPr>
            </w:pPr>
          </w:p>
        </w:tc>
      </w:tr>
      <w:tr w14:paraId="023BB3F5">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73DA030C">
            <w:pPr>
              <w:widowControl/>
              <w:jc w:val="center"/>
              <w:textAlignment w:val="center"/>
              <w:rPr>
                <w:kern w:val="0"/>
                <w:szCs w:val="21"/>
                <w:lang w:bidi="ar"/>
              </w:rPr>
            </w:pPr>
            <w:r>
              <w:rPr>
                <w:kern w:val="0"/>
                <w:szCs w:val="21"/>
                <w:lang w:bidi="ar"/>
              </w:rPr>
              <w:t>15</w:t>
            </w:r>
          </w:p>
        </w:tc>
        <w:tc>
          <w:tcPr>
            <w:tcW w:w="3210" w:type="dxa"/>
            <w:tcBorders>
              <w:top w:val="single" w:color="auto" w:sz="4" w:space="0"/>
              <w:left w:val="single" w:color="auto" w:sz="4" w:space="0"/>
              <w:bottom w:val="single" w:color="auto" w:sz="4" w:space="0"/>
              <w:right w:val="single" w:color="auto" w:sz="4" w:space="0"/>
            </w:tcBorders>
            <w:vAlign w:val="center"/>
          </w:tcPr>
          <w:p w14:paraId="0DB3D0FC">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4664FD22">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2B4FD3ED">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3081E505">
            <w:pPr>
              <w:widowControl/>
              <w:jc w:val="center"/>
              <w:textAlignment w:val="center"/>
              <w:rPr>
                <w:kern w:val="0"/>
                <w:szCs w:val="21"/>
                <w:lang w:bidi="ar"/>
              </w:rPr>
            </w:pPr>
          </w:p>
        </w:tc>
      </w:tr>
      <w:tr w14:paraId="688F1219">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477367E4">
            <w:pPr>
              <w:widowControl/>
              <w:jc w:val="center"/>
              <w:textAlignment w:val="center"/>
              <w:rPr>
                <w:kern w:val="0"/>
                <w:szCs w:val="21"/>
                <w:lang w:bidi="ar"/>
              </w:rPr>
            </w:pPr>
            <w:r>
              <w:rPr>
                <w:kern w:val="0"/>
                <w:szCs w:val="21"/>
                <w:lang w:bidi="ar"/>
              </w:rPr>
              <w:t>16</w:t>
            </w:r>
          </w:p>
        </w:tc>
        <w:tc>
          <w:tcPr>
            <w:tcW w:w="3210" w:type="dxa"/>
            <w:tcBorders>
              <w:top w:val="single" w:color="auto" w:sz="4" w:space="0"/>
              <w:left w:val="single" w:color="auto" w:sz="4" w:space="0"/>
              <w:bottom w:val="single" w:color="auto" w:sz="4" w:space="0"/>
              <w:right w:val="single" w:color="auto" w:sz="4" w:space="0"/>
            </w:tcBorders>
            <w:vAlign w:val="center"/>
          </w:tcPr>
          <w:p w14:paraId="31655DEA">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18D09A73">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15C1E959">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4B21BE51">
            <w:pPr>
              <w:widowControl/>
              <w:jc w:val="center"/>
              <w:textAlignment w:val="center"/>
              <w:rPr>
                <w:kern w:val="0"/>
                <w:szCs w:val="21"/>
                <w:lang w:bidi="ar"/>
              </w:rPr>
            </w:pPr>
          </w:p>
        </w:tc>
      </w:tr>
      <w:tr w14:paraId="28D23878">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53B63FC4">
            <w:pPr>
              <w:widowControl/>
              <w:jc w:val="center"/>
              <w:textAlignment w:val="center"/>
              <w:rPr>
                <w:kern w:val="0"/>
                <w:szCs w:val="21"/>
                <w:lang w:bidi="ar"/>
              </w:rPr>
            </w:pPr>
            <w:r>
              <w:rPr>
                <w:kern w:val="0"/>
                <w:szCs w:val="21"/>
                <w:lang w:bidi="ar"/>
              </w:rPr>
              <w:t>17</w:t>
            </w:r>
          </w:p>
        </w:tc>
        <w:tc>
          <w:tcPr>
            <w:tcW w:w="3210" w:type="dxa"/>
            <w:tcBorders>
              <w:top w:val="single" w:color="auto" w:sz="4" w:space="0"/>
              <w:left w:val="single" w:color="auto" w:sz="4" w:space="0"/>
              <w:bottom w:val="single" w:color="auto" w:sz="4" w:space="0"/>
              <w:right w:val="single" w:color="auto" w:sz="4" w:space="0"/>
            </w:tcBorders>
            <w:vAlign w:val="center"/>
          </w:tcPr>
          <w:p w14:paraId="11B9379E">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09977414">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124CE847">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2B77AA6F">
            <w:pPr>
              <w:widowControl/>
              <w:jc w:val="center"/>
              <w:textAlignment w:val="center"/>
              <w:rPr>
                <w:kern w:val="0"/>
                <w:szCs w:val="21"/>
                <w:lang w:bidi="ar"/>
              </w:rPr>
            </w:pPr>
          </w:p>
        </w:tc>
      </w:tr>
      <w:tr w14:paraId="34862E9C">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23CD2CC3">
            <w:pPr>
              <w:widowControl/>
              <w:jc w:val="center"/>
              <w:textAlignment w:val="center"/>
              <w:rPr>
                <w:kern w:val="0"/>
                <w:szCs w:val="21"/>
                <w:lang w:bidi="ar"/>
              </w:rPr>
            </w:pPr>
            <w:r>
              <w:rPr>
                <w:kern w:val="0"/>
                <w:szCs w:val="21"/>
                <w:lang w:bidi="ar"/>
              </w:rPr>
              <w:t>18</w:t>
            </w:r>
          </w:p>
        </w:tc>
        <w:tc>
          <w:tcPr>
            <w:tcW w:w="3210" w:type="dxa"/>
            <w:tcBorders>
              <w:top w:val="single" w:color="auto" w:sz="4" w:space="0"/>
              <w:left w:val="single" w:color="auto" w:sz="4" w:space="0"/>
              <w:bottom w:val="single" w:color="auto" w:sz="4" w:space="0"/>
              <w:right w:val="single" w:color="auto" w:sz="4" w:space="0"/>
            </w:tcBorders>
            <w:vAlign w:val="center"/>
          </w:tcPr>
          <w:p w14:paraId="113AEE2A">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1CCF7303">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5D7C04F1">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79D67CFF">
            <w:pPr>
              <w:widowControl/>
              <w:jc w:val="center"/>
              <w:textAlignment w:val="center"/>
              <w:rPr>
                <w:kern w:val="0"/>
                <w:szCs w:val="21"/>
                <w:lang w:bidi="ar"/>
              </w:rPr>
            </w:pPr>
          </w:p>
        </w:tc>
      </w:tr>
      <w:tr w14:paraId="46A8E08C">
        <w:tblPrEx>
          <w:tblCellMar>
            <w:top w:w="15" w:type="dxa"/>
            <w:left w:w="15" w:type="dxa"/>
            <w:bottom w:w="15" w:type="dxa"/>
            <w:right w:w="15" w:type="dxa"/>
          </w:tblCellMar>
        </w:tblPrEx>
        <w:trPr>
          <w:trHeight w:val="454" w:hRule="atLeast"/>
          <w:jc w:val="center"/>
        </w:trPr>
        <w:tc>
          <w:tcPr>
            <w:tcW w:w="3895" w:type="dxa"/>
            <w:gridSpan w:val="2"/>
            <w:tcBorders>
              <w:top w:val="single" w:color="auto" w:sz="4" w:space="0"/>
              <w:left w:val="single" w:color="auto" w:sz="4" w:space="0"/>
              <w:bottom w:val="single" w:color="auto" w:sz="4" w:space="0"/>
              <w:right w:val="single" w:color="auto" w:sz="4" w:space="0"/>
            </w:tcBorders>
            <w:vAlign w:val="center"/>
          </w:tcPr>
          <w:p w14:paraId="1AB6E6C6">
            <w:pPr>
              <w:widowControl/>
              <w:jc w:val="center"/>
              <w:textAlignment w:val="center"/>
              <w:rPr>
                <w:kern w:val="0"/>
                <w:szCs w:val="21"/>
                <w:lang w:bidi="ar"/>
              </w:rPr>
            </w:pPr>
            <w:r>
              <w:rPr>
                <w:kern w:val="0"/>
                <w:szCs w:val="21"/>
                <w:lang w:bidi="ar"/>
              </w:rPr>
              <w:t>合计</w:t>
            </w:r>
          </w:p>
        </w:tc>
        <w:tc>
          <w:tcPr>
            <w:tcW w:w="1170" w:type="dxa"/>
            <w:tcBorders>
              <w:top w:val="single" w:color="auto" w:sz="4" w:space="0"/>
              <w:left w:val="single" w:color="auto" w:sz="4" w:space="0"/>
              <w:bottom w:val="single" w:color="auto" w:sz="4" w:space="0"/>
              <w:right w:val="single" w:color="auto" w:sz="4" w:space="0"/>
            </w:tcBorders>
            <w:vAlign w:val="center"/>
          </w:tcPr>
          <w:p w14:paraId="75BFF412">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600354F1">
            <w:pPr>
              <w:jc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7ADE8BDF">
            <w:pPr>
              <w:widowControl/>
              <w:jc w:val="center"/>
              <w:textAlignment w:val="center"/>
              <w:rPr>
                <w:kern w:val="0"/>
                <w:szCs w:val="21"/>
                <w:lang w:bidi="ar"/>
              </w:rPr>
            </w:pPr>
          </w:p>
        </w:tc>
      </w:tr>
    </w:tbl>
    <w:p w14:paraId="57BB427C">
      <w:pPr>
        <w:rPr>
          <w:rFonts w:eastAsia="仿宋_GB2312"/>
          <w:sz w:val="24"/>
        </w:rPr>
      </w:pPr>
    </w:p>
    <w:p w14:paraId="45F270E7">
      <w:pPr>
        <w:widowControl/>
      </w:pPr>
    </w:p>
    <w:p w14:paraId="00E2304E">
      <w:pPr>
        <w:spacing w:after="120" w:line="480" w:lineRule="exact"/>
        <w:ind w:left="420" w:leftChars="200" w:firstLine="480" w:firstLineChars="200"/>
        <w:rPr>
          <w:sz w:val="24"/>
          <w:szCs w:val="20"/>
        </w:rPr>
      </w:pPr>
    </w:p>
    <w:p w14:paraId="0063C069">
      <w:pPr>
        <w:spacing w:after="120" w:line="480" w:lineRule="exact"/>
        <w:ind w:left="420" w:leftChars="200" w:firstLine="480" w:firstLineChars="200"/>
        <w:rPr>
          <w:sz w:val="24"/>
          <w:szCs w:val="20"/>
        </w:rPr>
      </w:pPr>
    </w:p>
    <w:p w14:paraId="0DD925BC">
      <w:pPr>
        <w:spacing w:line="320" w:lineRule="exact"/>
        <w:jc w:val="left"/>
        <w:rPr>
          <w:sz w:val="32"/>
          <w:szCs w:val="40"/>
        </w:rPr>
      </w:pPr>
    </w:p>
    <w:p w14:paraId="5E895501">
      <w:pPr>
        <w:rPr>
          <w:b/>
          <w:bCs/>
          <w:sz w:val="24"/>
        </w:rPr>
      </w:pPr>
      <w:r>
        <w:rPr>
          <w:b/>
          <w:bCs/>
          <w:sz w:val="24"/>
        </w:rPr>
        <w:br w:type="page"/>
      </w:r>
    </w:p>
    <w:p w14:paraId="558EE22D">
      <w:pPr>
        <w:rPr>
          <w:b/>
          <w:bCs/>
          <w:sz w:val="24"/>
        </w:rPr>
      </w:pPr>
      <w:r>
        <w:rPr>
          <w:b/>
          <w:bCs/>
          <w:sz w:val="24"/>
        </w:rPr>
        <w:t>附件</w:t>
      </w:r>
      <w:r>
        <w:rPr>
          <w:rFonts w:hint="eastAsia"/>
          <w:b/>
          <w:bCs/>
          <w:sz w:val="24"/>
        </w:rPr>
        <w:t>3</w:t>
      </w:r>
      <w:r>
        <w:rPr>
          <w:b/>
          <w:bCs/>
          <w:sz w:val="24"/>
        </w:rPr>
        <w:t>：</w:t>
      </w:r>
    </w:p>
    <w:p w14:paraId="6587B7E1">
      <w:pPr>
        <w:jc w:val="center"/>
        <w:rPr>
          <w:b/>
          <w:bCs/>
          <w:sz w:val="32"/>
          <w:szCs w:val="32"/>
        </w:rPr>
      </w:pPr>
      <w:r>
        <w:rPr>
          <w:b/>
          <w:bCs/>
          <w:sz w:val="32"/>
          <w:szCs w:val="32"/>
        </w:rPr>
        <w:t>廉政承诺书</w:t>
      </w:r>
    </w:p>
    <w:p w14:paraId="22A62348">
      <w:pPr>
        <w:spacing w:line="460" w:lineRule="exact"/>
        <w:ind w:firstLine="480" w:firstLineChars="200"/>
        <w:rPr>
          <w:sz w:val="24"/>
          <w:u w:val="single"/>
        </w:rPr>
      </w:pPr>
      <w:r>
        <w:rPr>
          <w:sz w:val="24"/>
        </w:rPr>
        <w:t>项目/工程名称</w:t>
      </w:r>
      <w:r>
        <w:rPr>
          <w:rFonts w:hint="eastAsia"/>
          <w:sz w:val="24"/>
        </w:rPr>
        <w:t>：</w:t>
      </w:r>
      <w:r>
        <w:rPr>
          <w:rFonts w:hint="eastAsia"/>
          <w:sz w:val="24"/>
          <w:u w:val="single"/>
        </w:rPr>
        <w:t xml:space="preserve">                   </w:t>
      </w:r>
    </w:p>
    <w:p w14:paraId="5AA45440">
      <w:pPr>
        <w:autoSpaceDE w:val="0"/>
        <w:autoSpaceDN w:val="0"/>
        <w:spacing w:line="460" w:lineRule="exact"/>
        <w:ind w:firstLine="480" w:firstLineChars="200"/>
        <w:jc w:val="left"/>
        <w:rPr>
          <w:kern w:val="0"/>
          <w:sz w:val="24"/>
          <w:u w:val="single"/>
        </w:rPr>
      </w:pPr>
      <w:r>
        <w:rPr>
          <w:kern w:val="0"/>
          <w:sz w:val="24"/>
        </w:rPr>
        <w:t>甲方：</w:t>
      </w:r>
      <w:r>
        <w:rPr>
          <w:kern w:val="0"/>
          <w:sz w:val="24"/>
          <w:u w:val="single"/>
        </w:rPr>
        <w:t xml:space="preserve">北京市地质灾害防治研究所    </w:t>
      </w:r>
    </w:p>
    <w:p w14:paraId="6D4105F2">
      <w:pPr>
        <w:spacing w:line="460" w:lineRule="exact"/>
        <w:ind w:firstLine="480" w:firstLineChars="200"/>
        <w:rPr>
          <w:kern w:val="0"/>
          <w:sz w:val="24"/>
          <w:u w:val="single"/>
        </w:rPr>
      </w:pPr>
      <w:r>
        <w:rPr>
          <w:kern w:val="0"/>
          <w:sz w:val="24"/>
        </w:rPr>
        <w:t>乙方：</w:t>
      </w:r>
      <w:r>
        <w:rPr>
          <w:rFonts w:hint="eastAsia"/>
          <w:kern w:val="0"/>
          <w:sz w:val="24"/>
          <w:u w:val="single"/>
        </w:rPr>
        <w:t xml:space="preserve">                        </w:t>
      </w:r>
      <w:r>
        <w:rPr>
          <w:kern w:val="0"/>
          <w:sz w:val="24"/>
          <w:u w:val="single"/>
        </w:rPr>
        <w:t xml:space="preserve">    </w:t>
      </w:r>
    </w:p>
    <w:p w14:paraId="728E07ED">
      <w:pPr>
        <w:spacing w:line="460" w:lineRule="exact"/>
        <w:ind w:firstLine="480" w:firstLineChars="200"/>
        <w:rPr>
          <w:kern w:val="0"/>
          <w:sz w:val="24"/>
        </w:rPr>
      </w:pPr>
      <w:r>
        <w:rPr>
          <w:kern w:val="0"/>
          <w:sz w:val="24"/>
        </w:rPr>
        <w:t>为加强廉政建设，防止发生谋取不正当利益的违法违纪行为，保护国家、集体和当事人的合法权益，根据国家法律法规和廉洁自律有关规定，特订立本廉政承诺书。</w:t>
      </w:r>
    </w:p>
    <w:p w14:paraId="4DD30868">
      <w:pPr>
        <w:autoSpaceDE w:val="0"/>
        <w:autoSpaceDN w:val="0"/>
        <w:spacing w:line="460" w:lineRule="exact"/>
        <w:ind w:firstLine="482" w:firstLineChars="200"/>
        <w:rPr>
          <w:kern w:val="0"/>
          <w:sz w:val="24"/>
        </w:rPr>
      </w:pPr>
      <w:r>
        <w:rPr>
          <w:b/>
          <w:bCs/>
          <w:kern w:val="0"/>
          <w:sz w:val="24"/>
        </w:rPr>
        <w:t>一、双方的责任</w:t>
      </w:r>
    </w:p>
    <w:p w14:paraId="33F65A9E">
      <w:pPr>
        <w:spacing w:line="460" w:lineRule="exact"/>
        <w:ind w:firstLine="480" w:firstLineChars="200"/>
        <w:rPr>
          <w:kern w:val="0"/>
          <w:sz w:val="24"/>
        </w:rPr>
      </w:pPr>
      <w:r>
        <w:rPr>
          <w:kern w:val="0"/>
          <w:sz w:val="24"/>
        </w:rPr>
        <w:t>1.严格遵守党和国家法律法规的有关规定和廉政建设的各项要求。</w:t>
      </w:r>
    </w:p>
    <w:p w14:paraId="0CFF3B44">
      <w:pPr>
        <w:spacing w:line="460" w:lineRule="exact"/>
        <w:ind w:firstLine="480" w:firstLineChars="200"/>
        <w:rPr>
          <w:kern w:val="0"/>
          <w:sz w:val="24"/>
        </w:rPr>
      </w:pPr>
      <w:r>
        <w:rPr>
          <w:kern w:val="0"/>
          <w:sz w:val="24"/>
        </w:rPr>
        <w:t>2.严格履行合同约定，自觉按合同办事。</w:t>
      </w:r>
    </w:p>
    <w:p w14:paraId="36914757">
      <w:pPr>
        <w:autoSpaceDE w:val="0"/>
        <w:autoSpaceDN w:val="0"/>
        <w:spacing w:line="460" w:lineRule="exact"/>
        <w:ind w:firstLine="480" w:firstLineChars="200"/>
        <w:rPr>
          <w:kern w:val="0"/>
          <w:sz w:val="24"/>
        </w:rPr>
      </w:pPr>
      <w:r>
        <w:rPr>
          <w:kern w:val="0"/>
          <w:sz w:val="24"/>
        </w:rPr>
        <w:t>3.坚持公开、公平、公正、诚信、透明的原则（除法律法规另有规定者外），不得为获取不正当的利益损害国家、集体和对方利益，不得违反行业规定、规范和相关法律法规。</w:t>
      </w:r>
    </w:p>
    <w:p w14:paraId="7E6AB1D0">
      <w:pPr>
        <w:autoSpaceDE w:val="0"/>
        <w:autoSpaceDN w:val="0"/>
        <w:spacing w:line="460" w:lineRule="exact"/>
        <w:ind w:firstLine="480" w:firstLineChars="200"/>
        <w:rPr>
          <w:kern w:val="0"/>
          <w:sz w:val="24"/>
        </w:rPr>
      </w:pPr>
      <w:r>
        <w:rPr>
          <w:kern w:val="0"/>
          <w:sz w:val="24"/>
        </w:rPr>
        <w:t>4.发现对方在业务活动中有违规、违纪、违法行为的，应及时提醒对方，情节严重的，应向其上级主管部门或纪检监察、司法等有关机关举报。</w:t>
      </w:r>
    </w:p>
    <w:p w14:paraId="5E347744">
      <w:pPr>
        <w:autoSpaceDE w:val="0"/>
        <w:autoSpaceDN w:val="0"/>
        <w:spacing w:line="460" w:lineRule="exact"/>
        <w:ind w:firstLine="482" w:firstLineChars="200"/>
        <w:rPr>
          <w:b/>
          <w:bCs/>
          <w:kern w:val="0"/>
          <w:sz w:val="24"/>
        </w:rPr>
      </w:pPr>
      <w:r>
        <w:rPr>
          <w:b/>
          <w:bCs/>
          <w:kern w:val="0"/>
          <w:sz w:val="24"/>
        </w:rPr>
        <w:t>二、甲方责任</w:t>
      </w:r>
    </w:p>
    <w:p w14:paraId="1DD04B8A">
      <w:pPr>
        <w:autoSpaceDE w:val="0"/>
        <w:autoSpaceDN w:val="0"/>
        <w:spacing w:line="460" w:lineRule="exact"/>
        <w:ind w:firstLine="480" w:firstLineChars="200"/>
        <w:rPr>
          <w:kern w:val="0"/>
          <w:sz w:val="24"/>
        </w:rPr>
      </w:pPr>
      <w:r>
        <w:rPr>
          <w:kern w:val="0"/>
          <w:sz w:val="24"/>
        </w:rPr>
        <w:t>甲方的领导和具体工作人员，在事前、事中、事后应遵守以下规定：</w:t>
      </w:r>
    </w:p>
    <w:p w14:paraId="5AEEACD2">
      <w:pPr>
        <w:autoSpaceDE w:val="0"/>
        <w:autoSpaceDN w:val="0"/>
        <w:spacing w:line="460" w:lineRule="exact"/>
        <w:ind w:firstLine="480" w:firstLineChars="200"/>
        <w:rPr>
          <w:kern w:val="0"/>
          <w:sz w:val="24"/>
        </w:rPr>
      </w:pPr>
      <w:r>
        <w:rPr>
          <w:kern w:val="0"/>
          <w:sz w:val="24"/>
        </w:rPr>
        <w:t>1.不得向乙方和相关单位索要或接受回扣、礼金、有价证券、贵重物品和好处费、感谢费等。</w:t>
      </w:r>
    </w:p>
    <w:p w14:paraId="1168DD44">
      <w:pPr>
        <w:autoSpaceDE w:val="0"/>
        <w:autoSpaceDN w:val="0"/>
        <w:spacing w:line="460" w:lineRule="exact"/>
        <w:ind w:firstLine="480" w:firstLineChars="200"/>
        <w:rPr>
          <w:kern w:val="0"/>
          <w:sz w:val="24"/>
        </w:rPr>
      </w:pPr>
      <w:r>
        <w:rPr>
          <w:kern w:val="0"/>
          <w:sz w:val="24"/>
        </w:rPr>
        <w:t>2.不得在乙方和相关单位报销任何应由甲方或个人支付的费用。</w:t>
      </w:r>
    </w:p>
    <w:p w14:paraId="7EFD3F88">
      <w:pPr>
        <w:autoSpaceDE w:val="0"/>
        <w:autoSpaceDN w:val="0"/>
        <w:spacing w:line="460" w:lineRule="exact"/>
        <w:ind w:firstLine="480" w:firstLineChars="200"/>
        <w:rPr>
          <w:kern w:val="0"/>
          <w:sz w:val="24"/>
        </w:rPr>
      </w:pPr>
      <w:r>
        <w:rPr>
          <w:kern w:val="0"/>
          <w:sz w:val="24"/>
        </w:rPr>
        <w:t>3</w:t>
      </w:r>
      <w:r>
        <w:rPr>
          <w:rFonts w:hint="eastAsia"/>
          <w:kern w:val="0"/>
          <w:sz w:val="24"/>
        </w:rPr>
        <w:t>.</w:t>
      </w:r>
      <w:r>
        <w:rPr>
          <w:kern w:val="0"/>
          <w:sz w:val="24"/>
        </w:rPr>
        <w:t>不得要求、暗示或接受乙方和相关单位为个人装修住房、婚丧嫁娶、配偶子女的工作安排以及出国（境）、旅游等提供方便。</w:t>
      </w:r>
    </w:p>
    <w:p w14:paraId="547B4FB2">
      <w:pPr>
        <w:autoSpaceDE w:val="0"/>
        <w:autoSpaceDN w:val="0"/>
        <w:spacing w:line="460" w:lineRule="exact"/>
        <w:ind w:firstLine="480" w:firstLineChars="200"/>
        <w:rPr>
          <w:kern w:val="0"/>
          <w:sz w:val="24"/>
        </w:rPr>
      </w:pPr>
      <w:r>
        <w:rPr>
          <w:kern w:val="0"/>
          <w:sz w:val="24"/>
        </w:rPr>
        <w:t>4.不得以任何理由参加乙方、相关单位或个人组织提供有可能影响公正执行公务的宴请、健身、娱乐等活动。</w:t>
      </w:r>
    </w:p>
    <w:p w14:paraId="19AD5348">
      <w:pPr>
        <w:autoSpaceDE w:val="0"/>
        <w:autoSpaceDN w:val="0"/>
        <w:spacing w:line="460" w:lineRule="exact"/>
        <w:ind w:firstLine="480" w:firstLineChars="200"/>
        <w:rPr>
          <w:kern w:val="0"/>
          <w:sz w:val="24"/>
        </w:rPr>
      </w:pPr>
      <w:r>
        <w:rPr>
          <w:kern w:val="0"/>
          <w:sz w:val="24"/>
        </w:rPr>
        <w:t>5.不得向乙方和相关单位介绍或为配偶、子女、亲属参与同甲方合同有关的业务活动；不得以任何理由要求乙方和相关单位使用某种产品、材料和设备。</w:t>
      </w:r>
    </w:p>
    <w:p w14:paraId="2960AF0C">
      <w:pPr>
        <w:autoSpaceDE w:val="0"/>
        <w:autoSpaceDN w:val="0"/>
        <w:spacing w:line="460" w:lineRule="exact"/>
        <w:ind w:firstLine="482" w:firstLineChars="200"/>
        <w:rPr>
          <w:kern w:val="0"/>
          <w:sz w:val="24"/>
        </w:rPr>
      </w:pPr>
      <w:r>
        <w:rPr>
          <w:b/>
          <w:bCs/>
          <w:kern w:val="0"/>
          <w:sz w:val="24"/>
        </w:rPr>
        <w:t>三、乙方责任</w:t>
      </w:r>
    </w:p>
    <w:p w14:paraId="7D283A8B">
      <w:pPr>
        <w:autoSpaceDE w:val="0"/>
        <w:autoSpaceDN w:val="0"/>
        <w:spacing w:line="460" w:lineRule="exact"/>
        <w:ind w:firstLine="480" w:firstLineChars="200"/>
        <w:rPr>
          <w:kern w:val="0"/>
          <w:sz w:val="24"/>
        </w:rPr>
      </w:pPr>
      <w:r>
        <w:rPr>
          <w:kern w:val="0"/>
          <w:sz w:val="24"/>
        </w:rPr>
        <w:t>应与甲方保持正常的业务交往，按照有关法律法规和程序开展业务工作，严格执行行业规定、规范和相关法律法规，并遵守以下规定：</w:t>
      </w:r>
    </w:p>
    <w:p w14:paraId="0B5AE8E0">
      <w:pPr>
        <w:autoSpaceDE w:val="0"/>
        <w:autoSpaceDN w:val="0"/>
        <w:spacing w:line="460" w:lineRule="exact"/>
        <w:ind w:firstLine="480" w:firstLineChars="200"/>
        <w:rPr>
          <w:kern w:val="0"/>
          <w:sz w:val="24"/>
        </w:rPr>
      </w:pPr>
      <w:r>
        <w:rPr>
          <w:kern w:val="0"/>
          <w:sz w:val="24"/>
        </w:rPr>
        <w:t>1.不得以任何理由向甲方及其工作人员索要、接受或赠送礼金、有价证券、贵重物品及回扣、好处费、感谢费等。</w:t>
      </w:r>
    </w:p>
    <w:p w14:paraId="39A48EF3">
      <w:pPr>
        <w:autoSpaceDE w:val="0"/>
        <w:autoSpaceDN w:val="0"/>
        <w:spacing w:line="460" w:lineRule="exact"/>
        <w:ind w:firstLine="480" w:firstLineChars="200"/>
        <w:rPr>
          <w:kern w:val="0"/>
          <w:sz w:val="24"/>
        </w:rPr>
      </w:pPr>
      <w:r>
        <w:rPr>
          <w:kern w:val="0"/>
          <w:sz w:val="24"/>
        </w:rPr>
        <w:t>2.不得以任何理由为甲方和相关单位报销应由对方或个人支付的费用。</w:t>
      </w:r>
    </w:p>
    <w:p w14:paraId="790CD53E">
      <w:pPr>
        <w:autoSpaceDE w:val="0"/>
        <w:autoSpaceDN w:val="0"/>
        <w:spacing w:line="460" w:lineRule="exact"/>
        <w:ind w:firstLine="480" w:firstLineChars="200"/>
        <w:rPr>
          <w:kern w:val="0"/>
          <w:sz w:val="24"/>
        </w:rPr>
      </w:pPr>
      <w:r>
        <w:rPr>
          <w:kern w:val="0"/>
          <w:sz w:val="24"/>
        </w:rPr>
        <w:t>3.不得接受或暗示为甲方、相关单位或个人装修住房、婚丧嫁娶、配偶子女的工作安排以及出国（境）、旅游等提供方便。</w:t>
      </w:r>
    </w:p>
    <w:p w14:paraId="7C5DAAF9">
      <w:pPr>
        <w:autoSpaceDE w:val="0"/>
        <w:autoSpaceDN w:val="0"/>
        <w:spacing w:line="460" w:lineRule="exact"/>
        <w:ind w:firstLine="480" w:firstLineChars="200"/>
        <w:rPr>
          <w:kern w:val="0"/>
          <w:sz w:val="24"/>
        </w:rPr>
      </w:pPr>
      <w:r>
        <w:rPr>
          <w:kern w:val="0"/>
          <w:sz w:val="24"/>
        </w:rPr>
        <w:t>4.不得以任何理由为甲方、相关单位或个人组织提供有可能影响公正执行公务的宴请、健身、娱乐等活动。</w:t>
      </w:r>
    </w:p>
    <w:p w14:paraId="3075119D">
      <w:pPr>
        <w:autoSpaceDE w:val="0"/>
        <w:autoSpaceDN w:val="0"/>
        <w:spacing w:line="460" w:lineRule="exact"/>
        <w:ind w:firstLine="482" w:firstLineChars="200"/>
        <w:rPr>
          <w:b/>
          <w:bCs/>
          <w:kern w:val="0"/>
          <w:sz w:val="24"/>
        </w:rPr>
      </w:pPr>
      <w:r>
        <w:rPr>
          <w:b/>
          <w:bCs/>
          <w:kern w:val="0"/>
          <w:sz w:val="24"/>
        </w:rPr>
        <w:t>四、违约责任</w:t>
      </w:r>
    </w:p>
    <w:p w14:paraId="163170F4">
      <w:pPr>
        <w:autoSpaceDE w:val="0"/>
        <w:autoSpaceDN w:val="0"/>
        <w:spacing w:line="460" w:lineRule="exact"/>
        <w:ind w:firstLine="480" w:firstLineChars="200"/>
        <w:rPr>
          <w:kern w:val="0"/>
          <w:sz w:val="24"/>
        </w:rPr>
      </w:pPr>
      <w:r>
        <w:rPr>
          <w:kern w:val="0"/>
          <w:sz w:val="24"/>
        </w:rPr>
        <w:t>甲、乙双方相关人员要严格履行本廉政承诺书相关规定。如有违反依据有关法律、法规处理；涉嫌犯罪的，移交司法机关追究刑事责任；造成经济损失的，应予以赔偿。</w:t>
      </w:r>
    </w:p>
    <w:p w14:paraId="01C70DF9">
      <w:pPr>
        <w:autoSpaceDE w:val="0"/>
        <w:autoSpaceDN w:val="0"/>
        <w:spacing w:line="460" w:lineRule="exact"/>
        <w:ind w:firstLine="482" w:firstLineChars="200"/>
        <w:rPr>
          <w:kern w:val="0"/>
          <w:sz w:val="24"/>
        </w:rPr>
      </w:pPr>
      <w:r>
        <w:rPr>
          <w:b/>
          <w:bCs/>
          <w:kern w:val="0"/>
          <w:sz w:val="24"/>
        </w:rPr>
        <w:t>五、其他约定</w:t>
      </w:r>
    </w:p>
    <w:p w14:paraId="4C6FA7F4">
      <w:pPr>
        <w:autoSpaceDE w:val="0"/>
        <w:autoSpaceDN w:val="0"/>
        <w:spacing w:line="460" w:lineRule="exact"/>
        <w:ind w:firstLine="480" w:firstLineChars="200"/>
        <w:rPr>
          <w:kern w:val="0"/>
          <w:sz w:val="24"/>
        </w:rPr>
      </w:pPr>
      <w:r>
        <w:rPr>
          <w:kern w:val="0"/>
          <w:sz w:val="24"/>
        </w:rPr>
        <w:t>1.本承诺书由甲乙双方法定代表人或授权的委托代理人签字，并加盖双方公章或合同专用章后生效。</w:t>
      </w:r>
    </w:p>
    <w:p w14:paraId="728B12B5">
      <w:pPr>
        <w:autoSpaceDE w:val="0"/>
        <w:autoSpaceDN w:val="0"/>
        <w:spacing w:line="460" w:lineRule="exact"/>
        <w:ind w:firstLine="480" w:firstLineChars="200"/>
        <w:rPr>
          <w:kern w:val="0"/>
          <w:sz w:val="24"/>
        </w:rPr>
      </w:pPr>
      <w:r>
        <w:rPr>
          <w:kern w:val="0"/>
          <w:sz w:val="24"/>
        </w:rPr>
        <w:t>2.本承诺书总份数及甲乙双方执合同份数与主合同要求一致。</w:t>
      </w:r>
    </w:p>
    <w:p w14:paraId="5C599D24">
      <w:pPr>
        <w:autoSpaceDE w:val="0"/>
        <w:autoSpaceDN w:val="0"/>
        <w:spacing w:line="460" w:lineRule="exact"/>
        <w:ind w:firstLine="480" w:firstLineChars="200"/>
        <w:rPr>
          <w:kern w:val="0"/>
          <w:sz w:val="24"/>
        </w:rPr>
      </w:pPr>
      <w:r>
        <w:rPr>
          <w:kern w:val="0"/>
          <w:sz w:val="24"/>
        </w:rPr>
        <w:t>3.本承诺书作为本合同的组成部分，与本合同具有同等法律效力。</w:t>
      </w:r>
    </w:p>
    <w:tbl>
      <w:tblPr>
        <w:tblStyle w:val="42"/>
        <w:tblW w:w="9147" w:type="dxa"/>
        <w:jc w:val="center"/>
        <w:tblLayout w:type="fixed"/>
        <w:tblCellMar>
          <w:top w:w="0" w:type="dxa"/>
          <w:left w:w="108" w:type="dxa"/>
          <w:bottom w:w="0" w:type="dxa"/>
          <w:right w:w="108" w:type="dxa"/>
        </w:tblCellMar>
      </w:tblPr>
      <w:tblGrid>
        <w:gridCol w:w="1600"/>
        <w:gridCol w:w="2975"/>
        <w:gridCol w:w="1630"/>
        <w:gridCol w:w="2942"/>
      </w:tblGrid>
      <w:tr w14:paraId="787723EE">
        <w:tblPrEx>
          <w:tblCellMar>
            <w:top w:w="0" w:type="dxa"/>
            <w:left w:w="108" w:type="dxa"/>
            <w:bottom w:w="0" w:type="dxa"/>
            <w:right w:w="108" w:type="dxa"/>
          </w:tblCellMar>
        </w:tblPrEx>
        <w:trPr>
          <w:trHeight w:val="803" w:hRule="atLeast"/>
          <w:jc w:val="center"/>
        </w:trPr>
        <w:tc>
          <w:tcPr>
            <w:tcW w:w="9147" w:type="dxa"/>
            <w:gridSpan w:val="4"/>
            <w:vAlign w:val="center"/>
          </w:tcPr>
          <w:p w14:paraId="74EE63CA">
            <w:pPr>
              <w:spacing w:line="320" w:lineRule="exact"/>
              <w:jc w:val="center"/>
              <w:rPr>
                <w:rFonts w:hint="eastAsia" w:ascii="华文宋体" w:hAnsi="华文宋体" w:eastAsia="华文宋体" w:cs="华文宋体"/>
                <w:b/>
                <w:szCs w:val="21"/>
              </w:rPr>
            </w:pPr>
            <w:r>
              <w:rPr>
                <w:rFonts w:hint="eastAsia" w:ascii="华文宋体" w:hAnsi="华文宋体" w:eastAsia="华文宋体" w:cs="华文宋体"/>
                <w:b/>
                <w:sz w:val="28"/>
                <w:szCs w:val="28"/>
              </w:rPr>
              <w:t>承诺书签订双方</w:t>
            </w:r>
          </w:p>
        </w:tc>
      </w:tr>
      <w:tr w14:paraId="3D5336AB">
        <w:tblPrEx>
          <w:tblCellMar>
            <w:top w:w="0" w:type="dxa"/>
            <w:left w:w="108" w:type="dxa"/>
            <w:bottom w:w="0" w:type="dxa"/>
            <w:right w:w="108" w:type="dxa"/>
          </w:tblCellMar>
        </w:tblPrEx>
        <w:trPr>
          <w:trHeight w:val="997" w:hRule="atLeast"/>
          <w:jc w:val="center"/>
        </w:trPr>
        <w:tc>
          <w:tcPr>
            <w:tcW w:w="1600" w:type="dxa"/>
            <w:vAlign w:val="center"/>
          </w:tcPr>
          <w:p w14:paraId="0DAA62DE">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甲方（盖章）：</w:t>
            </w:r>
          </w:p>
        </w:tc>
        <w:tc>
          <w:tcPr>
            <w:tcW w:w="2975" w:type="dxa"/>
            <w:vAlign w:val="center"/>
          </w:tcPr>
          <w:p w14:paraId="5C9F866F">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北京市地质灾害防治研究所</w:t>
            </w:r>
          </w:p>
        </w:tc>
        <w:tc>
          <w:tcPr>
            <w:tcW w:w="1630" w:type="dxa"/>
            <w:vAlign w:val="center"/>
          </w:tcPr>
          <w:p w14:paraId="6EF53B78">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乙方（盖章）：</w:t>
            </w:r>
          </w:p>
        </w:tc>
        <w:tc>
          <w:tcPr>
            <w:tcW w:w="2942" w:type="dxa"/>
            <w:vAlign w:val="center"/>
          </w:tcPr>
          <w:p w14:paraId="50F7610E">
            <w:pPr>
              <w:spacing w:line="320" w:lineRule="exact"/>
              <w:ind w:leftChars="-2" w:hanging="4" w:hangingChars="2"/>
              <w:jc w:val="center"/>
              <w:rPr>
                <w:rFonts w:hint="eastAsia" w:ascii="华文宋体" w:hAnsi="华文宋体" w:eastAsia="华文宋体" w:cs="华文宋体"/>
                <w:szCs w:val="21"/>
              </w:rPr>
            </w:pPr>
            <w:r>
              <w:rPr>
                <w:rFonts w:hint="eastAsia" w:ascii="华文宋体" w:hAnsi="华文宋体" w:eastAsia="华文宋体" w:cs="华文宋体"/>
                <w:szCs w:val="21"/>
              </w:rPr>
              <w:t xml:space="preserve"> </w:t>
            </w:r>
          </w:p>
        </w:tc>
      </w:tr>
      <w:tr w14:paraId="5C900A00">
        <w:tblPrEx>
          <w:tblCellMar>
            <w:top w:w="0" w:type="dxa"/>
            <w:left w:w="108" w:type="dxa"/>
            <w:bottom w:w="0" w:type="dxa"/>
            <w:right w:w="108" w:type="dxa"/>
          </w:tblCellMar>
        </w:tblPrEx>
        <w:trPr>
          <w:trHeight w:val="1087" w:hRule="atLeast"/>
          <w:jc w:val="center"/>
        </w:trPr>
        <w:tc>
          <w:tcPr>
            <w:tcW w:w="1600" w:type="dxa"/>
            <w:vAlign w:val="center"/>
          </w:tcPr>
          <w:p w14:paraId="3C651D21">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法定代表人</w:t>
            </w:r>
          </w:p>
          <w:p w14:paraId="0E1B611E">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75" w:type="dxa"/>
            <w:vAlign w:val="center"/>
          </w:tcPr>
          <w:p w14:paraId="4B69857A">
            <w:pPr>
              <w:spacing w:line="320" w:lineRule="exact"/>
              <w:rPr>
                <w:rFonts w:hint="eastAsia" w:ascii="华文宋体" w:hAnsi="华文宋体" w:eastAsia="华文宋体" w:cs="华文宋体"/>
                <w:szCs w:val="21"/>
              </w:rPr>
            </w:pPr>
          </w:p>
        </w:tc>
        <w:tc>
          <w:tcPr>
            <w:tcW w:w="1630" w:type="dxa"/>
            <w:vAlign w:val="center"/>
          </w:tcPr>
          <w:p w14:paraId="2A328166">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法定代表人</w:t>
            </w:r>
          </w:p>
          <w:p w14:paraId="6E9AE4FE">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42" w:type="dxa"/>
            <w:vAlign w:val="center"/>
          </w:tcPr>
          <w:p w14:paraId="474FD44B">
            <w:pPr>
              <w:spacing w:line="320" w:lineRule="exact"/>
              <w:rPr>
                <w:rFonts w:hint="eastAsia" w:ascii="华文宋体" w:hAnsi="华文宋体" w:eastAsia="华文宋体" w:cs="华文宋体"/>
                <w:szCs w:val="21"/>
              </w:rPr>
            </w:pPr>
          </w:p>
        </w:tc>
      </w:tr>
      <w:tr w14:paraId="21282DBF">
        <w:tblPrEx>
          <w:tblCellMar>
            <w:top w:w="0" w:type="dxa"/>
            <w:left w:w="108" w:type="dxa"/>
            <w:bottom w:w="0" w:type="dxa"/>
            <w:right w:w="108" w:type="dxa"/>
          </w:tblCellMar>
        </w:tblPrEx>
        <w:trPr>
          <w:trHeight w:val="1087" w:hRule="atLeast"/>
          <w:jc w:val="center"/>
        </w:trPr>
        <w:tc>
          <w:tcPr>
            <w:tcW w:w="1600" w:type="dxa"/>
            <w:vAlign w:val="center"/>
          </w:tcPr>
          <w:p w14:paraId="1CDC8A27">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委托代理人</w:t>
            </w:r>
          </w:p>
          <w:p w14:paraId="53ACC013">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75" w:type="dxa"/>
            <w:vAlign w:val="center"/>
          </w:tcPr>
          <w:p w14:paraId="255184CD">
            <w:pPr>
              <w:spacing w:line="320" w:lineRule="exact"/>
              <w:rPr>
                <w:rFonts w:hint="eastAsia" w:ascii="华文宋体" w:hAnsi="华文宋体" w:eastAsia="华文宋体" w:cs="华文宋体"/>
                <w:szCs w:val="21"/>
              </w:rPr>
            </w:pPr>
          </w:p>
        </w:tc>
        <w:tc>
          <w:tcPr>
            <w:tcW w:w="1630" w:type="dxa"/>
            <w:vAlign w:val="center"/>
          </w:tcPr>
          <w:p w14:paraId="43607587">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委托代理人</w:t>
            </w:r>
          </w:p>
          <w:p w14:paraId="668999B4">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42" w:type="dxa"/>
            <w:vAlign w:val="center"/>
          </w:tcPr>
          <w:p w14:paraId="47DA6A2D">
            <w:pPr>
              <w:spacing w:line="320" w:lineRule="exact"/>
              <w:rPr>
                <w:rFonts w:hint="eastAsia" w:ascii="华文宋体" w:hAnsi="华文宋体" w:eastAsia="华文宋体" w:cs="华文宋体"/>
                <w:szCs w:val="21"/>
              </w:rPr>
            </w:pPr>
          </w:p>
        </w:tc>
      </w:tr>
      <w:tr w14:paraId="4F99AA06">
        <w:tblPrEx>
          <w:tblCellMar>
            <w:top w:w="0" w:type="dxa"/>
            <w:left w:w="108" w:type="dxa"/>
            <w:bottom w:w="0" w:type="dxa"/>
            <w:right w:w="108" w:type="dxa"/>
          </w:tblCellMar>
        </w:tblPrEx>
        <w:trPr>
          <w:trHeight w:val="1087" w:hRule="atLeast"/>
          <w:jc w:val="center"/>
        </w:trPr>
        <w:tc>
          <w:tcPr>
            <w:tcW w:w="1600" w:type="dxa"/>
            <w:vAlign w:val="center"/>
          </w:tcPr>
          <w:p w14:paraId="1D6FB35C">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签订日期：</w:t>
            </w:r>
          </w:p>
        </w:tc>
        <w:tc>
          <w:tcPr>
            <w:tcW w:w="2975" w:type="dxa"/>
            <w:vAlign w:val="center"/>
          </w:tcPr>
          <w:p w14:paraId="61408206">
            <w:pPr>
              <w:spacing w:line="320" w:lineRule="exact"/>
              <w:jc w:val="right"/>
              <w:rPr>
                <w:rFonts w:hint="eastAsia" w:ascii="华文宋体" w:hAnsi="华文宋体" w:eastAsia="华文宋体" w:cs="华文宋体"/>
                <w:szCs w:val="21"/>
              </w:rPr>
            </w:pPr>
            <w:r>
              <w:rPr>
                <w:rFonts w:hint="eastAsia" w:ascii="华文宋体" w:hAnsi="华文宋体" w:eastAsia="华文宋体" w:cs="华文宋体"/>
                <w:szCs w:val="21"/>
              </w:rPr>
              <w:t>________年____月____日</w:t>
            </w:r>
          </w:p>
        </w:tc>
        <w:tc>
          <w:tcPr>
            <w:tcW w:w="1630" w:type="dxa"/>
            <w:vAlign w:val="center"/>
          </w:tcPr>
          <w:p w14:paraId="02C90377">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签订日期：</w:t>
            </w:r>
          </w:p>
        </w:tc>
        <w:tc>
          <w:tcPr>
            <w:tcW w:w="2942" w:type="dxa"/>
            <w:vAlign w:val="center"/>
          </w:tcPr>
          <w:p w14:paraId="74969331">
            <w:pPr>
              <w:spacing w:line="320" w:lineRule="exact"/>
              <w:jc w:val="right"/>
              <w:rPr>
                <w:rFonts w:hint="eastAsia" w:ascii="华文宋体" w:hAnsi="华文宋体" w:eastAsia="华文宋体" w:cs="华文宋体"/>
                <w:szCs w:val="21"/>
              </w:rPr>
            </w:pPr>
            <w:r>
              <w:rPr>
                <w:rFonts w:hint="eastAsia" w:ascii="华文宋体" w:hAnsi="华文宋体" w:eastAsia="华文宋体" w:cs="华文宋体"/>
                <w:szCs w:val="21"/>
              </w:rPr>
              <w:t>________年____月____日</w:t>
            </w:r>
          </w:p>
        </w:tc>
      </w:tr>
    </w:tbl>
    <w:p w14:paraId="551C9640"/>
    <w:p w14:paraId="44BCE892">
      <w:pPr>
        <w:spacing w:after="120" w:line="480" w:lineRule="exact"/>
        <w:rPr>
          <w:sz w:val="24"/>
          <w:szCs w:val="20"/>
        </w:rPr>
      </w:pPr>
    </w:p>
    <w:p w14:paraId="1E330248">
      <w:pPr>
        <w:rPr>
          <w:b/>
          <w:bCs/>
          <w:sz w:val="24"/>
        </w:rPr>
      </w:pPr>
      <w:r>
        <w:rPr>
          <w:b/>
          <w:bCs/>
          <w:sz w:val="24"/>
        </w:rPr>
        <w:br w:type="page"/>
      </w:r>
    </w:p>
    <w:p w14:paraId="25EB4472">
      <w:pPr>
        <w:rPr>
          <w:b/>
          <w:bCs/>
          <w:sz w:val="24"/>
        </w:rPr>
      </w:pPr>
      <w:r>
        <w:rPr>
          <w:b/>
          <w:bCs/>
          <w:sz w:val="24"/>
        </w:rPr>
        <w:t>附件</w:t>
      </w:r>
      <w:r>
        <w:rPr>
          <w:rFonts w:hint="eastAsia"/>
          <w:b/>
          <w:bCs/>
          <w:sz w:val="24"/>
        </w:rPr>
        <w:t>4</w:t>
      </w:r>
      <w:r>
        <w:rPr>
          <w:b/>
          <w:bCs/>
          <w:sz w:val="24"/>
        </w:rPr>
        <w:t>：</w:t>
      </w:r>
    </w:p>
    <w:p w14:paraId="4DAD9D68">
      <w:pPr>
        <w:widowControl/>
        <w:tabs>
          <w:tab w:val="left" w:pos="3480"/>
          <w:tab w:val="center" w:pos="4393"/>
        </w:tabs>
        <w:spacing w:before="100" w:beforeAutospacing="1" w:after="100" w:afterAutospacing="1" w:line="427" w:lineRule="auto"/>
        <w:jc w:val="center"/>
        <w:rPr>
          <w:rFonts w:hint="eastAsia" w:ascii="宋体" w:hAnsi="宋体" w:cs="宋体"/>
          <w:b/>
          <w:color w:val="000000"/>
          <w:kern w:val="0"/>
          <w:sz w:val="36"/>
          <w:szCs w:val="36"/>
        </w:rPr>
      </w:pPr>
      <w:r>
        <w:rPr>
          <w:rFonts w:hint="eastAsia" w:ascii="宋体" w:hAnsi="宋体" w:cs="宋体"/>
          <w:b/>
          <w:color w:val="000000"/>
          <w:kern w:val="0"/>
          <w:sz w:val="32"/>
          <w:szCs w:val="32"/>
        </w:rPr>
        <w:t>安全协议书</w:t>
      </w:r>
    </w:p>
    <w:p w14:paraId="187C9060">
      <w:pPr>
        <w:spacing w:line="440" w:lineRule="exact"/>
        <w:rPr>
          <w:b/>
          <w:color w:val="000000"/>
          <w:kern w:val="0"/>
          <w:sz w:val="24"/>
          <w:u w:val="single"/>
        </w:rPr>
      </w:pPr>
      <w:r>
        <w:rPr>
          <w:b/>
          <w:color w:val="000000"/>
          <w:kern w:val="0"/>
          <w:sz w:val="24"/>
        </w:rPr>
        <w:t>甲方：</w:t>
      </w:r>
      <w:r>
        <w:rPr>
          <w:rFonts w:hint="eastAsia"/>
          <w:bCs/>
          <w:color w:val="000000"/>
          <w:kern w:val="0"/>
          <w:sz w:val="24"/>
          <w:u w:val="single"/>
        </w:rPr>
        <w:t xml:space="preserve">                                               </w:t>
      </w:r>
    </w:p>
    <w:p w14:paraId="7DBB746F">
      <w:pPr>
        <w:spacing w:line="440" w:lineRule="exact"/>
        <w:rPr>
          <w:b/>
          <w:color w:val="000000"/>
          <w:kern w:val="0"/>
          <w:sz w:val="24"/>
        </w:rPr>
      </w:pPr>
      <w:r>
        <w:rPr>
          <w:b/>
          <w:color w:val="000000"/>
          <w:kern w:val="0"/>
          <w:sz w:val="24"/>
        </w:rPr>
        <w:t>乙方：</w:t>
      </w:r>
      <w:r>
        <w:rPr>
          <w:rFonts w:hint="eastAsia"/>
          <w:bCs/>
          <w:color w:val="000000"/>
          <w:kern w:val="0"/>
          <w:sz w:val="24"/>
          <w:u w:val="single"/>
        </w:rPr>
        <w:t xml:space="preserve">                                              </w:t>
      </w:r>
      <w:r>
        <w:rPr>
          <w:rFonts w:hint="eastAsia"/>
          <w:bCs/>
          <w:color w:val="000000"/>
          <w:kern w:val="0"/>
          <w:sz w:val="24"/>
        </w:rPr>
        <w:t xml:space="preserve"> </w:t>
      </w:r>
      <w:r>
        <w:rPr>
          <w:rFonts w:hint="eastAsia"/>
          <w:b/>
          <w:color w:val="000000"/>
          <w:kern w:val="0"/>
          <w:sz w:val="24"/>
        </w:rPr>
        <w:t xml:space="preserve"> </w:t>
      </w:r>
    </w:p>
    <w:p w14:paraId="1B6EC40E">
      <w:pPr>
        <w:spacing w:line="440" w:lineRule="exact"/>
        <w:rPr>
          <w:b/>
          <w:sz w:val="24"/>
        </w:rPr>
      </w:pPr>
    </w:p>
    <w:p w14:paraId="03641F23">
      <w:pPr>
        <w:spacing w:line="440" w:lineRule="exact"/>
        <w:rPr>
          <w:b/>
          <w:sz w:val="24"/>
        </w:rPr>
      </w:pPr>
      <w:r>
        <w:rPr>
          <w:b/>
          <w:sz w:val="24"/>
        </w:rPr>
        <w:t>一、目的</w:t>
      </w:r>
    </w:p>
    <w:p w14:paraId="330B3138">
      <w:pPr>
        <w:spacing w:line="440" w:lineRule="exact"/>
        <w:ind w:firstLine="480" w:firstLineChars="200"/>
        <w:rPr>
          <w:sz w:val="24"/>
        </w:rPr>
      </w:pPr>
      <w:r>
        <w:rPr>
          <w:sz w:val="24"/>
        </w:rPr>
        <w:t>为了维护甲乙双方的共同利益，保证施工安全，保持良好的工作秩序和施工场所的卫生环境，经甲乙双方平等协商，签订本安全协议。</w:t>
      </w:r>
    </w:p>
    <w:p w14:paraId="4F6C1154">
      <w:pPr>
        <w:spacing w:line="440" w:lineRule="exact"/>
        <w:rPr>
          <w:sz w:val="24"/>
        </w:rPr>
      </w:pPr>
      <w:r>
        <w:rPr>
          <w:b/>
          <w:sz w:val="24"/>
        </w:rPr>
        <w:t>二、施工项目</w:t>
      </w:r>
    </w:p>
    <w:p w14:paraId="7FE19123">
      <w:pPr>
        <w:spacing w:line="440" w:lineRule="exact"/>
        <w:rPr>
          <w:b/>
          <w:sz w:val="24"/>
        </w:rPr>
      </w:pPr>
    </w:p>
    <w:p w14:paraId="0B89F2D0">
      <w:pPr>
        <w:spacing w:line="440" w:lineRule="exact"/>
        <w:rPr>
          <w:b/>
          <w:sz w:val="24"/>
        </w:rPr>
      </w:pPr>
      <w:r>
        <w:rPr>
          <w:b/>
          <w:sz w:val="24"/>
        </w:rPr>
        <w:t>三、施工地点</w:t>
      </w:r>
    </w:p>
    <w:p w14:paraId="4634DC38">
      <w:pPr>
        <w:spacing w:line="440" w:lineRule="exact"/>
        <w:ind w:firstLine="602" w:firstLineChars="250"/>
        <w:rPr>
          <w:b/>
          <w:sz w:val="24"/>
        </w:rPr>
      </w:pPr>
    </w:p>
    <w:p w14:paraId="74F13532">
      <w:pPr>
        <w:spacing w:line="440" w:lineRule="exact"/>
        <w:rPr>
          <w:b/>
          <w:sz w:val="24"/>
        </w:rPr>
      </w:pPr>
      <w:r>
        <w:rPr>
          <w:b/>
          <w:sz w:val="24"/>
        </w:rPr>
        <w:t>四、施工时间</w:t>
      </w:r>
    </w:p>
    <w:p w14:paraId="6492ABBC">
      <w:pPr>
        <w:spacing w:line="440" w:lineRule="exact"/>
        <w:ind w:firstLine="480" w:firstLineChars="200"/>
        <w:rPr>
          <w:sz w:val="24"/>
        </w:rPr>
      </w:pPr>
      <w:r>
        <w:rPr>
          <w:sz w:val="24"/>
        </w:rPr>
        <w:t>以实际施工日期为准。</w:t>
      </w:r>
    </w:p>
    <w:p w14:paraId="69D32CC7">
      <w:pPr>
        <w:spacing w:line="440" w:lineRule="exact"/>
        <w:rPr>
          <w:b/>
          <w:sz w:val="24"/>
        </w:rPr>
      </w:pPr>
      <w:r>
        <w:rPr>
          <w:b/>
          <w:sz w:val="24"/>
        </w:rPr>
        <w:t>五、施工方式</w:t>
      </w:r>
    </w:p>
    <w:p w14:paraId="6569B432">
      <w:pPr>
        <w:spacing w:line="440" w:lineRule="exact"/>
        <w:ind w:firstLine="480" w:firstLineChars="200"/>
        <w:rPr>
          <w:b/>
          <w:sz w:val="24"/>
        </w:rPr>
      </w:pPr>
      <w:r>
        <w:rPr>
          <w:sz w:val="24"/>
        </w:rPr>
        <w:t>按照双方签订合同及技术要求施工（详见合同相关条款）。</w:t>
      </w:r>
    </w:p>
    <w:p w14:paraId="2332BD34">
      <w:pPr>
        <w:spacing w:line="440" w:lineRule="exact"/>
        <w:ind w:left="482" w:hanging="482" w:hangingChars="200"/>
        <w:rPr>
          <w:b/>
          <w:sz w:val="24"/>
        </w:rPr>
      </w:pPr>
      <w:r>
        <w:rPr>
          <w:b/>
          <w:sz w:val="24"/>
        </w:rPr>
        <w:t>六、协议内容</w:t>
      </w:r>
    </w:p>
    <w:p w14:paraId="6C9141F7">
      <w:pPr>
        <w:spacing w:line="440" w:lineRule="exact"/>
        <w:ind w:firstLine="482" w:firstLineChars="200"/>
        <w:rPr>
          <w:sz w:val="24"/>
        </w:rPr>
      </w:pPr>
      <w:r>
        <w:rPr>
          <w:b/>
          <w:sz w:val="24"/>
        </w:rPr>
        <w:t>第一条</w:t>
      </w:r>
      <w:r>
        <w:rPr>
          <w:sz w:val="24"/>
        </w:rPr>
        <w:t xml:space="preserve">  乙方在施工期间须指定现场施工负责人，施工现场还需设立安全监督员，便于施工过程中的协调、联系及安全监管等工作。</w:t>
      </w:r>
    </w:p>
    <w:p w14:paraId="1B9C84EA">
      <w:pPr>
        <w:spacing w:line="440" w:lineRule="exact"/>
        <w:ind w:firstLine="482" w:firstLineChars="200"/>
        <w:rPr>
          <w:sz w:val="24"/>
        </w:rPr>
      </w:pPr>
      <w:r>
        <w:rPr>
          <w:b/>
          <w:sz w:val="24"/>
        </w:rPr>
        <w:t>第二条</w:t>
      </w:r>
      <w:r>
        <w:rPr>
          <w:sz w:val="24"/>
        </w:rPr>
        <w:t xml:space="preserve">  施工人员进行特种作业前必须持有效证件（电气焊操作证、电工操作证、起重操作证等），并由甲方审核作业人员资质，审核通过后方可施工。同时，由乙方负责在施工前将相关证件复印件（加盖公司公章）交至甲方安全保卫科存档。</w:t>
      </w:r>
    </w:p>
    <w:p w14:paraId="5EA3B2F0">
      <w:pPr>
        <w:spacing w:line="440" w:lineRule="exact"/>
        <w:ind w:firstLine="482" w:firstLineChars="200"/>
        <w:rPr>
          <w:sz w:val="24"/>
        </w:rPr>
      </w:pPr>
      <w:r>
        <w:rPr>
          <w:b/>
          <w:sz w:val="24"/>
        </w:rPr>
        <w:t>第三条</w:t>
      </w:r>
      <w:r>
        <w:rPr>
          <w:sz w:val="24"/>
        </w:rPr>
        <w:t xml:space="preserve">  对于由乙方原因造成甲方人员伤害，引起火灾、设备事故的，一切损失由乙方负责。</w:t>
      </w:r>
    </w:p>
    <w:p w14:paraId="4914884A">
      <w:pPr>
        <w:spacing w:line="440" w:lineRule="exact"/>
        <w:ind w:firstLine="482" w:firstLineChars="200"/>
        <w:rPr>
          <w:sz w:val="24"/>
        </w:rPr>
      </w:pPr>
      <w:r>
        <w:rPr>
          <w:b/>
          <w:sz w:val="24"/>
        </w:rPr>
        <w:t>第四条</w:t>
      </w:r>
      <w:r>
        <w:rPr>
          <w:sz w:val="24"/>
        </w:rPr>
        <w:t xml:space="preserve">  乙方施工队伍的安全防护器材必须配置到位，安全措施得力，乙方对其所有施工人员及相关联人员的人身安全负全部责任，甲方不承担任何责任。</w:t>
      </w:r>
    </w:p>
    <w:p w14:paraId="33BD5653">
      <w:pPr>
        <w:widowControl/>
        <w:spacing w:line="440" w:lineRule="exact"/>
        <w:ind w:firstLine="482" w:firstLineChars="200"/>
        <w:jc w:val="left"/>
        <w:rPr>
          <w:color w:val="000000"/>
          <w:kern w:val="0"/>
          <w:sz w:val="24"/>
        </w:rPr>
      </w:pPr>
      <w:r>
        <w:rPr>
          <w:b/>
          <w:sz w:val="24"/>
        </w:rPr>
        <w:t>第五条</w:t>
      </w:r>
      <w:r>
        <w:rPr>
          <w:sz w:val="24"/>
        </w:rPr>
        <w:t xml:space="preserve">  </w:t>
      </w:r>
      <w:r>
        <w:rPr>
          <w:color w:val="000000"/>
          <w:kern w:val="0"/>
          <w:sz w:val="24"/>
        </w:rPr>
        <w:t>登高观测作业，应检查攀登工具、安全带和观测工具，并保持完好。</w:t>
      </w:r>
    </w:p>
    <w:p w14:paraId="01A58705">
      <w:pPr>
        <w:widowControl/>
        <w:spacing w:line="440" w:lineRule="exact"/>
        <w:ind w:firstLine="482" w:firstLineChars="200"/>
        <w:jc w:val="left"/>
        <w:rPr>
          <w:color w:val="000000"/>
          <w:kern w:val="0"/>
          <w:sz w:val="24"/>
        </w:rPr>
      </w:pPr>
      <w:r>
        <w:rPr>
          <w:b/>
          <w:sz w:val="24"/>
        </w:rPr>
        <w:t>第六条</w:t>
      </w:r>
      <w:r>
        <w:rPr>
          <w:sz w:val="24"/>
        </w:rPr>
        <w:t xml:space="preserve">  </w:t>
      </w:r>
      <w:r>
        <w:rPr>
          <w:color w:val="000000"/>
          <w:kern w:val="0"/>
          <w:sz w:val="24"/>
        </w:rPr>
        <w:t>电网密集地区作业，应避开变压器、高压输电线等危险区，并禁止使用金属标尺。仪器设备架设与输电线路边缘之间的最小距离应该在15m以外，最少不小于10m。</w:t>
      </w:r>
    </w:p>
    <w:p w14:paraId="46398EA0">
      <w:pPr>
        <w:widowControl/>
        <w:spacing w:line="440" w:lineRule="exact"/>
        <w:ind w:firstLine="482" w:firstLineChars="200"/>
        <w:jc w:val="left"/>
        <w:rPr>
          <w:color w:val="000000"/>
          <w:kern w:val="0"/>
          <w:sz w:val="24"/>
        </w:rPr>
      </w:pPr>
      <w:r>
        <w:rPr>
          <w:b/>
          <w:sz w:val="24"/>
        </w:rPr>
        <w:t>第七条</w:t>
      </w:r>
      <w:r>
        <w:rPr>
          <w:sz w:val="24"/>
        </w:rPr>
        <w:t xml:space="preserve">  </w:t>
      </w:r>
      <w:r>
        <w:rPr>
          <w:color w:val="000000"/>
          <w:kern w:val="0"/>
          <w:sz w:val="24"/>
        </w:rPr>
        <w:t>野外作业</w:t>
      </w:r>
    </w:p>
    <w:p w14:paraId="292178BA">
      <w:pPr>
        <w:spacing w:line="440" w:lineRule="exact"/>
        <w:ind w:firstLine="480" w:firstLineChars="200"/>
        <w:rPr>
          <w:sz w:val="24"/>
        </w:rPr>
      </w:pPr>
      <w:r>
        <w:rPr>
          <w:sz w:val="24"/>
        </w:rPr>
        <w:t>1、作业时必须认真对工作场地进行检查，特别要注意是否有毒蛇、毒蜂等危险因素，确认无危险因素后，方可工作。</w:t>
      </w:r>
    </w:p>
    <w:p w14:paraId="04214C65">
      <w:pPr>
        <w:widowControl/>
        <w:spacing w:line="440" w:lineRule="exact"/>
        <w:ind w:firstLine="480" w:firstLineChars="200"/>
        <w:jc w:val="left"/>
        <w:rPr>
          <w:color w:val="000000"/>
          <w:kern w:val="0"/>
          <w:sz w:val="24"/>
        </w:rPr>
      </w:pPr>
      <w:r>
        <w:rPr>
          <w:color w:val="000000"/>
          <w:kern w:val="0"/>
          <w:sz w:val="24"/>
        </w:rPr>
        <w:t>2</w:t>
      </w:r>
      <w:r>
        <w:rPr>
          <w:rFonts w:hint="eastAsia"/>
          <w:color w:val="000000"/>
          <w:kern w:val="0"/>
          <w:sz w:val="24"/>
        </w:rPr>
        <w:t>、</w:t>
      </w:r>
      <w:r>
        <w:rPr>
          <w:color w:val="000000"/>
          <w:kern w:val="0"/>
          <w:sz w:val="24"/>
        </w:rPr>
        <w:t>作业人员配备野外救生卫生包（常备创口贴、中暑、跌打类药物、防过敏、蚊虫叮咬药物）。</w:t>
      </w:r>
    </w:p>
    <w:p w14:paraId="0C7C637C">
      <w:pPr>
        <w:widowControl/>
        <w:spacing w:line="440" w:lineRule="exact"/>
        <w:ind w:firstLine="480" w:firstLineChars="200"/>
        <w:jc w:val="left"/>
        <w:rPr>
          <w:color w:val="000000"/>
          <w:kern w:val="0"/>
          <w:sz w:val="24"/>
        </w:rPr>
      </w:pPr>
      <w:r>
        <w:rPr>
          <w:color w:val="000000"/>
          <w:kern w:val="0"/>
          <w:sz w:val="24"/>
        </w:rPr>
        <w:t>3</w:t>
      </w:r>
      <w:r>
        <w:rPr>
          <w:rFonts w:hint="eastAsia"/>
          <w:color w:val="000000"/>
          <w:kern w:val="0"/>
          <w:sz w:val="24"/>
        </w:rPr>
        <w:t>、</w:t>
      </w:r>
      <w:r>
        <w:rPr>
          <w:color w:val="000000"/>
          <w:kern w:val="0"/>
          <w:sz w:val="24"/>
        </w:rPr>
        <w:t>禁止采、食不识别的野菜、野果。禁止饮用新发现水源水和未经消毒处理水。</w:t>
      </w:r>
    </w:p>
    <w:p w14:paraId="1B0146A5">
      <w:pPr>
        <w:widowControl/>
        <w:spacing w:line="440" w:lineRule="exact"/>
        <w:ind w:firstLine="480" w:firstLineChars="200"/>
        <w:jc w:val="left"/>
        <w:rPr>
          <w:color w:val="000000"/>
          <w:kern w:val="0"/>
          <w:sz w:val="24"/>
        </w:rPr>
      </w:pPr>
      <w:r>
        <w:rPr>
          <w:color w:val="000000"/>
          <w:kern w:val="0"/>
          <w:sz w:val="24"/>
        </w:rPr>
        <w:t>4</w:t>
      </w:r>
      <w:r>
        <w:rPr>
          <w:rFonts w:hint="eastAsia"/>
          <w:color w:val="000000"/>
          <w:kern w:val="0"/>
          <w:sz w:val="24"/>
        </w:rPr>
        <w:t>、</w:t>
      </w:r>
      <w:r>
        <w:rPr>
          <w:color w:val="000000"/>
          <w:kern w:val="0"/>
          <w:sz w:val="24"/>
        </w:rPr>
        <w:t>野外作业人员必须两人以上才能进山，应按约定时间和路线返回约定的营地。</w:t>
      </w:r>
    </w:p>
    <w:p w14:paraId="1AFFDD11">
      <w:pPr>
        <w:widowControl/>
        <w:spacing w:line="440" w:lineRule="exact"/>
        <w:ind w:firstLine="480" w:firstLineChars="200"/>
        <w:jc w:val="left"/>
        <w:rPr>
          <w:color w:val="000000"/>
          <w:kern w:val="0"/>
          <w:sz w:val="24"/>
        </w:rPr>
      </w:pPr>
      <w:r>
        <w:rPr>
          <w:color w:val="000000"/>
          <w:kern w:val="0"/>
          <w:sz w:val="24"/>
        </w:rPr>
        <w:t>5</w:t>
      </w:r>
      <w:r>
        <w:rPr>
          <w:rFonts w:hint="eastAsia"/>
          <w:color w:val="000000"/>
          <w:kern w:val="0"/>
          <w:sz w:val="24"/>
        </w:rPr>
        <w:t>、</w:t>
      </w:r>
      <w:r>
        <w:rPr>
          <w:color w:val="000000"/>
          <w:kern w:val="0"/>
          <w:sz w:val="24"/>
        </w:rPr>
        <w:t>野外设备应注意避雷。雷雨天气，禁止在树木下、山顶避雨。雷雨时候要及时把GPS设备关闭，禁止冒雨作业，雷雨临近或五级以上大风时，应停止作业。</w:t>
      </w:r>
    </w:p>
    <w:p w14:paraId="64D0A6B2">
      <w:pPr>
        <w:widowControl/>
        <w:spacing w:line="440" w:lineRule="exact"/>
        <w:ind w:firstLine="480" w:firstLineChars="200"/>
        <w:jc w:val="left"/>
        <w:rPr>
          <w:color w:val="000000"/>
          <w:kern w:val="0"/>
          <w:sz w:val="24"/>
        </w:rPr>
      </w:pPr>
      <w:r>
        <w:rPr>
          <w:color w:val="000000"/>
          <w:kern w:val="0"/>
          <w:sz w:val="24"/>
        </w:rPr>
        <w:t>6</w:t>
      </w:r>
      <w:r>
        <w:rPr>
          <w:rFonts w:hint="eastAsia"/>
          <w:color w:val="000000"/>
          <w:kern w:val="0"/>
          <w:sz w:val="24"/>
        </w:rPr>
        <w:t>、</w:t>
      </w:r>
      <w:r>
        <w:rPr>
          <w:color w:val="000000"/>
          <w:kern w:val="0"/>
          <w:sz w:val="24"/>
        </w:rPr>
        <w:t>可能危及作业人员或他人人身安全的野外作业，应设置安全标志。尤其在公路主干道作业要设置安全防护标志，配备及穿戴反光服。</w:t>
      </w:r>
    </w:p>
    <w:p w14:paraId="3397EC7B">
      <w:pPr>
        <w:widowControl/>
        <w:spacing w:line="440" w:lineRule="exact"/>
        <w:ind w:firstLine="480" w:firstLineChars="200"/>
        <w:jc w:val="left"/>
        <w:rPr>
          <w:sz w:val="24"/>
        </w:rPr>
      </w:pPr>
      <w:r>
        <w:rPr>
          <w:sz w:val="24"/>
        </w:rPr>
        <w:t>7、施工后及时清理现场，做好环保工作。</w:t>
      </w:r>
    </w:p>
    <w:p w14:paraId="66580126">
      <w:pPr>
        <w:widowControl/>
        <w:spacing w:line="440" w:lineRule="exact"/>
        <w:ind w:firstLine="480" w:firstLineChars="200"/>
        <w:jc w:val="left"/>
        <w:rPr>
          <w:color w:val="000000"/>
          <w:kern w:val="0"/>
          <w:sz w:val="24"/>
        </w:rPr>
      </w:pPr>
      <w:r>
        <w:rPr>
          <w:color w:val="000000"/>
          <w:kern w:val="0"/>
          <w:sz w:val="24"/>
        </w:rPr>
        <w:t>8</w:t>
      </w:r>
      <w:r>
        <w:rPr>
          <w:rFonts w:hint="eastAsia"/>
          <w:color w:val="000000"/>
          <w:kern w:val="0"/>
          <w:sz w:val="24"/>
        </w:rPr>
        <w:t>、</w:t>
      </w:r>
      <w:r>
        <w:rPr>
          <w:color w:val="000000"/>
          <w:kern w:val="0"/>
          <w:sz w:val="24"/>
        </w:rPr>
        <w:t>野外工作车辆，应该注意交通安全，做到不紧不慢，安全第一。</w:t>
      </w:r>
    </w:p>
    <w:p w14:paraId="5931002C">
      <w:pPr>
        <w:widowControl/>
        <w:spacing w:line="440" w:lineRule="exact"/>
        <w:ind w:firstLine="480" w:firstLineChars="200"/>
        <w:jc w:val="left"/>
        <w:rPr>
          <w:color w:val="000000"/>
          <w:kern w:val="0"/>
          <w:sz w:val="24"/>
        </w:rPr>
      </w:pPr>
      <w:r>
        <w:rPr>
          <w:color w:val="000000"/>
          <w:kern w:val="0"/>
          <w:sz w:val="24"/>
        </w:rPr>
        <w:t>9</w:t>
      </w:r>
      <w:r>
        <w:rPr>
          <w:rFonts w:hint="eastAsia"/>
          <w:color w:val="000000"/>
          <w:kern w:val="0"/>
          <w:sz w:val="24"/>
        </w:rPr>
        <w:t>、</w:t>
      </w:r>
      <w:r>
        <w:rPr>
          <w:color w:val="000000"/>
          <w:kern w:val="0"/>
          <w:sz w:val="24"/>
        </w:rPr>
        <w:t>野外营地选择应遵守下列规定：</w:t>
      </w:r>
    </w:p>
    <w:p w14:paraId="47E06B01">
      <w:pPr>
        <w:widowControl/>
        <w:spacing w:line="440" w:lineRule="exact"/>
        <w:ind w:firstLine="480" w:firstLineChars="200"/>
        <w:jc w:val="left"/>
        <w:rPr>
          <w:color w:val="000000"/>
          <w:kern w:val="0"/>
          <w:sz w:val="24"/>
        </w:rPr>
      </w:pPr>
      <w:r>
        <w:rPr>
          <w:color w:val="000000"/>
          <w:kern w:val="0"/>
          <w:sz w:val="24"/>
        </w:rPr>
        <w:t>a</w:t>
      </w:r>
      <w:r>
        <w:rPr>
          <w:rFonts w:hint="eastAsia"/>
          <w:color w:val="000000"/>
          <w:kern w:val="0"/>
          <w:sz w:val="24"/>
        </w:rPr>
        <w:t>）</w:t>
      </w:r>
      <w:r>
        <w:rPr>
          <w:color w:val="000000"/>
          <w:kern w:val="0"/>
          <w:sz w:val="24"/>
        </w:rPr>
        <w:t>租住民房应检查房屋周边环境、基础和结构。</w:t>
      </w:r>
    </w:p>
    <w:p w14:paraId="0775E919">
      <w:pPr>
        <w:widowControl/>
        <w:spacing w:line="440" w:lineRule="exact"/>
        <w:ind w:firstLine="480" w:firstLineChars="200"/>
        <w:jc w:val="left"/>
        <w:rPr>
          <w:color w:val="000000"/>
          <w:kern w:val="0"/>
          <w:sz w:val="24"/>
        </w:rPr>
      </w:pPr>
      <w:r>
        <w:rPr>
          <w:color w:val="000000"/>
          <w:kern w:val="0"/>
          <w:sz w:val="24"/>
        </w:rPr>
        <w:t>b</w:t>
      </w:r>
      <w:r>
        <w:rPr>
          <w:rFonts w:hint="eastAsia"/>
          <w:color w:val="000000"/>
          <w:kern w:val="0"/>
          <w:sz w:val="24"/>
        </w:rPr>
        <w:t>）</w:t>
      </w:r>
      <w:r>
        <w:rPr>
          <w:color w:val="000000"/>
          <w:kern w:val="0"/>
          <w:sz w:val="24"/>
        </w:rPr>
        <w:t xml:space="preserve">提高防盗、防抢意识，遇到盗窃、抢劫要及时报警，不要做过多激怒歹徒的行为。特别强调，安全第一。 </w:t>
      </w:r>
    </w:p>
    <w:p w14:paraId="517C0E7E">
      <w:pPr>
        <w:widowControl/>
        <w:spacing w:line="440" w:lineRule="exact"/>
        <w:ind w:firstLine="480" w:firstLineChars="200"/>
        <w:jc w:val="left"/>
        <w:rPr>
          <w:color w:val="000000"/>
          <w:kern w:val="0"/>
          <w:sz w:val="24"/>
        </w:rPr>
      </w:pPr>
      <w:r>
        <w:rPr>
          <w:color w:val="000000"/>
          <w:kern w:val="0"/>
          <w:sz w:val="24"/>
        </w:rPr>
        <w:t>c</w:t>
      </w:r>
      <w:r>
        <w:rPr>
          <w:rFonts w:hint="eastAsia"/>
          <w:color w:val="000000"/>
          <w:kern w:val="0"/>
          <w:sz w:val="24"/>
        </w:rPr>
        <w:t>）</w:t>
      </w:r>
      <w:r>
        <w:rPr>
          <w:color w:val="000000"/>
          <w:kern w:val="0"/>
          <w:sz w:val="24"/>
        </w:rPr>
        <w:t>注意设备充电时间，尽量避免超时充用电。</w:t>
      </w:r>
    </w:p>
    <w:p w14:paraId="1F44CA46">
      <w:pPr>
        <w:widowControl/>
        <w:spacing w:line="440" w:lineRule="exact"/>
        <w:ind w:firstLine="482" w:firstLineChars="200"/>
        <w:jc w:val="left"/>
        <w:rPr>
          <w:color w:val="000000"/>
          <w:kern w:val="0"/>
          <w:sz w:val="24"/>
        </w:rPr>
      </w:pPr>
      <w:r>
        <w:rPr>
          <w:b/>
          <w:sz w:val="24"/>
        </w:rPr>
        <w:t>第八条</w:t>
      </w:r>
      <w:r>
        <w:rPr>
          <w:sz w:val="24"/>
        </w:rPr>
        <w:t xml:space="preserve">  </w:t>
      </w:r>
      <w:r>
        <w:rPr>
          <w:color w:val="000000"/>
          <w:kern w:val="0"/>
          <w:sz w:val="24"/>
        </w:rPr>
        <w:t>山区、林地作业应遵守下列规定：</w:t>
      </w:r>
    </w:p>
    <w:p w14:paraId="2D109262">
      <w:pPr>
        <w:widowControl/>
        <w:spacing w:line="440" w:lineRule="exact"/>
        <w:ind w:firstLine="480" w:firstLineChars="200"/>
        <w:jc w:val="left"/>
        <w:rPr>
          <w:color w:val="000000"/>
          <w:kern w:val="0"/>
          <w:sz w:val="24"/>
        </w:rPr>
      </w:pPr>
      <w:r>
        <w:rPr>
          <w:color w:val="000000"/>
          <w:kern w:val="0"/>
          <w:sz w:val="24"/>
        </w:rPr>
        <w:t>a</w:t>
      </w:r>
      <w:r>
        <w:rPr>
          <w:rFonts w:hint="eastAsia"/>
          <w:color w:val="000000"/>
          <w:kern w:val="0"/>
          <w:sz w:val="24"/>
        </w:rPr>
        <w:t>）</w:t>
      </w:r>
      <w:r>
        <w:rPr>
          <w:color w:val="000000"/>
          <w:kern w:val="0"/>
          <w:sz w:val="24"/>
        </w:rPr>
        <w:t>预防动物、植物、微生物伤害源，尤其注意防止村庄养狗伤人，山区丛林应该预防毒蛇叮咬。</w:t>
      </w:r>
    </w:p>
    <w:p w14:paraId="6FCC80DB">
      <w:pPr>
        <w:widowControl/>
        <w:spacing w:line="440" w:lineRule="exact"/>
        <w:ind w:firstLine="480" w:firstLineChars="200"/>
        <w:jc w:val="left"/>
        <w:rPr>
          <w:color w:val="000000"/>
          <w:kern w:val="0"/>
          <w:sz w:val="24"/>
        </w:rPr>
      </w:pPr>
      <w:r>
        <w:rPr>
          <w:color w:val="000000"/>
          <w:kern w:val="0"/>
          <w:sz w:val="24"/>
        </w:rPr>
        <w:t>b</w:t>
      </w:r>
      <w:r>
        <w:rPr>
          <w:rFonts w:hint="eastAsia"/>
          <w:color w:val="000000"/>
          <w:kern w:val="0"/>
          <w:sz w:val="24"/>
        </w:rPr>
        <w:t>）</w:t>
      </w:r>
      <w:r>
        <w:rPr>
          <w:color w:val="000000"/>
          <w:kern w:val="0"/>
          <w:sz w:val="24"/>
        </w:rPr>
        <w:t>每日出发前，应了解天气情况、行进路线、路况、作业区地形地貌、地表覆盖等情况。</w:t>
      </w:r>
    </w:p>
    <w:p w14:paraId="137847CC">
      <w:pPr>
        <w:widowControl/>
        <w:spacing w:line="440" w:lineRule="exact"/>
        <w:ind w:firstLine="480" w:firstLineChars="200"/>
        <w:jc w:val="left"/>
        <w:rPr>
          <w:color w:val="000000"/>
          <w:kern w:val="0"/>
          <w:sz w:val="24"/>
        </w:rPr>
      </w:pPr>
      <w:r>
        <w:rPr>
          <w:color w:val="000000"/>
          <w:kern w:val="0"/>
          <w:sz w:val="24"/>
        </w:rPr>
        <w:t>c</w:t>
      </w:r>
      <w:r>
        <w:rPr>
          <w:rFonts w:hint="eastAsia"/>
          <w:color w:val="000000"/>
          <w:kern w:val="0"/>
          <w:sz w:val="24"/>
        </w:rPr>
        <w:t>）</w:t>
      </w:r>
      <w:r>
        <w:rPr>
          <w:color w:val="000000"/>
          <w:kern w:val="0"/>
          <w:sz w:val="24"/>
        </w:rPr>
        <w:t>在大于30°的陡坡或者垂直的悬崖峭壁上作业，应使用保险绳、安全带。</w:t>
      </w:r>
    </w:p>
    <w:p w14:paraId="086728DE">
      <w:pPr>
        <w:widowControl/>
        <w:spacing w:line="440" w:lineRule="exact"/>
        <w:ind w:firstLine="480" w:firstLineChars="200"/>
        <w:jc w:val="left"/>
        <w:rPr>
          <w:color w:val="000000"/>
          <w:kern w:val="0"/>
          <w:sz w:val="24"/>
        </w:rPr>
      </w:pPr>
      <w:r>
        <w:rPr>
          <w:color w:val="000000"/>
          <w:kern w:val="0"/>
          <w:sz w:val="24"/>
        </w:rPr>
        <w:t>d</w:t>
      </w:r>
      <w:r>
        <w:rPr>
          <w:rFonts w:hint="eastAsia"/>
          <w:color w:val="000000"/>
          <w:kern w:val="0"/>
          <w:sz w:val="24"/>
        </w:rPr>
        <w:t>）</w:t>
      </w:r>
      <w:r>
        <w:rPr>
          <w:color w:val="000000"/>
          <w:kern w:val="0"/>
          <w:sz w:val="24"/>
        </w:rPr>
        <w:t>在悬崖、陡坡进行作业，应清除上部浮石。进行两层或多层作业，上下层间应有安全防护设施。2m及以上高处作业，应系安全带。</w:t>
      </w:r>
    </w:p>
    <w:p w14:paraId="78977242">
      <w:pPr>
        <w:widowControl/>
        <w:spacing w:line="440" w:lineRule="exact"/>
        <w:ind w:firstLine="480" w:firstLineChars="200"/>
        <w:jc w:val="left"/>
        <w:rPr>
          <w:color w:val="000000"/>
          <w:kern w:val="0"/>
          <w:sz w:val="24"/>
        </w:rPr>
      </w:pPr>
      <w:r>
        <w:rPr>
          <w:color w:val="000000"/>
          <w:kern w:val="0"/>
          <w:sz w:val="24"/>
        </w:rPr>
        <w:t>e</w:t>
      </w:r>
      <w:r>
        <w:rPr>
          <w:rFonts w:hint="eastAsia"/>
          <w:color w:val="000000"/>
          <w:kern w:val="0"/>
          <w:sz w:val="24"/>
        </w:rPr>
        <w:t>）</w:t>
      </w:r>
      <w:r>
        <w:rPr>
          <w:color w:val="000000"/>
          <w:kern w:val="0"/>
          <w:sz w:val="24"/>
        </w:rPr>
        <w:t>山区施工，暴雨季节注意防洪、山体滑坡、坍塌措施。</w:t>
      </w:r>
    </w:p>
    <w:p w14:paraId="65075538">
      <w:pPr>
        <w:widowControl/>
        <w:spacing w:line="440" w:lineRule="exact"/>
        <w:ind w:firstLine="480" w:firstLineChars="200"/>
        <w:jc w:val="left"/>
        <w:rPr>
          <w:color w:val="000000"/>
          <w:kern w:val="0"/>
          <w:sz w:val="24"/>
        </w:rPr>
      </w:pPr>
      <w:r>
        <w:rPr>
          <w:color w:val="000000"/>
          <w:kern w:val="0"/>
          <w:sz w:val="24"/>
        </w:rPr>
        <w:t>f</w:t>
      </w:r>
      <w:r>
        <w:rPr>
          <w:rFonts w:hint="eastAsia"/>
          <w:color w:val="000000"/>
          <w:kern w:val="0"/>
          <w:sz w:val="24"/>
        </w:rPr>
        <w:t>）</w:t>
      </w:r>
      <w:r>
        <w:rPr>
          <w:color w:val="000000"/>
          <w:kern w:val="0"/>
          <w:sz w:val="24"/>
        </w:rPr>
        <w:t>在森林地区进行作业，应遵守禁区防火规定。</w:t>
      </w:r>
    </w:p>
    <w:p w14:paraId="655D404D">
      <w:pPr>
        <w:widowControl/>
        <w:spacing w:line="440" w:lineRule="exact"/>
        <w:ind w:firstLine="480" w:firstLineChars="200"/>
        <w:jc w:val="left"/>
        <w:rPr>
          <w:color w:val="000000"/>
          <w:kern w:val="0"/>
          <w:sz w:val="24"/>
        </w:rPr>
      </w:pPr>
      <w:r>
        <w:rPr>
          <w:rFonts w:hint="eastAsia"/>
          <w:color w:val="000000"/>
          <w:kern w:val="0"/>
          <w:sz w:val="24"/>
        </w:rPr>
        <w:t>g）</w:t>
      </w:r>
      <w:r>
        <w:rPr>
          <w:color w:val="000000"/>
          <w:kern w:val="0"/>
          <w:sz w:val="24"/>
        </w:rPr>
        <w:t xml:space="preserve">山区施工现场严禁烟火。 </w:t>
      </w:r>
    </w:p>
    <w:p w14:paraId="4578A696">
      <w:pPr>
        <w:widowControl/>
        <w:spacing w:line="440" w:lineRule="exact"/>
        <w:ind w:firstLine="482" w:firstLineChars="200"/>
        <w:jc w:val="left"/>
        <w:rPr>
          <w:color w:val="000000"/>
          <w:kern w:val="0"/>
          <w:sz w:val="24"/>
        </w:rPr>
      </w:pPr>
      <w:r>
        <w:rPr>
          <w:b/>
          <w:sz w:val="24"/>
        </w:rPr>
        <w:t>第九条</w:t>
      </w:r>
      <w:r>
        <w:rPr>
          <w:sz w:val="24"/>
        </w:rPr>
        <w:t xml:space="preserve">  </w:t>
      </w:r>
      <w:r>
        <w:rPr>
          <w:color w:val="000000"/>
          <w:kern w:val="0"/>
          <w:sz w:val="24"/>
        </w:rPr>
        <w:t>水系、沼泽地区作业应遵守下列规定：</w:t>
      </w:r>
    </w:p>
    <w:p w14:paraId="409B8F73">
      <w:pPr>
        <w:widowControl/>
        <w:spacing w:line="440" w:lineRule="exact"/>
        <w:ind w:firstLine="480" w:firstLineChars="200"/>
        <w:jc w:val="left"/>
        <w:rPr>
          <w:color w:val="000000"/>
          <w:kern w:val="0"/>
          <w:sz w:val="24"/>
        </w:rPr>
      </w:pPr>
      <w:r>
        <w:rPr>
          <w:color w:val="000000"/>
          <w:kern w:val="0"/>
          <w:sz w:val="24"/>
        </w:rPr>
        <w:t>a</w:t>
      </w:r>
      <w:r>
        <w:rPr>
          <w:rFonts w:hint="eastAsia"/>
          <w:color w:val="000000"/>
          <w:kern w:val="0"/>
          <w:sz w:val="24"/>
        </w:rPr>
        <w:t>）</w:t>
      </w:r>
      <w:r>
        <w:rPr>
          <w:color w:val="000000"/>
          <w:kern w:val="0"/>
          <w:sz w:val="24"/>
        </w:rPr>
        <w:t>在沼泽地区作业，应佩戴黑绢网、皮手套，扎紧袖口和裤脚。注意防范蚊虫叮咬。</w:t>
      </w:r>
    </w:p>
    <w:p w14:paraId="2ADB0924">
      <w:pPr>
        <w:widowControl/>
        <w:spacing w:line="440" w:lineRule="exact"/>
        <w:ind w:firstLine="480" w:firstLineChars="200"/>
        <w:jc w:val="left"/>
        <w:rPr>
          <w:color w:val="000000"/>
          <w:kern w:val="0"/>
          <w:sz w:val="24"/>
        </w:rPr>
      </w:pPr>
      <w:r>
        <w:rPr>
          <w:color w:val="000000"/>
          <w:kern w:val="0"/>
          <w:sz w:val="24"/>
        </w:rPr>
        <w:t>b</w:t>
      </w:r>
      <w:r>
        <w:rPr>
          <w:rFonts w:hint="eastAsia"/>
          <w:color w:val="000000"/>
          <w:kern w:val="0"/>
          <w:sz w:val="24"/>
        </w:rPr>
        <w:t>）</w:t>
      </w:r>
      <w:r>
        <w:rPr>
          <w:color w:val="000000"/>
          <w:kern w:val="0"/>
          <w:sz w:val="24"/>
        </w:rPr>
        <w:t>徒步涉水河流、水域，水深应小于半身高，并采取相应防护措施，超过0.7m水深不得徒手下水渡过河流、沟渠。</w:t>
      </w:r>
    </w:p>
    <w:p w14:paraId="2FFA862B">
      <w:pPr>
        <w:widowControl/>
        <w:spacing w:line="440" w:lineRule="exact"/>
        <w:ind w:firstLine="482" w:firstLineChars="200"/>
        <w:jc w:val="left"/>
        <w:rPr>
          <w:color w:val="000000"/>
          <w:kern w:val="0"/>
          <w:sz w:val="24"/>
        </w:rPr>
      </w:pPr>
      <w:r>
        <w:rPr>
          <w:b/>
          <w:color w:val="000000"/>
          <w:kern w:val="0"/>
          <w:sz w:val="24"/>
        </w:rPr>
        <w:t>第十条</w:t>
      </w:r>
      <w:r>
        <w:rPr>
          <w:color w:val="000000"/>
          <w:kern w:val="0"/>
          <w:sz w:val="24"/>
        </w:rPr>
        <w:t xml:space="preserve">  乙方应严格遵守上述协议内容，如若违规甲方有权责令其停工或进行处罚。</w:t>
      </w:r>
    </w:p>
    <w:p w14:paraId="38F9DC2A">
      <w:pPr>
        <w:spacing w:line="440" w:lineRule="exact"/>
        <w:ind w:firstLine="482" w:firstLineChars="200"/>
        <w:rPr>
          <w:sz w:val="24"/>
        </w:rPr>
      </w:pPr>
      <w:r>
        <w:rPr>
          <w:b/>
          <w:sz w:val="24"/>
        </w:rPr>
        <w:t>第十一条</w:t>
      </w:r>
      <w:r>
        <w:rPr>
          <w:sz w:val="24"/>
        </w:rPr>
        <w:t xml:space="preserve">  如因乙方违反相关法律、法规及以上规定，所造成的一切不良后果（人员伤亡、财产损失等）均由乙方全部负责，与甲方无关。</w:t>
      </w:r>
    </w:p>
    <w:p w14:paraId="6480081B">
      <w:pPr>
        <w:spacing w:after="120" w:line="480" w:lineRule="exact"/>
        <w:ind w:left="420" w:leftChars="200" w:firstLine="480" w:firstLineChars="200"/>
        <w:rPr>
          <w:sz w:val="24"/>
          <w:szCs w:val="20"/>
        </w:rPr>
      </w:pPr>
    </w:p>
    <w:tbl>
      <w:tblPr>
        <w:tblStyle w:val="42"/>
        <w:tblW w:w="9147" w:type="dxa"/>
        <w:jc w:val="center"/>
        <w:tblLayout w:type="fixed"/>
        <w:tblCellMar>
          <w:top w:w="0" w:type="dxa"/>
          <w:left w:w="108" w:type="dxa"/>
          <w:bottom w:w="0" w:type="dxa"/>
          <w:right w:w="108" w:type="dxa"/>
        </w:tblCellMar>
      </w:tblPr>
      <w:tblGrid>
        <w:gridCol w:w="1600"/>
        <w:gridCol w:w="2975"/>
        <w:gridCol w:w="1630"/>
        <w:gridCol w:w="2942"/>
      </w:tblGrid>
      <w:tr w14:paraId="58A6CB9F">
        <w:tblPrEx>
          <w:tblCellMar>
            <w:top w:w="0" w:type="dxa"/>
            <w:left w:w="108" w:type="dxa"/>
            <w:bottom w:w="0" w:type="dxa"/>
            <w:right w:w="108" w:type="dxa"/>
          </w:tblCellMar>
        </w:tblPrEx>
        <w:trPr>
          <w:trHeight w:val="803" w:hRule="atLeast"/>
          <w:jc w:val="center"/>
        </w:trPr>
        <w:tc>
          <w:tcPr>
            <w:tcW w:w="9147" w:type="dxa"/>
            <w:gridSpan w:val="4"/>
            <w:vAlign w:val="center"/>
          </w:tcPr>
          <w:p w14:paraId="1EC3CD46">
            <w:pPr>
              <w:spacing w:line="320" w:lineRule="exact"/>
              <w:jc w:val="center"/>
              <w:rPr>
                <w:rFonts w:hint="eastAsia" w:ascii="华文宋体" w:hAnsi="华文宋体" w:eastAsia="华文宋体" w:cs="华文宋体"/>
                <w:b/>
                <w:szCs w:val="21"/>
              </w:rPr>
            </w:pPr>
            <w:r>
              <w:rPr>
                <w:rFonts w:hint="eastAsia" w:ascii="华文宋体" w:hAnsi="华文宋体" w:eastAsia="华文宋体" w:cs="华文宋体"/>
                <w:b/>
                <w:sz w:val="28"/>
                <w:szCs w:val="28"/>
              </w:rPr>
              <w:t>协议签订双方</w:t>
            </w:r>
          </w:p>
        </w:tc>
      </w:tr>
      <w:tr w14:paraId="7BDF3CC1">
        <w:tblPrEx>
          <w:tblCellMar>
            <w:top w:w="0" w:type="dxa"/>
            <w:left w:w="108" w:type="dxa"/>
            <w:bottom w:w="0" w:type="dxa"/>
            <w:right w:w="108" w:type="dxa"/>
          </w:tblCellMar>
        </w:tblPrEx>
        <w:trPr>
          <w:trHeight w:val="997" w:hRule="atLeast"/>
          <w:jc w:val="center"/>
        </w:trPr>
        <w:tc>
          <w:tcPr>
            <w:tcW w:w="1600" w:type="dxa"/>
            <w:vAlign w:val="center"/>
          </w:tcPr>
          <w:p w14:paraId="11DE80C2">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甲方（盖章）：</w:t>
            </w:r>
          </w:p>
        </w:tc>
        <w:tc>
          <w:tcPr>
            <w:tcW w:w="2975" w:type="dxa"/>
            <w:vAlign w:val="center"/>
          </w:tcPr>
          <w:p w14:paraId="1FFE5ED5">
            <w:pPr>
              <w:spacing w:line="320" w:lineRule="exact"/>
              <w:jc w:val="center"/>
              <w:rPr>
                <w:rFonts w:hint="eastAsia" w:ascii="华文宋体" w:hAnsi="华文宋体" w:eastAsia="华文宋体" w:cs="华文宋体"/>
                <w:szCs w:val="21"/>
              </w:rPr>
            </w:pPr>
          </w:p>
        </w:tc>
        <w:tc>
          <w:tcPr>
            <w:tcW w:w="1630" w:type="dxa"/>
            <w:vAlign w:val="center"/>
          </w:tcPr>
          <w:p w14:paraId="7C88C85F">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乙方（盖章）：</w:t>
            </w:r>
          </w:p>
        </w:tc>
        <w:tc>
          <w:tcPr>
            <w:tcW w:w="2942" w:type="dxa"/>
            <w:vAlign w:val="center"/>
          </w:tcPr>
          <w:p w14:paraId="267BF127">
            <w:pPr>
              <w:spacing w:line="320" w:lineRule="exact"/>
              <w:ind w:leftChars="-2" w:hanging="4" w:hangingChars="2"/>
              <w:jc w:val="center"/>
              <w:rPr>
                <w:rFonts w:hint="eastAsia" w:ascii="华文宋体" w:hAnsi="华文宋体" w:eastAsia="华文宋体" w:cs="华文宋体"/>
                <w:szCs w:val="21"/>
              </w:rPr>
            </w:pPr>
          </w:p>
        </w:tc>
      </w:tr>
      <w:tr w14:paraId="6EDBB2E0">
        <w:tblPrEx>
          <w:tblCellMar>
            <w:top w:w="0" w:type="dxa"/>
            <w:left w:w="108" w:type="dxa"/>
            <w:bottom w:w="0" w:type="dxa"/>
            <w:right w:w="108" w:type="dxa"/>
          </w:tblCellMar>
        </w:tblPrEx>
        <w:trPr>
          <w:trHeight w:val="1087" w:hRule="atLeast"/>
          <w:jc w:val="center"/>
        </w:trPr>
        <w:tc>
          <w:tcPr>
            <w:tcW w:w="1600" w:type="dxa"/>
            <w:vAlign w:val="center"/>
          </w:tcPr>
          <w:p w14:paraId="3E2AC547">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法定代表人</w:t>
            </w:r>
          </w:p>
          <w:p w14:paraId="09DF16BA">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75" w:type="dxa"/>
            <w:vAlign w:val="center"/>
          </w:tcPr>
          <w:p w14:paraId="4E77A08E">
            <w:pPr>
              <w:spacing w:line="320" w:lineRule="exact"/>
              <w:rPr>
                <w:rFonts w:hint="eastAsia" w:ascii="华文宋体" w:hAnsi="华文宋体" w:eastAsia="华文宋体" w:cs="华文宋体"/>
                <w:szCs w:val="21"/>
              </w:rPr>
            </w:pPr>
          </w:p>
        </w:tc>
        <w:tc>
          <w:tcPr>
            <w:tcW w:w="1630" w:type="dxa"/>
            <w:vAlign w:val="center"/>
          </w:tcPr>
          <w:p w14:paraId="5E575042">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法定代表人</w:t>
            </w:r>
          </w:p>
          <w:p w14:paraId="56AEEAA9">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42" w:type="dxa"/>
            <w:vAlign w:val="center"/>
          </w:tcPr>
          <w:p w14:paraId="0F6D4ACF">
            <w:pPr>
              <w:spacing w:line="320" w:lineRule="exact"/>
              <w:rPr>
                <w:rFonts w:hint="eastAsia" w:ascii="华文宋体" w:hAnsi="华文宋体" w:eastAsia="华文宋体" w:cs="华文宋体"/>
                <w:szCs w:val="21"/>
              </w:rPr>
            </w:pPr>
          </w:p>
        </w:tc>
      </w:tr>
      <w:tr w14:paraId="4949D93D">
        <w:tblPrEx>
          <w:tblCellMar>
            <w:top w:w="0" w:type="dxa"/>
            <w:left w:w="108" w:type="dxa"/>
            <w:bottom w:w="0" w:type="dxa"/>
            <w:right w:w="108" w:type="dxa"/>
          </w:tblCellMar>
        </w:tblPrEx>
        <w:trPr>
          <w:trHeight w:val="1087" w:hRule="atLeast"/>
          <w:jc w:val="center"/>
        </w:trPr>
        <w:tc>
          <w:tcPr>
            <w:tcW w:w="1600" w:type="dxa"/>
            <w:vAlign w:val="center"/>
          </w:tcPr>
          <w:p w14:paraId="7D6A26BE">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委托代理人</w:t>
            </w:r>
          </w:p>
          <w:p w14:paraId="6C5D5276">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75" w:type="dxa"/>
            <w:vAlign w:val="center"/>
          </w:tcPr>
          <w:p w14:paraId="53317A6B">
            <w:pPr>
              <w:spacing w:line="320" w:lineRule="exact"/>
              <w:rPr>
                <w:rFonts w:hint="eastAsia" w:ascii="华文宋体" w:hAnsi="华文宋体" w:eastAsia="华文宋体" w:cs="华文宋体"/>
                <w:szCs w:val="21"/>
              </w:rPr>
            </w:pPr>
          </w:p>
        </w:tc>
        <w:tc>
          <w:tcPr>
            <w:tcW w:w="1630" w:type="dxa"/>
            <w:vAlign w:val="center"/>
          </w:tcPr>
          <w:p w14:paraId="2C3236F6">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委托代理人</w:t>
            </w:r>
          </w:p>
          <w:p w14:paraId="1D7337E9">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42" w:type="dxa"/>
            <w:vAlign w:val="center"/>
          </w:tcPr>
          <w:p w14:paraId="6834B67D">
            <w:pPr>
              <w:spacing w:line="320" w:lineRule="exact"/>
              <w:rPr>
                <w:rFonts w:hint="eastAsia" w:ascii="华文宋体" w:hAnsi="华文宋体" w:eastAsia="华文宋体" w:cs="华文宋体"/>
                <w:szCs w:val="21"/>
              </w:rPr>
            </w:pPr>
          </w:p>
        </w:tc>
      </w:tr>
      <w:tr w14:paraId="4E4068D2">
        <w:tblPrEx>
          <w:tblCellMar>
            <w:top w:w="0" w:type="dxa"/>
            <w:left w:w="108" w:type="dxa"/>
            <w:bottom w:w="0" w:type="dxa"/>
            <w:right w:w="108" w:type="dxa"/>
          </w:tblCellMar>
        </w:tblPrEx>
        <w:trPr>
          <w:trHeight w:val="1087" w:hRule="atLeast"/>
          <w:jc w:val="center"/>
        </w:trPr>
        <w:tc>
          <w:tcPr>
            <w:tcW w:w="1600" w:type="dxa"/>
            <w:vAlign w:val="center"/>
          </w:tcPr>
          <w:p w14:paraId="311FCE5B">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签订日期：</w:t>
            </w:r>
          </w:p>
        </w:tc>
        <w:tc>
          <w:tcPr>
            <w:tcW w:w="2975" w:type="dxa"/>
            <w:vAlign w:val="center"/>
          </w:tcPr>
          <w:p w14:paraId="2C3C40B1">
            <w:pPr>
              <w:spacing w:line="320" w:lineRule="exact"/>
              <w:jc w:val="right"/>
              <w:rPr>
                <w:rFonts w:hint="eastAsia" w:ascii="华文宋体" w:hAnsi="华文宋体" w:eastAsia="华文宋体" w:cs="华文宋体"/>
                <w:szCs w:val="21"/>
              </w:rPr>
            </w:pPr>
            <w:r>
              <w:rPr>
                <w:rFonts w:hint="eastAsia" w:ascii="华文宋体" w:hAnsi="华文宋体" w:eastAsia="华文宋体" w:cs="华文宋体"/>
                <w:szCs w:val="21"/>
              </w:rPr>
              <w:t>________年____月____日</w:t>
            </w:r>
          </w:p>
        </w:tc>
        <w:tc>
          <w:tcPr>
            <w:tcW w:w="1630" w:type="dxa"/>
            <w:vAlign w:val="center"/>
          </w:tcPr>
          <w:p w14:paraId="1E8A92A8">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签订日期：</w:t>
            </w:r>
          </w:p>
        </w:tc>
        <w:tc>
          <w:tcPr>
            <w:tcW w:w="2942" w:type="dxa"/>
            <w:vAlign w:val="center"/>
          </w:tcPr>
          <w:p w14:paraId="4528EE07">
            <w:pPr>
              <w:spacing w:line="320" w:lineRule="exact"/>
              <w:jc w:val="right"/>
              <w:rPr>
                <w:rFonts w:hint="eastAsia" w:ascii="华文宋体" w:hAnsi="华文宋体" w:eastAsia="华文宋体" w:cs="华文宋体"/>
                <w:szCs w:val="21"/>
              </w:rPr>
            </w:pPr>
            <w:r>
              <w:rPr>
                <w:rFonts w:hint="eastAsia" w:ascii="华文宋体" w:hAnsi="华文宋体" w:eastAsia="华文宋体" w:cs="华文宋体"/>
                <w:szCs w:val="21"/>
              </w:rPr>
              <w:t>________年____月____日</w:t>
            </w:r>
          </w:p>
        </w:tc>
      </w:tr>
    </w:tbl>
    <w:p w14:paraId="180217CF">
      <w:pPr>
        <w:spacing w:line="360" w:lineRule="auto"/>
        <w:ind w:firstLine="480" w:firstLineChars="200"/>
        <w:rPr>
          <w:rFonts w:hint="eastAsia" w:ascii="宋体" w:hAnsi="宋体" w:cs="宋体"/>
          <w:color w:val="000000"/>
          <w:sz w:val="24"/>
        </w:rPr>
      </w:pPr>
      <w:r>
        <w:rPr>
          <w:rFonts w:hint="eastAsia" w:ascii="宋体" w:hAnsi="宋体" w:cs="宋体"/>
          <w:color w:val="000000"/>
          <w:sz w:val="24"/>
        </w:rPr>
        <w:br w:type="page"/>
      </w:r>
    </w:p>
    <w:p w14:paraId="235819AC">
      <w:pPr>
        <w:spacing w:after="240" w:afterLines="100" w:line="360" w:lineRule="auto"/>
        <w:outlineLvl w:val="1"/>
        <w:rPr>
          <w:rFonts w:hint="eastAsia" w:ascii="宋体" w:hAnsi="宋体" w:cs="宋体"/>
          <w:b/>
          <w:color w:val="000000"/>
          <w:sz w:val="28"/>
          <w:szCs w:val="28"/>
        </w:rPr>
      </w:pPr>
      <w:r>
        <w:rPr>
          <w:rFonts w:hint="eastAsia" w:ascii="宋体" w:hAnsi="宋体" w:cs="宋体"/>
          <w:b/>
          <w:color w:val="000000"/>
          <w:sz w:val="28"/>
          <w:szCs w:val="28"/>
        </w:rPr>
        <w:t>第二包：</w:t>
      </w:r>
    </w:p>
    <w:p w14:paraId="05DD9B2D">
      <w:pPr>
        <w:spacing w:after="120" w:line="480" w:lineRule="exact"/>
        <w:jc w:val="center"/>
        <w:rPr>
          <w:rFonts w:hint="eastAsia" w:hAnsi="宋体" w:cs="宋体"/>
          <w:b/>
          <w:bCs/>
          <w:color w:val="000000"/>
          <w:sz w:val="28"/>
          <w:szCs w:val="28"/>
        </w:rPr>
      </w:pPr>
      <w:r>
        <w:rPr>
          <w:rFonts w:hint="eastAsia" w:hAnsi="宋体" w:cs="宋体"/>
          <w:b/>
          <w:bCs/>
          <w:color w:val="000000"/>
          <w:sz w:val="28"/>
          <w:szCs w:val="28"/>
        </w:rPr>
        <w:t>政 府 采 购 合 同</w:t>
      </w:r>
    </w:p>
    <w:p w14:paraId="2196CFF6">
      <w:pPr>
        <w:rPr>
          <w:rFonts w:hint="eastAsia" w:ascii="宋体" w:hAnsi="宋体" w:cs="宋体"/>
        </w:rPr>
      </w:pPr>
    </w:p>
    <w:p w14:paraId="31B4D634">
      <w:pPr>
        <w:jc w:val="right"/>
        <w:rPr>
          <w:rFonts w:hint="eastAsia" w:ascii="宋体" w:hAnsi="宋体" w:cs="宋体"/>
          <w:color w:val="000000"/>
          <w:sz w:val="24"/>
        </w:rPr>
      </w:pPr>
      <w:r>
        <w:rPr>
          <w:rFonts w:hint="eastAsia" w:ascii="宋体" w:hAnsi="宋体" w:cs="宋体"/>
          <w:color w:val="000000"/>
          <w:sz w:val="24"/>
        </w:rPr>
        <w:t>合同编号：</w:t>
      </w:r>
    </w:p>
    <w:p w14:paraId="018A4776">
      <w:pPr>
        <w:rPr>
          <w:rFonts w:hint="eastAsia" w:ascii="宋体" w:hAnsi="宋体" w:cs="宋体"/>
          <w:color w:val="000000"/>
          <w:sz w:val="24"/>
        </w:rPr>
      </w:pPr>
    </w:p>
    <w:p w14:paraId="30E420AE">
      <w:pPr>
        <w:rPr>
          <w:rFonts w:hint="eastAsia" w:ascii="宋体" w:hAnsi="宋体" w:cs="宋体"/>
          <w:color w:val="000000"/>
          <w:sz w:val="24"/>
        </w:rPr>
      </w:pPr>
    </w:p>
    <w:p w14:paraId="3AC69080">
      <w:pPr>
        <w:rPr>
          <w:rFonts w:hint="eastAsia" w:ascii="宋体" w:hAnsi="宋体" w:cs="宋体"/>
          <w:color w:val="000000"/>
          <w:sz w:val="24"/>
        </w:rPr>
      </w:pPr>
    </w:p>
    <w:p w14:paraId="6EA242F2">
      <w:pPr>
        <w:rPr>
          <w:rFonts w:hint="eastAsia" w:ascii="宋体" w:hAnsi="宋体" w:cs="宋体"/>
          <w:color w:val="000000"/>
          <w:sz w:val="24"/>
        </w:rPr>
      </w:pPr>
    </w:p>
    <w:p w14:paraId="61EF2829">
      <w:pPr>
        <w:ind w:firstLine="1680" w:firstLineChars="700"/>
        <w:rPr>
          <w:rFonts w:hint="eastAsia" w:ascii="宋体" w:hAnsi="宋体" w:cs="宋体"/>
          <w:color w:val="000000"/>
          <w:sz w:val="24"/>
          <w:u w:val="single"/>
        </w:rPr>
      </w:pPr>
      <w:r>
        <w:rPr>
          <w:rFonts w:hint="eastAsia" w:ascii="宋体" w:hAnsi="宋体" w:cs="宋体"/>
          <w:color w:val="000000"/>
          <w:sz w:val="24"/>
        </w:rPr>
        <w:t>项目名称：</w:t>
      </w:r>
      <w:r>
        <w:rPr>
          <w:rFonts w:hint="eastAsia" w:ascii="宋体" w:hAnsi="宋体" w:cs="宋体"/>
          <w:color w:val="000000"/>
          <w:sz w:val="24"/>
          <w:u w:val="single"/>
        </w:rPr>
        <w:t xml:space="preserve">                          </w:t>
      </w:r>
    </w:p>
    <w:p w14:paraId="2EE49C9D">
      <w:pPr>
        <w:ind w:firstLine="1680" w:firstLineChars="700"/>
        <w:jc w:val="center"/>
        <w:rPr>
          <w:rFonts w:hint="eastAsia" w:ascii="宋体" w:hAnsi="宋体" w:cs="宋体"/>
          <w:color w:val="000000"/>
          <w:sz w:val="24"/>
        </w:rPr>
      </w:pPr>
    </w:p>
    <w:p w14:paraId="13590635">
      <w:pPr>
        <w:ind w:firstLine="1680" w:firstLineChars="700"/>
        <w:jc w:val="center"/>
        <w:rPr>
          <w:rFonts w:hint="eastAsia" w:ascii="宋体" w:hAnsi="宋体" w:cs="宋体"/>
          <w:color w:val="000000"/>
          <w:sz w:val="24"/>
        </w:rPr>
      </w:pPr>
    </w:p>
    <w:p w14:paraId="594FEA8E">
      <w:pPr>
        <w:ind w:firstLine="1680" w:firstLineChars="700"/>
        <w:jc w:val="center"/>
        <w:rPr>
          <w:rFonts w:hint="eastAsia" w:ascii="宋体" w:hAnsi="宋体" w:cs="宋体"/>
          <w:color w:val="000000"/>
          <w:sz w:val="24"/>
        </w:rPr>
      </w:pPr>
    </w:p>
    <w:p w14:paraId="69E6387A">
      <w:pPr>
        <w:ind w:firstLine="1680" w:firstLineChars="700"/>
        <w:rPr>
          <w:rFonts w:hint="eastAsia" w:ascii="宋体" w:hAnsi="宋体" w:cs="宋体"/>
          <w:color w:val="000000"/>
          <w:sz w:val="24"/>
          <w:u w:val="single"/>
        </w:rPr>
      </w:pPr>
      <w:r>
        <w:rPr>
          <w:rFonts w:hint="eastAsia" w:ascii="宋体" w:hAnsi="宋体" w:cs="宋体"/>
          <w:color w:val="000000"/>
          <w:sz w:val="24"/>
        </w:rPr>
        <w:t>采购人：</w:t>
      </w:r>
      <w:r>
        <w:rPr>
          <w:rFonts w:hint="eastAsia" w:ascii="宋体" w:hAnsi="宋体" w:cs="宋体"/>
          <w:color w:val="000000"/>
          <w:sz w:val="24"/>
          <w:u w:val="single"/>
        </w:rPr>
        <w:t xml:space="preserve">                         </w:t>
      </w:r>
    </w:p>
    <w:p w14:paraId="401199EE">
      <w:pPr>
        <w:ind w:firstLine="1680" w:firstLineChars="700"/>
        <w:jc w:val="center"/>
        <w:rPr>
          <w:rFonts w:hint="eastAsia" w:ascii="宋体" w:hAnsi="宋体" w:cs="宋体"/>
          <w:color w:val="000000"/>
          <w:sz w:val="24"/>
        </w:rPr>
      </w:pPr>
    </w:p>
    <w:p w14:paraId="7E4B11BB">
      <w:pPr>
        <w:ind w:firstLine="1680" w:firstLineChars="700"/>
        <w:jc w:val="center"/>
        <w:rPr>
          <w:rFonts w:hint="eastAsia" w:ascii="宋体" w:hAnsi="宋体" w:cs="宋体"/>
          <w:color w:val="000000"/>
          <w:sz w:val="24"/>
        </w:rPr>
      </w:pPr>
    </w:p>
    <w:p w14:paraId="20F41DB5">
      <w:pPr>
        <w:ind w:firstLine="1680" w:firstLineChars="700"/>
        <w:jc w:val="center"/>
        <w:rPr>
          <w:rFonts w:hint="eastAsia" w:ascii="宋体" w:hAnsi="宋体" w:cs="宋体"/>
          <w:color w:val="000000"/>
          <w:sz w:val="24"/>
        </w:rPr>
      </w:pPr>
    </w:p>
    <w:p w14:paraId="50247C73">
      <w:pPr>
        <w:ind w:firstLine="1680" w:firstLineChars="700"/>
        <w:jc w:val="center"/>
        <w:rPr>
          <w:rFonts w:hint="eastAsia" w:ascii="宋体" w:hAnsi="宋体" w:cs="宋体"/>
          <w:color w:val="000000"/>
          <w:sz w:val="24"/>
        </w:rPr>
      </w:pPr>
    </w:p>
    <w:p w14:paraId="22C71D7F">
      <w:pPr>
        <w:ind w:firstLine="1680" w:firstLineChars="700"/>
        <w:rPr>
          <w:rFonts w:hint="eastAsia" w:ascii="宋体" w:hAnsi="宋体" w:cs="宋体"/>
          <w:color w:val="000000"/>
          <w:sz w:val="24"/>
          <w:u w:val="single"/>
        </w:rPr>
      </w:pPr>
      <w:r>
        <w:rPr>
          <w:rFonts w:hint="eastAsia" w:ascii="宋体" w:hAnsi="宋体" w:cs="宋体"/>
          <w:color w:val="000000"/>
          <w:sz w:val="24"/>
        </w:rPr>
        <w:t>中标供应商：</w:t>
      </w:r>
      <w:r>
        <w:rPr>
          <w:rFonts w:hint="eastAsia" w:ascii="宋体" w:hAnsi="宋体" w:cs="宋体"/>
          <w:color w:val="000000"/>
          <w:sz w:val="24"/>
          <w:u w:val="single"/>
        </w:rPr>
        <w:t xml:space="preserve">                         </w:t>
      </w:r>
    </w:p>
    <w:p w14:paraId="4BC3632F">
      <w:pPr>
        <w:ind w:firstLine="1680" w:firstLineChars="700"/>
        <w:jc w:val="center"/>
        <w:rPr>
          <w:rFonts w:hint="eastAsia" w:ascii="宋体" w:hAnsi="宋体" w:cs="宋体"/>
          <w:color w:val="000000"/>
          <w:sz w:val="24"/>
        </w:rPr>
      </w:pPr>
    </w:p>
    <w:p w14:paraId="21C0D7F2">
      <w:pPr>
        <w:ind w:firstLine="1680" w:firstLineChars="700"/>
        <w:jc w:val="center"/>
        <w:rPr>
          <w:rFonts w:hint="eastAsia" w:ascii="宋体" w:hAnsi="宋体" w:cs="宋体"/>
          <w:color w:val="000000"/>
          <w:sz w:val="24"/>
        </w:rPr>
      </w:pPr>
    </w:p>
    <w:p w14:paraId="7E291888">
      <w:pPr>
        <w:ind w:firstLine="1680" w:firstLineChars="700"/>
        <w:jc w:val="center"/>
        <w:rPr>
          <w:rFonts w:hint="eastAsia" w:ascii="宋体" w:hAnsi="宋体" w:cs="宋体"/>
          <w:color w:val="000000"/>
          <w:sz w:val="24"/>
        </w:rPr>
      </w:pPr>
    </w:p>
    <w:p w14:paraId="099F0D66">
      <w:pPr>
        <w:ind w:firstLine="1680" w:firstLineChars="700"/>
        <w:jc w:val="center"/>
        <w:rPr>
          <w:rFonts w:hint="eastAsia" w:ascii="宋体" w:hAnsi="宋体" w:cs="宋体"/>
          <w:color w:val="000000"/>
          <w:sz w:val="24"/>
        </w:rPr>
      </w:pPr>
    </w:p>
    <w:p w14:paraId="35D1BC6D">
      <w:pPr>
        <w:ind w:firstLine="1680" w:firstLineChars="700"/>
        <w:rPr>
          <w:rFonts w:hint="eastAsia" w:ascii="宋体" w:hAnsi="宋体" w:cs="宋体"/>
          <w:color w:val="000000"/>
          <w:sz w:val="24"/>
          <w:u w:val="single"/>
        </w:rPr>
      </w:pPr>
      <w:r>
        <w:rPr>
          <w:rFonts w:hint="eastAsia" w:ascii="宋体" w:hAnsi="宋体" w:cs="宋体"/>
          <w:color w:val="000000"/>
          <w:sz w:val="24"/>
        </w:rPr>
        <w:t>签署日期：</w:t>
      </w:r>
      <w:r>
        <w:rPr>
          <w:rFonts w:hint="eastAsia" w:ascii="宋体" w:hAnsi="宋体" w:cs="宋体"/>
          <w:color w:val="000000"/>
          <w:sz w:val="24"/>
          <w:u w:val="single"/>
        </w:rPr>
        <w:t xml:space="preserve">                         </w:t>
      </w:r>
    </w:p>
    <w:p w14:paraId="4A36682E">
      <w:pPr>
        <w:rPr>
          <w:rFonts w:hint="eastAsia" w:ascii="宋体" w:hAnsi="宋体" w:cs="宋体"/>
          <w:color w:val="000000"/>
          <w:sz w:val="24"/>
        </w:rPr>
      </w:pPr>
    </w:p>
    <w:p w14:paraId="24478A99">
      <w:pPr>
        <w:jc w:val="center"/>
        <w:rPr>
          <w:rFonts w:hint="eastAsia" w:ascii="宋体" w:hAnsi="宋体" w:cs="宋体"/>
          <w:color w:val="000000"/>
          <w:sz w:val="24"/>
        </w:rPr>
      </w:pPr>
    </w:p>
    <w:p w14:paraId="679CD9E9">
      <w:pPr>
        <w:jc w:val="center"/>
        <w:rPr>
          <w:rFonts w:hint="eastAsia" w:ascii="宋体" w:hAnsi="宋体" w:cs="宋体"/>
          <w:color w:val="000000"/>
          <w:sz w:val="24"/>
        </w:rPr>
      </w:pPr>
    </w:p>
    <w:p w14:paraId="0760A0AE">
      <w:pPr>
        <w:jc w:val="center"/>
        <w:rPr>
          <w:rFonts w:hint="eastAsia" w:ascii="宋体" w:hAnsi="宋体" w:cs="宋体"/>
          <w:color w:val="000000"/>
          <w:sz w:val="24"/>
        </w:rPr>
      </w:pPr>
    </w:p>
    <w:p w14:paraId="2100EF4E">
      <w:pPr>
        <w:jc w:val="center"/>
        <w:rPr>
          <w:rFonts w:hint="eastAsia" w:ascii="宋体" w:hAnsi="宋体" w:cs="宋体"/>
          <w:color w:val="000000"/>
          <w:sz w:val="24"/>
        </w:rPr>
      </w:pPr>
    </w:p>
    <w:p w14:paraId="3BE950BD">
      <w:pPr>
        <w:jc w:val="center"/>
        <w:rPr>
          <w:rFonts w:hint="eastAsia" w:ascii="宋体" w:hAnsi="宋体" w:cs="宋体"/>
          <w:color w:val="000000"/>
          <w:sz w:val="24"/>
        </w:rPr>
      </w:pPr>
    </w:p>
    <w:p w14:paraId="00CB2E7E">
      <w:pPr>
        <w:jc w:val="center"/>
        <w:rPr>
          <w:rFonts w:hint="eastAsia" w:ascii="宋体" w:hAnsi="宋体" w:cs="宋体"/>
          <w:color w:val="000000"/>
          <w:sz w:val="24"/>
        </w:rPr>
      </w:pPr>
      <w:r>
        <w:rPr>
          <w:rFonts w:hint="eastAsia" w:ascii="宋体" w:hAnsi="宋体" w:cs="宋体"/>
          <w:color w:val="000000"/>
          <w:sz w:val="24"/>
        </w:rPr>
        <w:t xml:space="preserve"> </w:t>
      </w:r>
    </w:p>
    <w:p w14:paraId="0DC3445C">
      <w:pPr>
        <w:rPr>
          <w:rFonts w:hint="eastAsia" w:ascii="宋体" w:hAnsi="宋体" w:cs="宋体"/>
          <w:color w:val="000000"/>
          <w:sz w:val="24"/>
        </w:rPr>
      </w:pPr>
      <w:r>
        <w:rPr>
          <w:rFonts w:hint="eastAsia" w:ascii="宋体" w:hAnsi="宋体" w:cs="宋体"/>
          <w:color w:val="000000"/>
          <w:sz w:val="24"/>
        </w:rPr>
        <w:br w:type="page"/>
      </w:r>
    </w:p>
    <w:p w14:paraId="172233D3">
      <w:pPr>
        <w:jc w:val="center"/>
        <w:rPr>
          <w:rFonts w:hint="eastAsia" w:ascii="宋体" w:hAnsi="宋体" w:cs="宋体"/>
          <w:b/>
          <w:bCs/>
          <w:color w:val="000000"/>
          <w:sz w:val="28"/>
          <w:szCs w:val="28"/>
        </w:rPr>
      </w:pPr>
      <w:r>
        <w:rPr>
          <w:rFonts w:hint="eastAsia" w:ascii="宋体" w:hAnsi="宋体" w:cs="宋体"/>
          <w:b/>
          <w:bCs/>
          <w:color w:val="000000"/>
          <w:sz w:val="28"/>
          <w:szCs w:val="28"/>
        </w:rPr>
        <w:t>合 同 书</w:t>
      </w:r>
    </w:p>
    <w:p w14:paraId="162ADFB0">
      <w:pPr>
        <w:rPr>
          <w:rFonts w:hint="eastAsia" w:ascii="宋体" w:hAnsi="宋体" w:cs="宋体"/>
          <w:b/>
          <w:bCs/>
          <w:color w:val="000000"/>
          <w:sz w:val="28"/>
          <w:szCs w:val="28"/>
        </w:rPr>
      </w:pPr>
    </w:p>
    <w:p w14:paraId="05D41D59">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(采购人)(项目名称)中所需(服务名称)经国信招标集团以（招标 编号）号招标文件公开招标。经评标委员会评定(公司名称)为中标供应商。采购人、 中标供应商同意按照下面的条款和条件，签署本合同。</w:t>
      </w:r>
    </w:p>
    <w:p w14:paraId="35769638">
      <w:pPr>
        <w:snapToGrid w:val="0"/>
        <w:spacing w:line="360" w:lineRule="auto"/>
        <w:ind w:firstLine="482" w:firstLineChars="200"/>
        <w:jc w:val="left"/>
        <w:rPr>
          <w:rFonts w:hint="eastAsia" w:ascii="宋体" w:hAnsi="宋体" w:cs="宋体"/>
          <w:b/>
          <w:bCs/>
          <w:color w:val="000000"/>
          <w:sz w:val="24"/>
        </w:rPr>
      </w:pPr>
    </w:p>
    <w:p w14:paraId="216DAAFD">
      <w:pPr>
        <w:numPr>
          <w:ilvl w:val="0"/>
          <w:numId w:val="25"/>
        </w:numPr>
        <w:snapToGrid w:val="0"/>
        <w:spacing w:line="360" w:lineRule="auto"/>
        <w:jc w:val="left"/>
        <w:rPr>
          <w:rFonts w:hint="eastAsia" w:ascii="宋体" w:hAnsi="宋体" w:cs="宋体"/>
          <w:b/>
          <w:bCs/>
          <w:color w:val="000000"/>
          <w:sz w:val="24"/>
        </w:rPr>
      </w:pPr>
      <w:r>
        <w:rPr>
          <w:rFonts w:hint="eastAsia" w:ascii="宋体" w:hAnsi="宋体" w:cs="宋体"/>
          <w:b/>
          <w:bCs/>
          <w:color w:val="000000"/>
          <w:sz w:val="24"/>
        </w:rPr>
        <w:t>合同文件</w:t>
      </w:r>
    </w:p>
    <w:p w14:paraId="07457665">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下列文件构成本合同的组成部分，应当认为是一个整体，彼此相互解释，相互补 充。为便于解释，组成合同的多个文件的优先支配地位的次序如下： </w:t>
      </w:r>
    </w:p>
    <w:p w14:paraId="0EDBA2F0">
      <w:pPr>
        <w:numPr>
          <w:ilvl w:val="0"/>
          <w:numId w:val="26"/>
        </w:num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本合同书 </w:t>
      </w:r>
    </w:p>
    <w:p w14:paraId="1B06850A">
      <w:pPr>
        <w:numPr>
          <w:ilvl w:val="0"/>
          <w:numId w:val="26"/>
        </w:num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中标通知书 </w:t>
      </w:r>
    </w:p>
    <w:p w14:paraId="642A9EC8">
      <w:pPr>
        <w:numPr>
          <w:ilvl w:val="0"/>
          <w:numId w:val="26"/>
        </w:num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合同书条款 </w:t>
      </w:r>
    </w:p>
    <w:p w14:paraId="521A49CE">
      <w:pPr>
        <w:numPr>
          <w:ilvl w:val="0"/>
          <w:numId w:val="26"/>
        </w:num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合同一般条款 </w:t>
      </w:r>
    </w:p>
    <w:p w14:paraId="558E33EF">
      <w:pPr>
        <w:numPr>
          <w:ilvl w:val="0"/>
          <w:numId w:val="26"/>
        </w:num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投标文件(含澄清文件) </w:t>
      </w:r>
    </w:p>
    <w:p w14:paraId="4B6B3855">
      <w:pPr>
        <w:numPr>
          <w:ilvl w:val="0"/>
          <w:numId w:val="26"/>
        </w:num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招标文件其他内容（含招标文件补充通知）</w:t>
      </w:r>
    </w:p>
    <w:p w14:paraId="6B5CECEB">
      <w:pPr>
        <w:snapToGrid w:val="0"/>
        <w:spacing w:line="360" w:lineRule="auto"/>
        <w:jc w:val="left"/>
        <w:rPr>
          <w:rFonts w:hint="eastAsia" w:ascii="宋体" w:hAnsi="宋体" w:cs="宋体"/>
          <w:color w:val="000000"/>
          <w:sz w:val="24"/>
        </w:rPr>
      </w:pPr>
    </w:p>
    <w:p w14:paraId="66F9DD9E">
      <w:pPr>
        <w:numPr>
          <w:ilvl w:val="0"/>
          <w:numId w:val="25"/>
        </w:numPr>
        <w:snapToGrid w:val="0"/>
        <w:spacing w:line="360" w:lineRule="auto"/>
        <w:jc w:val="left"/>
        <w:rPr>
          <w:rFonts w:hint="eastAsia" w:ascii="宋体" w:hAnsi="宋体" w:cs="宋体"/>
          <w:b/>
          <w:bCs/>
          <w:color w:val="000000"/>
          <w:sz w:val="24"/>
        </w:rPr>
      </w:pPr>
      <w:r>
        <w:rPr>
          <w:rFonts w:hint="eastAsia" w:ascii="宋体" w:hAnsi="宋体" w:cs="宋体"/>
          <w:b/>
          <w:bCs/>
          <w:color w:val="000000"/>
          <w:sz w:val="24"/>
        </w:rPr>
        <w:t xml:space="preserve">合同范围和条件 </w:t>
      </w:r>
    </w:p>
    <w:p w14:paraId="1AB7E61E">
      <w:pPr>
        <w:jc w:val="left"/>
        <w:rPr>
          <w:rFonts w:hint="eastAsia" w:ascii="宋体" w:hAnsi="宋体" w:cs="宋体"/>
        </w:rPr>
      </w:pPr>
      <w:r>
        <w:rPr>
          <w:rFonts w:hint="eastAsia" w:ascii="宋体" w:hAnsi="宋体" w:cs="宋体"/>
          <w:color w:val="000000"/>
          <w:sz w:val="24"/>
        </w:rPr>
        <w:t>本合同的范围和条件应与上述规定的合同文件内容一致。</w:t>
      </w:r>
      <w:r>
        <w:rPr>
          <w:rFonts w:hint="eastAsia" w:ascii="宋体" w:hAnsi="宋体" w:cs="宋体"/>
        </w:rPr>
        <w:t xml:space="preserve">具体内容如下： </w:t>
      </w:r>
    </w:p>
    <w:tbl>
      <w:tblPr>
        <w:tblStyle w:val="42"/>
        <w:tblW w:w="7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568"/>
        <w:gridCol w:w="1842"/>
        <w:gridCol w:w="2237"/>
      </w:tblGrid>
      <w:tr w14:paraId="318E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2" w:type="dxa"/>
            <w:vAlign w:val="center"/>
          </w:tcPr>
          <w:p w14:paraId="1C03E012">
            <w:pPr>
              <w:autoSpaceDE w:val="0"/>
              <w:autoSpaceDN w:val="0"/>
              <w:spacing w:line="440" w:lineRule="exact"/>
              <w:jc w:val="center"/>
              <w:rPr>
                <w:rFonts w:hint="eastAsia" w:ascii="宋体" w:hAnsi="宋体" w:cs="宋体"/>
                <w:b/>
                <w:kern w:val="0"/>
              </w:rPr>
            </w:pPr>
            <w:r>
              <w:rPr>
                <w:rFonts w:hint="eastAsia" w:ascii="宋体" w:hAnsi="宋体" w:cs="宋体"/>
                <w:b/>
                <w:kern w:val="0"/>
              </w:rPr>
              <w:t>序号</w:t>
            </w:r>
          </w:p>
        </w:tc>
        <w:tc>
          <w:tcPr>
            <w:tcW w:w="2568" w:type="dxa"/>
            <w:vAlign w:val="center"/>
          </w:tcPr>
          <w:p w14:paraId="5BB7DDD7">
            <w:pPr>
              <w:autoSpaceDE w:val="0"/>
              <w:autoSpaceDN w:val="0"/>
              <w:spacing w:line="440" w:lineRule="exact"/>
              <w:jc w:val="center"/>
              <w:rPr>
                <w:rFonts w:hint="eastAsia" w:ascii="宋体" w:hAnsi="宋体" w:cs="宋体"/>
                <w:b/>
                <w:kern w:val="0"/>
              </w:rPr>
            </w:pPr>
            <w:r>
              <w:rPr>
                <w:rFonts w:hint="eastAsia" w:ascii="宋体" w:hAnsi="宋体" w:cs="宋体"/>
                <w:b/>
                <w:kern w:val="0"/>
              </w:rPr>
              <w:t>合同明细</w:t>
            </w:r>
          </w:p>
        </w:tc>
        <w:tc>
          <w:tcPr>
            <w:tcW w:w="1842" w:type="dxa"/>
            <w:vAlign w:val="center"/>
          </w:tcPr>
          <w:p w14:paraId="37C67000">
            <w:pPr>
              <w:autoSpaceDE w:val="0"/>
              <w:autoSpaceDN w:val="0"/>
              <w:spacing w:line="440" w:lineRule="exact"/>
              <w:jc w:val="center"/>
              <w:rPr>
                <w:rFonts w:hint="eastAsia" w:ascii="宋体" w:hAnsi="宋体" w:cs="宋体"/>
                <w:b/>
                <w:kern w:val="0"/>
              </w:rPr>
            </w:pPr>
            <w:r>
              <w:rPr>
                <w:rFonts w:hint="eastAsia" w:ascii="宋体" w:hAnsi="宋体" w:cs="宋体"/>
                <w:b/>
                <w:kern w:val="0"/>
              </w:rPr>
              <w:t>金额（万元）</w:t>
            </w:r>
          </w:p>
        </w:tc>
        <w:tc>
          <w:tcPr>
            <w:tcW w:w="2237" w:type="dxa"/>
            <w:vAlign w:val="center"/>
          </w:tcPr>
          <w:p w14:paraId="52C3833F">
            <w:pPr>
              <w:autoSpaceDE w:val="0"/>
              <w:autoSpaceDN w:val="0"/>
              <w:spacing w:line="440" w:lineRule="exact"/>
              <w:jc w:val="center"/>
              <w:rPr>
                <w:rFonts w:hint="eastAsia" w:ascii="宋体" w:hAnsi="宋体" w:cs="宋体"/>
                <w:b/>
                <w:kern w:val="0"/>
              </w:rPr>
            </w:pPr>
            <w:r>
              <w:rPr>
                <w:rFonts w:hint="eastAsia" w:ascii="宋体" w:hAnsi="宋体" w:cs="宋体"/>
                <w:b/>
                <w:kern w:val="0"/>
              </w:rPr>
              <w:t>合计（万元）</w:t>
            </w:r>
          </w:p>
        </w:tc>
      </w:tr>
      <w:tr w14:paraId="427B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2" w:type="dxa"/>
            <w:vAlign w:val="center"/>
          </w:tcPr>
          <w:p w14:paraId="50541B4E">
            <w:pPr>
              <w:autoSpaceDE w:val="0"/>
              <w:autoSpaceDN w:val="0"/>
              <w:spacing w:line="440" w:lineRule="exact"/>
              <w:jc w:val="center"/>
              <w:rPr>
                <w:rFonts w:hint="eastAsia" w:ascii="宋体" w:hAnsi="宋体" w:cs="宋体"/>
                <w:kern w:val="0"/>
              </w:rPr>
            </w:pPr>
            <w:r>
              <w:rPr>
                <w:rFonts w:hint="eastAsia" w:ascii="宋体" w:hAnsi="宋体" w:cs="宋体"/>
                <w:kern w:val="0"/>
              </w:rPr>
              <w:t>1</w:t>
            </w:r>
          </w:p>
        </w:tc>
        <w:tc>
          <w:tcPr>
            <w:tcW w:w="2568" w:type="dxa"/>
            <w:vAlign w:val="center"/>
          </w:tcPr>
          <w:p w14:paraId="45A852F5">
            <w:pPr>
              <w:jc w:val="center"/>
              <w:rPr>
                <w:rFonts w:hint="eastAsia" w:ascii="宋体" w:hAnsi="宋体" w:cs="宋体"/>
              </w:rPr>
            </w:pPr>
            <w:r>
              <w:rPr>
                <w:szCs w:val="21"/>
                <w:lang w:bidi="ar"/>
              </w:rPr>
              <w:t>监测仪器</w:t>
            </w:r>
            <w:r>
              <w:rPr>
                <w:szCs w:val="21"/>
              </w:rPr>
              <w:t>维护费</w:t>
            </w:r>
            <w:r>
              <w:rPr>
                <w:color w:val="000000"/>
                <w:szCs w:val="21"/>
                <w:lang w:bidi="ar"/>
              </w:rPr>
              <w:t>*</w:t>
            </w:r>
          </w:p>
        </w:tc>
        <w:tc>
          <w:tcPr>
            <w:tcW w:w="1842" w:type="dxa"/>
            <w:vAlign w:val="center"/>
          </w:tcPr>
          <w:p w14:paraId="65834FC0">
            <w:pPr>
              <w:autoSpaceDE w:val="0"/>
              <w:autoSpaceDN w:val="0"/>
              <w:spacing w:line="440" w:lineRule="exact"/>
              <w:jc w:val="center"/>
              <w:rPr>
                <w:rFonts w:hint="eastAsia" w:ascii="宋体" w:hAnsi="宋体" w:cs="宋体"/>
                <w:kern w:val="0"/>
              </w:rPr>
            </w:pPr>
          </w:p>
        </w:tc>
        <w:tc>
          <w:tcPr>
            <w:tcW w:w="2237" w:type="dxa"/>
            <w:vMerge w:val="restart"/>
            <w:vAlign w:val="center"/>
          </w:tcPr>
          <w:p w14:paraId="79977547">
            <w:pPr>
              <w:autoSpaceDE w:val="0"/>
              <w:autoSpaceDN w:val="0"/>
              <w:spacing w:line="440" w:lineRule="exact"/>
              <w:jc w:val="center"/>
              <w:rPr>
                <w:rFonts w:hint="eastAsia" w:ascii="宋体" w:hAnsi="宋体" w:cs="宋体"/>
                <w:kern w:val="0"/>
              </w:rPr>
            </w:pPr>
          </w:p>
        </w:tc>
      </w:tr>
      <w:tr w14:paraId="5C50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2" w:type="dxa"/>
            <w:vAlign w:val="center"/>
          </w:tcPr>
          <w:p w14:paraId="08A063E3">
            <w:pPr>
              <w:autoSpaceDE w:val="0"/>
              <w:autoSpaceDN w:val="0"/>
              <w:spacing w:line="440" w:lineRule="exact"/>
              <w:jc w:val="center"/>
              <w:rPr>
                <w:rFonts w:hint="eastAsia" w:ascii="宋体" w:hAnsi="宋体" w:cs="宋体"/>
                <w:kern w:val="0"/>
              </w:rPr>
            </w:pPr>
            <w:r>
              <w:rPr>
                <w:rFonts w:hint="eastAsia" w:ascii="宋体" w:hAnsi="宋体" w:cs="宋体"/>
                <w:kern w:val="0"/>
              </w:rPr>
              <w:t>2</w:t>
            </w:r>
          </w:p>
        </w:tc>
        <w:tc>
          <w:tcPr>
            <w:tcW w:w="2568" w:type="dxa"/>
            <w:vAlign w:val="center"/>
          </w:tcPr>
          <w:p w14:paraId="0C24BE4E">
            <w:pPr>
              <w:jc w:val="center"/>
              <w:rPr>
                <w:rFonts w:hint="eastAsia" w:ascii="宋体" w:hAnsi="宋体" w:cs="宋体"/>
              </w:rPr>
            </w:pPr>
            <w:r>
              <w:rPr>
                <w:szCs w:val="21"/>
                <w:lang w:bidi="ar"/>
              </w:rPr>
              <w:t>监测仪器维修费</w:t>
            </w:r>
            <w:r>
              <w:rPr>
                <w:color w:val="000000"/>
                <w:szCs w:val="21"/>
                <w:lang w:bidi="ar"/>
              </w:rPr>
              <w:t>**</w:t>
            </w:r>
          </w:p>
        </w:tc>
        <w:tc>
          <w:tcPr>
            <w:tcW w:w="1842" w:type="dxa"/>
            <w:vAlign w:val="center"/>
          </w:tcPr>
          <w:p w14:paraId="78A56AB5">
            <w:pPr>
              <w:autoSpaceDE w:val="0"/>
              <w:autoSpaceDN w:val="0"/>
              <w:spacing w:line="440" w:lineRule="exact"/>
              <w:jc w:val="center"/>
              <w:rPr>
                <w:rFonts w:hint="eastAsia" w:ascii="宋体" w:hAnsi="宋体" w:cs="宋体"/>
                <w:kern w:val="0"/>
              </w:rPr>
            </w:pPr>
          </w:p>
        </w:tc>
        <w:tc>
          <w:tcPr>
            <w:tcW w:w="2237" w:type="dxa"/>
            <w:vMerge w:val="continue"/>
            <w:vAlign w:val="center"/>
          </w:tcPr>
          <w:p w14:paraId="7CFBA0AE">
            <w:pPr>
              <w:autoSpaceDE w:val="0"/>
              <w:autoSpaceDN w:val="0"/>
              <w:spacing w:line="440" w:lineRule="exact"/>
              <w:jc w:val="center"/>
              <w:rPr>
                <w:rFonts w:hint="eastAsia" w:ascii="宋体" w:hAnsi="宋体" w:cs="宋体"/>
                <w:kern w:val="0"/>
              </w:rPr>
            </w:pPr>
          </w:p>
        </w:tc>
      </w:tr>
    </w:tbl>
    <w:p w14:paraId="0A1C4EEA">
      <w:pPr>
        <w:tabs>
          <w:tab w:val="left" w:pos="2400"/>
          <w:tab w:val="left" w:pos="2700"/>
          <w:tab w:val="left" w:pos="3000"/>
          <w:tab w:val="left" w:pos="3300"/>
          <w:tab w:val="left" w:pos="3600"/>
        </w:tabs>
        <w:spacing w:line="360" w:lineRule="auto"/>
        <w:ind w:firstLine="480" w:firstLineChars="200"/>
        <w:rPr>
          <w:color w:val="000000"/>
          <w:szCs w:val="21"/>
        </w:rPr>
      </w:pPr>
      <w:r>
        <w:rPr>
          <w:rFonts w:hint="eastAsia" w:ascii="宋体" w:hAnsi="宋体" w:cs="宋体"/>
          <w:color w:val="000000"/>
          <w:sz w:val="24"/>
        </w:rPr>
        <w:t xml:space="preserve"> </w:t>
      </w:r>
      <w:r>
        <w:rPr>
          <w:color w:val="000000"/>
          <w:szCs w:val="21"/>
          <w:lang w:bidi="ar"/>
        </w:rPr>
        <w:t>*——见附件1：监测仪器维护费用清单；</w:t>
      </w:r>
    </w:p>
    <w:p w14:paraId="7B0C2D96">
      <w:pPr>
        <w:snapToGrid w:val="0"/>
        <w:spacing w:line="360" w:lineRule="auto"/>
        <w:ind w:firstLine="630" w:firstLineChars="300"/>
        <w:jc w:val="left"/>
        <w:rPr>
          <w:rFonts w:hint="eastAsia" w:ascii="宋体" w:hAnsi="宋体" w:cs="宋体"/>
          <w:color w:val="000000"/>
          <w:sz w:val="24"/>
        </w:rPr>
      </w:pPr>
      <w:r>
        <w:rPr>
          <w:color w:val="000000"/>
          <w:szCs w:val="21"/>
          <w:lang w:bidi="ar"/>
        </w:rPr>
        <w:t>**——见附件2：监测仪器维修费——维修清单；</w:t>
      </w:r>
    </w:p>
    <w:p w14:paraId="1D3DD7BE">
      <w:pPr>
        <w:numPr>
          <w:ilvl w:val="0"/>
          <w:numId w:val="25"/>
        </w:numPr>
        <w:snapToGrid w:val="0"/>
        <w:spacing w:line="360" w:lineRule="auto"/>
        <w:jc w:val="left"/>
        <w:rPr>
          <w:rFonts w:hint="eastAsia" w:ascii="宋体" w:hAnsi="宋体" w:cs="宋体"/>
          <w:b/>
          <w:bCs/>
          <w:color w:val="000000"/>
          <w:sz w:val="24"/>
        </w:rPr>
      </w:pPr>
      <w:r>
        <w:rPr>
          <w:rFonts w:hint="eastAsia" w:ascii="宋体" w:hAnsi="宋体" w:cs="宋体"/>
          <w:b/>
          <w:bCs/>
          <w:color w:val="000000"/>
          <w:sz w:val="24"/>
        </w:rPr>
        <w:t xml:space="preserve">服务内容 </w:t>
      </w:r>
    </w:p>
    <w:p w14:paraId="688A5E6D">
      <w:pPr>
        <w:snapToGrid w:val="0"/>
        <w:spacing w:line="360" w:lineRule="auto"/>
        <w:ind w:firstLine="480" w:firstLineChars="200"/>
        <w:jc w:val="left"/>
        <w:rPr>
          <w:rFonts w:hint="eastAsia" w:ascii="宋体" w:hAnsi="宋体" w:cs="宋体"/>
          <w:color w:val="000000"/>
          <w:sz w:val="24"/>
        </w:rPr>
      </w:pPr>
      <w:r>
        <w:rPr>
          <w:rFonts w:hint="eastAsia" w:ascii="宋体" w:hAnsi="宋体" w:cs="宋体"/>
          <w:sz w:val="24"/>
        </w:rPr>
        <w:t>负责门头沟、延庆等区范围内布设的</w:t>
      </w:r>
      <w:r>
        <w:rPr>
          <w:rFonts w:ascii="宋体" w:hAnsi="宋体" w:cs="宋体"/>
          <w:sz w:val="24"/>
        </w:rPr>
        <w:t>51</w:t>
      </w:r>
      <w:r>
        <w:rPr>
          <w:rFonts w:hint="eastAsia" w:ascii="宋体" w:hAnsi="宋体" w:cs="宋体"/>
          <w:sz w:val="24"/>
        </w:rPr>
        <w:t>2台套野外监测仪器的维护服务。</w:t>
      </w:r>
      <w:r>
        <w:rPr>
          <w:rFonts w:hint="eastAsia" w:ascii="宋体" w:hAnsi="宋体" w:cs="宋体"/>
          <w:color w:val="000000"/>
          <w:sz w:val="24"/>
        </w:rPr>
        <w:t xml:space="preserve"> </w:t>
      </w:r>
    </w:p>
    <w:p w14:paraId="1F55639A">
      <w:pPr>
        <w:numPr>
          <w:ilvl w:val="0"/>
          <w:numId w:val="25"/>
        </w:numPr>
        <w:snapToGrid w:val="0"/>
        <w:spacing w:line="360" w:lineRule="auto"/>
        <w:jc w:val="left"/>
        <w:rPr>
          <w:rFonts w:hint="eastAsia" w:ascii="宋体" w:hAnsi="宋体" w:cs="宋体"/>
          <w:b/>
          <w:bCs/>
          <w:color w:val="000000"/>
          <w:sz w:val="24"/>
        </w:rPr>
      </w:pPr>
      <w:r>
        <w:rPr>
          <w:rFonts w:hint="eastAsia" w:ascii="宋体" w:hAnsi="宋体" w:cs="宋体"/>
          <w:b/>
          <w:bCs/>
          <w:color w:val="000000"/>
          <w:sz w:val="24"/>
        </w:rPr>
        <w:t xml:space="preserve">提供服务期限、地点 </w:t>
      </w:r>
    </w:p>
    <w:p w14:paraId="29DAC2EB">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1）服务期要求:合同签订之日起至2026年12月31日前，完成本项目全部工作内容。</w:t>
      </w:r>
    </w:p>
    <w:p w14:paraId="48747F25">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2）地点:</w:t>
      </w:r>
      <w:r>
        <w:rPr>
          <w:rFonts w:hint="eastAsia" w:ascii="宋体" w:hAnsi="宋体" w:cs="宋体"/>
          <w:sz w:val="24"/>
        </w:rPr>
        <w:t>门头沟、延庆等</w:t>
      </w:r>
      <w:r>
        <w:rPr>
          <w:rFonts w:hint="eastAsia" w:ascii="宋体" w:hAnsi="宋体" w:cs="宋体"/>
          <w:color w:val="000000"/>
          <w:sz w:val="24"/>
        </w:rPr>
        <w:t>区范围内采购人指定地点。</w:t>
      </w:r>
    </w:p>
    <w:p w14:paraId="383E9D1C">
      <w:pPr>
        <w:numPr>
          <w:ilvl w:val="0"/>
          <w:numId w:val="25"/>
        </w:numPr>
        <w:snapToGrid w:val="0"/>
        <w:spacing w:line="360" w:lineRule="auto"/>
        <w:jc w:val="left"/>
        <w:rPr>
          <w:rFonts w:hint="eastAsia" w:ascii="宋体" w:hAnsi="宋体" w:cs="宋体"/>
          <w:b/>
          <w:bCs/>
          <w:color w:val="000000"/>
          <w:sz w:val="24"/>
        </w:rPr>
      </w:pPr>
      <w:r>
        <w:rPr>
          <w:rFonts w:hint="eastAsia" w:ascii="宋体" w:hAnsi="宋体" w:cs="宋体"/>
          <w:b/>
          <w:bCs/>
          <w:color w:val="000000"/>
          <w:sz w:val="24"/>
        </w:rPr>
        <w:t xml:space="preserve">付款方式 </w:t>
      </w:r>
    </w:p>
    <w:p w14:paraId="551E1FE0">
      <w:pPr>
        <w:tabs>
          <w:tab w:val="left" w:pos="2400"/>
          <w:tab w:val="left" w:pos="2700"/>
          <w:tab w:val="left" w:pos="3000"/>
          <w:tab w:val="left" w:pos="3300"/>
          <w:tab w:val="left" w:pos="3600"/>
        </w:tabs>
        <w:spacing w:line="360" w:lineRule="auto"/>
        <w:ind w:firstLine="480" w:firstLineChars="200"/>
        <w:rPr>
          <w:sz w:val="24"/>
        </w:rPr>
      </w:pPr>
      <w:r>
        <w:rPr>
          <w:sz w:val="24"/>
        </w:rPr>
        <w:t>1）本合同价款为人民币</w:t>
      </w:r>
      <w:r>
        <w:rPr>
          <w:sz w:val="24"/>
          <w:u w:val="single"/>
        </w:rPr>
        <w:t xml:space="preserve"> ¥</w:t>
      </w:r>
      <w:r>
        <w:rPr>
          <w:rFonts w:hint="eastAsia"/>
          <w:sz w:val="24"/>
          <w:u w:val="single"/>
        </w:rPr>
        <w:t xml:space="preserve">          </w:t>
      </w:r>
      <w:r>
        <w:rPr>
          <w:sz w:val="24"/>
        </w:rPr>
        <w:t>元（大写：</w:t>
      </w:r>
      <w:r>
        <w:rPr>
          <w:rFonts w:hint="eastAsia"/>
          <w:sz w:val="24"/>
          <w:u w:val="single"/>
        </w:rPr>
        <w:t xml:space="preserve">          </w:t>
      </w:r>
      <w:r>
        <w:rPr>
          <w:sz w:val="24"/>
          <w:u w:val="single"/>
        </w:rPr>
        <w:t>元整</w:t>
      </w:r>
      <w:r>
        <w:rPr>
          <w:sz w:val="24"/>
        </w:rPr>
        <w:t>）。本合同价款为包含了购买货物及其相关服务的费用和所需缴纳的所有税费。</w:t>
      </w:r>
    </w:p>
    <w:p w14:paraId="7FB9B302">
      <w:pPr>
        <w:tabs>
          <w:tab w:val="left" w:pos="2400"/>
          <w:tab w:val="left" w:pos="2700"/>
          <w:tab w:val="left" w:pos="3000"/>
          <w:tab w:val="left" w:pos="3300"/>
          <w:tab w:val="left" w:pos="3600"/>
        </w:tabs>
        <w:spacing w:line="360" w:lineRule="auto"/>
        <w:ind w:firstLine="480" w:firstLineChars="200"/>
        <w:rPr>
          <w:sz w:val="24"/>
        </w:rPr>
      </w:pPr>
      <w:r>
        <w:rPr>
          <w:sz w:val="24"/>
        </w:rPr>
        <w:t>2）付款方式</w:t>
      </w:r>
    </w:p>
    <w:p w14:paraId="12153D61">
      <w:pPr>
        <w:tabs>
          <w:tab w:val="left" w:pos="2400"/>
          <w:tab w:val="left" w:pos="2700"/>
          <w:tab w:val="left" w:pos="3000"/>
          <w:tab w:val="left" w:pos="3300"/>
          <w:tab w:val="left" w:pos="3600"/>
        </w:tabs>
        <w:spacing w:line="360" w:lineRule="auto"/>
        <w:ind w:firstLine="480" w:firstLineChars="200"/>
        <w:rPr>
          <w:sz w:val="24"/>
        </w:rPr>
      </w:pPr>
      <w:r>
        <w:rPr>
          <w:sz w:val="24"/>
        </w:rPr>
        <w:t>（1）采购人与中标供应商签订合同后20个工作日内，采购人向中标供应商支付本项目中监测仪器维护费50%，即</w:t>
      </w:r>
      <w:r>
        <w:rPr>
          <w:sz w:val="24"/>
          <w:u w:val="single"/>
        </w:rPr>
        <w:t>人民币（大写）</w:t>
      </w:r>
      <w:r>
        <w:rPr>
          <w:rFonts w:hint="eastAsia"/>
          <w:sz w:val="24"/>
          <w:u w:val="single"/>
        </w:rPr>
        <w:t xml:space="preserve">          </w:t>
      </w:r>
      <w:r>
        <w:rPr>
          <w:sz w:val="24"/>
          <w:u w:val="single"/>
        </w:rPr>
        <w:t>元整（¥</w:t>
      </w:r>
      <w:r>
        <w:rPr>
          <w:rFonts w:hint="eastAsia"/>
          <w:sz w:val="24"/>
          <w:u w:val="single"/>
        </w:rPr>
        <w:t xml:space="preserve">          </w:t>
      </w:r>
      <w:r>
        <w:rPr>
          <w:sz w:val="24"/>
          <w:u w:val="single"/>
        </w:rPr>
        <w:t>元）</w:t>
      </w:r>
      <w:r>
        <w:rPr>
          <w:sz w:val="24"/>
        </w:rPr>
        <w:t>及监测仪器维修费50%，即</w:t>
      </w:r>
      <w:r>
        <w:rPr>
          <w:sz w:val="24"/>
          <w:u w:val="single"/>
        </w:rPr>
        <w:t>人民币（大写）</w:t>
      </w:r>
      <w:r>
        <w:rPr>
          <w:rFonts w:hint="eastAsia"/>
          <w:sz w:val="24"/>
          <w:u w:val="single"/>
        </w:rPr>
        <w:t xml:space="preserve">          </w:t>
      </w:r>
      <w:r>
        <w:rPr>
          <w:sz w:val="24"/>
          <w:u w:val="single"/>
        </w:rPr>
        <w:t>元整（¥</w:t>
      </w:r>
      <w:r>
        <w:rPr>
          <w:rFonts w:hint="eastAsia"/>
          <w:sz w:val="24"/>
          <w:u w:val="single"/>
        </w:rPr>
        <w:t xml:space="preserve">          </w:t>
      </w:r>
      <w:r>
        <w:rPr>
          <w:sz w:val="24"/>
          <w:u w:val="single"/>
        </w:rPr>
        <w:t>元）</w:t>
      </w:r>
      <w:r>
        <w:rPr>
          <w:sz w:val="24"/>
        </w:rPr>
        <w:t>，二者共计：</w:t>
      </w:r>
      <w:r>
        <w:rPr>
          <w:sz w:val="24"/>
          <w:u w:val="single"/>
        </w:rPr>
        <w:t>人民币（大写）</w:t>
      </w:r>
      <w:r>
        <w:rPr>
          <w:rFonts w:hint="eastAsia"/>
          <w:sz w:val="24"/>
          <w:u w:val="single"/>
        </w:rPr>
        <w:t xml:space="preserve">          </w:t>
      </w:r>
      <w:r>
        <w:rPr>
          <w:sz w:val="24"/>
          <w:u w:val="single"/>
        </w:rPr>
        <w:t>元整（¥</w:t>
      </w:r>
      <w:r>
        <w:rPr>
          <w:rFonts w:hint="eastAsia"/>
          <w:sz w:val="24"/>
          <w:u w:val="single"/>
        </w:rPr>
        <w:t xml:space="preserve">          </w:t>
      </w:r>
      <w:r>
        <w:rPr>
          <w:sz w:val="24"/>
          <w:u w:val="single"/>
        </w:rPr>
        <w:t>元）</w:t>
      </w:r>
      <w:r>
        <w:rPr>
          <w:sz w:val="24"/>
        </w:rPr>
        <w:t>。</w:t>
      </w:r>
    </w:p>
    <w:p w14:paraId="53E06A35">
      <w:pPr>
        <w:tabs>
          <w:tab w:val="left" w:pos="2400"/>
          <w:tab w:val="left" w:pos="2700"/>
          <w:tab w:val="left" w:pos="3000"/>
          <w:tab w:val="left" w:pos="3300"/>
          <w:tab w:val="left" w:pos="3600"/>
        </w:tabs>
        <w:spacing w:line="360" w:lineRule="auto"/>
        <w:ind w:firstLine="480" w:firstLineChars="200"/>
        <w:rPr>
          <w:color w:val="FF0000"/>
          <w:sz w:val="24"/>
        </w:rPr>
      </w:pPr>
      <w:r>
        <w:rPr>
          <w:sz w:val="24"/>
        </w:rPr>
        <w:t>（2）汛前维护和汛中维护维修工作结束并提交成果后，经采购人验收合格后20个工作日内，支付本项目中监测仪器维护费35%，即</w:t>
      </w:r>
      <w:r>
        <w:rPr>
          <w:sz w:val="24"/>
          <w:u w:val="single"/>
        </w:rPr>
        <w:t>人民币（大写）</w:t>
      </w:r>
      <w:r>
        <w:rPr>
          <w:rFonts w:hint="eastAsia"/>
          <w:sz w:val="24"/>
          <w:u w:val="single"/>
        </w:rPr>
        <w:t xml:space="preserve">          </w:t>
      </w:r>
      <w:r>
        <w:rPr>
          <w:sz w:val="24"/>
          <w:u w:val="single"/>
        </w:rPr>
        <w:t>元整（¥</w:t>
      </w:r>
      <w:r>
        <w:rPr>
          <w:rFonts w:hint="eastAsia"/>
          <w:sz w:val="24"/>
          <w:u w:val="single"/>
        </w:rPr>
        <w:t xml:space="preserve">          </w:t>
      </w:r>
      <w:r>
        <w:rPr>
          <w:sz w:val="24"/>
          <w:u w:val="single"/>
        </w:rPr>
        <w:t>元）</w:t>
      </w:r>
      <w:r>
        <w:rPr>
          <w:sz w:val="24"/>
        </w:rPr>
        <w:t>及监测仪器维修费35%，即</w:t>
      </w:r>
      <w:r>
        <w:rPr>
          <w:sz w:val="24"/>
          <w:u w:val="single"/>
        </w:rPr>
        <w:t>人民币（大写）</w:t>
      </w:r>
      <w:r>
        <w:rPr>
          <w:rFonts w:hint="eastAsia"/>
          <w:sz w:val="24"/>
          <w:u w:val="single"/>
        </w:rPr>
        <w:t xml:space="preserve">          </w:t>
      </w:r>
      <w:r>
        <w:rPr>
          <w:sz w:val="24"/>
          <w:u w:val="single"/>
        </w:rPr>
        <w:t>元整（¥</w:t>
      </w:r>
      <w:r>
        <w:rPr>
          <w:rFonts w:hint="eastAsia"/>
          <w:sz w:val="24"/>
          <w:u w:val="single"/>
        </w:rPr>
        <w:t xml:space="preserve">          </w:t>
      </w:r>
      <w:r>
        <w:rPr>
          <w:sz w:val="24"/>
          <w:u w:val="single"/>
        </w:rPr>
        <w:t>元）</w:t>
      </w:r>
      <w:r>
        <w:rPr>
          <w:sz w:val="24"/>
        </w:rPr>
        <w:t>，此次支付共计：</w:t>
      </w:r>
      <w:r>
        <w:rPr>
          <w:sz w:val="24"/>
          <w:u w:val="single"/>
        </w:rPr>
        <w:t>人民币（大写）</w:t>
      </w:r>
      <w:r>
        <w:rPr>
          <w:rFonts w:hint="eastAsia"/>
          <w:sz w:val="24"/>
          <w:u w:val="single"/>
        </w:rPr>
        <w:t xml:space="preserve">          </w:t>
      </w:r>
      <w:r>
        <w:rPr>
          <w:sz w:val="24"/>
          <w:u w:val="single"/>
        </w:rPr>
        <w:t>元整（¥</w:t>
      </w:r>
      <w:r>
        <w:rPr>
          <w:rFonts w:hint="eastAsia"/>
          <w:sz w:val="24"/>
          <w:u w:val="single"/>
        </w:rPr>
        <w:t xml:space="preserve">          </w:t>
      </w:r>
      <w:r>
        <w:rPr>
          <w:sz w:val="24"/>
          <w:u w:val="single"/>
        </w:rPr>
        <w:t>元）</w:t>
      </w:r>
      <w:r>
        <w:rPr>
          <w:sz w:val="24"/>
        </w:rPr>
        <w:t>。甲方支付款项前，乙方须提交请款申请，申请内须包含本阶段完成工作情况，并由甲方确认。</w:t>
      </w:r>
    </w:p>
    <w:p w14:paraId="63576764">
      <w:pPr>
        <w:snapToGrid w:val="0"/>
        <w:spacing w:line="360" w:lineRule="auto"/>
        <w:jc w:val="left"/>
        <w:rPr>
          <w:rFonts w:hint="eastAsia" w:ascii="宋体" w:hAnsi="宋体" w:cs="宋体"/>
          <w:color w:val="000000"/>
          <w:sz w:val="24"/>
        </w:rPr>
      </w:pPr>
      <w:r>
        <w:rPr>
          <w:sz w:val="24"/>
        </w:rPr>
        <w:t>（3）汛后维护工作结束后并提交全部成果资料（含具体维修维护明细单）并经采购人验收合格后20个工作日内支付本项目中监测仪器维护费15%，即</w:t>
      </w:r>
      <w:r>
        <w:rPr>
          <w:sz w:val="24"/>
          <w:u w:val="single"/>
        </w:rPr>
        <w:t>人民币（大写）</w:t>
      </w:r>
      <w:r>
        <w:rPr>
          <w:rFonts w:hint="eastAsia"/>
          <w:sz w:val="24"/>
          <w:u w:val="single"/>
        </w:rPr>
        <w:t xml:space="preserve">          </w:t>
      </w:r>
      <w:r>
        <w:rPr>
          <w:sz w:val="24"/>
          <w:u w:val="single"/>
        </w:rPr>
        <w:t>元整（¥</w:t>
      </w:r>
      <w:r>
        <w:rPr>
          <w:rFonts w:hint="eastAsia"/>
          <w:sz w:val="24"/>
          <w:u w:val="single"/>
        </w:rPr>
        <w:t xml:space="preserve">          </w:t>
      </w:r>
      <w:r>
        <w:rPr>
          <w:sz w:val="24"/>
          <w:u w:val="single"/>
        </w:rPr>
        <w:t>元）</w:t>
      </w:r>
      <w:r>
        <w:rPr>
          <w:sz w:val="24"/>
        </w:rPr>
        <w:t>及监测仪器维修费15%，即</w:t>
      </w:r>
      <w:r>
        <w:rPr>
          <w:sz w:val="24"/>
          <w:u w:val="single"/>
        </w:rPr>
        <w:t>人民币（大写）</w:t>
      </w:r>
      <w:r>
        <w:rPr>
          <w:rFonts w:hint="eastAsia"/>
          <w:sz w:val="24"/>
          <w:u w:val="single"/>
        </w:rPr>
        <w:t xml:space="preserve">          </w:t>
      </w:r>
      <w:r>
        <w:rPr>
          <w:sz w:val="24"/>
          <w:u w:val="single"/>
        </w:rPr>
        <w:t>元整（¥</w:t>
      </w:r>
      <w:r>
        <w:rPr>
          <w:rFonts w:hint="eastAsia"/>
          <w:sz w:val="24"/>
          <w:u w:val="single"/>
        </w:rPr>
        <w:t xml:space="preserve">          </w:t>
      </w:r>
      <w:r>
        <w:rPr>
          <w:sz w:val="24"/>
          <w:u w:val="single"/>
        </w:rPr>
        <w:t>元）</w:t>
      </w:r>
      <w:r>
        <w:rPr>
          <w:sz w:val="24"/>
        </w:rPr>
        <w:t>，此次支付共计</w:t>
      </w:r>
      <w:r>
        <w:rPr>
          <w:sz w:val="24"/>
          <w:u w:val="single"/>
        </w:rPr>
        <w:t>人民币（大写）</w:t>
      </w:r>
      <w:r>
        <w:rPr>
          <w:rFonts w:hint="eastAsia"/>
          <w:sz w:val="24"/>
          <w:u w:val="single"/>
        </w:rPr>
        <w:t xml:space="preserve">          </w:t>
      </w:r>
      <w:r>
        <w:rPr>
          <w:sz w:val="24"/>
          <w:u w:val="single"/>
        </w:rPr>
        <w:t xml:space="preserve">元整（¥ </w:t>
      </w:r>
      <w:r>
        <w:rPr>
          <w:rFonts w:hint="eastAsia"/>
          <w:sz w:val="24"/>
          <w:u w:val="single"/>
        </w:rPr>
        <w:t xml:space="preserve">          </w:t>
      </w:r>
      <w:r>
        <w:rPr>
          <w:sz w:val="24"/>
          <w:u w:val="single"/>
        </w:rPr>
        <w:t>元）</w:t>
      </w:r>
      <w:r>
        <w:rPr>
          <w:sz w:val="24"/>
        </w:rPr>
        <w:t>。甲方支付款项前，乙方须提交请款申请，申请内须包含本阶段完成工作情况及维修维护结算单，并由甲方确认。</w:t>
      </w:r>
    </w:p>
    <w:p w14:paraId="2B265600">
      <w:pPr>
        <w:numPr>
          <w:ilvl w:val="0"/>
          <w:numId w:val="25"/>
        </w:numPr>
        <w:snapToGrid w:val="0"/>
        <w:spacing w:line="360" w:lineRule="auto"/>
        <w:jc w:val="left"/>
        <w:rPr>
          <w:rFonts w:hint="eastAsia" w:ascii="宋体" w:hAnsi="宋体" w:cs="宋体"/>
          <w:b/>
          <w:bCs/>
          <w:color w:val="000000"/>
          <w:sz w:val="24"/>
        </w:rPr>
      </w:pPr>
      <w:r>
        <w:rPr>
          <w:rFonts w:hint="eastAsia" w:ascii="宋体" w:hAnsi="宋体" w:cs="宋体"/>
          <w:b/>
          <w:bCs/>
          <w:color w:val="000000"/>
          <w:sz w:val="24"/>
        </w:rPr>
        <w:t>履约保证金</w:t>
      </w:r>
    </w:p>
    <w:p w14:paraId="78BDFC56">
      <w:pPr>
        <w:snapToGrid w:val="0"/>
        <w:spacing w:line="360" w:lineRule="auto"/>
        <w:jc w:val="left"/>
        <w:rPr>
          <w:rFonts w:hint="eastAsia" w:ascii="宋体" w:hAnsi="宋体" w:cs="宋体"/>
          <w:color w:val="000000"/>
          <w:sz w:val="24"/>
        </w:rPr>
      </w:pPr>
      <w:r>
        <w:rPr>
          <w:sz w:val="24"/>
        </w:rPr>
        <w:t>本项目不适用。</w:t>
      </w:r>
      <w:r>
        <w:rPr>
          <w:rFonts w:hint="eastAsia" w:ascii="宋体" w:hAnsi="宋体" w:cs="宋体"/>
          <w:b/>
          <w:bCs/>
          <w:color w:val="000000"/>
          <w:sz w:val="24"/>
        </w:rPr>
        <w:t xml:space="preserve"> </w:t>
      </w:r>
    </w:p>
    <w:p w14:paraId="2B86743E">
      <w:pPr>
        <w:numPr>
          <w:ilvl w:val="0"/>
          <w:numId w:val="25"/>
        </w:numPr>
        <w:snapToGrid w:val="0"/>
        <w:spacing w:line="360" w:lineRule="auto"/>
        <w:jc w:val="left"/>
        <w:rPr>
          <w:rFonts w:hint="eastAsia" w:ascii="宋体" w:hAnsi="宋体" w:cs="宋体"/>
          <w:b/>
          <w:bCs/>
          <w:color w:val="000000"/>
          <w:sz w:val="24"/>
        </w:rPr>
      </w:pPr>
      <w:r>
        <w:rPr>
          <w:rFonts w:hint="eastAsia" w:ascii="宋体" w:hAnsi="宋体" w:cs="宋体"/>
          <w:b/>
          <w:bCs/>
          <w:color w:val="000000"/>
          <w:sz w:val="24"/>
        </w:rPr>
        <w:t>合同的份数及生效</w:t>
      </w:r>
    </w:p>
    <w:p w14:paraId="602631E2">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u w:val="single"/>
        </w:rPr>
        <w:t xml:space="preserve"> 柒 </w:t>
      </w:r>
      <w:r>
        <w:rPr>
          <w:rFonts w:hint="eastAsia" w:ascii="宋体" w:hAnsi="宋体" w:cs="宋体"/>
          <w:color w:val="000000"/>
          <w:sz w:val="24"/>
        </w:rPr>
        <w:t>份，具有同等法律效力。采购人和中标供应商各执</w:t>
      </w:r>
      <w:r>
        <w:rPr>
          <w:rFonts w:hint="eastAsia" w:ascii="宋体" w:hAnsi="宋体" w:cs="宋体"/>
          <w:color w:val="000000"/>
          <w:sz w:val="24"/>
          <w:u w:val="single"/>
        </w:rPr>
        <w:t xml:space="preserve"> 叁 </w:t>
      </w:r>
      <w:r>
        <w:rPr>
          <w:rFonts w:hint="eastAsia" w:ascii="宋体" w:hAnsi="宋体" w:cs="宋体"/>
          <w:color w:val="000000"/>
          <w:sz w:val="24"/>
        </w:rPr>
        <w:t xml:space="preserve">份，招标代理机构执 壹 份。 </w:t>
      </w:r>
    </w:p>
    <w:p w14:paraId="34549041">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本合同经双方各自的法定代表人或授权代表签署、加盖单位公章或合同专用章 并由中标供应商递交履约保证金（如有）之日起生效。  </w:t>
      </w:r>
    </w:p>
    <w:p w14:paraId="2B2EEFB2">
      <w:pPr>
        <w:ind w:firstLine="528"/>
        <w:rPr>
          <w:rFonts w:hint="eastAsia" w:ascii="宋体" w:hAnsi="宋体" w:cs="宋体"/>
          <w:color w:val="000000"/>
          <w:sz w:val="24"/>
        </w:rPr>
      </w:pPr>
    </w:p>
    <w:p w14:paraId="42AE5096">
      <w:pPr>
        <w:rPr>
          <w:rFonts w:hint="eastAsia" w:ascii="宋体" w:hAnsi="宋体" w:cs="宋体"/>
          <w:color w:val="000000"/>
          <w:sz w:val="24"/>
        </w:rPr>
      </w:pPr>
    </w:p>
    <w:p w14:paraId="34566AED">
      <w:pPr>
        <w:ind w:firstLine="528"/>
        <w:rPr>
          <w:rFonts w:hint="eastAsia" w:ascii="宋体" w:hAnsi="宋体" w:cs="宋体"/>
          <w:sz w:val="28"/>
        </w:rPr>
      </w:pPr>
    </w:p>
    <w:p w14:paraId="7250D72B">
      <w:pPr>
        <w:spacing w:line="360" w:lineRule="exact"/>
        <w:jc w:val="center"/>
        <w:rPr>
          <w:rFonts w:eastAsia="华文仿宋"/>
          <w:b/>
          <w:sz w:val="28"/>
          <w:szCs w:val="28"/>
        </w:rPr>
      </w:pPr>
      <w:r>
        <w:rPr>
          <w:rFonts w:eastAsia="华文仿宋"/>
          <w:b/>
          <w:sz w:val="28"/>
          <w:szCs w:val="28"/>
        </w:rPr>
        <w:br w:type="page"/>
      </w:r>
    </w:p>
    <w:tbl>
      <w:tblPr>
        <w:tblStyle w:val="42"/>
        <w:tblW w:w="9094" w:type="dxa"/>
        <w:jc w:val="center"/>
        <w:tblLayout w:type="fixed"/>
        <w:tblCellMar>
          <w:top w:w="0" w:type="dxa"/>
          <w:left w:w="108" w:type="dxa"/>
          <w:bottom w:w="0" w:type="dxa"/>
          <w:right w:w="108" w:type="dxa"/>
        </w:tblCellMar>
      </w:tblPr>
      <w:tblGrid>
        <w:gridCol w:w="1882"/>
        <w:gridCol w:w="2653"/>
        <w:gridCol w:w="1866"/>
        <w:gridCol w:w="2693"/>
      </w:tblGrid>
      <w:tr w14:paraId="2A8A2B2E">
        <w:tblPrEx>
          <w:tblCellMar>
            <w:top w:w="0" w:type="dxa"/>
            <w:left w:w="108" w:type="dxa"/>
            <w:bottom w:w="0" w:type="dxa"/>
            <w:right w:w="108" w:type="dxa"/>
          </w:tblCellMar>
        </w:tblPrEx>
        <w:trPr>
          <w:trHeight w:val="741" w:hRule="atLeast"/>
          <w:jc w:val="center"/>
        </w:trPr>
        <w:tc>
          <w:tcPr>
            <w:tcW w:w="9094" w:type="dxa"/>
            <w:gridSpan w:val="4"/>
            <w:vAlign w:val="center"/>
          </w:tcPr>
          <w:p w14:paraId="225B7AFE">
            <w:pPr>
              <w:spacing w:line="360" w:lineRule="exact"/>
              <w:jc w:val="center"/>
              <w:rPr>
                <w:rFonts w:eastAsia="华文仿宋"/>
                <w:b/>
                <w:sz w:val="28"/>
                <w:szCs w:val="28"/>
              </w:rPr>
            </w:pPr>
            <w:r>
              <w:rPr>
                <w:rFonts w:eastAsia="华文仿宋"/>
                <w:b/>
                <w:sz w:val="28"/>
                <w:szCs w:val="28"/>
              </w:rPr>
              <w:t>合同签订双方</w:t>
            </w:r>
          </w:p>
        </w:tc>
      </w:tr>
      <w:tr w14:paraId="6F7D6629">
        <w:tblPrEx>
          <w:tblCellMar>
            <w:top w:w="0" w:type="dxa"/>
            <w:left w:w="108" w:type="dxa"/>
            <w:bottom w:w="0" w:type="dxa"/>
            <w:right w:w="108" w:type="dxa"/>
          </w:tblCellMar>
        </w:tblPrEx>
        <w:trPr>
          <w:trHeight w:val="1042" w:hRule="atLeast"/>
          <w:jc w:val="center"/>
        </w:trPr>
        <w:tc>
          <w:tcPr>
            <w:tcW w:w="1882" w:type="dxa"/>
            <w:vAlign w:val="center"/>
          </w:tcPr>
          <w:p w14:paraId="11A75370">
            <w:pPr>
              <w:spacing w:line="360" w:lineRule="exact"/>
              <w:jc w:val="center"/>
              <w:rPr>
                <w:sz w:val="24"/>
              </w:rPr>
            </w:pPr>
            <w:r>
              <w:rPr>
                <w:sz w:val="24"/>
              </w:rPr>
              <w:t>甲方：</w:t>
            </w:r>
          </w:p>
          <w:p w14:paraId="5B38AD5A">
            <w:pPr>
              <w:spacing w:line="360" w:lineRule="exact"/>
              <w:jc w:val="center"/>
              <w:rPr>
                <w:sz w:val="24"/>
              </w:rPr>
            </w:pPr>
            <w:r>
              <w:rPr>
                <w:sz w:val="18"/>
              </w:rPr>
              <w:t>（合同章或公章）</w:t>
            </w:r>
          </w:p>
        </w:tc>
        <w:tc>
          <w:tcPr>
            <w:tcW w:w="2653" w:type="dxa"/>
            <w:vAlign w:val="center"/>
          </w:tcPr>
          <w:p w14:paraId="285F4258">
            <w:pPr>
              <w:spacing w:line="360" w:lineRule="exact"/>
              <w:jc w:val="left"/>
              <w:rPr>
                <w:sz w:val="24"/>
                <w:u w:val="single"/>
              </w:rPr>
            </w:pPr>
            <w:r>
              <w:rPr>
                <w:rFonts w:hint="eastAsia"/>
                <w:sz w:val="24"/>
                <w:u w:val="single"/>
              </w:rPr>
              <w:t xml:space="preserve">北京市地质灾害防治研究所                </w:t>
            </w:r>
          </w:p>
        </w:tc>
        <w:tc>
          <w:tcPr>
            <w:tcW w:w="1866" w:type="dxa"/>
            <w:vAlign w:val="center"/>
          </w:tcPr>
          <w:p w14:paraId="6980EBFA">
            <w:pPr>
              <w:spacing w:line="360" w:lineRule="exact"/>
              <w:jc w:val="center"/>
              <w:rPr>
                <w:sz w:val="24"/>
              </w:rPr>
            </w:pPr>
            <w:r>
              <w:rPr>
                <w:sz w:val="24"/>
              </w:rPr>
              <w:t>乙方：</w:t>
            </w:r>
          </w:p>
          <w:p w14:paraId="11E9D700">
            <w:pPr>
              <w:spacing w:line="360" w:lineRule="exact"/>
              <w:jc w:val="center"/>
              <w:rPr>
                <w:sz w:val="18"/>
                <w:szCs w:val="18"/>
              </w:rPr>
            </w:pPr>
            <w:r>
              <w:rPr>
                <w:sz w:val="18"/>
                <w:szCs w:val="18"/>
              </w:rPr>
              <w:t>（合同章或公章）</w:t>
            </w:r>
          </w:p>
        </w:tc>
        <w:tc>
          <w:tcPr>
            <w:tcW w:w="2693" w:type="dxa"/>
            <w:vAlign w:val="center"/>
          </w:tcPr>
          <w:p w14:paraId="52E9D42B">
            <w:pPr>
              <w:spacing w:line="360" w:lineRule="exact"/>
              <w:ind w:left="0" w:leftChars="-2" w:hanging="4" w:hangingChars="2"/>
              <w:rPr>
                <w:sz w:val="24"/>
              </w:rPr>
            </w:pPr>
            <w:r>
              <w:rPr>
                <w:rFonts w:hint="eastAsia"/>
                <w:sz w:val="24"/>
                <w:u w:val="single"/>
              </w:rPr>
              <w:t xml:space="preserve">                    </w:t>
            </w:r>
          </w:p>
        </w:tc>
      </w:tr>
      <w:tr w14:paraId="4742AE1A">
        <w:tblPrEx>
          <w:tblCellMar>
            <w:top w:w="0" w:type="dxa"/>
            <w:left w:w="108" w:type="dxa"/>
            <w:bottom w:w="0" w:type="dxa"/>
            <w:right w:w="108" w:type="dxa"/>
          </w:tblCellMar>
        </w:tblPrEx>
        <w:trPr>
          <w:trHeight w:val="526" w:hRule="atLeast"/>
          <w:jc w:val="center"/>
        </w:trPr>
        <w:tc>
          <w:tcPr>
            <w:tcW w:w="1882" w:type="dxa"/>
            <w:vAlign w:val="center"/>
          </w:tcPr>
          <w:p w14:paraId="38C52C5B">
            <w:pPr>
              <w:spacing w:line="360" w:lineRule="exact"/>
              <w:jc w:val="center"/>
              <w:rPr>
                <w:sz w:val="18"/>
              </w:rPr>
            </w:pPr>
            <w:r>
              <w:rPr>
                <w:sz w:val="24"/>
              </w:rPr>
              <w:t>名称：（印章）</w:t>
            </w:r>
          </w:p>
        </w:tc>
        <w:tc>
          <w:tcPr>
            <w:tcW w:w="2653" w:type="dxa"/>
            <w:vAlign w:val="center"/>
          </w:tcPr>
          <w:p w14:paraId="7F436377">
            <w:pPr>
              <w:spacing w:line="360" w:lineRule="exact"/>
              <w:jc w:val="left"/>
              <w:rPr>
                <w:sz w:val="24"/>
              </w:rPr>
            </w:pPr>
            <w:r>
              <w:rPr>
                <w:rFonts w:hint="eastAsia"/>
                <w:sz w:val="24"/>
                <w:u w:val="single"/>
              </w:rPr>
              <w:t xml:space="preserve">                    </w:t>
            </w:r>
          </w:p>
        </w:tc>
        <w:tc>
          <w:tcPr>
            <w:tcW w:w="1866" w:type="dxa"/>
            <w:vAlign w:val="center"/>
          </w:tcPr>
          <w:p w14:paraId="574BC636">
            <w:pPr>
              <w:spacing w:line="360" w:lineRule="exact"/>
              <w:jc w:val="center"/>
              <w:rPr>
                <w:sz w:val="18"/>
                <w:szCs w:val="18"/>
              </w:rPr>
            </w:pPr>
            <w:r>
              <w:rPr>
                <w:sz w:val="24"/>
              </w:rPr>
              <w:t>名称：（印章）</w:t>
            </w:r>
          </w:p>
        </w:tc>
        <w:tc>
          <w:tcPr>
            <w:tcW w:w="2693" w:type="dxa"/>
            <w:vAlign w:val="center"/>
          </w:tcPr>
          <w:p w14:paraId="10FFFABC">
            <w:pPr>
              <w:spacing w:line="360" w:lineRule="exact"/>
              <w:jc w:val="left"/>
              <w:rPr>
                <w:sz w:val="24"/>
                <w:u w:val="single"/>
              </w:rPr>
            </w:pPr>
            <w:r>
              <w:rPr>
                <w:rFonts w:hint="eastAsia"/>
                <w:sz w:val="24"/>
                <w:u w:val="single"/>
              </w:rPr>
              <w:t xml:space="preserve">                     </w:t>
            </w:r>
          </w:p>
        </w:tc>
      </w:tr>
      <w:tr w14:paraId="0FAC02C5">
        <w:tblPrEx>
          <w:tblCellMar>
            <w:top w:w="0" w:type="dxa"/>
            <w:left w:w="108" w:type="dxa"/>
            <w:bottom w:w="0" w:type="dxa"/>
            <w:right w:w="108" w:type="dxa"/>
          </w:tblCellMar>
        </w:tblPrEx>
        <w:trPr>
          <w:trHeight w:val="847" w:hRule="atLeast"/>
          <w:jc w:val="center"/>
        </w:trPr>
        <w:tc>
          <w:tcPr>
            <w:tcW w:w="1882" w:type="dxa"/>
            <w:vAlign w:val="center"/>
          </w:tcPr>
          <w:p w14:paraId="641DF0F0">
            <w:pPr>
              <w:spacing w:line="360" w:lineRule="exact"/>
              <w:jc w:val="center"/>
              <w:rPr>
                <w:sz w:val="24"/>
              </w:rPr>
            </w:pPr>
          </w:p>
        </w:tc>
        <w:tc>
          <w:tcPr>
            <w:tcW w:w="2653" w:type="dxa"/>
            <w:vAlign w:val="center"/>
          </w:tcPr>
          <w:p w14:paraId="6BB10AB1">
            <w:pPr>
              <w:spacing w:line="360" w:lineRule="exact"/>
              <w:jc w:val="center"/>
              <w:rPr>
                <w:sz w:val="24"/>
                <w:u w:val="single"/>
              </w:rPr>
            </w:pPr>
            <w:r>
              <w:rPr>
                <w:sz w:val="24"/>
                <w:u w:val="single"/>
              </w:rPr>
              <w:t xml:space="preserve">      </w:t>
            </w:r>
            <w:r>
              <w:rPr>
                <w:sz w:val="24"/>
              </w:rPr>
              <w:t>年</w:t>
            </w:r>
            <w:r>
              <w:rPr>
                <w:sz w:val="24"/>
                <w:u w:val="single"/>
              </w:rPr>
              <w:t xml:space="preserve">   </w:t>
            </w:r>
            <w:r>
              <w:rPr>
                <w:rFonts w:hint="eastAsia"/>
                <w:sz w:val="24"/>
                <w:u w:val="single"/>
              </w:rPr>
              <w:t xml:space="preserve"> </w:t>
            </w:r>
            <w:r>
              <w:rPr>
                <w:sz w:val="24"/>
              </w:rPr>
              <w:t>月</w:t>
            </w:r>
            <w:r>
              <w:rPr>
                <w:sz w:val="24"/>
                <w:u w:val="single"/>
              </w:rPr>
              <w:t xml:space="preserve">    </w:t>
            </w:r>
            <w:r>
              <w:rPr>
                <w:sz w:val="24"/>
              </w:rPr>
              <w:t>日</w:t>
            </w:r>
          </w:p>
        </w:tc>
        <w:tc>
          <w:tcPr>
            <w:tcW w:w="1866" w:type="dxa"/>
            <w:vAlign w:val="center"/>
          </w:tcPr>
          <w:p w14:paraId="01F40A89">
            <w:pPr>
              <w:spacing w:line="360" w:lineRule="exact"/>
              <w:jc w:val="center"/>
              <w:rPr>
                <w:sz w:val="24"/>
              </w:rPr>
            </w:pPr>
          </w:p>
        </w:tc>
        <w:tc>
          <w:tcPr>
            <w:tcW w:w="2693" w:type="dxa"/>
            <w:vAlign w:val="center"/>
          </w:tcPr>
          <w:p w14:paraId="0A44E258">
            <w:pPr>
              <w:spacing w:line="360" w:lineRule="exact"/>
              <w:ind w:left="0" w:leftChars="-2" w:hanging="4" w:hangingChars="2"/>
              <w:rPr>
                <w:sz w:val="24"/>
                <w:u w:val="single"/>
              </w:rPr>
            </w:pPr>
            <w:r>
              <w:rPr>
                <w:sz w:val="24"/>
                <w:u w:val="single"/>
              </w:rPr>
              <w:t xml:space="preserve">      </w:t>
            </w:r>
            <w:r>
              <w:rPr>
                <w:sz w:val="24"/>
              </w:rPr>
              <w:t>年</w:t>
            </w:r>
            <w:r>
              <w:rPr>
                <w:sz w:val="24"/>
                <w:u w:val="single"/>
              </w:rPr>
              <w:t xml:space="preserve">   </w:t>
            </w:r>
            <w:r>
              <w:rPr>
                <w:rFonts w:hint="eastAsia"/>
                <w:sz w:val="24"/>
                <w:u w:val="single"/>
              </w:rPr>
              <w:t xml:space="preserve"> </w:t>
            </w:r>
            <w:r>
              <w:rPr>
                <w:sz w:val="24"/>
              </w:rPr>
              <w:t>月</w:t>
            </w:r>
            <w:r>
              <w:rPr>
                <w:sz w:val="24"/>
                <w:u w:val="single"/>
              </w:rPr>
              <w:t xml:space="preserve">    </w:t>
            </w:r>
            <w:r>
              <w:rPr>
                <w:sz w:val="24"/>
              </w:rPr>
              <w:t>日</w:t>
            </w:r>
          </w:p>
        </w:tc>
      </w:tr>
      <w:tr w14:paraId="72D74F5F">
        <w:tblPrEx>
          <w:tblCellMar>
            <w:top w:w="0" w:type="dxa"/>
            <w:left w:w="108" w:type="dxa"/>
            <w:bottom w:w="0" w:type="dxa"/>
            <w:right w:w="108" w:type="dxa"/>
          </w:tblCellMar>
        </w:tblPrEx>
        <w:trPr>
          <w:trHeight w:val="1162" w:hRule="atLeast"/>
          <w:jc w:val="center"/>
        </w:trPr>
        <w:tc>
          <w:tcPr>
            <w:tcW w:w="1882" w:type="dxa"/>
            <w:vAlign w:val="center"/>
          </w:tcPr>
          <w:p w14:paraId="54F2FDE5">
            <w:pPr>
              <w:spacing w:line="360" w:lineRule="exact"/>
              <w:jc w:val="center"/>
              <w:rPr>
                <w:sz w:val="24"/>
              </w:rPr>
            </w:pPr>
            <w:r>
              <w:rPr>
                <w:sz w:val="24"/>
              </w:rPr>
              <w:t>法定代表人</w:t>
            </w:r>
          </w:p>
          <w:p w14:paraId="09032FF2">
            <w:pPr>
              <w:spacing w:line="360" w:lineRule="exact"/>
              <w:jc w:val="center"/>
              <w:rPr>
                <w:sz w:val="24"/>
              </w:rPr>
            </w:pPr>
            <w:r>
              <w:rPr>
                <w:sz w:val="20"/>
              </w:rPr>
              <w:t>（签字）</w:t>
            </w:r>
            <w:r>
              <w:rPr>
                <w:sz w:val="24"/>
              </w:rPr>
              <w:t>：</w:t>
            </w:r>
          </w:p>
        </w:tc>
        <w:tc>
          <w:tcPr>
            <w:tcW w:w="2653" w:type="dxa"/>
            <w:vAlign w:val="bottom"/>
          </w:tcPr>
          <w:p w14:paraId="5A53085E">
            <w:pPr>
              <w:spacing w:line="360" w:lineRule="exact"/>
              <w:rPr>
                <w:sz w:val="24"/>
                <w:u w:val="single"/>
              </w:rPr>
            </w:pPr>
            <w:r>
              <w:rPr>
                <w:rFonts w:hint="eastAsia"/>
                <w:sz w:val="24"/>
                <w:u w:val="single"/>
              </w:rPr>
              <w:t xml:space="preserve">                    </w:t>
            </w:r>
          </w:p>
        </w:tc>
        <w:tc>
          <w:tcPr>
            <w:tcW w:w="1866" w:type="dxa"/>
            <w:vAlign w:val="center"/>
          </w:tcPr>
          <w:p w14:paraId="3E74D37E">
            <w:pPr>
              <w:spacing w:line="360" w:lineRule="exact"/>
              <w:jc w:val="center"/>
              <w:rPr>
                <w:sz w:val="24"/>
              </w:rPr>
            </w:pPr>
            <w:r>
              <w:rPr>
                <w:sz w:val="24"/>
              </w:rPr>
              <w:t>法定代表人</w:t>
            </w:r>
          </w:p>
          <w:p w14:paraId="22E25E58">
            <w:pPr>
              <w:spacing w:line="360" w:lineRule="exact"/>
              <w:jc w:val="center"/>
              <w:rPr>
                <w:sz w:val="24"/>
              </w:rPr>
            </w:pPr>
            <w:r>
              <w:rPr>
                <w:sz w:val="20"/>
              </w:rPr>
              <w:t>（签字）</w:t>
            </w:r>
            <w:r>
              <w:rPr>
                <w:sz w:val="24"/>
              </w:rPr>
              <w:t>：</w:t>
            </w:r>
          </w:p>
        </w:tc>
        <w:tc>
          <w:tcPr>
            <w:tcW w:w="2693" w:type="dxa"/>
            <w:vAlign w:val="bottom"/>
          </w:tcPr>
          <w:p w14:paraId="614A1A14">
            <w:pPr>
              <w:spacing w:line="360" w:lineRule="exact"/>
              <w:rPr>
                <w:sz w:val="24"/>
                <w:u w:val="single"/>
              </w:rPr>
            </w:pPr>
            <w:r>
              <w:rPr>
                <w:rFonts w:hint="eastAsia"/>
                <w:sz w:val="24"/>
                <w:u w:val="single"/>
              </w:rPr>
              <w:t xml:space="preserve">                     </w:t>
            </w:r>
          </w:p>
        </w:tc>
      </w:tr>
      <w:tr w14:paraId="152A6F26">
        <w:tblPrEx>
          <w:tblCellMar>
            <w:top w:w="0" w:type="dxa"/>
            <w:left w:w="108" w:type="dxa"/>
            <w:bottom w:w="0" w:type="dxa"/>
            <w:right w:w="108" w:type="dxa"/>
          </w:tblCellMar>
        </w:tblPrEx>
        <w:trPr>
          <w:trHeight w:val="1144" w:hRule="atLeast"/>
          <w:jc w:val="center"/>
        </w:trPr>
        <w:tc>
          <w:tcPr>
            <w:tcW w:w="1882" w:type="dxa"/>
            <w:vAlign w:val="center"/>
          </w:tcPr>
          <w:p w14:paraId="490CF51C">
            <w:pPr>
              <w:spacing w:line="360" w:lineRule="exact"/>
              <w:jc w:val="center"/>
              <w:rPr>
                <w:sz w:val="24"/>
              </w:rPr>
            </w:pPr>
            <w:r>
              <w:rPr>
                <w:sz w:val="24"/>
              </w:rPr>
              <w:t>委托代理人</w:t>
            </w:r>
          </w:p>
          <w:p w14:paraId="112407EB">
            <w:pPr>
              <w:spacing w:line="360" w:lineRule="exact"/>
              <w:jc w:val="center"/>
              <w:rPr>
                <w:sz w:val="24"/>
              </w:rPr>
            </w:pPr>
            <w:r>
              <w:rPr>
                <w:sz w:val="20"/>
              </w:rPr>
              <w:t>（签字）</w:t>
            </w:r>
            <w:r>
              <w:rPr>
                <w:sz w:val="24"/>
              </w:rPr>
              <w:t>：</w:t>
            </w:r>
          </w:p>
        </w:tc>
        <w:tc>
          <w:tcPr>
            <w:tcW w:w="2653" w:type="dxa"/>
            <w:vAlign w:val="bottom"/>
          </w:tcPr>
          <w:p w14:paraId="2E50868F">
            <w:pPr>
              <w:spacing w:line="360" w:lineRule="exact"/>
              <w:rPr>
                <w:sz w:val="24"/>
              </w:rPr>
            </w:pPr>
            <w:r>
              <w:rPr>
                <w:rFonts w:hint="eastAsia"/>
                <w:sz w:val="24"/>
                <w:u w:val="single"/>
              </w:rPr>
              <w:t xml:space="preserve">                    </w:t>
            </w:r>
          </w:p>
        </w:tc>
        <w:tc>
          <w:tcPr>
            <w:tcW w:w="1866" w:type="dxa"/>
            <w:vAlign w:val="center"/>
          </w:tcPr>
          <w:p w14:paraId="6246DAAA">
            <w:pPr>
              <w:spacing w:line="360" w:lineRule="exact"/>
              <w:jc w:val="center"/>
              <w:rPr>
                <w:sz w:val="24"/>
              </w:rPr>
            </w:pPr>
            <w:r>
              <w:rPr>
                <w:sz w:val="24"/>
              </w:rPr>
              <w:t>委托代理人</w:t>
            </w:r>
          </w:p>
          <w:p w14:paraId="533F86DF">
            <w:pPr>
              <w:spacing w:line="360" w:lineRule="exact"/>
              <w:jc w:val="center"/>
              <w:rPr>
                <w:sz w:val="24"/>
              </w:rPr>
            </w:pPr>
            <w:r>
              <w:rPr>
                <w:sz w:val="20"/>
              </w:rPr>
              <w:t>（签字）</w:t>
            </w:r>
            <w:r>
              <w:rPr>
                <w:sz w:val="24"/>
              </w:rPr>
              <w:t>：</w:t>
            </w:r>
          </w:p>
        </w:tc>
        <w:tc>
          <w:tcPr>
            <w:tcW w:w="2693" w:type="dxa"/>
            <w:vAlign w:val="bottom"/>
          </w:tcPr>
          <w:p w14:paraId="4725EE0E">
            <w:pPr>
              <w:spacing w:line="360" w:lineRule="exact"/>
              <w:rPr>
                <w:sz w:val="24"/>
                <w:u w:val="single"/>
              </w:rPr>
            </w:pPr>
            <w:r>
              <w:rPr>
                <w:rFonts w:hint="eastAsia"/>
                <w:sz w:val="24"/>
                <w:u w:val="single"/>
              </w:rPr>
              <w:t xml:space="preserve">                     </w:t>
            </w:r>
          </w:p>
        </w:tc>
      </w:tr>
      <w:tr w14:paraId="11EDB586">
        <w:tblPrEx>
          <w:tblCellMar>
            <w:top w:w="0" w:type="dxa"/>
            <w:left w:w="108" w:type="dxa"/>
            <w:bottom w:w="0" w:type="dxa"/>
            <w:right w:w="108" w:type="dxa"/>
          </w:tblCellMar>
        </w:tblPrEx>
        <w:trPr>
          <w:trHeight w:val="1120" w:hRule="atLeast"/>
          <w:jc w:val="center"/>
        </w:trPr>
        <w:tc>
          <w:tcPr>
            <w:tcW w:w="1882" w:type="dxa"/>
            <w:vAlign w:val="center"/>
          </w:tcPr>
          <w:p w14:paraId="17F6B30A">
            <w:pPr>
              <w:spacing w:line="360" w:lineRule="exact"/>
              <w:jc w:val="center"/>
              <w:rPr>
                <w:sz w:val="24"/>
              </w:rPr>
            </w:pPr>
            <w:r>
              <w:rPr>
                <w:sz w:val="24"/>
              </w:rPr>
              <w:t>地    址：</w:t>
            </w:r>
          </w:p>
        </w:tc>
        <w:tc>
          <w:tcPr>
            <w:tcW w:w="2653" w:type="dxa"/>
            <w:vAlign w:val="center"/>
          </w:tcPr>
          <w:p w14:paraId="6E3F3CE1">
            <w:pPr>
              <w:spacing w:line="360" w:lineRule="exact"/>
              <w:rPr>
                <w:sz w:val="24"/>
                <w:u w:val="single"/>
              </w:rPr>
            </w:pPr>
            <w:r>
              <w:rPr>
                <w:sz w:val="24"/>
                <w:u w:val="single"/>
              </w:rPr>
              <w:t>北京市西城区黄寺大街24号（22号楼）</w:t>
            </w:r>
            <w:r>
              <w:rPr>
                <w:rFonts w:hint="eastAsia"/>
                <w:sz w:val="24"/>
                <w:u w:val="single"/>
              </w:rPr>
              <w:t xml:space="preserve">     </w:t>
            </w:r>
          </w:p>
        </w:tc>
        <w:tc>
          <w:tcPr>
            <w:tcW w:w="1866" w:type="dxa"/>
            <w:vAlign w:val="center"/>
          </w:tcPr>
          <w:p w14:paraId="0B0F7110">
            <w:pPr>
              <w:spacing w:line="360" w:lineRule="exact"/>
              <w:jc w:val="center"/>
              <w:rPr>
                <w:sz w:val="24"/>
              </w:rPr>
            </w:pPr>
            <w:r>
              <w:rPr>
                <w:sz w:val="24"/>
              </w:rPr>
              <w:t>地    址：</w:t>
            </w:r>
          </w:p>
        </w:tc>
        <w:tc>
          <w:tcPr>
            <w:tcW w:w="2693" w:type="dxa"/>
            <w:vAlign w:val="center"/>
          </w:tcPr>
          <w:p w14:paraId="6A7126E3">
            <w:pPr>
              <w:spacing w:line="360" w:lineRule="exact"/>
              <w:rPr>
                <w:sz w:val="24"/>
              </w:rPr>
            </w:pPr>
            <w:r>
              <w:rPr>
                <w:rFonts w:hint="eastAsia"/>
                <w:sz w:val="24"/>
                <w:u w:val="single"/>
              </w:rPr>
              <w:t xml:space="preserve">                     </w:t>
            </w:r>
          </w:p>
        </w:tc>
      </w:tr>
      <w:tr w14:paraId="3516C694">
        <w:tblPrEx>
          <w:tblCellMar>
            <w:top w:w="0" w:type="dxa"/>
            <w:left w:w="108" w:type="dxa"/>
            <w:bottom w:w="0" w:type="dxa"/>
            <w:right w:w="108" w:type="dxa"/>
          </w:tblCellMar>
        </w:tblPrEx>
        <w:trPr>
          <w:trHeight w:val="850" w:hRule="exact"/>
          <w:jc w:val="center"/>
        </w:trPr>
        <w:tc>
          <w:tcPr>
            <w:tcW w:w="1882" w:type="dxa"/>
            <w:vAlign w:val="center"/>
          </w:tcPr>
          <w:p w14:paraId="67598E19">
            <w:pPr>
              <w:spacing w:line="360" w:lineRule="exact"/>
              <w:jc w:val="center"/>
              <w:rPr>
                <w:sz w:val="24"/>
              </w:rPr>
            </w:pPr>
            <w:r>
              <w:rPr>
                <w:rFonts w:hint="eastAsia"/>
                <w:sz w:val="24"/>
              </w:rPr>
              <w:t>邮政编码：</w:t>
            </w:r>
          </w:p>
        </w:tc>
        <w:tc>
          <w:tcPr>
            <w:tcW w:w="2653" w:type="dxa"/>
            <w:vAlign w:val="center"/>
          </w:tcPr>
          <w:p w14:paraId="71AD4CAA">
            <w:pPr>
              <w:spacing w:line="360" w:lineRule="exact"/>
              <w:rPr>
                <w:sz w:val="24"/>
              </w:rPr>
            </w:pPr>
            <w:r>
              <w:rPr>
                <w:sz w:val="24"/>
                <w:u w:val="single"/>
                <w:lang w:bidi="ar"/>
              </w:rPr>
              <w:t>100120</w:t>
            </w:r>
            <w:r>
              <w:rPr>
                <w:rFonts w:hint="eastAsia"/>
                <w:sz w:val="24"/>
                <w:u w:val="single"/>
                <w:lang w:bidi="ar"/>
              </w:rPr>
              <w:t xml:space="preserve">              </w:t>
            </w:r>
          </w:p>
        </w:tc>
        <w:tc>
          <w:tcPr>
            <w:tcW w:w="1866" w:type="dxa"/>
            <w:vAlign w:val="center"/>
          </w:tcPr>
          <w:p w14:paraId="20631211">
            <w:pPr>
              <w:spacing w:line="360" w:lineRule="exact"/>
              <w:jc w:val="center"/>
              <w:rPr>
                <w:sz w:val="24"/>
              </w:rPr>
            </w:pPr>
            <w:r>
              <w:rPr>
                <w:rFonts w:hint="eastAsia"/>
                <w:sz w:val="24"/>
              </w:rPr>
              <w:t>邮政编码：</w:t>
            </w:r>
          </w:p>
        </w:tc>
        <w:tc>
          <w:tcPr>
            <w:tcW w:w="2693" w:type="dxa"/>
            <w:vAlign w:val="center"/>
          </w:tcPr>
          <w:p w14:paraId="13B8D6D8">
            <w:pPr>
              <w:spacing w:line="360" w:lineRule="exact"/>
              <w:rPr>
                <w:sz w:val="24"/>
                <w:u w:val="single"/>
              </w:rPr>
            </w:pPr>
            <w:r>
              <w:rPr>
                <w:rFonts w:hint="eastAsia"/>
                <w:sz w:val="24"/>
                <w:u w:val="single"/>
              </w:rPr>
              <w:t xml:space="preserve">                      </w:t>
            </w:r>
          </w:p>
        </w:tc>
      </w:tr>
      <w:tr w14:paraId="32BD84BD">
        <w:tblPrEx>
          <w:tblCellMar>
            <w:top w:w="0" w:type="dxa"/>
            <w:left w:w="108" w:type="dxa"/>
            <w:bottom w:w="0" w:type="dxa"/>
            <w:right w:w="108" w:type="dxa"/>
          </w:tblCellMar>
        </w:tblPrEx>
        <w:trPr>
          <w:trHeight w:val="850" w:hRule="exact"/>
          <w:jc w:val="center"/>
        </w:trPr>
        <w:tc>
          <w:tcPr>
            <w:tcW w:w="1882" w:type="dxa"/>
            <w:vAlign w:val="center"/>
          </w:tcPr>
          <w:p w14:paraId="45CCF8C0">
            <w:pPr>
              <w:spacing w:line="360" w:lineRule="exact"/>
              <w:jc w:val="center"/>
              <w:rPr>
                <w:sz w:val="24"/>
              </w:rPr>
            </w:pPr>
            <w:r>
              <w:rPr>
                <w:sz w:val="24"/>
              </w:rPr>
              <w:t>联系电话：</w:t>
            </w:r>
          </w:p>
        </w:tc>
        <w:tc>
          <w:tcPr>
            <w:tcW w:w="2653" w:type="dxa"/>
            <w:vAlign w:val="center"/>
          </w:tcPr>
          <w:p w14:paraId="636FC78C">
            <w:pPr>
              <w:spacing w:line="360" w:lineRule="exact"/>
              <w:rPr>
                <w:sz w:val="24"/>
              </w:rPr>
            </w:pPr>
            <w:r>
              <w:rPr>
                <w:sz w:val="24"/>
                <w:u w:val="single"/>
                <w:lang w:bidi="ar"/>
              </w:rPr>
              <w:t>010-51632</w:t>
            </w:r>
            <w:r>
              <w:rPr>
                <w:rFonts w:hint="eastAsia"/>
                <w:sz w:val="24"/>
                <w:u w:val="single"/>
                <w:lang w:bidi="ar"/>
              </w:rPr>
              <w:t xml:space="preserve">203         </w:t>
            </w:r>
          </w:p>
        </w:tc>
        <w:tc>
          <w:tcPr>
            <w:tcW w:w="1866" w:type="dxa"/>
            <w:vAlign w:val="center"/>
          </w:tcPr>
          <w:p w14:paraId="524731FB">
            <w:pPr>
              <w:spacing w:line="360" w:lineRule="exact"/>
              <w:jc w:val="center"/>
              <w:rPr>
                <w:sz w:val="24"/>
              </w:rPr>
            </w:pPr>
            <w:r>
              <w:rPr>
                <w:sz w:val="24"/>
              </w:rPr>
              <w:t>联系电话：</w:t>
            </w:r>
          </w:p>
        </w:tc>
        <w:tc>
          <w:tcPr>
            <w:tcW w:w="2693" w:type="dxa"/>
            <w:vAlign w:val="center"/>
          </w:tcPr>
          <w:p w14:paraId="10554826">
            <w:pPr>
              <w:spacing w:line="360" w:lineRule="exact"/>
              <w:rPr>
                <w:sz w:val="24"/>
              </w:rPr>
            </w:pPr>
            <w:r>
              <w:rPr>
                <w:rFonts w:hint="eastAsia"/>
                <w:sz w:val="24"/>
                <w:u w:val="single"/>
              </w:rPr>
              <w:t xml:space="preserve">                        </w:t>
            </w:r>
          </w:p>
        </w:tc>
      </w:tr>
      <w:tr w14:paraId="1BFED554">
        <w:tblPrEx>
          <w:tblCellMar>
            <w:top w:w="0" w:type="dxa"/>
            <w:left w:w="108" w:type="dxa"/>
            <w:bottom w:w="0" w:type="dxa"/>
            <w:right w:w="108" w:type="dxa"/>
          </w:tblCellMar>
        </w:tblPrEx>
        <w:trPr>
          <w:trHeight w:val="850" w:hRule="exact"/>
          <w:jc w:val="center"/>
        </w:trPr>
        <w:tc>
          <w:tcPr>
            <w:tcW w:w="1882" w:type="dxa"/>
            <w:vAlign w:val="center"/>
          </w:tcPr>
          <w:p w14:paraId="2B9A2393">
            <w:pPr>
              <w:spacing w:line="360" w:lineRule="exact"/>
              <w:jc w:val="center"/>
              <w:rPr>
                <w:sz w:val="24"/>
              </w:rPr>
            </w:pPr>
            <w:r>
              <w:rPr>
                <w:sz w:val="24"/>
              </w:rPr>
              <w:t>开 户 行：</w:t>
            </w:r>
          </w:p>
        </w:tc>
        <w:tc>
          <w:tcPr>
            <w:tcW w:w="2653" w:type="dxa"/>
            <w:vAlign w:val="center"/>
          </w:tcPr>
          <w:p w14:paraId="53537ADE">
            <w:pPr>
              <w:spacing w:line="360" w:lineRule="exact"/>
              <w:rPr>
                <w:sz w:val="24"/>
                <w:u w:val="single"/>
              </w:rPr>
            </w:pPr>
            <w:r>
              <w:rPr>
                <w:sz w:val="24"/>
                <w:u w:val="single"/>
              </w:rPr>
              <w:t>中国银行北京黄寺支行</w:t>
            </w:r>
            <w:r>
              <w:rPr>
                <w:rFonts w:hint="eastAsia"/>
                <w:sz w:val="24"/>
                <w:u w:val="single"/>
              </w:rPr>
              <w:t xml:space="preserve"> </w:t>
            </w:r>
          </w:p>
        </w:tc>
        <w:tc>
          <w:tcPr>
            <w:tcW w:w="1866" w:type="dxa"/>
            <w:vAlign w:val="center"/>
          </w:tcPr>
          <w:p w14:paraId="449D86E4">
            <w:pPr>
              <w:spacing w:line="360" w:lineRule="exact"/>
              <w:jc w:val="center"/>
              <w:rPr>
                <w:sz w:val="24"/>
              </w:rPr>
            </w:pPr>
            <w:r>
              <w:rPr>
                <w:sz w:val="24"/>
              </w:rPr>
              <w:t>开 户 行：</w:t>
            </w:r>
          </w:p>
        </w:tc>
        <w:tc>
          <w:tcPr>
            <w:tcW w:w="2693" w:type="dxa"/>
            <w:vAlign w:val="center"/>
          </w:tcPr>
          <w:p w14:paraId="6A4CB669">
            <w:pPr>
              <w:spacing w:line="360" w:lineRule="exact"/>
              <w:rPr>
                <w:sz w:val="24"/>
              </w:rPr>
            </w:pPr>
            <w:r>
              <w:rPr>
                <w:rFonts w:hint="eastAsia"/>
                <w:sz w:val="24"/>
                <w:u w:val="single"/>
              </w:rPr>
              <w:t xml:space="preserve">                        </w:t>
            </w:r>
          </w:p>
        </w:tc>
      </w:tr>
      <w:tr w14:paraId="7F5FF2AA">
        <w:tblPrEx>
          <w:tblCellMar>
            <w:top w:w="0" w:type="dxa"/>
            <w:left w:w="108" w:type="dxa"/>
            <w:bottom w:w="0" w:type="dxa"/>
            <w:right w:w="108" w:type="dxa"/>
          </w:tblCellMar>
        </w:tblPrEx>
        <w:trPr>
          <w:trHeight w:val="850" w:hRule="exact"/>
          <w:jc w:val="center"/>
        </w:trPr>
        <w:tc>
          <w:tcPr>
            <w:tcW w:w="1882" w:type="dxa"/>
            <w:vAlign w:val="center"/>
          </w:tcPr>
          <w:p w14:paraId="1A4AC2AC">
            <w:pPr>
              <w:spacing w:line="360" w:lineRule="exact"/>
              <w:jc w:val="center"/>
              <w:rPr>
                <w:sz w:val="24"/>
              </w:rPr>
            </w:pPr>
            <w:r>
              <w:rPr>
                <w:sz w:val="24"/>
              </w:rPr>
              <w:t>帐     号：</w:t>
            </w:r>
          </w:p>
        </w:tc>
        <w:tc>
          <w:tcPr>
            <w:tcW w:w="2653" w:type="dxa"/>
            <w:vAlign w:val="center"/>
          </w:tcPr>
          <w:p w14:paraId="411AFB14">
            <w:pPr>
              <w:spacing w:line="360" w:lineRule="exact"/>
              <w:rPr>
                <w:sz w:val="24"/>
                <w:u w:val="single"/>
              </w:rPr>
            </w:pPr>
            <w:r>
              <w:rPr>
                <w:sz w:val="24"/>
                <w:u w:val="single"/>
              </w:rPr>
              <w:t>333761859012</w:t>
            </w:r>
            <w:r>
              <w:rPr>
                <w:rFonts w:hint="eastAsia"/>
                <w:sz w:val="24"/>
                <w:u w:val="single"/>
              </w:rPr>
              <w:t xml:space="preserve">        </w:t>
            </w:r>
          </w:p>
        </w:tc>
        <w:tc>
          <w:tcPr>
            <w:tcW w:w="1866" w:type="dxa"/>
            <w:vAlign w:val="center"/>
          </w:tcPr>
          <w:p w14:paraId="431F09C1">
            <w:pPr>
              <w:spacing w:line="360" w:lineRule="exact"/>
              <w:jc w:val="center"/>
              <w:rPr>
                <w:sz w:val="24"/>
              </w:rPr>
            </w:pPr>
            <w:r>
              <w:rPr>
                <w:sz w:val="24"/>
              </w:rPr>
              <w:t>帐     号：</w:t>
            </w:r>
          </w:p>
        </w:tc>
        <w:tc>
          <w:tcPr>
            <w:tcW w:w="2693" w:type="dxa"/>
            <w:vAlign w:val="center"/>
          </w:tcPr>
          <w:p w14:paraId="18C602A3">
            <w:pPr>
              <w:spacing w:line="360" w:lineRule="exact"/>
              <w:rPr>
                <w:sz w:val="24"/>
              </w:rPr>
            </w:pPr>
            <w:r>
              <w:rPr>
                <w:rFonts w:hint="eastAsia"/>
                <w:sz w:val="24"/>
                <w:u w:val="single"/>
                <w:lang w:bidi="ar"/>
              </w:rPr>
              <w:t xml:space="preserve">                       </w:t>
            </w:r>
          </w:p>
        </w:tc>
      </w:tr>
      <w:tr w14:paraId="496DA956">
        <w:tblPrEx>
          <w:tblCellMar>
            <w:top w:w="0" w:type="dxa"/>
            <w:left w:w="108" w:type="dxa"/>
            <w:bottom w:w="0" w:type="dxa"/>
            <w:right w:w="108" w:type="dxa"/>
          </w:tblCellMar>
        </w:tblPrEx>
        <w:trPr>
          <w:trHeight w:val="850" w:hRule="exact"/>
          <w:jc w:val="center"/>
        </w:trPr>
        <w:tc>
          <w:tcPr>
            <w:tcW w:w="1882" w:type="dxa"/>
            <w:vAlign w:val="center"/>
          </w:tcPr>
          <w:p w14:paraId="1EED6097">
            <w:pPr>
              <w:spacing w:line="360" w:lineRule="exact"/>
              <w:jc w:val="center"/>
              <w:rPr>
                <w:sz w:val="24"/>
              </w:rPr>
            </w:pPr>
            <w:r>
              <w:rPr>
                <w:rFonts w:hint="eastAsia"/>
                <w:sz w:val="24"/>
              </w:rPr>
              <w:t>纳税人识别号：</w:t>
            </w:r>
          </w:p>
        </w:tc>
        <w:tc>
          <w:tcPr>
            <w:tcW w:w="2653" w:type="dxa"/>
            <w:vAlign w:val="center"/>
          </w:tcPr>
          <w:p w14:paraId="139F4C03">
            <w:pPr>
              <w:spacing w:line="360" w:lineRule="exact"/>
              <w:rPr>
                <w:sz w:val="24"/>
                <w:u w:val="single"/>
              </w:rPr>
            </w:pPr>
            <w:r>
              <w:rPr>
                <w:rFonts w:hint="eastAsia"/>
                <w:sz w:val="24"/>
                <w:u w:val="single"/>
              </w:rPr>
              <w:t xml:space="preserve">121100004000030913  </w:t>
            </w:r>
          </w:p>
        </w:tc>
        <w:tc>
          <w:tcPr>
            <w:tcW w:w="1866" w:type="dxa"/>
            <w:vAlign w:val="center"/>
          </w:tcPr>
          <w:p w14:paraId="6133C9AF">
            <w:pPr>
              <w:spacing w:line="360" w:lineRule="exact"/>
              <w:jc w:val="center"/>
              <w:rPr>
                <w:sz w:val="24"/>
              </w:rPr>
            </w:pPr>
            <w:r>
              <w:rPr>
                <w:rFonts w:hint="eastAsia"/>
                <w:sz w:val="24"/>
              </w:rPr>
              <w:t>纳税人识别号：</w:t>
            </w:r>
          </w:p>
        </w:tc>
        <w:tc>
          <w:tcPr>
            <w:tcW w:w="2693" w:type="dxa"/>
            <w:vAlign w:val="center"/>
          </w:tcPr>
          <w:p w14:paraId="1ACD1A10">
            <w:pPr>
              <w:spacing w:line="360" w:lineRule="exact"/>
              <w:rPr>
                <w:sz w:val="24"/>
                <w:u w:val="single"/>
              </w:rPr>
            </w:pPr>
            <w:r>
              <w:rPr>
                <w:rFonts w:hint="eastAsia"/>
                <w:sz w:val="24"/>
                <w:u w:val="single"/>
              </w:rPr>
              <w:t xml:space="preserve">                     </w:t>
            </w:r>
          </w:p>
        </w:tc>
      </w:tr>
    </w:tbl>
    <w:p w14:paraId="0F0613B3">
      <w:pPr>
        <w:spacing w:line="360" w:lineRule="auto"/>
        <w:rPr>
          <w:rFonts w:hint="eastAsia" w:ascii="宋体" w:hAnsi="宋体" w:cs="宋体"/>
          <w:b/>
          <w:color w:val="000000"/>
          <w:sz w:val="28"/>
          <w:szCs w:val="28"/>
          <w:highlight w:val="yellow"/>
        </w:rPr>
      </w:pPr>
      <w:r>
        <w:rPr>
          <w:rFonts w:hint="eastAsia" w:ascii="宋体" w:hAnsi="宋体" w:cs="宋体"/>
          <w:b/>
          <w:color w:val="000000"/>
          <w:sz w:val="28"/>
          <w:szCs w:val="28"/>
          <w:highlight w:val="yellow"/>
        </w:rPr>
        <w:br w:type="page"/>
      </w:r>
    </w:p>
    <w:p w14:paraId="772E6A21">
      <w:pPr>
        <w:jc w:val="center"/>
        <w:rPr>
          <w:rFonts w:hint="eastAsia" w:ascii="宋体" w:hAnsi="宋体" w:cs="宋体"/>
          <w:b/>
          <w:bCs/>
          <w:color w:val="000000"/>
          <w:sz w:val="24"/>
        </w:rPr>
      </w:pPr>
      <w:r>
        <w:rPr>
          <w:rFonts w:hint="eastAsia" w:ascii="宋体" w:hAnsi="宋体" w:cs="宋体"/>
          <w:b/>
          <w:bCs/>
          <w:color w:val="000000"/>
          <w:sz w:val="24"/>
        </w:rPr>
        <w:t>合同特殊条款</w:t>
      </w:r>
    </w:p>
    <w:p w14:paraId="4AAA655B">
      <w:pPr>
        <w:ind w:firstLine="528"/>
        <w:rPr>
          <w:rFonts w:hint="eastAsia" w:ascii="宋体" w:hAnsi="宋体" w:cs="宋体"/>
          <w:sz w:val="28"/>
        </w:rPr>
      </w:pPr>
    </w:p>
    <w:p w14:paraId="05FF2728">
      <w:pPr>
        <w:spacing w:before="120" w:line="360" w:lineRule="auto"/>
        <w:ind w:firstLine="508" w:firstLineChars="212"/>
        <w:rPr>
          <w:sz w:val="24"/>
        </w:rPr>
      </w:pPr>
      <w:r>
        <w:rPr>
          <w:sz w:val="24"/>
        </w:rPr>
        <w:t>合同特殊条款是合同一般条款的补充和修改。如果两者之间有抵触，应当以特殊条款为准。合同特殊条款的序号将与招标文件第一册中第二章合同一般条款序号相对应。</w:t>
      </w:r>
    </w:p>
    <w:p w14:paraId="288DEDDE">
      <w:pPr>
        <w:spacing w:before="120" w:line="360" w:lineRule="auto"/>
        <w:rPr>
          <w:sz w:val="24"/>
        </w:rPr>
      </w:pPr>
      <w:r>
        <w:rPr>
          <w:sz w:val="24"/>
        </w:rPr>
        <w:t>1、定义</w:t>
      </w:r>
    </w:p>
    <w:p w14:paraId="67EB2A4C">
      <w:pPr>
        <w:spacing w:before="120" w:line="360" w:lineRule="auto"/>
        <w:rPr>
          <w:sz w:val="24"/>
        </w:rPr>
      </w:pPr>
      <w:r>
        <w:rPr>
          <w:sz w:val="24"/>
        </w:rPr>
        <w:t>1.3  采购人：</w:t>
      </w:r>
      <w:r>
        <w:rPr>
          <w:sz w:val="24"/>
          <w:u w:val="single"/>
        </w:rPr>
        <w:t>北京市地质灾害防治研究所</w:t>
      </w:r>
      <w:r>
        <w:rPr>
          <w:rFonts w:hint="eastAsia"/>
          <w:sz w:val="24"/>
          <w:u w:val="single"/>
        </w:rPr>
        <w:t>。</w:t>
      </w:r>
    </w:p>
    <w:p w14:paraId="43C29ED8">
      <w:pPr>
        <w:spacing w:before="120" w:line="360" w:lineRule="auto"/>
        <w:rPr>
          <w:sz w:val="24"/>
        </w:rPr>
      </w:pPr>
      <w:r>
        <w:rPr>
          <w:sz w:val="24"/>
        </w:rPr>
        <w:t>1.4  中标供应商：</w:t>
      </w:r>
      <w:r>
        <w:rPr>
          <w:sz w:val="24"/>
          <w:u w:val="single"/>
        </w:rPr>
        <w:t>　</w:t>
      </w:r>
      <w:r>
        <w:rPr>
          <w:rFonts w:hint="eastAsia"/>
          <w:sz w:val="24"/>
          <w:u w:val="single"/>
        </w:rPr>
        <w:t xml:space="preserve">                </w:t>
      </w:r>
      <w:r>
        <w:rPr>
          <w:sz w:val="24"/>
          <w:u w:val="single"/>
        </w:rPr>
        <w:t xml:space="preserve">    </w:t>
      </w:r>
    </w:p>
    <w:p w14:paraId="1C549A44">
      <w:pPr>
        <w:spacing w:line="360" w:lineRule="auto"/>
        <w:rPr>
          <w:sz w:val="24"/>
        </w:rPr>
      </w:pPr>
      <w:r>
        <w:rPr>
          <w:sz w:val="24"/>
        </w:rPr>
        <w:t>3、服务内容</w:t>
      </w:r>
    </w:p>
    <w:p w14:paraId="74AED55A">
      <w:pPr>
        <w:spacing w:line="360" w:lineRule="auto"/>
        <w:ind w:firstLine="480" w:firstLineChars="200"/>
        <w:rPr>
          <w:sz w:val="24"/>
        </w:rPr>
      </w:pPr>
      <w:r>
        <w:rPr>
          <w:sz w:val="24"/>
          <w:u w:val="single"/>
        </w:rPr>
        <w:t>仪器维护、仪器维修</w:t>
      </w:r>
      <w:r>
        <w:rPr>
          <w:rFonts w:hint="eastAsia"/>
          <w:sz w:val="24"/>
          <w:u w:val="single"/>
        </w:rPr>
        <w:t>。</w:t>
      </w:r>
    </w:p>
    <w:p w14:paraId="723BD5CD">
      <w:pPr>
        <w:spacing w:line="360" w:lineRule="auto"/>
        <w:rPr>
          <w:sz w:val="24"/>
        </w:rPr>
      </w:pPr>
      <w:r>
        <w:rPr>
          <w:sz w:val="24"/>
        </w:rPr>
        <w:t>4、提供服务期限、地点</w:t>
      </w:r>
    </w:p>
    <w:p w14:paraId="7C862044">
      <w:pPr>
        <w:spacing w:before="120" w:line="360" w:lineRule="auto"/>
        <w:ind w:left="1" w:firstLine="482" w:firstLineChars="200"/>
        <w:rPr>
          <w:b/>
          <w:sz w:val="24"/>
          <w:u w:val="single"/>
        </w:rPr>
      </w:pPr>
      <w:r>
        <w:rPr>
          <w:b/>
          <w:sz w:val="24"/>
          <w:u w:val="single"/>
        </w:rPr>
        <w:t>服务期要求：</w:t>
      </w:r>
      <w:r>
        <w:rPr>
          <w:sz w:val="24"/>
          <w:u w:val="single"/>
        </w:rPr>
        <w:t>合同签订之日起至202</w:t>
      </w:r>
      <w:r>
        <w:rPr>
          <w:rFonts w:hint="eastAsia"/>
          <w:sz w:val="24"/>
          <w:u w:val="single"/>
        </w:rPr>
        <w:t>6</w:t>
      </w:r>
      <w:r>
        <w:rPr>
          <w:sz w:val="24"/>
          <w:u w:val="single"/>
        </w:rPr>
        <w:t>年12月31日前，完成本项目全部工作内容。</w:t>
      </w:r>
    </w:p>
    <w:p w14:paraId="4090C837">
      <w:pPr>
        <w:spacing w:before="120" w:line="360" w:lineRule="auto"/>
        <w:ind w:left="1" w:firstLine="482" w:firstLineChars="200"/>
        <w:rPr>
          <w:sz w:val="24"/>
        </w:rPr>
      </w:pPr>
      <w:r>
        <w:rPr>
          <w:b/>
          <w:sz w:val="24"/>
          <w:u w:val="single"/>
        </w:rPr>
        <w:t>地点：</w:t>
      </w:r>
      <w:r>
        <w:rPr>
          <w:sz w:val="24"/>
          <w:u w:val="single"/>
        </w:rPr>
        <w:t>门头沟</w:t>
      </w:r>
      <w:r>
        <w:rPr>
          <w:rFonts w:hint="eastAsia"/>
          <w:sz w:val="24"/>
          <w:u w:val="single"/>
        </w:rPr>
        <w:t>、延庆等</w:t>
      </w:r>
      <w:r>
        <w:rPr>
          <w:sz w:val="24"/>
          <w:u w:val="single"/>
        </w:rPr>
        <w:t>区范围内等甲方指定地点。</w:t>
      </w:r>
    </w:p>
    <w:p w14:paraId="0D5DB509">
      <w:pPr>
        <w:spacing w:line="360" w:lineRule="auto"/>
        <w:rPr>
          <w:sz w:val="24"/>
        </w:rPr>
      </w:pPr>
      <w:r>
        <w:rPr>
          <w:sz w:val="24"/>
        </w:rPr>
        <w:t>5、付款方式</w:t>
      </w:r>
    </w:p>
    <w:p w14:paraId="5EF6BF95">
      <w:pPr>
        <w:spacing w:before="120" w:line="360" w:lineRule="auto"/>
        <w:ind w:left="1" w:firstLine="480" w:firstLineChars="200"/>
        <w:rPr>
          <w:sz w:val="24"/>
        </w:rPr>
      </w:pPr>
      <w:r>
        <w:rPr>
          <w:sz w:val="24"/>
        </w:rPr>
        <w:t>5.1 付款方式</w:t>
      </w:r>
      <w:r>
        <w:rPr>
          <w:sz w:val="24"/>
          <w:u w:val="single"/>
        </w:rPr>
        <w:t>：采购人与中标供应商签订合同后二十个工作日内，采购人向中标供应商支付本项目中标金额50%的预付款，汛前维护和汛中维护维修工作结束并提交成果后支付本项目中标金额35%的预付款，汛后维护工作结束后并提交全部成果资料并经采购人验收合格后20个工作日内一次性付清本次中标金额15%的余款。</w:t>
      </w:r>
    </w:p>
    <w:p w14:paraId="3B20A280">
      <w:pPr>
        <w:spacing w:before="120" w:line="360" w:lineRule="auto"/>
        <w:rPr>
          <w:sz w:val="24"/>
        </w:rPr>
      </w:pPr>
      <w:r>
        <w:rPr>
          <w:sz w:val="24"/>
        </w:rPr>
        <w:t>8、索赔：根据合同一般条款约定。</w:t>
      </w:r>
    </w:p>
    <w:p w14:paraId="6E06ED80">
      <w:pPr>
        <w:spacing w:before="120" w:line="360" w:lineRule="auto"/>
        <w:rPr>
          <w:sz w:val="24"/>
        </w:rPr>
      </w:pPr>
      <w:r>
        <w:rPr>
          <w:sz w:val="24"/>
        </w:rPr>
        <w:t>10、不可抗力：根据合同一般条款约定。</w:t>
      </w:r>
    </w:p>
    <w:p w14:paraId="1AD24203">
      <w:pPr>
        <w:spacing w:before="120" w:line="360" w:lineRule="auto"/>
        <w:jc w:val="left"/>
        <w:rPr>
          <w:sz w:val="24"/>
        </w:rPr>
      </w:pPr>
      <w:r>
        <w:rPr>
          <w:sz w:val="24"/>
        </w:rPr>
        <w:t>12、履约保证金：本项目不适用。</w:t>
      </w:r>
    </w:p>
    <w:p w14:paraId="0F3B1FF8">
      <w:pPr>
        <w:spacing w:line="360" w:lineRule="auto"/>
        <w:rPr>
          <w:rFonts w:hint="eastAsia" w:ascii="宋体" w:hAnsi="宋体" w:cs="宋体"/>
          <w:color w:val="000000"/>
          <w:sz w:val="24"/>
        </w:rPr>
      </w:pPr>
      <w:r>
        <w:rPr>
          <w:sz w:val="24"/>
        </w:rPr>
        <w:t>22.3 本合同一式</w:t>
      </w:r>
      <w:r>
        <w:rPr>
          <w:sz w:val="24"/>
          <w:u w:val="single"/>
        </w:rPr>
        <w:t>柒</w:t>
      </w:r>
      <w:r>
        <w:rPr>
          <w:sz w:val="24"/>
        </w:rPr>
        <w:t>份，具有同等法律效力。</w:t>
      </w:r>
      <w:r>
        <w:rPr>
          <w:sz w:val="24"/>
          <w:u w:val="single"/>
        </w:rPr>
        <w:t>采购人</w:t>
      </w:r>
      <w:r>
        <w:rPr>
          <w:sz w:val="24"/>
        </w:rPr>
        <w:t>和</w:t>
      </w:r>
      <w:r>
        <w:rPr>
          <w:sz w:val="24"/>
          <w:u w:val="single"/>
        </w:rPr>
        <w:t>中标供应商</w:t>
      </w:r>
      <w:r>
        <w:rPr>
          <w:sz w:val="24"/>
        </w:rPr>
        <w:t>各执</w:t>
      </w:r>
      <w:r>
        <w:rPr>
          <w:sz w:val="24"/>
          <w:u w:val="single"/>
        </w:rPr>
        <w:t>叁</w:t>
      </w:r>
      <w:r>
        <w:rPr>
          <w:sz w:val="24"/>
        </w:rPr>
        <w:t>份，招标代理机构执壹份。</w:t>
      </w:r>
      <w:r>
        <w:rPr>
          <w:rFonts w:hint="eastAsia" w:ascii="宋体" w:hAnsi="宋体" w:cs="宋体"/>
          <w:color w:val="000000"/>
          <w:sz w:val="24"/>
        </w:rPr>
        <w:br w:type="page"/>
      </w:r>
    </w:p>
    <w:p w14:paraId="6A462D61">
      <w:pPr>
        <w:jc w:val="center"/>
        <w:rPr>
          <w:b/>
          <w:bCs/>
          <w:color w:val="000000"/>
          <w:sz w:val="24"/>
        </w:rPr>
      </w:pPr>
      <w:r>
        <w:rPr>
          <w:b/>
          <w:bCs/>
          <w:color w:val="000000"/>
          <w:sz w:val="24"/>
        </w:rPr>
        <w:t>合同一般条款</w:t>
      </w:r>
    </w:p>
    <w:p w14:paraId="2147DC99">
      <w:pPr>
        <w:spacing w:line="360" w:lineRule="auto"/>
        <w:rPr>
          <w:b/>
          <w:bCs/>
          <w:sz w:val="24"/>
        </w:rPr>
      </w:pPr>
      <w:r>
        <w:rPr>
          <w:b/>
          <w:bCs/>
          <w:sz w:val="24"/>
        </w:rPr>
        <w:t>1、定义</w:t>
      </w:r>
    </w:p>
    <w:p w14:paraId="5CE6A4CF">
      <w:pPr>
        <w:spacing w:line="360" w:lineRule="auto"/>
        <w:ind w:firstLine="480" w:firstLineChars="200"/>
        <w:rPr>
          <w:sz w:val="24"/>
        </w:rPr>
      </w:pPr>
      <w:r>
        <w:rPr>
          <w:sz w:val="24"/>
        </w:rPr>
        <w:t>本合同中的下列术语应解释为：</w:t>
      </w:r>
    </w:p>
    <w:p w14:paraId="174D8121">
      <w:pPr>
        <w:spacing w:line="360" w:lineRule="auto"/>
        <w:ind w:firstLine="480" w:firstLineChars="200"/>
        <w:rPr>
          <w:sz w:val="24"/>
        </w:rPr>
      </w:pPr>
      <w:r>
        <w:rPr>
          <w:sz w:val="24"/>
        </w:rPr>
        <w:t>1.1“合同”系指采购人与中标供应商签署的、合同格式中载明的采购人与中标供应商所达成的合同，包括所有的附件、附录和构成合同的其它文件。</w:t>
      </w:r>
    </w:p>
    <w:p w14:paraId="135F7FFF">
      <w:pPr>
        <w:spacing w:line="360" w:lineRule="auto"/>
        <w:ind w:firstLine="480" w:firstLineChars="200"/>
        <w:rPr>
          <w:sz w:val="24"/>
          <w:u w:val="single"/>
        </w:rPr>
      </w:pPr>
      <w:r>
        <w:rPr>
          <w:sz w:val="24"/>
        </w:rPr>
        <w:t>1.2“服务”系指根据合同规定中标供应商承担的服务。</w:t>
      </w:r>
    </w:p>
    <w:p w14:paraId="51BE052B">
      <w:pPr>
        <w:spacing w:line="360" w:lineRule="auto"/>
        <w:ind w:firstLine="480" w:firstLineChars="200"/>
        <w:rPr>
          <w:sz w:val="24"/>
        </w:rPr>
      </w:pPr>
      <w:r>
        <w:rPr>
          <w:sz w:val="24"/>
        </w:rPr>
        <w:t>1.3“采购人”系指与中标供应商签署采购合同的单位（含最终用户）</w:t>
      </w:r>
    </w:p>
    <w:p w14:paraId="01D930EB">
      <w:pPr>
        <w:spacing w:line="360" w:lineRule="auto"/>
        <w:ind w:firstLine="480" w:firstLineChars="200"/>
        <w:rPr>
          <w:sz w:val="24"/>
          <w:u w:val="single"/>
        </w:rPr>
      </w:pPr>
      <w:r>
        <w:rPr>
          <w:sz w:val="24"/>
        </w:rPr>
        <w:t>1.4“中标供应商”系指</w:t>
      </w:r>
      <w:r>
        <w:rPr>
          <w:sz w:val="24"/>
          <w:u w:val="single"/>
        </w:rPr>
        <w:t>根据合同规定提供服务的中标供应商。</w:t>
      </w:r>
    </w:p>
    <w:p w14:paraId="0436693D">
      <w:pPr>
        <w:spacing w:line="360" w:lineRule="auto"/>
        <w:ind w:firstLine="480" w:firstLineChars="200"/>
        <w:rPr>
          <w:sz w:val="24"/>
        </w:rPr>
      </w:pPr>
      <w:r>
        <w:rPr>
          <w:sz w:val="24"/>
        </w:rPr>
        <w:t>1.5“招标代理机构”系</w:t>
      </w:r>
      <w:r>
        <w:rPr>
          <w:sz w:val="24"/>
          <w:u w:val="single"/>
        </w:rPr>
        <w:t>指</w:t>
      </w:r>
      <w:r>
        <w:rPr>
          <w:rFonts w:hint="eastAsia"/>
          <w:sz w:val="24"/>
          <w:u w:val="single"/>
        </w:rPr>
        <w:t>国信招标集团股份有限公司</w:t>
      </w:r>
      <w:r>
        <w:rPr>
          <w:sz w:val="24"/>
          <w:u w:val="single"/>
        </w:rPr>
        <w:t>。</w:t>
      </w:r>
    </w:p>
    <w:p w14:paraId="366FEFAD">
      <w:pPr>
        <w:spacing w:line="360" w:lineRule="auto"/>
        <w:ind w:firstLine="480" w:firstLineChars="200"/>
        <w:rPr>
          <w:sz w:val="24"/>
        </w:rPr>
      </w:pPr>
      <w:r>
        <w:rPr>
          <w:sz w:val="24"/>
        </w:rPr>
        <w:t>1.6“现场”系指</w:t>
      </w:r>
      <w:r>
        <w:rPr>
          <w:sz w:val="24"/>
          <w:u w:val="single"/>
        </w:rPr>
        <w:t>合同项下服务的实施地点。</w:t>
      </w:r>
    </w:p>
    <w:p w14:paraId="7F4A9840">
      <w:pPr>
        <w:spacing w:line="360" w:lineRule="auto"/>
        <w:ind w:firstLine="480" w:firstLineChars="200"/>
        <w:rPr>
          <w:sz w:val="24"/>
          <w:u w:val="single"/>
        </w:rPr>
      </w:pPr>
      <w:r>
        <w:rPr>
          <w:sz w:val="24"/>
        </w:rPr>
        <w:t>1.7“验收”系指</w:t>
      </w:r>
      <w:r>
        <w:rPr>
          <w:sz w:val="24"/>
          <w:u w:val="single"/>
        </w:rPr>
        <w:t>合同双方依据规定的程序和条件确认合同项下的服务符合技术规范的要求。</w:t>
      </w:r>
    </w:p>
    <w:p w14:paraId="6BBFCD0D">
      <w:pPr>
        <w:spacing w:line="360" w:lineRule="auto"/>
        <w:rPr>
          <w:b/>
          <w:bCs/>
          <w:sz w:val="24"/>
        </w:rPr>
      </w:pPr>
      <w:r>
        <w:rPr>
          <w:b/>
          <w:bCs/>
          <w:sz w:val="24"/>
        </w:rPr>
        <w:t>2、技术规范</w:t>
      </w:r>
    </w:p>
    <w:p w14:paraId="382A6B07">
      <w:pPr>
        <w:spacing w:line="360" w:lineRule="auto"/>
        <w:ind w:firstLine="480" w:firstLineChars="200"/>
        <w:rPr>
          <w:sz w:val="24"/>
        </w:rPr>
      </w:pPr>
      <w:r>
        <w:rPr>
          <w:sz w:val="24"/>
        </w:rPr>
        <w:t>2.1维护维修工作的技术要求应与招标文件规定的技术规范及附件相一致。</w:t>
      </w:r>
    </w:p>
    <w:p w14:paraId="4E58B665">
      <w:pPr>
        <w:spacing w:line="360" w:lineRule="auto"/>
        <w:ind w:firstLine="480" w:firstLineChars="200"/>
        <w:rPr>
          <w:sz w:val="24"/>
        </w:rPr>
      </w:pPr>
      <w:r>
        <w:rPr>
          <w:sz w:val="24"/>
        </w:rPr>
        <w:t>2.2 汛期设备监管包括通过网络平台检查监测设备状态是否正常和发现异常后在规定时限内进行维修。</w:t>
      </w:r>
    </w:p>
    <w:p w14:paraId="3C5A2C24">
      <w:pPr>
        <w:spacing w:line="360" w:lineRule="auto"/>
        <w:ind w:firstLine="480" w:firstLineChars="200"/>
        <w:rPr>
          <w:sz w:val="24"/>
        </w:rPr>
      </w:pPr>
      <w:r>
        <w:rPr>
          <w:sz w:val="24"/>
        </w:rPr>
        <w:t>2.3维护工作须按照 “北京地灾” APP中维护任务的下发列表完成，并形成符合招标人要求的维护记录，维护后按工作阶段提交旬报、月报，重点阐述数据传输质量、设备状态、存在问题及解决方案。</w:t>
      </w:r>
    </w:p>
    <w:p w14:paraId="6A5C26AF">
      <w:pPr>
        <w:spacing w:line="360" w:lineRule="auto"/>
        <w:ind w:firstLine="480" w:firstLineChars="200"/>
        <w:rPr>
          <w:sz w:val="24"/>
        </w:rPr>
      </w:pPr>
      <w:r>
        <w:rPr>
          <w:sz w:val="24"/>
        </w:rPr>
        <w:t>2.4设备维护工作以野外设备正常运行，监测数据正常传输至招标人的地质灾害监测预警系统中，且上线率达到90%，为考核合格依据。</w:t>
      </w:r>
    </w:p>
    <w:p w14:paraId="6C44FDF5">
      <w:pPr>
        <w:spacing w:line="360" w:lineRule="auto"/>
        <w:ind w:firstLine="480" w:firstLineChars="200"/>
        <w:rPr>
          <w:sz w:val="24"/>
        </w:rPr>
      </w:pPr>
      <w:r>
        <w:rPr>
          <w:sz w:val="24"/>
        </w:rPr>
        <w:t>2.5每个监测设备均须提交设备维护路线轨迹；维护完成后，需拍摄设备照片，并按设备位置名称命名分类存档。</w:t>
      </w:r>
    </w:p>
    <w:p w14:paraId="2DCF9FE8">
      <w:pPr>
        <w:spacing w:line="360" w:lineRule="auto"/>
        <w:ind w:firstLine="480" w:firstLineChars="200"/>
        <w:rPr>
          <w:sz w:val="24"/>
        </w:rPr>
      </w:pPr>
      <w:r>
        <w:rPr>
          <w:sz w:val="24"/>
        </w:rPr>
        <w:t>2.6中标人在各维护行政区内应分别安排维修负责人，以保证监测设备维修工作能够快速、有效的开展，并在规定时间内完成维修并填写相关记录。</w:t>
      </w:r>
    </w:p>
    <w:p w14:paraId="11366385">
      <w:pPr>
        <w:spacing w:line="360" w:lineRule="auto"/>
        <w:ind w:firstLine="480" w:firstLineChars="200"/>
        <w:rPr>
          <w:sz w:val="24"/>
        </w:rPr>
      </w:pPr>
      <w:r>
        <w:rPr>
          <w:sz w:val="24"/>
        </w:rPr>
        <w:t>2.7须安排一名专职工作人员于每日定时检查监测系统设备运行情况，发现设备故障及时维修，做好每日系统运行及设备维修记录，以确保监测系统全年正常运行，系统运行记录及设备维修记录均应提供纸质原始文件。</w:t>
      </w:r>
    </w:p>
    <w:p w14:paraId="6E94AFCB">
      <w:pPr>
        <w:spacing w:line="360" w:lineRule="auto"/>
        <w:ind w:firstLine="480" w:firstLineChars="200"/>
        <w:rPr>
          <w:sz w:val="24"/>
        </w:rPr>
      </w:pPr>
      <w:r>
        <w:rPr>
          <w:sz w:val="24"/>
        </w:rPr>
        <w:t>2.8中标人提前准备本包所涉及各种类型设备配件的初始易损易耗配件备件，中标人的投标报价中须包含完成上述工作所需的采购、安装、人工、利润、税金等全部费用（采购人有权根据实际维护情况要求设备变更，要求中标公司提供价值相当的备品备件）。</w:t>
      </w:r>
    </w:p>
    <w:p w14:paraId="5928EDB7">
      <w:pPr>
        <w:spacing w:line="360" w:lineRule="auto"/>
        <w:ind w:firstLine="480" w:firstLineChars="200"/>
        <w:rPr>
          <w:sz w:val="24"/>
        </w:rPr>
      </w:pPr>
      <w:r>
        <w:rPr>
          <w:sz w:val="24"/>
        </w:rPr>
        <w:t>2.9 按招标文件要求在规定时间内提交相应维护维修成果。</w:t>
      </w:r>
    </w:p>
    <w:p w14:paraId="12345FC6">
      <w:pPr>
        <w:numPr>
          <w:ilvl w:val="0"/>
          <w:numId w:val="24"/>
        </w:numPr>
        <w:spacing w:line="360" w:lineRule="auto"/>
        <w:rPr>
          <w:b/>
          <w:bCs/>
          <w:sz w:val="24"/>
        </w:rPr>
      </w:pPr>
      <w:r>
        <w:rPr>
          <w:b/>
          <w:bCs/>
          <w:sz w:val="24"/>
        </w:rPr>
        <w:t>服务内容</w:t>
      </w:r>
    </w:p>
    <w:p w14:paraId="7E4ADDAE">
      <w:pPr>
        <w:spacing w:line="360" w:lineRule="auto"/>
        <w:ind w:firstLine="480" w:firstLineChars="200"/>
        <w:rPr>
          <w:sz w:val="24"/>
        </w:rPr>
      </w:pPr>
      <w:r>
        <w:rPr>
          <w:sz w:val="24"/>
        </w:rPr>
        <w:t>详见合同书中规定。</w:t>
      </w:r>
    </w:p>
    <w:p w14:paraId="1927699A">
      <w:pPr>
        <w:spacing w:line="360" w:lineRule="auto"/>
        <w:rPr>
          <w:b/>
          <w:bCs/>
          <w:sz w:val="24"/>
        </w:rPr>
      </w:pPr>
      <w:r>
        <w:rPr>
          <w:b/>
          <w:bCs/>
          <w:sz w:val="24"/>
        </w:rPr>
        <w:t>4、提供服务期限、地点</w:t>
      </w:r>
    </w:p>
    <w:p w14:paraId="180B097F">
      <w:pPr>
        <w:spacing w:line="360" w:lineRule="auto"/>
        <w:ind w:firstLine="480" w:firstLineChars="200"/>
        <w:rPr>
          <w:bCs/>
          <w:sz w:val="24"/>
        </w:rPr>
      </w:pPr>
      <w:r>
        <w:rPr>
          <w:sz w:val="24"/>
        </w:rPr>
        <w:t xml:space="preserve">详见合同书中规定。                    </w:t>
      </w:r>
    </w:p>
    <w:p w14:paraId="7A780AB9">
      <w:pPr>
        <w:spacing w:line="360" w:lineRule="auto"/>
        <w:rPr>
          <w:b/>
          <w:bCs/>
          <w:sz w:val="24"/>
        </w:rPr>
      </w:pPr>
      <w:r>
        <w:rPr>
          <w:b/>
          <w:bCs/>
          <w:sz w:val="24"/>
        </w:rPr>
        <w:t>5、付款方式</w:t>
      </w:r>
    </w:p>
    <w:p w14:paraId="6A40673F">
      <w:pPr>
        <w:spacing w:before="120" w:line="360" w:lineRule="auto"/>
        <w:ind w:left="1020" w:leftChars="200" w:hanging="600" w:hangingChars="250"/>
        <w:rPr>
          <w:sz w:val="24"/>
        </w:rPr>
      </w:pPr>
      <w:r>
        <w:rPr>
          <w:sz w:val="24"/>
        </w:rPr>
        <w:t>付款条件详见合同书中规定。</w:t>
      </w:r>
    </w:p>
    <w:p w14:paraId="43C5C875">
      <w:pPr>
        <w:spacing w:line="360" w:lineRule="auto"/>
        <w:rPr>
          <w:b/>
          <w:bCs/>
          <w:sz w:val="24"/>
        </w:rPr>
      </w:pPr>
      <w:r>
        <w:rPr>
          <w:b/>
          <w:bCs/>
          <w:sz w:val="24"/>
        </w:rPr>
        <w:t>6、索赔</w:t>
      </w:r>
    </w:p>
    <w:p w14:paraId="15A811EA">
      <w:pPr>
        <w:spacing w:line="360" w:lineRule="auto"/>
        <w:ind w:firstLine="480" w:firstLineChars="200"/>
        <w:rPr>
          <w:sz w:val="24"/>
        </w:rPr>
      </w:pPr>
      <w:r>
        <w:rPr>
          <w:sz w:val="24"/>
        </w:rPr>
        <w:t>如果中标供应商提供的服务质量与合同不符，采购人有权根据合同约定向中标供应商提出索赔。</w:t>
      </w:r>
    </w:p>
    <w:p w14:paraId="6BC3F694">
      <w:pPr>
        <w:spacing w:line="360" w:lineRule="auto"/>
        <w:rPr>
          <w:b/>
          <w:bCs/>
          <w:sz w:val="24"/>
        </w:rPr>
      </w:pPr>
      <w:r>
        <w:rPr>
          <w:b/>
          <w:bCs/>
          <w:sz w:val="24"/>
        </w:rPr>
        <w:t>7、延期提供服务</w:t>
      </w:r>
    </w:p>
    <w:p w14:paraId="57D76AEC">
      <w:pPr>
        <w:spacing w:line="360" w:lineRule="auto"/>
        <w:ind w:firstLine="480" w:firstLineChars="200"/>
        <w:rPr>
          <w:sz w:val="24"/>
        </w:rPr>
      </w:pPr>
      <w:r>
        <w:rPr>
          <w:sz w:val="24"/>
        </w:rPr>
        <w:t>7.1中标供应商应按照合同中规定的条款提供服务。</w:t>
      </w:r>
    </w:p>
    <w:p w14:paraId="7E2DD3F2">
      <w:pPr>
        <w:spacing w:line="360" w:lineRule="auto"/>
        <w:ind w:firstLine="480" w:firstLineChars="200"/>
        <w:rPr>
          <w:sz w:val="24"/>
        </w:rPr>
      </w:pPr>
      <w:r>
        <w:rPr>
          <w:sz w:val="24"/>
        </w:rPr>
        <w:t>7.2如果中标供应商延迟交货和/或提供服务并影响采购方正常履行合同的的，采购人可采取以下制裁: 收取违约金、赔偿金，直至解除合同。</w:t>
      </w:r>
    </w:p>
    <w:p w14:paraId="3F28E08D">
      <w:pPr>
        <w:spacing w:line="360" w:lineRule="auto"/>
        <w:rPr>
          <w:b/>
          <w:bCs/>
          <w:sz w:val="24"/>
        </w:rPr>
      </w:pPr>
      <w:r>
        <w:rPr>
          <w:b/>
          <w:sz w:val="24"/>
        </w:rPr>
        <w:t>8</w:t>
      </w:r>
      <w:r>
        <w:rPr>
          <w:b/>
          <w:bCs/>
          <w:sz w:val="24"/>
        </w:rPr>
        <w:t>、违约赔偿</w:t>
      </w:r>
    </w:p>
    <w:p w14:paraId="1E3B61F5">
      <w:pPr>
        <w:spacing w:line="360" w:lineRule="auto"/>
        <w:ind w:firstLine="480" w:firstLineChars="200"/>
        <w:rPr>
          <w:sz w:val="24"/>
        </w:rPr>
      </w:pPr>
      <w:r>
        <w:rPr>
          <w:sz w:val="24"/>
        </w:rPr>
        <w:t>如果中标供应商没有按照合同规定的时间交货或提供服务，采购人可从应付款项中先行扣除违约金。违约金的计算标准为中标供应商每迟提供服务一天，按延迟提供服务的价格的1%计收。如果违约金不足以弥补甲方损失的，采购人有权要求中标供应商支付赔偿金，补足违约金不足部分。如果中标供应商在超过</w:t>
      </w:r>
      <w:r>
        <w:rPr>
          <w:b/>
          <w:sz w:val="24"/>
        </w:rPr>
        <w:t>7</w:t>
      </w:r>
      <w:r>
        <w:rPr>
          <w:sz w:val="24"/>
        </w:rPr>
        <w:t>天后仍不能交货和/或提供服务，采购人有权单方解除合同。</w:t>
      </w:r>
    </w:p>
    <w:p w14:paraId="6729BA96">
      <w:pPr>
        <w:spacing w:line="360" w:lineRule="auto"/>
        <w:rPr>
          <w:b/>
          <w:bCs/>
          <w:sz w:val="24"/>
        </w:rPr>
      </w:pPr>
      <w:r>
        <w:rPr>
          <w:b/>
          <w:bCs/>
          <w:sz w:val="24"/>
        </w:rPr>
        <w:t>9、验收</w:t>
      </w:r>
    </w:p>
    <w:p w14:paraId="46E7EA61">
      <w:pPr>
        <w:spacing w:line="360" w:lineRule="auto"/>
        <w:ind w:firstLine="480" w:firstLineChars="200"/>
        <w:rPr>
          <w:sz w:val="24"/>
        </w:rPr>
      </w:pPr>
      <w:r>
        <w:rPr>
          <w:sz w:val="24"/>
        </w:rPr>
        <w:t xml:space="preserve">由采购方进行数据精度检查和接收。   </w:t>
      </w:r>
    </w:p>
    <w:p w14:paraId="4A175591">
      <w:pPr>
        <w:spacing w:line="360" w:lineRule="auto"/>
        <w:rPr>
          <w:b/>
          <w:bCs/>
          <w:sz w:val="24"/>
        </w:rPr>
      </w:pPr>
      <w:r>
        <w:rPr>
          <w:b/>
          <w:bCs/>
          <w:sz w:val="24"/>
        </w:rPr>
        <w:t>10、不可抗力</w:t>
      </w:r>
    </w:p>
    <w:p w14:paraId="7C3A7CB4">
      <w:pPr>
        <w:spacing w:line="360" w:lineRule="auto"/>
        <w:ind w:firstLine="480" w:firstLineChars="200"/>
        <w:rPr>
          <w:sz w:val="24"/>
        </w:rPr>
      </w:pPr>
      <w:r>
        <w:rPr>
          <w:sz w:val="24"/>
        </w:rPr>
        <w:t>10.1如果双方中任何一方由于战争、严重火灾、水灾、台风和地震以及其它经双方同意属于不可抗力的事故，致使合同履行受阻时，履行合同的期限应予延长，延长的期限应相当于事故所影响的时间。</w:t>
      </w:r>
    </w:p>
    <w:p w14:paraId="6ACF0E35">
      <w:pPr>
        <w:spacing w:line="360" w:lineRule="auto"/>
        <w:ind w:firstLine="480" w:firstLineChars="200"/>
        <w:rPr>
          <w:sz w:val="24"/>
        </w:rPr>
      </w:pPr>
      <w:r>
        <w:rPr>
          <w:sz w:val="24"/>
        </w:rPr>
        <w:t>10.2 受事故影响的一方应在不可抗力的事故发生后尽快以书面形式通知另一方，并在事故发生后14天内，将有关部门出具的证明文件用挂号信航寄给或送给另一方。</w:t>
      </w:r>
    </w:p>
    <w:p w14:paraId="2460FB2C">
      <w:pPr>
        <w:spacing w:line="360" w:lineRule="auto"/>
        <w:ind w:firstLine="480" w:firstLineChars="200"/>
        <w:rPr>
          <w:sz w:val="24"/>
        </w:rPr>
      </w:pPr>
      <w:r>
        <w:rPr>
          <w:sz w:val="24"/>
        </w:rPr>
        <w:t>10.3因不可抗力不能履行合同的，根据不可抗力的影响，当事人双方部分或全部免除责任，但法律另有规定的除外。当事人延迟履行合同后发生不可抗力的，不能免除责任。</w:t>
      </w:r>
    </w:p>
    <w:p w14:paraId="37907A76">
      <w:pPr>
        <w:spacing w:line="360" w:lineRule="auto"/>
        <w:rPr>
          <w:b/>
          <w:bCs/>
          <w:sz w:val="24"/>
        </w:rPr>
      </w:pPr>
      <w:r>
        <w:rPr>
          <w:b/>
          <w:bCs/>
          <w:sz w:val="24"/>
        </w:rPr>
        <w:t>11、税费</w:t>
      </w:r>
    </w:p>
    <w:p w14:paraId="3CB6D28A">
      <w:pPr>
        <w:spacing w:line="360" w:lineRule="auto"/>
        <w:ind w:firstLine="480" w:firstLineChars="200"/>
        <w:rPr>
          <w:sz w:val="24"/>
        </w:rPr>
      </w:pPr>
      <w:r>
        <w:rPr>
          <w:sz w:val="24"/>
        </w:rPr>
        <w:t>与本合同有关的一切税费均适用中华人民共和国法律的相关规定。采购人与中标供应商按照中华人民共和国相关法律的规定各自承担其依法应承担的签订、履行本合同所需缴纳的税费。本合同价格为含税价格。</w:t>
      </w:r>
    </w:p>
    <w:p w14:paraId="4CB7D186">
      <w:pPr>
        <w:spacing w:line="360" w:lineRule="auto"/>
        <w:rPr>
          <w:b/>
          <w:bCs/>
          <w:sz w:val="24"/>
        </w:rPr>
      </w:pPr>
      <w:r>
        <w:rPr>
          <w:b/>
          <w:bCs/>
          <w:sz w:val="24"/>
        </w:rPr>
        <w:t>12、履约保证金</w:t>
      </w:r>
    </w:p>
    <w:p w14:paraId="42EDCFE8">
      <w:pPr>
        <w:tabs>
          <w:tab w:val="left" w:pos="0"/>
        </w:tabs>
        <w:spacing w:line="360" w:lineRule="auto"/>
        <w:ind w:left="-105" w:leftChars="-50" w:firstLine="480" w:firstLineChars="200"/>
        <w:rPr>
          <w:sz w:val="24"/>
        </w:rPr>
      </w:pPr>
      <w:r>
        <w:rPr>
          <w:sz w:val="24"/>
        </w:rPr>
        <w:t>12.1 履约保证金应当使用本合同指定货币，具体规定详见合同书中规定。</w:t>
      </w:r>
    </w:p>
    <w:p w14:paraId="384DC309">
      <w:pPr>
        <w:tabs>
          <w:tab w:val="left" w:pos="0"/>
        </w:tabs>
        <w:spacing w:line="360" w:lineRule="auto"/>
        <w:ind w:left="-105" w:leftChars="-50" w:firstLine="480" w:firstLineChars="200"/>
        <w:rPr>
          <w:sz w:val="24"/>
        </w:rPr>
      </w:pPr>
      <w:r>
        <w:rPr>
          <w:sz w:val="24"/>
        </w:rPr>
        <w:t>12.2 履约保证金用于补偿采购人因中标供应商不能履行其合同义务而蒙受的损失。</w:t>
      </w:r>
    </w:p>
    <w:p w14:paraId="1A3FFC40">
      <w:pPr>
        <w:tabs>
          <w:tab w:val="left" w:pos="0"/>
        </w:tabs>
        <w:spacing w:line="360" w:lineRule="auto"/>
        <w:ind w:left="-105" w:leftChars="-50" w:firstLine="480" w:firstLineChars="200"/>
        <w:rPr>
          <w:sz w:val="24"/>
        </w:rPr>
      </w:pPr>
      <w:r>
        <w:rPr>
          <w:sz w:val="24"/>
        </w:rPr>
        <w:t>12.3 履约保证金在服务期满前完全有效。</w:t>
      </w:r>
    </w:p>
    <w:p w14:paraId="23BCDDC5">
      <w:pPr>
        <w:tabs>
          <w:tab w:val="left" w:pos="0"/>
        </w:tabs>
        <w:spacing w:line="360" w:lineRule="auto"/>
        <w:ind w:left="-105" w:leftChars="-50" w:firstLine="480" w:firstLineChars="200"/>
        <w:rPr>
          <w:sz w:val="24"/>
        </w:rPr>
      </w:pPr>
      <w:r>
        <w:rPr>
          <w:sz w:val="24"/>
        </w:rPr>
        <w:t>12.4 如果中标供应商未能按合同规定履行其义务，采购人有权从履约保证金中取得补偿。服务期结束后30天内，采购人将把履约保证金的剩余部分退还中标供应商。</w:t>
      </w:r>
    </w:p>
    <w:p w14:paraId="1F94A316">
      <w:pPr>
        <w:spacing w:line="360" w:lineRule="auto"/>
        <w:rPr>
          <w:b/>
          <w:bCs/>
          <w:sz w:val="24"/>
        </w:rPr>
      </w:pPr>
      <w:r>
        <w:rPr>
          <w:b/>
          <w:bCs/>
          <w:sz w:val="24"/>
        </w:rPr>
        <w:t>13、合同争议的解决</w:t>
      </w:r>
    </w:p>
    <w:p w14:paraId="244158A3">
      <w:pPr>
        <w:spacing w:line="360" w:lineRule="auto"/>
        <w:ind w:firstLine="480" w:firstLineChars="200"/>
        <w:rPr>
          <w:sz w:val="24"/>
        </w:rPr>
      </w:pPr>
      <w:r>
        <w:rPr>
          <w:sz w:val="24"/>
        </w:rPr>
        <w:t>采购人、中标供应商双方应通过友好协商， 解决在执行合同中所发生的或与本合同有关的一切争端，如果协商仍得不到解决，双方同意向采购人所在地的人民法院起诉解决。</w:t>
      </w:r>
    </w:p>
    <w:p w14:paraId="79F2304A">
      <w:pPr>
        <w:spacing w:line="360" w:lineRule="auto"/>
        <w:rPr>
          <w:b/>
          <w:bCs/>
          <w:sz w:val="24"/>
        </w:rPr>
      </w:pPr>
      <w:r>
        <w:rPr>
          <w:b/>
          <w:bCs/>
          <w:sz w:val="24"/>
        </w:rPr>
        <w:t>14、合同变更和终止</w:t>
      </w:r>
    </w:p>
    <w:p w14:paraId="5B33873C">
      <w:pPr>
        <w:spacing w:line="360" w:lineRule="auto"/>
        <w:ind w:firstLine="480" w:firstLineChars="200"/>
        <w:rPr>
          <w:sz w:val="24"/>
        </w:rPr>
      </w:pPr>
      <w:r>
        <w:rPr>
          <w:sz w:val="24"/>
        </w:rPr>
        <w:t>14.1在本合同有效期内，如合同与其生效后新颁布的有关法律、法规、政策规定不符，由甲、乙双方协商变更，如能协商一致，按照符合新颁法律、法规、政策规定拟定补充合同执行；如不能达成一致，本合同解除。合同解除后，尚未发生的业务，停止履行。</w:t>
      </w:r>
    </w:p>
    <w:p w14:paraId="62D7E87A">
      <w:pPr>
        <w:spacing w:line="360" w:lineRule="auto"/>
        <w:ind w:firstLine="480" w:firstLineChars="200"/>
        <w:rPr>
          <w:sz w:val="24"/>
        </w:rPr>
      </w:pPr>
      <w:r>
        <w:rPr>
          <w:sz w:val="24"/>
        </w:rPr>
        <w:t>14.2 在中标供应商违约的情况下，采购人可向中标供应商发出书面通知，部分或全部终止合同。同时保留向中标供应商追诉的权利。</w:t>
      </w:r>
    </w:p>
    <w:p w14:paraId="0FFE8ECD">
      <w:pPr>
        <w:spacing w:line="360" w:lineRule="auto"/>
        <w:ind w:firstLine="480" w:firstLineChars="200"/>
        <w:rPr>
          <w:sz w:val="24"/>
        </w:rPr>
      </w:pPr>
      <w:r>
        <w:rPr>
          <w:sz w:val="24"/>
        </w:rPr>
        <w:t xml:space="preserve">14.2.1中标供应商未能在合同规定的限期或采购人同意延长的限期内提供全部或部分服务, 合同解除； </w:t>
      </w:r>
    </w:p>
    <w:p w14:paraId="33B91954">
      <w:pPr>
        <w:spacing w:line="360" w:lineRule="auto"/>
        <w:ind w:firstLine="480" w:firstLineChars="200"/>
        <w:rPr>
          <w:sz w:val="24"/>
        </w:rPr>
      </w:pPr>
      <w:r>
        <w:rPr>
          <w:sz w:val="24"/>
        </w:rPr>
        <w:t>14.2.2中标供应商未能履行合同规定的其它主要义务的；</w:t>
      </w:r>
    </w:p>
    <w:p w14:paraId="5F0D7099">
      <w:pPr>
        <w:spacing w:line="360" w:lineRule="auto"/>
        <w:ind w:firstLine="480" w:firstLineChars="200"/>
        <w:rPr>
          <w:sz w:val="24"/>
        </w:rPr>
      </w:pPr>
      <w:r>
        <w:rPr>
          <w:sz w:val="24"/>
        </w:rPr>
        <w:t>14.2.3在本合同履行过程中有腐败和欺诈行为的。</w:t>
      </w:r>
    </w:p>
    <w:p w14:paraId="21A5898E">
      <w:pPr>
        <w:spacing w:line="360" w:lineRule="auto"/>
        <w:ind w:firstLine="480" w:firstLineChars="200"/>
        <w:rPr>
          <w:sz w:val="24"/>
        </w:rPr>
      </w:pPr>
      <w:r>
        <w:rPr>
          <w:sz w:val="24"/>
        </w:rPr>
        <w:t>14.2.3.1“腐败行为”和“欺诈行为”定义如下:</w:t>
      </w:r>
    </w:p>
    <w:p w14:paraId="669ADC9B">
      <w:pPr>
        <w:spacing w:line="360" w:lineRule="auto"/>
        <w:ind w:firstLine="480" w:firstLineChars="200"/>
        <w:rPr>
          <w:sz w:val="24"/>
        </w:rPr>
      </w:pPr>
      <w:r>
        <w:rPr>
          <w:sz w:val="24"/>
        </w:rPr>
        <w:t>14.2.3.1.1“腐败行为”是指提供/给予/接受或索取任何有价值的东西来影响甲方在合同签订、履行过程中的行为。</w:t>
      </w:r>
    </w:p>
    <w:p w14:paraId="5E0E2636">
      <w:pPr>
        <w:spacing w:line="360" w:lineRule="auto"/>
        <w:ind w:firstLine="480" w:firstLineChars="200"/>
        <w:rPr>
          <w:sz w:val="24"/>
        </w:rPr>
      </w:pPr>
      <w:r>
        <w:rPr>
          <w:sz w:val="24"/>
        </w:rPr>
        <w:t>14.2.3.1.2“欺诈行为”是指为了影响合同签订、履行过程，以谎报事实的方法，损害采购人的利益的行为。</w:t>
      </w:r>
    </w:p>
    <w:p w14:paraId="5FDCC1C7">
      <w:pPr>
        <w:spacing w:line="360" w:lineRule="auto"/>
        <w:ind w:firstLine="480" w:firstLineChars="200"/>
        <w:rPr>
          <w:sz w:val="24"/>
        </w:rPr>
      </w:pPr>
      <w:r>
        <w:rPr>
          <w:sz w:val="24"/>
        </w:rPr>
        <w:t>14.3合同履行期间，如因中标供应商违反相关规定及本合同约定，采购人终止合同履行的，采购人需以书面形式通知中标供应商，通知送达中标供应商后本合同解除；合同解除前，本合同继续有效。</w:t>
      </w:r>
    </w:p>
    <w:p w14:paraId="3302D92B">
      <w:pPr>
        <w:spacing w:line="360" w:lineRule="auto"/>
        <w:ind w:firstLine="480" w:firstLineChars="200"/>
        <w:rPr>
          <w:sz w:val="24"/>
        </w:rPr>
      </w:pPr>
      <w:r>
        <w:rPr>
          <w:sz w:val="24"/>
        </w:rPr>
        <w:t>14.4本合同终止后，需求与中标双方应对合同期间发生的应尽未尽事项负责结清，有关保密义务的条款对双方仍然有效。</w:t>
      </w:r>
    </w:p>
    <w:p w14:paraId="0F52135A">
      <w:pPr>
        <w:spacing w:line="360" w:lineRule="auto"/>
        <w:rPr>
          <w:b/>
          <w:bCs/>
          <w:sz w:val="24"/>
        </w:rPr>
      </w:pPr>
      <w:r>
        <w:rPr>
          <w:b/>
          <w:bCs/>
          <w:sz w:val="24"/>
        </w:rPr>
        <w:t>15、破产终止合同</w:t>
      </w:r>
    </w:p>
    <w:p w14:paraId="5ABD172B">
      <w:pPr>
        <w:spacing w:line="360" w:lineRule="auto"/>
        <w:ind w:firstLine="480" w:firstLineChars="200"/>
        <w:rPr>
          <w:sz w:val="24"/>
        </w:rPr>
      </w:pPr>
      <w:r>
        <w:rPr>
          <w:sz w:val="24"/>
        </w:rPr>
        <w:t>如果中标供应商因破产、清算、注销、被吊销营业执照、停业等原因导致合同无法履行时，采购人可以书面形式通知中标供应商，单方解除合同而不给中标供应商补偿，但采购人必须以书面形式告知同级政府采购监督管理部门。该合同的解除将不损害或不影响采购人已经采取或将要采取的任何行动或补救措施的权利。</w:t>
      </w:r>
    </w:p>
    <w:p w14:paraId="232EC4A9">
      <w:pPr>
        <w:spacing w:line="360" w:lineRule="auto"/>
        <w:rPr>
          <w:b/>
          <w:bCs/>
          <w:sz w:val="24"/>
        </w:rPr>
      </w:pPr>
      <w:r>
        <w:rPr>
          <w:b/>
          <w:bCs/>
          <w:sz w:val="24"/>
        </w:rPr>
        <w:t>16、转让和分包</w:t>
      </w:r>
    </w:p>
    <w:p w14:paraId="543B3A6B">
      <w:pPr>
        <w:spacing w:line="360" w:lineRule="auto"/>
        <w:ind w:firstLine="480" w:firstLineChars="200"/>
        <w:rPr>
          <w:sz w:val="24"/>
        </w:rPr>
      </w:pPr>
      <w:r>
        <w:rPr>
          <w:sz w:val="24"/>
        </w:rPr>
        <w:t>未经采购人事先书面同意，中标供应商不得部分转让或全部转让其所享有的合同权利或应履行的合同义务。并且，未经采购人事先书面同意，中标供应商不得将本合同项目中实质性内容分包给其他第三方完成。否则，中标供应商应当向采购人支付合同总金额20%的违约金，并且，于此情形下，采购人还有权解除合同。</w:t>
      </w:r>
    </w:p>
    <w:p w14:paraId="7F3D0F75">
      <w:pPr>
        <w:spacing w:line="360" w:lineRule="auto"/>
        <w:rPr>
          <w:b/>
          <w:bCs/>
          <w:sz w:val="24"/>
        </w:rPr>
      </w:pPr>
      <w:r>
        <w:rPr>
          <w:b/>
          <w:bCs/>
          <w:sz w:val="24"/>
        </w:rPr>
        <w:t>17、合同修改</w:t>
      </w:r>
    </w:p>
    <w:p w14:paraId="6486ED9E">
      <w:pPr>
        <w:spacing w:line="360" w:lineRule="auto"/>
        <w:ind w:firstLine="480" w:firstLineChars="200"/>
        <w:rPr>
          <w:sz w:val="24"/>
        </w:rPr>
      </w:pPr>
      <w:r>
        <w:rPr>
          <w:sz w:val="24"/>
        </w:rPr>
        <w:t>欲对合同条款进行任何改动，均须由采购人、中标供应商签署书面的合同修改书。</w:t>
      </w:r>
    </w:p>
    <w:p w14:paraId="2756B8D1">
      <w:pPr>
        <w:spacing w:line="360" w:lineRule="auto"/>
        <w:rPr>
          <w:b/>
          <w:bCs/>
          <w:sz w:val="24"/>
        </w:rPr>
      </w:pPr>
      <w:r>
        <w:rPr>
          <w:b/>
          <w:bCs/>
          <w:sz w:val="24"/>
        </w:rPr>
        <w:t>18、通知</w:t>
      </w:r>
    </w:p>
    <w:p w14:paraId="44FCEB6A">
      <w:pPr>
        <w:spacing w:line="360" w:lineRule="auto"/>
        <w:ind w:firstLine="480" w:firstLineChars="200"/>
        <w:rPr>
          <w:sz w:val="24"/>
        </w:rPr>
      </w:pPr>
      <w:r>
        <w:rPr>
          <w:sz w:val="24"/>
        </w:rPr>
        <w:t>本合同任何一方给另一方的通知，都应以书面或传真的形式发送，而另一方应以书面形式确认并发送到对方明确的地址。</w:t>
      </w:r>
    </w:p>
    <w:p w14:paraId="35E011E8">
      <w:pPr>
        <w:spacing w:line="360" w:lineRule="auto"/>
        <w:rPr>
          <w:b/>
          <w:bCs/>
          <w:sz w:val="24"/>
        </w:rPr>
      </w:pPr>
      <w:r>
        <w:rPr>
          <w:b/>
          <w:bCs/>
          <w:sz w:val="24"/>
        </w:rPr>
        <w:t>19、知识产权条款</w:t>
      </w:r>
    </w:p>
    <w:p w14:paraId="701BC74C">
      <w:pPr>
        <w:spacing w:line="360" w:lineRule="auto"/>
        <w:ind w:firstLine="480" w:firstLineChars="200"/>
        <w:rPr>
          <w:sz w:val="24"/>
        </w:rPr>
      </w:pPr>
      <w:r>
        <w:rPr>
          <w:sz w:val="24"/>
        </w:rPr>
        <w:t>19.1本项目成果的知识产权为采购人所有。未经采购人的许可，中标供应商不得向第三方转让、传播、销售。否则，中标供应商应当向采购人支付合同总金额20%的违约金。</w:t>
      </w:r>
    </w:p>
    <w:p w14:paraId="74B99C87">
      <w:pPr>
        <w:spacing w:line="360" w:lineRule="auto"/>
        <w:ind w:firstLine="480" w:firstLineChars="200"/>
        <w:rPr>
          <w:sz w:val="24"/>
        </w:rPr>
      </w:pPr>
      <w:r>
        <w:rPr>
          <w:sz w:val="24"/>
        </w:rPr>
        <w:t>19.2中标供应商应保证采购人在使用该项目成果时免受任何第三方提出的侵犯著作权、专利权或其他知识产权的诉讼或指控。如果任何第三方提起基于知识产权的侵权诉讼，将由中标供应商负责处理并承担相关的一切法律责任和费用；由此给采购人造成的任何损失，中标供应商应负责赔偿。</w:t>
      </w:r>
    </w:p>
    <w:p w14:paraId="0FB6D2DE">
      <w:pPr>
        <w:spacing w:line="360" w:lineRule="auto"/>
        <w:rPr>
          <w:b/>
          <w:bCs/>
          <w:sz w:val="24"/>
        </w:rPr>
      </w:pPr>
      <w:r>
        <w:rPr>
          <w:b/>
          <w:bCs/>
          <w:sz w:val="24"/>
        </w:rPr>
        <w:t>20、技术情报和资料的保密</w:t>
      </w:r>
    </w:p>
    <w:p w14:paraId="73C450CF">
      <w:pPr>
        <w:spacing w:line="360" w:lineRule="auto"/>
        <w:ind w:firstLine="480" w:firstLineChars="200"/>
        <w:rPr>
          <w:bCs/>
          <w:sz w:val="24"/>
        </w:rPr>
      </w:pPr>
      <w:r>
        <w:rPr>
          <w:bCs/>
          <w:sz w:val="24"/>
        </w:rPr>
        <w:t>中标供应商应对合同执行过程中的技术情报及资料履行保密义务。</w:t>
      </w:r>
    </w:p>
    <w:p w14:paraId="4D5CFDF3">
      <w:pPr>
        <w:spacing w:line="360" w:lineRule="auto"/>
        <w:rPr>
          <w:b/>
          <w:bCs/>
          <w:sz w:val="24"/>
        </w:rPr>
      </w:pPr>
      <w:r>
        <w:rPr>
          <w:b/>
          <w:bCs/>
          <w:sz w:val="24"/>
        </w:rPr>
        <w:t>21、适用法律</w:t>
      </w:r>
    </w:p>
    <w:p w14:paraId="03872AB9">
      <w:pPr>
        <w:spacing w:line="360" w:lineRule="auto"/>
        <w:ind w:firstLine="480" w:firstLineChars="200"/>
        <w:rPr>
          <w:sz w:val="24"/>
        </w:rPr>
      </w:pPr>
      <w:r>
        <w:rPr>
          <w:sz w:val="24"/>
        </w:rPr>
        <w:t>本合同应按照中华人民共和国的法律进行解释。</w:t>
      </w:r>
    </w:p>
    <w:p w14:paraId="737EADB5">
      <w:pPr>
        <w:spacing w:line="360" w:lineRule="auto"/>
        <w:rPr>
          <w:b/>
          <w:bCs/>
          <w:sz w:val="24"/>
        </w:rPr>
      </w:pPr>
      <w:r>
        <w:rPr>
          <w:b/>
          <w:bCs/>
          <w:sz w:val="24"/>
        </w:rPr>
        <w:t>22、其他</w:t>
      </w:r>
    </w:p>
    <w:p w14:paraId="5DDAE2ED">
      <w:pPr>
        <w:spacing w:line="360" w:lineRule="auto"/>
        <w:ind w:left="14" w:firstLine="480" w:firstLineChars="200"/>
        <w:rPr>
          <w:sz w:val="24"/>
        </w:rPr>
      </w:pPr>
      <w:r>
        <w:rPr>
          <w:sz w:val="24"/>
        </w:rPr>
        <w:t>22.1 采购人应当自政府采购合同签订之日起2个工作日内，将政府采购合同在省级以上人民政府财政部门指定的媒体上公告，但政府采购合同中涉及国家秘密、商业秘密的内容除外。</w:t>
      </w:r>
    </w:p>
    <w:p w14:paraId="314086C6">
      <w:pPr>
        <w:spacing w:line="360" w:lineRule="auto"/>
        <w:ind w:left="17" w:firstLine="480" w:firstLineChars="200"/>
      </w:pPr>
      <w:r>
        <w:rPr>
          <w:sz w:val="24"/>
        </w:rPr>
        <w:t>22.2 如需修改或补充合同内容，经协商，采购人与中标供应商应签署书面修改或补充合同，该合同将作为本合同的一个组成部分。</w:t>
      </w:r>
    </w:p>
    <w:p w14:paraId="137F2A42">
      <w:pPr>
        <w:autoSpaceDE w:val="0"/>
        <w:autoSpaceDN w:val="0"/>
        <w:adjustRightInd w:val="0"/>
        <w:jc w:val="left"/>
        <w:rPr>
          <w:rFonts w:ascii="宋体"/>
          <w:sz w:val="24"/>
        </w:rPr>
      </w:pPr>
    </w:p>
    <w:p w14:paraId="1084CEAA">
      <w:pPr>
        <w:rPr>
          <w:sz w:val="24"/>
          <w:u w:val="single"/>
        </w:rPr>
      </w:pPr>
      <w:r>
        <w:rPr>
          <w:sz w:val="24"/>
          <w:u w:val="single"/>
        </w:rPr>
        <w:br w:type="page"/>
      </w:r>
    </w:p>
    <w:p w14:paraId="51F91B6F">
      <w:pPr>
        <w:rPr>
          <w:sz w:val="24"/>
        </w:rPr>
      </w:pPr>
      <w:r>
        <w:rPr>
          <w:b/>
          <w:bCs/>
          <w:sz w:val="24"/>
        </w:rPr>
        <w:t xml:space="preserve">附件1  </w:t>
      </w:r>
      <w:r>
        <w:rPr>
          <w:b/>
          <w:bCs/>
          <w:color w:val="FF0000"/>
          <w:sz w:val="24"/>
        </w:rPr>
        <w:t xml:space="preserve"> </w:t>
      </w:r>
      <w:r>
        <w:rPr>
          <w:b/>
          <w:bCs/>
          <w:sz w:val="24"/>
        </w:rPr>
        <w:t xml:space="preserve"> </w:t>
      </w:r>
      <w:r>
        <w:rPr>
          <w:color w:val="FF0000"/>
          <w:sz w:val="24"/>
        </w:rPr>
        <w:t xml:space="preserve"> </w:t>
      </w:r>
    </w:p>
    <w:p w14:paraId="5C9E5CB2">
      <w:pPr>
        <w:jc w:val="center"/>
        <w:rPr>
          <w:rFonts w:eastAsia="仿宋_GB2312"/>
          <w:sz w:val="24"/>
        </w:rPr>
      </w:pPr>
      <w:r>
        <w:rPr>
          <w:b/>
          <w:bCs/>
          <w:sz w:val="24"/>
        </w:rPr>
        <w:t>监测仪器维护费用清单</w:t>
      </w:r>
    </w:p>
    <w:tbl>
      <w:tblPr>
        <w:tblStyle w:val="42"/>
        <w:tblpPr w:leftFromText="180" w:rightFromText="180" w:vertAnchor="text" w:horzAnchor="page" w:tblpXSpec="center" w:tblpY="46"/>
        <w:tblOverlap w:val="never"/>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469"/>
        <w:gridCol w:w="829"/>
        <w:gridCol w:w="823"/>
        <w:gridCol w:w="933"/>
        <w:gridCol w:w="764"/>
        <w:gridCol w:w="1202"/>
        <w:gridCol w:w="1145"/>
      </w:tblGrid>
      <w:tr w14:paraId="3987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93" w:type="dxa"/>
            <w:vMerge w:val="restart"/>
            <w:vAlign w:val="center"/>
          </w:tcPr>
          <w:p w14:paraId="4256FDAB">
            <w:pPr>
              <w:spacing w:line="23" w:lineRule="atLeast"/>
              <w:jc w:val="center"/>
              <w:rPr>
                <w:kern w:val="0"/>
                <w:sz w:val="20"/>
                <w:szCs w:val="21"/>
              </w:rPr>
            </w:pPr>
            <w:r>
              <w:rPr>
                <w:kern w:val="0"/>
                <w:sz w:val="20"/>
                <w:szCs w:val="21"/>
              </w:rPr>
              <w:t>序号</w:t>
            </w:r>
          </w:p>
        </w:tc>
        <w:tc>
          <w:tcPr>
            <w:tcW w:w="2469" w:type="dxa"/>
            <w:vMerge w:val="restart"/>
            <w:vAlign w:val="center"/>
          </w:tcPr>
          <w:p w14:paraId="1E4E5D45">
            <w:pPr>
              <w:tabs>
                <w:tab w:val="center" w:pos="1341"/>
                <w:tab w:val="right" w:pos="2563"/>
              </w:tabs>
              <w:spacing w:line="23" w:lineRule="atLeast"/>
              <w:jc w:val="center"/>
              <w:rPr>
                <w:kern w:val="0"/>
                <w:sz w:val="20"/>
                <w:szCs w:val="21"/>
              </w:rPr>
            </w:pPr>
            <w:r>
              <w:rPr>
                <w:kern w:val="0"/>
                <w:sz w:val="20"/>
                <w:szCs w:val="21"/>
              </w:rPr>
              <w:t>仪器名称</w:t>
            </w:r>
          </w:p>
        </w:tc>
        <w:tc>
          <w:tcPr>
            <w:tcW w:w="3349" w:type="dxa"/>
            <w:gridSpan w:val="4"/>
            <w:vAlign w:val="center"/>
          </w:tcPr>
          <w:p w14:paraId="3F5CD2DE">
            <w:pPr>
              <w:spacing w:line="23" w:lineRule="atLeast"/>
              <w:jc w:val="center"/>
              <w:rPr>
                <w:kern w:val="0"/>
                <w:sz w:val="20"/>
                <w:szCs w:val="21"/>
              </w:rPr>
            </w:pPr>
            <w:r>
              <w:rPr>
                <w:kern w:val="0"/>
                <w:sz w:val="20"/>
                <w:szCs w:val="21"/>
                <w:lang w:bidi="ar"/>
              </w:rPr>
              <w:t>数量</w:t>
            </w:r>
          </w:p>
        </w:tc>
        <w:tc>
          <w:tcPr>
            <w:tcW w:w="1202" w:type="dxa"/>
            <w:vMerge w:val="restart"/>
            <w:vAlign w:val="center"/>
          </w:tcPr>
          <w:p w14:paraId="67126E54">
            <w:pPr>
              <w:spacing w:line="23" w:lineRule="atLeast"/>
              <w:jc w:val="center"/>
              <w:rPr>
                <w:kern w:val="0"/>
                <w:sz w:val="20"/>
                <w:szCs w:val="21"/>
              </w:rPr>
            </w:pPr>
            <w:r>
              <w:rPr>
                <w:kern w:val="0"/>
                <w:sz w:val="20"/>
                <w:szCs w:val="21"/>
              </w:rPr>
              <w:t>单价</w:t>
            </w:r>
          </w:p>
          <w:p w14:paraId="491F8AFF">
            <w:pPr>
              <w:spacing w:line="23" w:lineRule="atLeast"/>
              <w:jc w:val="center"/>
              <w:rPr>
                <w:kern w:val="0"/>
                <w:sz w:val="20"/>
                <w:szCs w:val="21"/>
              </w:rPr>
            </w:pPr>
            <w:r>
              <w:rPr>
                <w:kern w:val="0"/>
                <w:sz w:val="20"/>
                <w:szCs w:val="21"/>
              </w:rPr>
              <w:t>（单位：元）</w:t>
            </w:r>
          </w:p>
        </w:tc>
        <w:tc>
          <w:tcPr>
            <w:tcW w:w="1145" w:type="dxa"/>
            <w:vMerge w:val="restart"/>
            <w:vAlign w:val="center"/>
          </w:tcPr>
          <w:p w14:paraId="5A24237D">
            <w:pPr>
              <w:spacing w:line="23" w:lineRule="atLeast"/>
              <w:jc w:val="center"/>
              <w:rPr>
                <w:kern w:val="0"/>
                <w:sz w:val="20"/>
                <w:szCs w:val="21"/>
              </w:rPr>
            </w:pPr>
            <w:r>
              <w:rPr>
                <w:kern w:val="0"/>
                <w:sz w:val="20"/>
                <w:szCs w:val="21"/>
              </w:rPr>
              <w:t>总价</w:t>
            </w:r>
          </w:p>
          <w:p w14:paraId="37725DDC">
            <w:pPr>
              <w:spacing w:line="23" w:lineRule="atLeast"/>
              <w:jc w:val="center"/>
              <w:rPr>
                <w:kern w:val="0"/>
                <w:sz w:val="20"/>
                <w:szCs w:val="21"/>
              </w:rPr>
            </w:pPr>
            <w:r>
              <w:rPr>
                <w:kern w:val="0"/>
                <w:sz w:val="20"/>
                <w:szCs w:val="21"/>
              </w:rPr>
              <w:t>（单位：元）</w:t>
            </w:r>
          </w:p>
        </w:tc>
      </w:tr>
      <w:tr w14:paraId="1B0D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93" w:type="dxa"/>
            <w:vMerge w:val="continue"/>
            <w:vAlign w:val="center"/>
          </w:tcPr>
          <w:p w14:paraId="1F40DF6F">
            <w:pPr>
              <w:spacing w:line="23" w:lineRule="atLeast"/>
              <w:jc w:val="center"/>
              <w:rPr>
                <w:kern w:val="0"/>
                <w:sz w:val="20"/>
                <w:szCs w:val="21"/>
              </w:rPr>
            </w:pPr>
          </w:p>
        </w:tc>
        <w:tc>
          <w:tcPr>
            <w:tcW w:w="2469" w:type="dxa"/>
            <w:vMerge w:val="continue"/>
            <w:vAlign w:val="center"/>
          </w:tcPr>
          <w:p w14:paraId="16C85881">
            <w:pPr>
              <w:spacing w:line="23" w:lineRule="atLeast"/>
              <w:jc w:val="center"/>
              <w:rPr>
                <w:kern w:val="0"/>
                <w:sz w:val="20"/>
                <w:szCs w:val="21"/>
              </w:rPr>
            </w:pPr>
          </w:p>
        </w:tc>
        <w:tc>
          <w:tcPr>
            <w:tcW w:w="829" w:type="dxa"/>
            <w:vAlign w:val="center"/>
          </w:tcPr>
          <w:p w14:paraId="1EF802AA">
            <w:pPr>
              <w:widowControl/>
              <w:spacing w:line="23" w:lineRule="atLeast"/>
              <w:jc w:val="center"/>
              <w:textAlignment w:val="center"/>
              <w:rPr>
                <w:kern w:val="0"/>
                <w:sz w:val="20"/>
                <w:szCs w:val="21"/>
                <w:lang w:bidi="ar"/>
              </w:rPr>
            </w:pPr>
            <w:r>
              <w:rPr>
                <w:rFonts w:hint="eastAsia"/>
                <w:kern w:val="0"/>
                <w:sz w:val="20"/>
                <w:szCs w:val="21"/>
                <w:lang w:bidi="ar"/>
              </w:rPr>
              <w:t>门头沟区</w:t>
            </w:r>
          </w:p>
        </w:tc>
        <w:tc>
          <w:tcPr>
            <w:tcW w:w="823" w:type="dxa"/>
            <w:vAlign w:val="center"/>
          </w:tcPr>
          <w:p w14:paraId="2B8AF745">
            <w:pPr>
              <w:widowControl/>
              <w:spacing w:line="23" w:lineRule="atLeast"/>
              <w:jc w:val="center"/>
              <w:textAlignment w:val="center"/>
              <w:rPr>
                <w:kern w:val="0"/>
                <w:sz w:val="20"/>
                <w:szCs w:val="21"/>
                <w:lang w:bidi="ar"/>
              </w:rPr>
            </w:pPr>
            <w:r>
              <w:rPr>
                <w:rFonts w:hint="eastAsia"/>
                <w:kern w:val="0"/>
                <w:sz w:val="20"/>
                <w:szCs w:val="21"/>
                <w:lang w:bidi="ar"/>
              </w:rPr>
              <w:t>延庆区</w:t>
            </w:r>
          </w:p>
        </w:tc>
        <w:tc>
          <w:tcPr>
            <w:tcW w:w="933" w:type="dxa"/>
            <w:vAlign w:val="center"/>
          </w:tcPr>
          <w:p w14:paraId="0D3CDECC">
            <w:pPr>
              <w:widowControl/>
              <w:spacing w:line="23" w:lineRule="atLeast"/>
              <w:jc w:val="center"/>
              <w:textAlignment w:val="center"/>
              <w:rPr>
                <w:kern w:val="0"/>
                <w:sz w:val="20"/>
                <w:szCs w:val="21"/>
                <w:lang w:bidi="ar"/>
              </w:rPr>
            </w:pPr>
          </w:p>
        </w:tc>
        <w:tc>
          <w:tcPr>
            <w:tcW w:w="764" w:type="dxa"/>
            <w:vAlign w:val="center"/>
          </w:tcPr>
          <w:p w14:paraId="733BEB95">
            <w:pPr>
              <w:widowControl/>
              <w:spacing w:line="23" w:lineRule="atLeast"/>
              <w:jc w:val="center"/>
              <w:textAlignment w:val="center"/>
              <w:rPr>
                <w:kern w:val="0"/>
                <w:sz w:val="20"/>
                <w:szCs w:val="21"/>
                <w:lang w:bidi="ar"/>
              </w:rPr>
            </w:pPr>
            <w:r>
              <w:rPr>
                <w:kern w:val="0"/>
                <w:sz w:val="20"/>
                <w:szCs w:val="21"/>
                <w:lang w:bidi="ar"/>
              </w:rPr>
              <w:t>总计</w:t>
            </w:r>
          </w:p>
        </w:tc>
        <w:tc>
          <w:tcPr>
            <w:tcW w:w="1202" w:type="dxa"/>
            <w:vMerge w:val="continue"/>
            <w:vAlign w:val="center"/>
          </w:tcPr>
          <w:p w14:paraId="5CC9AB2A">
            <w:pPr>
              <w:spacing w:line="23" w:lineRule="atLeast"/>
              <w:jc w:val="center"/>
              <w:rPr>
                <w:kern w:val="0"/>
                <w:sz w:val="20"/>
                <w:szCs w:val="21"/>
              </w:rPr>
            </w:pPr>
          </w:p>
        </w:tc>
        <w:tc>
          <w:tcPr>
            <w:tcW w:w="1145" w:type="dxa"/>
            <w:vMerge w:val="continue"/>
            <w:vAlign w:val="center"/>
          </w:tcPr>
          <w:p w14:paraId="3FB843CC">
            <w:pPr>
              <w:spacing w:line="23" w:lineRule="atLeast"/>
              <w:jc w:val="center"/>
              <w:rPr>
                <w:kern w:val="0"/>
                <w:sz w:val="20"/>
                <w:szCs w:val="21"/>
              </w:rPr>
            </w:pPr>
          </w:p>
        </w:tc>
      </w:tr>
      <w:tr w14:paraId="18E5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93" w:type="dxa"/>
            <w:vAlign w:val="center"/>
          </w:tcPr>
          <w:p w14:paraId="7A55D1F0">
            <w:pPr>
              <w:spacing w:line="23" w:lineRule="atLeast"/>
              <w:jc w:val="center"/>
              <w:rPr>
                <w:kern w:val="0"/>
                <w:sz w:val="20"/>
                <w:szCs w:val="21"/>
              </w:rPr>
            </w:pPr>
            <w:r>
              <w:rPr>
                <w:kern w:val="0"/>
                <w:sz w:val="20"/>
                <w:szCs w:val="21"/>
              </w:rPr>
              <w:t>1</w:t>
            </w:r>
          </w:p>
        </w:tc>
        <w:tc>
          <w:tcPr>
            <w:tcW w:w="2469" w:type="dxa"/>
            <w:vAlign w:val="center"/>
          </w:tcPr>
          <w:p w14:paraId="4963D747">
            <w:pPr>
              <w:widowControl/>
              <w:jc w:val="center"/>
              <w:textAlignment w:val="center"/>
              <w:rPr>
                <w:kern w:val="0"/>
                <w:sz w:val="20"/>
                <w:szCs w:val="21"/>
                <w:lang w:val="zh-CN" w:bidi="ar"/>
              </w:rPr>
            </w:pPr>
          </w:p>
        </w:tc>
        <w:tc>
          <w:tcPr>
            <w:tcW w:w="829" w:type="dxa"/>
            <w:vAlign w:val="center"/>
          </w:tcPr>
          <w:p w14:paraId="164698A3">
            <w:pPr>
              <w:widowControl/>
              <w:jc w:val="center"/>
              <w:textAlignment w:val="center"/>
              <w:rPr>
                <w:kern w:val="0"/>
                <w:sz w:val="20"/>
                <w:szCs w:val="21"/>
                <w:lang w:bidi="ar"/>
              </w:rPr>
            </w:pPr>
          </w:p>
        </w:tc>
        <w:tc>
          <w:tcPr>
            <w:tcW w:w="823" w:type="dxa"/>
            <w:vAlign w:val="center"/>
          </w:tcPr>
          <w:p w14:paraId="2D5A5086">
            <w:pPr>
              <w:widowControl/>
              <w:jc w:val="center"/>
              <w:textAlignment w:val="center"/>
              <w:rPr>
                <w:kern w:val="0"/>
                <w:sz w:val="20"/>
                <w:szCs w:val="21"/>
                <w:lang w:bidi="ar"/>
              </w:rPr>
            </w:pPr>
          </w:p>
        </w:tc>
        <w:tc>
          <w:tcPr>
            <w:tcW w:w="933" w:type="dxa"/>
            <w:vAlign w:val="center"/>
          </w:tcPr>
          <w:p w14:paraId="7CCFFE11">
            <w:pPr>
              <w:widowControl/>
              <w:jc w:val="center"/>
              <w:textAlignment w:val="center"/>
              <w:rPr>
                <w:kern w:val="0"/>
                <w:sz w:val="20"/>
                <w:szCs w:val="21"/>
                <w:lang w:bidi="ar"/>
              </w:rPr>
            </w:pPr>
          </w:p>
        </w:tc>
        <w:tc>
          <w:tcPr>
            <w:tcW w:w="764" w:type="dxa"/>
            <w:vAlign w:val="center"/>
          </w:tcPr>
          <w:p w14:paraId="5252C6C3">
            <w:pPr>
              <w:widowControl/>
              <w:jc w:val="center"/>
              <w:textAlignment w:val="center"/>
              <w:rPr>
                <w:kern w:val="0"/>
                <w:sz w:val="20"/>
                <w:szCs w:val="21"/>
                <w:lang w:bidi="ar"/>
              </w:rPr>
            </w:pPr>
          </w:p>
        </w:tc>
        <w:tc>
          <w:tcPr>
            <w:tcW w:w="1202" w:type="dxa"/>
            <w:vAlign w:val="center"/>
          </w:tcPr>
          <w:p w14:paraId="4CA018F5">
            <w:pPr>
              <w:widowControl/>
              <w:jc w:val="center"/>
              <w:textAlignment w:val="center"/>
              <w:rPr>
                <w:kern w:val="0"/>
                <w:sz w:val="20"/>
                <w:szCs w:val="21"/>
                <w:lang w:bidi="ar"/>
              </w:rPr>
            </w:pPr>
          </w:p>
        </w:tc>
        <w:tc>
          <w:tcPr>
            <w:tcW w:w="1145" w:type="dxa"/>
            <w:vAlign w:val="center"/>
          </w:tcPr>
          <w:p w14:paraId="34EA3AFB">
            <w:pPr>
              <w:widowControl/>
              <w:jc w:val="center"/>
              <w:textAlignment w:val="center"/>
              <w:rPr>
                <w:kern w:val="0"/>
                <w:sz w:val="20"/>
                <w:szCs w:val="21"/>
                <w:lang w:bidi="ar"/>
              </w:rPr>
            </w:pPr>
          </w:p>
        </w:tc>
      </w:tr>
      <w:tr w14:paraId="4804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93" w:type="dxa"/>
            <w:vAlign w:val="center"/>
          </w:tcPr>
          <w:p w14:paraId="39D4B0B2">
            <w:pPr>
              <w:spacing w:line="23" w:lineRule="atLeast"/>
              <w:jc w:val="center"/>
              <w:rPr>
                <w:kern w:val="0"/>
                <w:sz w:val="20"/>
                <w:szCs w:val="21"/>
              </w:rPr>
            </w:pPr>
            <w:r>
              <w:rPr>
                <w:kern w:val="0"/>
                <w:sz w:val="20"/>
                <w:szCs w:val="21"/>
              </w:rPr>
              <w:t>2</w:t>
            </w:r>
          </w:p>
        </w:tc>
        <w:tc>
          <w:tcPr>
            <w:tcW w:w="2469" w:type="dxa"/>
            <w:vAlign w:val="center"/>
          </w:tcPr>
          <w:p w14:paraId="2F8B724F">
            <w:pPr>
              <w:widowControl/>
              <w:jc w:val="center"/>
              <w:textAlignment w:val="center"/>
              <w:rPr>
                <w:kern w:val="0"/>
                <w:sz w:val="20"/>
                <w:szCs w:val="21"/>
                <w:lang w:val="zh-CN" w:bidi="ar"/>
              </w:rPr>
            </w:pPr>
          </w:p>
        </w:tc>
        <w:tc>
          <w:tcPr>
            <w:tcW w:w="829" w:type="dxa"/>
            <w:vAlign w:val="center"/>
          </w:tcPr>
          <w:p w14:paraId="13AD0BC8">
            <w:pPr>
              <w:widowControl/>
              <w:jc w:val="center"/>
              <w:textAlignment w:val="center"/>
              <w:rPr>
                <w:kern w:val="0"/>
                <w:sz w:val="20"/>
                <w:szCs w:val="21"/>
                <w:lang w:bidi="ar"/>
              </w:rPr>
            </w:pPr>
          </w:p>
        </w:tc>
        <w:tc>
          <w:tcPr>
            <w:tcW w:w="823" w:type="dxa"/>
            <w:vAlign w:val="center"/>
          </w:tcPr>
          <w:p w14:paraId="70A9AB47">
            <w:pPr>
              <w:widowControl/>
              <w:jc w:val="center"/>
              <w:textAlignment w:val="center"/>
              <w:rPr>
                <w:kern w:val="0"/>
                <w:sz w:val="20"/>
                <w:szCs w:val="21"/>
                <w:lang w:val="zh-CN" w:bidi="ar"/>
              </w:rPr>
            </w:pPr>
          </w:p>
        </w:tc>
        <w:tc>
          <w:tcPr>
            <w:tcW w:w="933" w:type="dxa"/>
            <w:vAlign w:val="center"/>
          </w:tcPr>
          <w:p w14:paraId="381CC8C4">
            <w:pPr>
              <w:widowControl/>
              <w:jc w:val="center"/>
              <w:textAlignment w:val="center"/>
              <w:rPr>
                <w:kern w:val="0"/>
                <w:sz w:val="20"/>
                <w:szCs w:val="21"/>
                <w:lang w:bidi="ar"/>
              </w:rPr>
            </w:pPr>
          </w:p>
        </w:tc>
        <w:tc>
          <w:tcPr>
            <w:tcW w:w="764" w:type="dxa"/>
            <w:vAlign w:val="center"/>
          </w:tcPr>
          <w:p w14:paraId="434ED85A">
            <w:pPr>
              <w:widowControl/>
              <w:jc w:val="center"/>
              <w:textAlignment w:val="center"/>
              <w:rPr>
                <w:kern w:val="0"/>
                <w:sz w:val="20"/>
                <w:szCs w:val="21"/>
                <w:lang w:val="zh-CN" w:bidi="ar"/>
              </w:rPr>
            </w:pPr>
          </w:p>
        </w:tc>
        <w:tc>
          <w:tcPr>
            <w:tcW w:w="1202" w:type="dxa"/>
            <w:vAlign w:val="center"/>
          </w:tcPr>
          <w:p w14:paraId="42CEC3AB">
            <w:pPr>
              <w:widowControl/>
              <w:jc w:val="center"/>
              <w:textAlignment w:val="center"/>
              <w:rPr>
                <w:kern w:val="0"/>
                <w:sz w:val="20"/>
                <w:szCs w:val="21"/>
                <w:lang w:bidi="ar"/>
              </w:rPr>
            </w:pPr>
          </w:p>
        </w:tc>
        <w:tc>
          <w:tcPr>
            <w:tcW w:w="1145" w:type="dxa"/>
            <w:vAlign w:val="center"/>
          </w:tcPr>
          <w:p w14:paraId="11356232">
            <w:pPr>
              <w:widowControl/>
              <w:jc w:val="center"/>
              <w:textAlignment w:val="center"/>
              <w:rPr>
                <w:kern w:val="0"/>
                <w:sz w:val="20"/>
                <w:szCs w:val="21"/>
                <w:lang w:bidi="ar"/>
              </w:rPr>
            </w:pPr>
          </w:p>
        </w:tc>
      </w:tr>
      <w:tr w14:paraId="2502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93" w:type="dxa"/>
            <w:vAlign w:val="center"/>
          </w:tcPr>
          <w:p w14:paraId="7E43DEDF">
            <w:pPr>
              <w:spacing w:line="23" w:lineRule="atLeast"/>
              <w:jc w:val="center"/>
              <w:rPr>
                <w:kern w:val="0"/>
                <w:sz w:val="20"/>
                <w:szCs w:val="21"/>
              </w:rPr>
            </w:pPr>
            <w:r>
              <w:rPr>
                <w:kern w:val="0"/>
                <w:sz w:val="20"/>
                <w:szCs w:val="21"/>
              </w:rPr>
              <w:t>3</w:t>
            </w:r>
          </w:p>
        </w:tc>
        <w:tc>
          <w:tcPr>
            <w:tcW w:w="2469" w:type="dxa"/>
            <w:vAlign w:val="center"/>
          </w:tcPr>
          <w:p w14:paraId="0CCA0F0B">
            <w:pPr>
              <w:widowControl/>
              <w:jc w:val="center"/>
              <w:textAlignment w:val="center"/>
              <w:rPr>
                <w:kern w:val="0"/>
                <w:sz w:val="20"/>
                <w:szCs w:val="21"/>
                <w:lang w:val="zh-CN" w:bidi="ar"/>
              </w:rPr>
            </w:pPr>
          </w:p>
        </w:tc>
        <w:tc>
          <w:tcPr>
            <w:tcW w:w="829" w:type="dxa"/>
            <w:vAlign w:val="center"/>
          </w:tcPr>
          <w:p w14:paraId="3EAFE08E">
            <w:pPr>
              <w:widowControl/>
              <w:jc w:val="center"/>
              <w:textAlignment w:val="center"/>
              <w:rPr>
                <w:kern w:val="0"/>
                <w:sz w:val="20"/>
                <w:szCs w:val="21"/>
                <w:lang w:bidi="ar"/>
              </w:rPr>
            </w:pPr>
          </w:p>
        </w:tc>
        <w:tc>
          <w:tcPr>
            <w:tcW w:w="823" w:type="dxa"/>
            <w:vAlign w:val="center"/>
          </w:tcPr>
          <w:p w14:paraId="7C466CF7">
            <w:pPr>
              <w:jc w:val="center"/>
              <w:rPr>
                <w:kern w:val="0"/>
                <w:sz w:val="20"/>
                <w:szCs w:val="21"/>
                <w:lang w:val="zh-CN" w:bidi="ar"/>
              </w:rPr>
            </w:pPr>
          </w:p>
        </w:tc>
        <w:tc>
          <w:tcPr>
            <w:tcW w:w="933" w:type="dxa"/>
            <w:vAlign w:val="center"/>
          </w:tcPr>
          <w:p w14:paraId="34CF4794">
            <w:pPr>
              <w:widowControl/>
              <w:jc w:val="center"/>
              <w:textAlignment w:val="center"/>
              <w:rPr>
                <w:kern w:val="0"/>
                <w:sz w:val="20"/>
                <w:szCs w:val="21"/>
                <w:lang w:val="zh-CN" w:bidi="ar"/>
              </w:rPr>
            </w:pPr>
          </w:p>
        </w:tc>
        <w:tc>
          <w:tcPr>
            <w:tcW w:w="764" w:type="dxa"/>
            <w:vAlign w:val="center"/>
          </w:tcPr>
          <w:p w14:paraId="0EF9B862">
            <w:pPr>
              <w:widowControl/>
              <w:jc w:val="center"/>
              <w:textAlignment w:val="center"/>
              <w:rPr>
                <w:kern w:val="0"/>
                <w:sz w:val="20"/>
                <w:szCs w:val="21"/>
                <w:lang w:val="zh-CN" w:bidi="ar"/>
              </w:rPr>
            </w:pPr>
          </w:p>
        </w:tc>
        <w:tc>
          <w:tcPr>
            <w:tcW w:w="1202" w:type="dxa"/>
            <w:vAlign w:val="center"/>
          </w:tcPr>
          <w:p w14:paraId="1D23433F">
            <w:pPr>
              <w:widowControl/>
              <w:jc w:val="center"/>
              <w:textAlignment w:val="center"/>
              <w:rPr>
                <w:kern w:val="0"/>
                <w:sz w:val="20"/>
                <w:szCs w:val="21"/>
                <w:lang w:bidi="ar"/>
              </w:rPr>
            </w:pPr>
          </w:p>
        </w:tc>
        <w:tc>
          <w:tcPr>
            <w:tcW w:w="1145" w:type="dxa"/>
            <w:vAlign w:val="center"/>
          </w:tcPr>
          <w:p w14:paraId="6CD791D7">
            <w:pPr>
              <w:widowControl/>
              <w:jc w:val="center"/>
              <w:textAlignment w:val="center"/>
              <w:rPr>
                <w:kern w:val="0"/>
                <w:sz w:val="20"/>
                <w:szCs w:val="21"/>
                <w:lang w:bidi="ar"/>
              </w:rPr>
            </w:pPr>
          </w:p>
        </w:tc>
      </w:tr>
      <w:tr w14:paraId="5C65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93" w:type="dxa"/>
            <w:vAlign w:val="center"/>
          </w:tcPr>
          <w:p w14:paraId="76FF293D">
            <w:pPr>
              <w:spacing w:line="23" w:lineRule="atLeast"/>
              <w:jc w:val="center"/>
              <w:rPr>
                <w:kern w:val="0"/>
                <w:sz w:val="20"/>
                <w:szCs w:val="21"/>
              </w:rPr>
            </w:pPr>
            <w:r>
              <w:rPr>
                <w:kern w:val="0"/>
                <w:sz w:val="20"/>
                <w:szCs w:val="21"/>
              </w:rPr>
              <w:t>4</w:t>
            </w:r>
          </w:p>
        </w:tc>
        <w:tc>
          <w:tcPr>
            <w:tcW w:w="2469" w:type="dxa"/>
            <w:vAlign w:val="center"/>
          </w:tcPr>
          <w:p w14:paraId="35DE08FD">
            <w:pPr>
              <w:widowControl/>
              <w:jc w:val="center"/>
              <w:textAlignment w:val="center"/>
              <w:rPr>
                <w:kern w:val="0"/>
                <w:sz w:val="20"/>
                <w:szCs w:val="21"/>
                <w:lang w:val="zh-CN" w:bidi="ar"/>
              </w:rPr>
            </w:pPr>
          </w:p>
        </w:tc>
        <w:tc>
          <w:tcPr>
            <w:tcW w:w="829" w:type="dxa"/>
            <w:vAlign w:val="center"/>
          </w:tcPr>
          <w:p w14:paraId="220BA741">
            <w:pPr>
              <w:widowControl/>
              <w:jc w:val="center"/>
              <w:textAlignment w:val="center"/>
              <w:rPr>
                <w:kern w:val="0"/>
                <w:sz w:val="20"/>
                <w:szCs w:val="21"/>
                <w:lang w:bidi="ar"/>
              </w:rPr>
            </w:pPr>
          </w:p>
        </w:tc>
        <w:tc>
          <w:tcPr>
            <w:tcW w:w="823" w:type="dxa"/>
            <w:vAlign w:val="center"/>
          </w:tcPr>
          <w:p w14:paraId="341C3E2F">
            <w:pPr>
              <w:widowControl/>
              <w:jc w:val="center"/>
              <w:textAlignment w:val="center"/>
              <w:rPr>
                <w:kern w:val="0"/>
                <w:sz w:val="20"/>
                <w:szCs w:val="21"/>
                <w:lang w:bidi="ar"/>
              </w:rPr>
            </w:pPr>
          </w:p>
        </w:tc>
        <w:tc>
          <w:tcPr>
            <w:tcW w:w="933" w:type="dxa"/>
            <w:vAlign w:val="center"/>
          </w:tcPr>
          <w:p w14:paraId="3A8A552F">
            <w:pPr>
              <w:widowControl/>
              <w:jc w:val="center"/>
              <w:textAlignment w:val="center"/>
              <w:rPr>
                <w:kern w:val="0"/>
                <w:sz w:val="20"/>
                <w:szCs w:val="21"/>
                <w:lang w:bidi="ar"/>
              </w:rPr>
            </w:pPr>
          </w:p>
        </w:tc>
        <w:tc>
          <w:tcPr>
            <w:tcW w:w="764" w:type="dxa"/>
            <w:vAlign w:val="center"/>
          </w:tcPr>
          <w:p w14:paraId="67F2CA2F">
            <w:pPr>
              <w:widowControl/>
              <w:jc w:val="center"/>
              <w:textAlignment w:val="center"/>
              <w:rPr>
                <w:kern w:val="0"/>
                <w:sz w:val="20"/>
                <w:szCs w:val="21"/>
                <w:lang w:bidi="ar"/>
              </w:rPr>
            </w:pPr>
          </w:p>
        </w:tc>
        <w:tc>
          <w:tcPr>
            <w:tcW w:w="1202" w:type="dxa"/>
            <w:vAlign w:val="center"/>
          </w:tcPr>
          <w:p w14:paraId="68434C4E">
            <w:pPr>
              <w:widowControl/>
              <w:jc w:val="center"/>
              <w:textAlignment w:val="center"/>
              <w:rPr>
                <w:kern w:val="0"/>
                <w:sz w:val="20"/>
                <w:szCs w:val="21"/>
                <w:lang w:bidi="ar"/>
              </w:rPr>
            </w:pPr>
          </w:p>
        </w:tc>
        <w:tc>
          <w:tcPr>
            <w:tcW w:w="1145" w:type="dxa"/>
            <w:vAlign w:val="center"/>
          </w:tcPr>
          <w:p w14:paraId="78D3475D">
            <w:pPr>
              <w:widowControl/>
              <w:jc w:val="center"/>
              <w:textAlignment w:val="center"/>
              <w:rPr>
                <w:kern w:val="0"/>
                <w:sz w:val="20"/>
                <w:szCs w:val="21"/>
                <w:lang w:bidi="ar"/>
              </w:rPr>
            </w:pPr>
          </w:p>
        </w:tc>
      </w:tr>
      <w:tr w14:paraId="6B697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93" w:type="dxa"/>
            <w:vAlign w:val="center"/>
          </w:tcPr>
          <w:p w14:paraId="4738FCD8">
            <w:pPr>
              <w:spacing w:line="23" w:lineRule="atLeast"/>
              <w:jc w:val="center"/>
              <w:rPr>
                <w:kern w:val="0"/>
                <w:sz w:val="20"/>
                <w:szCs w:val="21"/>
              </w:rPr>
            </w:pPr>
            <w:r>
              <w:rPr>
                <w:kern w:val="0"/>
                <w:sz w:val="20"/>
                <w:szCs w:val="21"/>
              </w:rPr>
              <w:t>5</w:t>
            </w:r>
          </w:p>
        </w:tc>
        <w:tc>
          <w:tcPr>
            <w:tcW w:w="2469" w:type="dxa"/>
            <w:vAlign w:val="center"/>
          </w:tcPr>
          <w:p w14:paraId="7048CC2C">
            <w:pPr>
              <w:widowControl/>
              <w:jc w:val="center"/>
              <w:textAlignment w:val="center"/>
              <w:rPr>
                <w:kern w:val="0"/>
                <w:sz w:val="20"/>
                <w:szCs w:val="21"/>
                <w:lang w:val="zh-CN" w:bidi="ar"/>
              </w:rPr>
            </w:pPr>
          </w:p>
        </w:tc>
        <w:tc>
          <w:tcPr>
            <w:tcW w:w="829" w:type="dxa"/>
            <w:vAlign w:val="center"/>
          </w:tcPr>
          <w:p w14:paraId="33CDAECB">
            <w:pPr>
              <w:widowControl/>
              <w:jc w:val="center"/>
              <w:textAlignment w:val="center"/>
              <w:rPr>
                <w:kern w:val="0"/>
                <w:sz w:val="20"/>
                <w:szCs w:val="21"/>
                <w:lang w:bidi="ar"/>
              </w:rPr>
            </w:pPr>
          </w:p>
        </w:tc>
        <w:tc>
          <w:tcPr>
            <w:tcW w:w="823" w:type="dxa"/>
            <w:vAlign w:val="center"/>
          </w:tcPr>
          <w:p w14:paraId="74B7707E">
            <w:pPr>
              <w:widowControl/>
              <w:jc w:val="center"/>
              <w:textAlignment w:val="center"/>
              <w:rPr>
                <w:kern w:val="0"/>
                <w:sz w:val="20"/>
                <w:szCs w:val="21"/>
                <w:lang w:bidi="ar"/>
              </w:rPr>
            </w:pPr>
          </w:p>
        </w:tc>
        <w:tc>
          <w:tcPr>
            <w:tcW w:w="933" w:type="dxa"/>
            <w:vAlign w:val="center"/>
          </w:tcPr>
          <w:p w14:paraId="3C638E4E">
            <w:pPr>
              <w:widowControl/>
              <w:jc w:val="center"/>
              <w:textAlignment w:val="center"/>
              <w:rPr>
                <w:kern w:val="0"/>
                <w:sz w:val="20"/>
                <w:szCs w:val="21"/>
                <w:lang w:bidi="ar"/>
              </w:rPr>
            </w:pPr>
          </w:p>
        </w:tc>
        <w:tc>
          <w:tcPr>
            <w:tcW w:w="764" w:type="dxa"/>
            <w:vAlign w:val="center"/>
          </w:tcPr>
          <w:p w14:paraId="52571BFA">
            <w:pPr>
              <w:widowControl/>
              <w:jc w:val="center"/>
              <w:textAlignment w:val="center"/>
              <w:rPr>
                <w:kern w:val="0"/>
                <w:sz w:val="20"/>
                <w:szCs w:val="21"/>
                <w:lang w:val="zh-CN" w:bidi="ar"/>
              </w:rPr>
            </w:pPr>
          </w:p>
        </w:tc>
        <w:tc>
          <w:tcPr>
            <w:tcW w:w="1202" w:type="dxa"/>
            <w:vAlign w:val="center"/>
          </w:tcPr>
          <w:p w14:paraId="72D93742">
            <w:pPr>
              <w:widowControl/>
              <w:jc w:val="center"/>
              <w:textAlignment w:val="center"/>
              <w:rPr>
                <w:kern w:val="0"/>
                <w:sz w:val="20"/>
                <w:szCs w:val="21"/>
                <w:lang w:bidi="ar"/>
              </w:rPr>
            </w:pPr>
          </w:p>
        </w:tc>
        <w:tc>
          <w:tcPr>
            <w:tcW w:w="1145" w:type="dxa"/>
            <w:vAlign w:val="center"/>
          </w:tcPr>
          <w:p w14:paraId="1229DF55">
            <w:pPr>
              <w:widowControl/>
              <w:jc w:val="center"/>
              <w:textAlignment w:val="center"/>
              <w:rPr>
                <w:kern w:val="0"/>
                <w:sz w:val="20"/>
                <w:szCs w:val="21"/>
                <w:lang w:bidi="ar"/>
              </w:rPr>
            </w:pPr>
          </w:p>
        </w:tc>
      </w:tr>
      <w:tr w14:paraId="7707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93" w:type="dxa"/>
            <w:vAlign w:val="center"/>
          </w:tcPr>
          <w:p w14:paraId="485B71A5">
            <w:pPr>
              <w:spacing w:line="23" w:lineRule="atLeast"/>
              <w:jc w:val="center"/>
              <w:rPr>
                <w:kern w:val="0"/>
                <w:sz w:val="20"/>
                <w:szCs w:val="21"/>
              </w:rPr>
            </w:pPr>
            <w:r>
              <w:rPr>
                <w:kern w:val="0"/>
                <w:sz w:val="20"/>
                <w:szCs w:val="21"/>
              </w:rPr>
              <w:t>6</w:t>
            </w:r>
          </w:p>
        </w:tc>
        <w:tc>
          <w:tcPr>
            <w:tcW w:w="2469" w:type="dxa"/>
            <w:vAlign w:val="center"/>
          </w:tcPr>
          <w:p w14:paraId="772391CB">
            <w:pPr>
              <w:widowControl/>
              <w:jc w:val="center"/>
              <w:textAlignment w:val="center"/>
              <w:rPr>
                <w:kern w:val="0"/>
                <w:sz w:val="20"/>
                <w:szCs w:val="21"/>
                <w:lang w:val="zh-CN" w:bidi="ar"/>
              </w:rPr>
            </w:pPr>
          </w:p>
        </w:tc>
        <w:tc>
          <w:tcPr>
            <w:tcW w:w="829" w:type="dxa"/>
            <w:vAlign w:val="center"/>
          </w:tcPr>
          <w:p w14:paraId="2A9D0432">
            <w:pPr>
              <w:widowControl/>
              <w:jc w:val="center"/>
              <w:textAlignment w:val="center"/>
              <w:rPr>
                <w:kern w:val="0"/>
                <w:sz w:val="20"/>
                <w:szCs w:val="21"/>
                <w:lang w:bidi="ar"/>
              </w:rPr>
            </w:pPr>
          </w:p>
        </w:tc>
        <w:tc>
          <w:tcPr>
            <w:tcW w:w="823" w:type="dxa"/>
            <w:vAlign w:val="center"/>
          </w:tcPr>
          <w:p w14:paraId="64B6B7EC">
            <w:pPr>
              <w:jc w:val="center"/>
              <w:rPr>
                <w:kern w:val="0"/>
                <w:sz w:val="20"/>
                <w:szCs w:val="21"/>
                <w:lang w:val="zh-CN" w:bidi="ar"/>
              </w:rPr>
            </w:pPr>
          </w:p>
        </w:tc>
        <w:tc>
          <w:tcPr>
            <w:tcW w:w="933" w:type="dxa"/>
            <w:vAlign w:val="center"/>
          </w:tcPr>
          <w:p w14:paraId="50BAB6B2">
            <w:pPr>
              <w:widowControl/>
              <w:jc w:val="center"/>
              <w:textAlignment w:val="center"/>
              <w:rPr>
                <w:kern w:val="0"/>
                <w:sz w:val="20"/>
                <w:szCs w:val="21"/>
                <w:lang w:val="zh-CN" w:bidi="ar"/>
              </w:rPr>
            </w:pPr>
          </w:p>
        </w:tc>
        <w:tc>
          <w:tcPr>
            <w:tcW w:w="764" w:type="dxa"/>
            <w:vAlign w:val="center"/>
          </w:tcPr>
          <w:p w14:paraId="25FF9BF7">
            <w:pPr>
              <w:widowControl/>
              <w:jc w:val="center"/>
              <w:textAlignment w:val="center"/>
              <w:rPr>
                <w:kern w:val="0"/>
                <w:sz w:val="20"/>
                <w:szCs w:val="21"/>
                <w:lang w:val="zh-CN" w:bidi="ar"/>
              </w:rPr>
            </w:pPr>
          </w:p>
        </w:tc>
        <w:tc>
          <w:tcPr>
            <w:tcW w:w="1202" w:type="dxa"/>
            <w:vAlign w:val="center"/>
          </w:tcPr>
          <w:p w14:paraId="5A0F0947">
            <w:pPr>
              <w:widowControl/>
              <w:jc w:val="center"/>
              <w:textAlignment w:val="center"/>
              <w:rPr>
                <w:kern w:val="0"/>
                <w:sz w:val="20"/>
                <w:szCs w:val="21"/>
                <w:lang w:bidi="ar"/>
              </w:rPr>
            </w:pPr>
          </w:p>
        </w:tc>
        <w:tc>
          <w:tcPr>
            <w:tcW w:w="1145" w:type="dxa"/>
            <w:vAlign w:val="center"/>
          </w:tcPr>
          <w:p w14:paraId="0DE3CBA0">
            <w:pPr>
              <w:widowControl/>
              <w:jc w:val="center"/>
              <w:textAlignment w:val="center"/>
              <w:rPr>
                <w:kern w:val="0"/>
                <w:sz w:val="20"/>
                <w:szCs w:val="21"/>
                <w:lang w:bidi="ar"/>
              </w:rPr>
            </w:pPr>
          </w:p>
        </w:tc>
      </w:tr>
      <w:tr w14:paraId="21C0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93" w:type="dxa"/>
            <w:vAlign w:val="center"/>
          </w:tcPr>
          <w:p w14:paraId="76399AF2">
            <w:pPr>
              <w:spacing w:line="23" w:lineRule="atLeast"/>
              <w:jc w:val="center"/>
              <w:rPr>
                <w:kern w:val="0"/>
                <w:sz w:val="20"/>
                <w:szCs w:val="21"/>
              </w:rPr>
            </w:pPr>
            <w:r>
              <w:rPr>
                <w:kern w:val="0"/>
                <w:sz w:val="20"/>
                <w:szCs w:val="21"/>
              </w:rPr>
              <w:t>7</w:t>
            </w:r>
          </w:p>
        </w:tc>
        <w:tc>
          <w:tcPr>
            <w:tcW w:w="2469" w:type="dxa"/>
            <w:vAlign w:val="center"/>
          </w:tcPr>
          <w:p w14:paraId="1AFA312C">
            <w:pPr>
              <w:widowControl/>
              <w:jc w:val="center"/>
              <w:textAlignment w:val="center"/>
              <w:rPr>
                <w:kern w:val="0"/>
                <w:sz w:val="20"/>
                <w:szCs w:val="21"/>
                <w:lang w:val="zh-CN" w:bidi="ar"/>
              </w:rPr>
            </w:pPr>
          </w:p>
        </w:tc>
        <w:tc>
          <w:tcPr>
            <w:tcW w:w="829" w:type="dxa"/>
            <w:vAlign w:val="center"/>
          </w:tcPr>
          <w:p w14:paraId="0B3D372F">
            <w:pPr>
              <w:jc w:val="center"/>
              <w:rPr>
                <w:kern w:val="0"/>
                <w:sz w:val="20"/>
                <w:szCs w:val="21"/>
                <w:lang w:bidi="ar"/>
              </w:rPr>
            </w:pPr>
          </w:p>
        </w:tc>
        <w:tc>
          <w:tcPr>
            <w:tcW w:w="823" w:type="dxa"/>
            <w:vAlign w:val="center"/>
          </w:tcPr>
          <w:p w14:paraId="467AC384">
            <w:pPr>
              <w:widowControl/>
              <w:jc w:val="center"/>
              <w:textAlignment w:val="center"/>
              <w:rPr>
                <w:kern w:val="0"/>
                <w:sz w:val="20"/>
                <w:szCs w:val="21"/>
                <w:lang w:bidi="ar"/>
              </w:rPr>
            </w:pPr>
          </w:p>
        </w:tc>
        <w:tc>
          <w:tcPr>
            <w:tcW w:w="933" w:type="dxa"/>
            <w:vAlign w:val="center"/>
          </w:tcPr>
          <w:p w14:paraId="6EAB76B1">
            <w:pPr>
              <w:jc w:val="center"/>
              <w:rPr>
                <w:kern w:val="0"/>
                <w:sz w:val="20"/>
                <w:szCs w:val="21"/>
                <w:lang w:bidi="ar"/>
              </w:rPr>
            </w:pPr>
          </w:p>
        </w:tc>
        <w:tc>
          <w:tcPr>
            <w:tcW w:w="764" w:type="dxa"/>
            <w:vAlign w:val="center"/>
          </w:tcPr>
          <w:p w14:paraId="42F5590A">
            <w:pPr>
              <w:widowControl/>
              <w:jc w:val="center"/>
              <w:textAlignment w:val="center"/>
              <w:rPr>
                <w:kern w:val="0"/>
                <w:sz w:val="20"/>
                <w:szCs w:val="21"/>
                <w:lang w:val="zh-CN" w:bidi="ar"/>
              </w:rPr>
            </w:pPr>
          </w:p>
        </w:tc>
        <w:tc>
          <w:tcPr>
            <w:tcW w:w="1202" w:type="dxa"/>
            <w:vAlign w:val="center"/>
          </w:tcPr>
          <w:p w14:paraId="5965AE78">
            <w:pPr>
              <w:widowControl/>
              <w:jc w:val="center"/>
              <w:textAlignment w:val="center"/>
              <w:rPr>
                <w:kern w:val="0"/>
                <w:sz w:val="20"/>
                <w:szCs w:val="21"/>
                <w:lang w:bidi="ar"/>
              </w:rPr>
            </w:pPr>
          </w:p>
        </w:tc>
        <w:tc>
          <w:tcPr>
            <w:tcW w:w="1145" w:type="dxa"/>
            <w:vAlign w:val="center"/>
          </w:tcPr>
          <w:p w14:paraId="2CE329A1">
            <w:pPr>
              <w:widowControl/>
              <w:jc w:val="center"/>
              <w:textAlignment w:val="center"/>
              <w:rPr>
                <w:kern w:val="0"/>
                <w:sz w:val="20"/>
                <w:szCs w:val="21"/>
                <w:lang w:bidi="ar"/>
              </w:rPr>
            </w:pPr>
          </w:p>
        </w:tc>
      </w:tr>
      <w:tr w14:paraId="1D6F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93" w:type="dxa"/>
            <w:vAlign w:val="center"/>
          </w:tcPr>
          <w:p w14:paraId="7F332BF6">
            <w:pPr>
              <w:spacing w:line="23" w:lineRule="atLeast"/>
              <w:jc w:val="center"/>
              <w:rPr>
                <w:kern w:val="0"/>
                <w:sz w:val="20"/>
                <w:szCs w:val="21"/>
              </w:rPr>
            </w:pPr>
            <w:r>
              <w:rPr>
                <w:kern w:val="0"/>
                <w:sz w:val="20"/>
                <w:szCs w:val="21"/>
              </w:rPr>
              <w:t>8</w:t>
            </w:r>
          </w:p>
        </w:tc>
        <w:tc>
          <w:tcPr>
            <w:tcW w:w="2469" w:type="dxa"/>
            <w:vAlign w:val="center"/>
          </w:tcPr>
          <w:p w14:paraId="692A6E7B">
            <w:pPr>
              <w:widowControl/>
              <w:jc w:val="center"/>
              <w:textAlignment w:val="center"/>
              <w:rPr>
                <w:kern w:val="0"/>
                <w:sz w:val="20"/>
                <w:szCs w:val="21"/>
                <w:lang w:val="zh-CN" w:bidi="ar"/>
              </w:rPr>
            </w:pPr>
          </w:p>
        </w:tc>
        <w:tc>
          <w:tcPr>
            <w:tcW w:w="829" w:type="dxa"/>
            <w:vAlign w:val="center"/>
          </w:tcPr>
          <w:p w14:paraId="1BDD571A">
            <w:pPr>
              <w:jc w:val="center"/>
              <w:rPr>
                <w:kern w:val="0"/>
                <w:sz w:val="20"/>
                <w:szCs w:val="21"/>
                <w:lang w:val="zh-CN" w:bidi="ar"/>
              </w:rPr>
            </w:pPr>
          </w:p>
        </w:tc>
        <w:tc>
          <w:tcPr>
            <w:tcW w:w="823" w:type="dxa"/>
            <w:vAlign w:val="center"/>
          </w:tcPr>
          <w:p w14:paraId="156341F0">
            <w:pPr>
              <w:jc w:val="center"/>
              <w:rPr>
                <w:kern w:val="0"/>
                <w:sz w:val="20"/>
                <w:szCs w:val="21"/>
                <w:lang w:val="zh-CN" w:bidi="ar"/>
              </w:rPr>
            </w:pPr>
          </w:p>
        </w:tc>
        <w:tc>
          <w:tcPr>
            <w:tcW w:w="933" w:type="dxa"/>
            <w:vAlign w:val="center"/>
          </w:tcPr>
          <w:p w14:paraId="1BE53E3A">
            <w:pPr>
              <w:widowControl/>
              <w:jc w:val="center"/>
              <w:textAlignment w:val="center"/>
              <w:rPr>
                <w:kern w:val="0"/>
                <w:sz w:val="20"/>
                <w:szCs w:val="21"/>
                <w:lang w:val="zh-CN" w:bidi="ar"/>
              </w:rPr>
            </w:pPr>
          </w:p>
        </w:tc>
        <w:tc>
          <w:tcPr>
            <w:tcW w:w="764" w:type="dxa"/>
            <w:vAlign w:val="center"/>
          </w:tcPr>
          <w:p w14:paraId="4490E6BA">
            <w:pPr>
              <w:widowControl/>
              <w:jc w:val="center"/>
              <w:textAlignment w:val="center"/>
              <w:rPr>
                <w:kern w:val="0"/>
                <w:sz w:val="20"/>
                <w:szCs w:val="21"/>
                <w:lang w:val="zh-CN" w:bidi="ar"/>
              </w:rPr>
            </w:pPr>
          </w:p>
        </w:tc>
        <w:tc>
          <w:tcPr>
            <w:tcW w:w="1202" w:type="dxa"/>
            <w:vAlign w:val="center"/>
          </w:tcPr>
          <w:p w14:paraId="05F03521">
            <w:pPr>
              <w:widowControl/>
              <w:jc w:val="center"/>
              <w:textAlignment w:val="center"/>
              <w:rPr>
                <w:kern w:val="0"/>
                <w:sz w:val="20"/>
                <w:szCs w:val="21"/>
                <w:lang w:bidi="ar"/>
              </w:rPr>
            </w:pPr>
          </w:p>
        </w:tc>
        <w:tc>
          <w:tcPr>
            <w:tcW w:w="1145" w:type="dxa"/>
            <w:vAlign w:val="center"/>
          </w:tcPr>
          <w:p w14:paraId="6B32F85F">
            <w:pPr>
              <w:widowControl/>
              <w:jc w:val="center"/>
              <w:textAlignment w:val="center"/>
              <w:rPr>
                <w:kern w:val="0"/>
                <w:sz w:val="20"/>
                <w:szCs w:val="21"/>
                <w:lang w:val="zh-CN" w:bidi="ar"/>
              </w:rPr>
            </w:pPr>
          </w:p>
        </w:tc>
      </w:tr>
      <w:tr w14:paraId="3D10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93" w:type="dxa"/>
            <w:vAlign w:val="center"/>
          </w:tcPr>
          <w:p w14:paraId="4E773740">
            <w:pPr>
              <w:spacing w:line="23" w:lineRule="atLeast"/>
              <w:jc w:val="center"/>
              <w:rPr>
                <w:kern w:val="0"/>
                <w:sz w:val="20"/>
                <w:szCs w:val="21"/>
              </w:rPr>
            </w:pPr>
            <w:r>
              <w:rPr>
                <w:kern w:val="0"/>
                <w:sz w:val="20"/>
                <w:szCs w:val="21"/>
              </w:rPr>
              <w:t>9</w:t>
            </w:r>
          </w:p>
        </w:tc>
        <w:tc>
          <w:tcPr>
            <w:tcW w:w="2469" w:type="dxa"/>
            <w:vAlign w:val="center"/>
          </w:tcPr>
          <w:p w14:paraId="4E8F7441">
            <w:pPr>
              <w:widowControl/>
              <w:jc w:val="center"/>
              <w:textAlignment w:val="center"/>
              <w:rPr>
                <w:kern w:val="0"/>
                <w:sz w:val="20"/>
                <w:szCs w:val="21"/>
                <w:lang w:val="zh-CN" w:bidi="ar"/>
              </w:rPr>
            </w:pPr>
          </w:p>
        </w:tc>
        <w:tc>
          <w:tcPr>
            <w:tcW w:w="829" w:type="dxa"/>
            <w:vAlign w:val="center"/>
          </w:tcPr>
          <w:p w14:paraId="706BD1EE">
            <w:pPr>
              <w:jc w:val="center"/>
              <w:rPr>
                <w:kern w:val="0"/>
                <w:sz w:val="20"/>
                <w:szCs w:val="21"/>
                <w:lang w:val="zh-CN" w:bidi="ar"/>
              </w:rPr>
            </w:pPr>
          </w:p>
        </w:tc>
        <w:tc>
          <w:tcPr>
            <w:tcW w:w="823" w:type="dxa"/>
            <w:vAlign w:val="center"/>
          </w:tcPr>
          <w:p w14:paraId="73617C03">
            <w:pPr>
              <w:jc w:val="center"/>
              <w:rPr>
                <w:kern w:val="0"/>
                <w:sz w:val="20"/>
                <w:szCs w:val="21"/>
                <w:lang w:val="zh-CN" w:bidi="ar"/>
              </w:rPr>
            </w:pPr>
          </w:p>
        </w:tc>
        <w:tc>
          <w:tcPr>
            <w:tcW w:w="933" w:type="dxa"/>
            <w:vAlign w:val="center"/>
          </w:tcPr>
          <w:p w14:paraId="7DDF764C">
            <w:pPr>
              <w:widowControl/>
              <w:jc w:val="center"/>
              <w:textAlignment w:val="center"/>
              <w:rPr>
                <w:kern w:val="0"/>
                <w:sz w:val="20"/>
                <w:szCs w:val="21"/>
                <w:lang w:val="zh-CN" w:bidi="ar"/>
              </w:rPr>
            </w:pPr>
          </w:p>
        </w:tc>
        <w:tc>
          <w:tcPr>
            <w:tcW w:w="764" w:type="dxa"/>
            <w:vAlign w:val="center"/>
          </w:tcPr>
          <w:p w14:paraId="00CA4184">
            <w:pPr>
              <w:widowControl/>
              <w:jc w:val="center"/>
              <w:textAlignment w:val="center"/>
              <w:rPr>
                <w:kern w:val="0"/>
                <w:sz w:val="20"/>
                <w:szCs w:val="21"/>
                <w:lang w:val="zh-CN" w:bidi="ar"/>
              </w:rPr>
            </w:pPr>
          </w:p>
        </w:tc>
        <w:tc>
          <w:tcPr>
            <w:tcW w:w="1202" w:type="dxa"/>
            <w:vAlign w:val="center"/>
          </w:tcPr>
          <w:p w14:paraId="6A401AD3">
            <w:pPr>
              <w:widowControl/>
              <w:jc w:val="center"/>
              <w:textAlignment w:val="center"/>
              <w:rPr>
                <w:kern w:val="0"/>
                <w:sz w:val="20"/>
                <w:szCs w:val="21"/>
                <w:lang w:bidi="ar"/>
              </w:rPr>
            </w:pPr>
          </w:p>
        </w:tc>
        <w:tc>
          <w:tcPr>
            <w:tcW w:w="1145" w:type="dxa"/>
            <w:vAlign w:val="center"/>
          </w:tcPr>
          <w:p w14:paraId="3852017F">
            <w:pPr>
              <w:widowControl/>
              <w:jc w:val="center"/>
              <w:textAlignment w:val="center"/>
              <w:rPr>
                <w:kern w:val="0"/>
                <w:sz w:val="20"/>
                <w:szCs w:val="21"/>
                <w:lang w:val="zh-CN" w:bidi="ar"/>
              </w:rPr>
            </w:pPr>
          </w:p>
        </w:tc>
      </w:tr>
      <w:tr w14:paraId="3DF9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93" w:type="dxa"/>
            <w:vAlign w:val="center"/>
          </w:tcPr>
          <w:p w14:paraId="326F7874">
            <w:pPr>
              <w:spacing w:line="23" w:lineRule="atLeast"/>
              <w:jc w:val="center"/>
              <w:rPr>
                <w:kern w:val="0"/>
                <w:sz w:val="20"/>
                <w:szCs w:val="21"/>
              </w:rPr>
            </w:pPr>
            <w:r>
              <w:rPr>
                <w:kern w:val="0"/>
                <w:sz w:val="20"/>
                <w:szCs w:val="21"/>
              </w:rPr>
              <w:t>10</w:t>
            </w:r>
          </w:p>
        </w:tc>
        <w:tc>
          <w:tcPr>
            <w:tcW w:w="2469" w:type="dxa"/>
            <w:vAlign w:val="center"/>
          </w:tcPr>
          <w:p w14:paraId="796CB794">
            <w:pPr>
              <w:widowControl/>
              <w:jc w:val="center"/>
              <w:textAlignment w:val="center"/>
              <w:rPr>
                <w:kern w:val="0"/>
                <w:sz w:val="20"/>
                <w:szCs w:val="21"/>
                <w:lang w:val="zh-CN" w:bidi="ar"/>
              </w:rPr>
            </w:pPr>
          </w:p>
        </w:tc>
        <w:tc>
          <w:tcPr>
            <w:tcW w:w="829" w:type="dxa"/>
            <w:vAlign w:val="center"/>
          </w:tcPr>
          <w:p w14:paraId="5ACBA6DE">
            <w:pPr>
              <w:jc w:val="center"/>
              <w:rPr>
                <w:kern w:val="0"/>
                <w:sz w:val="20"/>
                <w:szCs w:val="21"/>
                <w:lang w:val="zh-CN" w:bidi="ar"/>
              </w:rPr>
            </w:pPr>
          </w:p>
        </w:tc>
        <w:tc>
          <w:tcPr>
            <w:tcW w:w="823" w:type="dxa"/>
            <w:vAlign w:val="center"/>
          </w:tcPr>
          <w:p w14:paraId="51CD8776">
            <w:pPr>
              <w:jc w:val="center"/>
              <w:rPr>
                <w:kern w:val="0"/>
                <w:sz w:val="20"/>
                <w:szCs w:val="21"/>
                <w:lang w:val="zh-CN" w:bidi="ar"/>
              </w:rPr>
            </w:pPr>
          </w:p>
        </w:tc>
        <w:tc>
          <w:tcPr>
            <w:tcW w:w="933" w:type="dxa"/>
            <w:vAlign w:val="center"/>
          </w:tcPr>
          <w:p w14:paraId="54D29A86">
            <w:pPr>
              <w:widowControl/>
              <w:jc w:val="center"/>
              <w:textAlignment w:val="center"/>
              <w:rPr>
                <w:kern w:val="0"/>
                <w:sz w:val="20"/>
                <w:szCs w:val="21"/>
                <w:lang w:val="zh-CN" w:bidi="ar"/>
              </w:rPr>
            </w:pPr>
          </w:p>
        </w:tc>
        <w:tc>
          <w:tcPr>
            <w:tcW w:w="764" w:type="dxa"/>
            <w:vAlign w:val="center"/>
          </w:tcPr>
          <w:p w14:paraId="2E7EECA9">
            <w:pPr>
              <w:widowControl/>
              <w:jc w:val="center"/>
              <w:textAlignment w:val="center"/>
              <w:rPr>
                <w:kern w:val="0"/>
                <w:sz w:val="20"/>
                <w:szCs w:val="21"/>
                <w:lang w:val="zh-CN" w:bidi="ar"/>
              </w:rPr>
            </w:pPr>
          </w:p>
        </w:tc>
        <w:tc>
          <w:tcPr>
            <w:tcW w:w="1202" w:type="dxa"/>
            <w:vAlign w:val="center"/>
          </w:tcPr>
          <w:p w14:paraId="5649CB09">
            <w:pPr>
              <w:widowControl/>
              <w:jc w:val="center"/>
              <w:textAlignment w:val="center"/>
              <w:rPr>
                <w:kern w:val="0"/>
                <w:sz w:val="20"/>
                <w:szCs w:val="21"/>
                <w:lang w:bidi="ar"/>
              </w:rPr>
            </w:pPr>
          </w:p>
        </w:tc>
        <w:tc>
          <w:tcPr>
            <w:tcW w:w="1145" w:type="dxa"/>
            <w:vAlign w:val="center"/>
          </w:tcPr>
          <w:p w14:paraId="67FF0896">
            <w:pPr>
              <w:widowControl/>
              <w:jc w:val="center"/>
              <w:textAlignment w:val="center"/>
              <w:rPr>
                <w:kern w:val="0"/>
                <w:sz w:val="20"/>
                <w:szCs w:val="21"/>
                <w:lang w:val="zh-CN" w:bidi="ar"/>
              </w:rPr>
            </w:pPr>
          </w:p>
        </w:tc>
      </w:tr>
      <w:tr w14:paraId="38D1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93" w:type="dxa"/>
            <w:vAlign w:val="center"/>
          </w:tcPr>
          <w:p w14:paraId="1F27680F">
            <w:pPr>
              <w:spacing w:line="23" w:lineRule="atLeast"/>
              <w:jc w:val="center"/>
              <w:rPr>
                <w:kern w:val="0"/>
                <w:sz w:val="20"/>
                <w:szCs w:val="21"/>
              </w:rPr>
            </w:pPr>
            <w:r>
              <w:rPr>
                <w:kern w:val="0"/>
                <w:sz w:val="20"/>
                <w:szCs w:val="21"/>
              </w:rPr>
              <w:t>11</w:t>
            </w:r>
          </w:p>
        </w:tc>
        <w:tc>
          <w:tcPr>
            <w:tcW w:w="2469" w:type="dxa"/>
            <w:vAlign w:val="center"/>
          </w:tcPr>
          <w:p w14:paraId="45CFD2FA">
            <w:pPr>
              <w:widowControl/>
              <w:jc w:val="center"/>
              <w:textAlignment w:val="center"/>
              <w:rPr>
                <w:kern w:val="0"/>
                <w:sz w:val="20"/>
                <w:szCs w:val="21"/>
                <w:lang w:bidi="ar"/>
              </w:rPr>
            </w:pPr>
          </w:p>
        </w:tc>
        <w:tc>
          <w:tcPr>
            <w:tcW w:w="829" w:type="dxa"/>
            <w:vAlign w:val="center"/>
          </w:tcPr>
          <w:p w14:paraId="50DD9E41">
            <w:pPr>
              <w:jc w:val="center"/>
              <w:rPr>
                <w:kern w:val="0"/>
                <w:sz w:val="20"/>
                <w:szCs w:val="21"/>
                <w:lang w:bidi="ar"/>
              </w:rPr>
            </w:pPr>
          </w:p>
        </w:tc>
        <w:tc>
          <w:tcPr>
            <w:tcW w:w="823" w:type="dxa"/>
            <w:vAlign w:val="center"/>
          </w:tcPr>
          <w:p w14:paraId="610D10DB">
            <w:pPr>
              <w:jc w:val="center"/>
              <w:rPr>
                <w:kern w:val="0"/>
                <w:sz w:val="20"/>
                <w:szCs w:val="21"/>
                <w:lang w:bidi="ar"/>
              </w:rPr>
            </w:pPr>
          </w:p>
        </w:tc>
        <w:tc>
          <w:tcPr>
            <w:tcW w:w="933" w:type="dxa"/>
            <w:vAlign w:val="center"/>
          </w:tcPr>
          <w:p w14:paraId="4D4C9B51">
            <w:pPr>
              <w:widowControl/>
              <w:jc w:val="center"/>
              <w:textAlignment w:val="center"/>
              <w:rPr>
                <w:kern w:val="0"/>
                <w:sz w:val="20"/>
                <w:szCs w:val="21"/>
                <w:lang w:bidi="ar"/>
              </w:rPr>
            </w:pPr>
          </w:p>
        </w:tc>
        <w:tc>
          <w:tcPr>
            <w:tcW w:w="764" w:type="dxa"/>
            <w:vAlign w:val="center"/>
          </w:tcPr>
          <w:p w14:paraId="0EEF52A3">
            <w:pPr>
              <w:widowControl/>
              <w:jc w:val="center"/>
              <w:textAlignment w:val="center"/>
              <w:rPr>
                <w:kern w:val="0"/>
                <w:sz w:val="20"/>
                <w:szCs w:val="21"/>
                <w:lang w:val="zh-CN" w:bidi="ar"/>
              </w:rPr>
            </w:pPr>
          </w:p>
        </w:tc>
        <w:tc>
          <w:tcPr>
            <w:tcW w:w="1202" w:type="dxa"/>
            <w:vAlign w:val="center"/>
          </w:tcPr>
          <w:p w14:paraId="0E41F363">
            <w:pPr>
              <w:widowControl/>
              <w:jc w:val="center"/>
              <w:textAlignment w:val="center"/>
              <w:rPr>
                <w:kern w:val="0"/>
                <w:sz w:val="20"/>
                <w:szCs w:val="21"/>
                <w:lang w:bidi="ar"/>
              </w:rPr>
            </w:pPr>
          </w:p>
        </w:tc>
        <w:tc>
          <w:tcPr>
            <w:tcW w:w="1145" w:type="dxa"/>
            <w:vAlign w:val="center"/>
          </w:tcPr>
          <w:p w14:paraId="1322CAF9">
            <w:pPr>
              <w:widowControl/>
              <w:jc w:val="center"/>
              <w:textAlignment w:val="center"/>
              <w:rPr>
                <w:kern w:val="0"/>
                <w:sz w:val="20"/>
                <w:szCs w:val="21"/>
                <w:lang w:bidi="ar"/>
              </w:rPr>
            </w:pPr>
          </w:p>
        </w:tc>
      </w:tr>
      <w:tr w14:paraId="1E39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93" w:type="dxa"/>
            <w:vAlign w:val="center"/>
          </w:tcPr>
          <w:p w14:paraId="57487094">
            <w:pPr>
              <w:spacing w:line="23" w:lineRule="atLeast"/>
              <w:jc w:val="center"/>
              <w:rPr>
                <w:kern w:val="0"/>
                <w:sz w:val="20"/>
                <w:szCs w:val="21"/>
              </w:rPr>
            </w:pPr>
            <w:r>
              <w:rPr>
                <w:kern w:val="0"/>
                <w:sz w:val="20"/>
                <w:szCs w:val="21"/>
              </w:rPr>
              <w:t>12</w:t>
            </w:r>
          </w:p>
        </w:tc>
        <w:tc>
          <w:tcPr>
            <w:tcW w:w="2469" w:type="dxa"/>
            <w:vAlign w:val="center"/>
          </w:tcPr>
          <w:p w14:paraId="1113B702">
            <w:pPr>
              <w:widowControl/>
              <w:jc w:val="center"/>
              <w:textAlignment w:val="center"/>
              <w:rPr>
                <w:kern w:val="0"/>
                <w:sz w:val="20"/>
                <w:szCs w:val="21"/>
                <w:lang w:val="zh-CN" w:bidi="ar"/>
              </w:rPr>
            </w:pPr>
          </w:p>
        </w:tc>
        <w:tc>
          <w:tcPr>
            <w:tcW w:w="829" w:type="dxa"/>
            <w:vAlign w:val="center"/>
          </w:tcPr>
          <w:p w14:paraId="3C608804">
            <w:pPr>
              <w:widowControl/>
              <w:jc w:val="center"/>
              <w:textAlignment w:val="center"/>
              <w:rPr>
                <w:kern w:val="0"/>
                <w:sz w:val="20"/>
                <w:szCs w:val="21"/>
                <w:lang w:bidi="ar"/>
              </w:rPr>
            </w:pPr>
          </w:p>
        </w:tc>
        <w:tc>
          <w:tcPr>
            <w:tcW w:w="823" w:type="dxa"/>
            <w:vAlign w:val="center"/>
          </w:tcPr>
          <w:p w14:paraId="5E4ED572">
            <w:pPr>
              <w:jc w:val="center"/>
              <w:rPr>
                <w:kern w:val="0"/>
                <w:sz w:val="20"/>
                <w:szCs w:val="21"/>
                <w:lang w:bidi="ar"/>
              </w:rPr>
            </w:pPr>
          </w:p>
        </w:tc>
        <w:tc>
          <w:tcPr>
            <w:tcW w:w="933" w:type="dxa"/>
            <w:vAlign w:val="center"/>
          </w:tcPr>
          <w:p w14:paraId="115F6802">
            <w:pPr>
              <w:widowControl/>
              <w:jc w:val="center"/>
              <w:textAlignment w:val="center"/>
              <w:rPr>
                <w:kern w:val="0"/>
                <w:sz w:val="20"/>
                <w:szCs w:val="21"/>
                <w:lang w:bidi="ar"/>
              </w:rPr>
            </w:pPr>
          </w:p>
        </w:tc>
        <w:tc>
          <w:tcPr>
            <w:tcW w:w="764" w:type="dxa"/>
            <w:vAlign w:val="center"/>
          </w:tcPr>
          <w:p w14:paraId="1425D64B">
            <w:pPr>
              <w:widowControl/>
              <w:jc w:val="center"/>
              <w:textAlignment w:val="center"/>
              <w:rPr>
                <w:kern w:val="0"/>
                <w:sz w:val="20"/>
                <w:szCs w:val="21"/>
                <w:lang w:val="zh-CN" w:bidi="ar"/>
              </w:rPr>
            </w:pPr>
          </w:p>
        </w:tc>
        <w:tc>
          <w:tcPr>
            <w:tcW w:w="1202" w:type="dxa"/>
            <w:vAlign w:val="center"/>
          </w:tcPr>
          <w:p w14:paraId="0A9AAC41">
            <w:pPr>
              <w:widowControl/>
              <w:jc w:val="center"/>
              <w:textAlignment w:val="center"/>
              <w:rPr>
                <w:kern w:val="0"/>
                <w:sz w:val="20"/>
                <w:szCs w:val="21"/>
                <w:lang w:bidi="ar"/>
              </w:rPr>
            </w:pPr>
          </w:p>
        </w:tc>
        <w:tc>
          <w:tcPr>
            <w:tcW w:w="1145" w:type="dxa"/>
            <w:vAlign w:val="center"/>
          </w:tcPr>
          <w:p w14:paraId="6ACEE525">
            <w:pPr>
              <w:widowControl/>
              <w:jc w:val="center"/>
              <w:textAlignment w:val="center"/>
              <w:rPr>
                <w:kern w:val="0"/>
                <w:sz w:val="20"/>
                <w:szCs w:val="21"/>
                <w:lang w:bidi="ar"/>
              </w:rPr>
            </w:pPr>
          </w:p>
        </w:tc>
      </w:tr>
      <w:tr w14:paraId="11F4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93" w:type="dxa"/>
            <w:vAlign w:val="center"/>
          </w:tcPr>
          <w:p w14:paraId="2557D686">
            <w:pPr>
              <w:spacing w:line="23" w:lineRule="atLeast"/>
              <w:jc w:val="center"/>
              <w:rPr>
                <w:kern w:val="0"/>
                <w:sz w:val="20"/>
                <w:szCs w:val="21"/>
              </w:rPr>
            </w:pPr>
            <w:r>
              <w:rPr>
                <w:kern w:val="0"/>
                <w:sz w:val="20"/>
                <w:szCs w:val="21"/>
              </w:rPr>
              <w:t>13</w:t>
            </w:r>
          </w:p>
        </w:tc>
        <w:tc>
          <w:tcPr>
            <w:tcW w:w="2469" w:type="dxa"/>
            <w:vAlign w:val="center"/>
          </w:tcPr>
          <w:p w14:paraId="35CD9F8F">
            <w:pPr>
              <w:widowControl/>
              <w:jc w:val="center"/>
              <w:textAlignment w:val="center"/>
              <w:rPr>
                <w:kern w:val="0"/>
                <w:sz w:val="20"/>
                <w:szCs w:val="21"/>
                <w:lang w:val="zh-CN" w:bidi="ar"/>
              </w:rPr>
            </w:pPr>
          </w:p>
        </w:tc>
        <w:tc>
          <w:tcPr>
            <w:tcW w:w="829" w:type="dxa"/>
            <w:vAlign w:val="center"/>
          </w:tcPr>
          <w:p w14:paraId="2C6EF25D">
            <w:pPr>
              <w:widowControl/>
              <w:jc w:val="center"/>
              <w:textAlignment w:val="center"/>
              <w:rPr>
                <w:kern w:val="0"/>
                <w:sz w:val="20"/>
                <w:szCs w:val="21"/>
                <w:lang w:bidi="ar"/>
              </w:rPr>
            </w:pPr>
          </w:p>
        </w:tc>
        <w:tc>
          <w:tcPr>
            <w:tcW w:w="823" w:type="dxa"/>
            <w:vAlign w:val="center"/>
          </w:tcPr>
          <w:p w14:paraId="3754A337">
            <w:pPr>
              <w:jc w:val="center"/>
              <w:rPr>
                <w:kern w:val="0"/>
                <w:sz w:val="20"/>
                <w:szCs w:val="21"/>
                <w:lang w:bidi="ar"/>
              </w:rPr>
            </w:pPr>
          </w:p>
        </w:tc>
        <w:tc>
          <w:tcPr>
            <w:tcW w:w="933" w:type="dxa"/>
            <w:vAlign w:val="center"/>
          </w:tcPr>
          <w:p w14:paraId="45064F1F">
            <w:pPr>
              <w:widowControl/>
              <w:jc w:val="center"/>
              <w:textAlignment w:val="center"/>
              <w:rPr>
                <w:kern w:val="0"/>
                <w:sz w:val="20"/>
                <w:szCs w:val="21"/>
                <w:lang w:bidi="ar"/>
              </w:rPr>
            </w:pPr>
          </w:p>
        </w:tc>
        <w:tc>
          <w:tcPr>
            <w:tcW w:w="764" w:type="dxa"/>
            <w:vAlign w:val="center"/>
          </w:tcPr>
          <w:p w14:paraId="1E161F72">
            <w:pPr>
              <w:widowControl/>
              <w:jc w:val="center"/>
              <w:textAlignment w:val="center"/>
              <w:rPr>
                <w:kern w:val="0"/>
                <w:sz w:val="20"/>
                <w:szCs w:val="21"/>
                <w:lang w:val="zh-CN" w:bidi="ar"/>
              </w:rPr>
            </w:pPr>
          </w:p>
        </w:tc>
        <w:tc>
          <w:tcPr>
            <w:tcW w:w="1202" w:type="dxa"/>
            <w:vAlign w:val="center"/>
          </w:tcPr>
          <w:p w14:paraId="51C12152">
            <w:pPr>
              <w:widowControl/>
              <w:jc w:val="center"/>
              <w:textAlignment w:val="center"/>
              <w:rPr>
                <w:kern w:val="0"/>
                <w:sz w:val="20"/>
                <w:szCs w:val="21"/>
                <w:lang w:bidi="ar"/>
              </w:rPr>
            </w:pPr>
          </w:p>
        </w:tc>
        <w:tc>
          <w:tcPr>
            <w:tcW w:w="1145" w:type="dxa"/>
            <w:vAlign w:val="center"/>
          </w:tcPr>
          <w:p w14:paraId="79281682">
            <w:pPr>
              <w:widowControl/>
              <w:jc w:val="center"/>
              <w:textAlignment w:val="center"/>
              <w:rPr>
                <w:kern w:val="0"/>
                <w:sz w:val="20"/>
                <w:szCs w:val="21"/>
                <w:lang w:bidi="ar"/>
              </w:rPr>
            </w:pPr>
          </w:p>
        </w:tc>
      </w:tr>
      <w:tr w14:paraId="7E1E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93" w:type="dxa"/>
            <w:vAlign w:val="center"/>
          </w:tcPr>
          <w:p w14:paraId="6C6A311E">
            <w:pPr>
              <w:spacing w:line="23" w:lineRule="atLeast"/>
              <w:jc w:val="center"/>
              <w:rPr>
                <w:kern w:val="0"/>
                <w:sz w:val="20"/>
                <w:szCs w:val="21"/>
              </w:rPr>
            </w:pPr>
            <w:r>
              <w:rPr>
                <w:kern w:val="0"/>
                <w:sz w:val="20"/>
                <w:szCs w:val="21"/>
              </w:rPr>
              <w:t>14</w:t>
            </w:r>
          </w:p>
        </w:tc>
        <w:tc>
          <w:tcPr>
            <w:tcW w:w="2469" w:type="dxa"/>
            <w:vAlign w:val="center"/>
          </w:tcPr>
          <w:p w14:paraId="40EB3B3E">
            <w:pPr>
              <w:widowControl/>
              <w:jc w:val="center"/>
              <w:textAlignment w:val="center"/>
              <w:rPr>
                <w:kern w:val="0"/>
                <w:sz w:val="20"/>
                <w:szCs w:val="21"/>
                <w:lang w:val="zh-CN" w:bidi="ar"/>
              </w:rPr>
            </w:pPr>
          </w:p>
        </w:tc>
        <w:tc>
          <w:tcPr>
            <w:tcW w:w="829" w:type="dxa"/>
            <w:vAlign w:val="center"/>
          </w:tcPr>
          <w:p w14:paraId="1B4C905E">
            <w:pPr>
              <w:widowControl/>
              <w:jc w:val="center"/>
              <w:textAlignment w:val="center"/>
              <w:rPr>
                <w:kern w:val="0"/>
                <w:sz w:val="20"/>
                <w:szCs w:val="21"/>
                <w:lang w:bidi="ar"/>
              </w:rPr>
            </w:pPr>
          </w:p>
        </w:tc>
        <w:tc>
          <w:tcPr>
            <w:tcW w:w="823" w:type="dxa"/>
            <w:vAlign w:val="center"/>
          </w:tcPr>
          <w:p w14:paraId="634B2DA1">
            <w:pPr>
              <w:widowControl/>
              <w:jc w:val="center"/>
              <w:textAlignment w:val="center"/>
              <w:rPr>
                <w:kern w:val="0"/>
                <w:sz w:val="20"/>
                <w:szCs w:val="21"/>
                <w:lang w:val="zh-CN" w:bidi="ar"/>
              </w:rPr>
            </w:pPr>
          </w:p>
        </w:tc>
        <w:tc>
          <w:tcPr>
            <w:tcW w:w="933" w:type="dxa"/>
            <w:vAlign w:val="center"/>
          </w:tcPr>
          <w:p w14:paraId="56225E44">
            <w:pPr>
              <w:widowControl/>
              <w:jc w:val="center"/>
              <w:textAlignment w:val="center"/>
              <w:rPr>
                <w:kern w:val="0"/>
                <w:sz w:val="20"/>
                <w:szCs w:val="21"/>
                <w:lang w:bidi="ar"/>
              </w:rPr>
            </w:pPr>
          </w:p>
        </w:tc>
        <w:tc>
          <w:tcPr>
            <w:tcW w:w="764" w:type="dxa"/>
            <w:vAlign w:val="center"/>
          </w:tcPr>
          <w:p w14:paraId="7F873C4D">
            <w:pPr>
              <w:widowControl/>
              <w:jc w:val="center"/>
              <w:textAlignment w:val="center"/>
              <w:rPr>
                <w:kern w:val="0"/>
                <w:sz w:val="20"/>
                <w:szCs w:val="21"/>
                <w:lang w:val="zh-CN" w:bidi="ar"/>
              </w:rPr>
            </w:pPr>
          </w:p>
        </w:tc>
        <w:tc>
          <w:tcPr>
            <w:tcW w:w="1202" w:type="dxa"/>
            <w:vAlign w:val="center"/>
          </w:tcPr>
          <w:p w14:paraId="022161DE">
            <w:pPr>
              <w:widowControl/>
              <w:jc w:val="center"/>
              <w:textAlignment w:val="center"/>
              <w:rPr>
                <w:kern w:val="0"/>
                <w:sz w:val="20"/>
                <w:szCs w:val="21"/>
                <w:lang w:bidi="ar"/>
              </w:rPr>
            </w:pPr>
          </w:p>
        </w:tc>
        <w:tc>
          <w:tcPr>
            <w:tcW w:w="1145" w:type="dxa"/>
            <w:vAlign w:val="center"/>
          </w:tcPr>
          <w:p w14:paraId="55B439EB">
            <w:pPr>
              <w:widowControl/>
              <w:jc w:val="center"/>
              <w:textAlignment w:val="center"/>
              <w:rPr>
                <w:kern w:val="0"/>
                <w:sz w:val="20"/>
                <w:szCs w:val="21"/>
                <w:lang w:bidi="ar"/>
              </w:rPr>
            </w:pPr>
          </w:p>
        </w:tc>
      </w:tr>
      <w:tr w14:paraId="1B84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93" w:type="dxa"/>
            <w:vAlign w:val="center"/>
          </w:tcPr>
          <w:p w14:paraId="00057302">
            <w:pPr>
              <w:spacing w:line="23" w:lineRule="atLeast"/>
              <w:jc w:val="center"/>
              <w:rPr>
                <w:kern w:val="0"/>
                <w:sz w:val="20"/>
                <w:szCs w:val="21"/>
              </w:rPr>
            </w:pPr>
            <w:r>
              <w:rPr>
                <w:kern w:val="0"/>
                <w:sz w:val="20"/>
                <w:szCs w:val="21"/>
              </w:rPr>
              <w:t>15</w:t>
            </w:r>
          </w:p>
        </w:tc>
        <w:tc>
          <w:tcPr>
            <w:tcW w:w="2469" w:type="dxa"/>
            <w:vAlign w:val="center"/>
          </w:tcPr>
          <w:p w14:paraId="6C19CA7F">
            <w:pPr>
              <w:widowControl/>
              <w:jc w:val="center"/>
              <w:textAlignment w:val="center"/>
              <w:rPr>
                <w:kern w:val="0"/>
                <w:sz w:val="20"/>
                <w:szCs w:val="21"/>
                <w:lang w:val="zh-CN" w:bidi="ar"/>
              </w:rPr>
            </w:pPr>
          </w:p>
        </w:tc>
        <w:tc>
          <w:tcPr>
            <w:tcW w:w="829" w:type="dxa"/>
            <w:vAlign w:val="center"/>
          </w:tcPr>
          <w:p w14:paraId="347A61E0">
            <w:pPr>
              <w:widowControl/>
              <w:jc w:val="center"/>
              <w:textAlignment w:val="center"/>
              <w:rPr>
                <w:kern w:val="0"/>
                <w:sz w:val="20"/>
                <w:szCs w:val="21"/>
                <w:lang w:bidi="ar"/>
              </w:rPr>
            </w:pPr>
          </w:p>
        </w:tc>
        <w:tc>
          <w:tcPr>
            <w:tcW w:w="823" w:type="dxa"/>
            <w:vAlign w:val="center"/>
          </w:tcPr>
          <w:p w14:paraId="560999D4">
            <w:pPr>
              <w:widowControl/>
              <w:jc w:val="center"/>
              <w:textAlignment w:val="center"/>
              <w:rPr>
                <w:kern w:val="0"/>
                <w:sz w:val="20"/>
                <w:szCs w:val="21"/>
                <w:lang w:val="zh-CN" w:bidi="ar"/>
              </w:rPr>
            </w:pPr>
          </w:p>
        </w:tc>
        <w:tc>
          <w:tcPr>
            <w:tcW w:w="933" w:type="dxa"/>
            <w:vAlign w:val="center"/>
          </w:tcPr>
          <w:p w14:paraId="495F307C">
            <w:pPr>
              <w:widowControl/>
              <w:jc w:val="center"/>
              <w:textAlignment w:val="center"/>
              <w:rPr>
                <w:kern w:val="0"/>
                <w:sz w:val="20"/>
                <w:szCs w:val="21"/>
                <w:lang w:val="zh-CN" w:bidi="ar"/>
              </w:rPr>
            </w:pPr>
          </w:p>
        </w:tc>
        <w:tc>
          <w:tcPr>
            <w:tcW w:w="764" w:type="dxa"/>
            <w:vAlign w:val="center"/>
          </w:tcPr>
          <w:p w14:paraId="63D3D00C">
            <w:pPr>
              <w:widowControl/>
              <w:jc w:val="center"/>
              <w:textAlignment w:val="center"/>
              <w:rPr>
                <w:kern w:val="0"/>
                <w:sz w:val="20"/>
                <w:szCs w:val="21"/>
                <w:lang w:val="zh-CN" w:bidi="ar"/>
              </w:rPr>
            </w:pPr>
          </w:p>
        </w:tc>
        <w:tc>
          <w:tcPr>
            <w:tcW w:w="1202" w:type="dxa"/>
            <w:vAlign w:val="center"/>
          </w:tcPr>
          <w:p w14:paraId="4FE155BE">
            <w:pPr>
              <w:widowControl/>
              <w:jc w:val="center"/>
              <w:textAlignment w:val="center"/>
              <w:rPr>
                <w:kern w:val="0"/>
                <w:sz w:val="20"/>
                <w:szCs w:val="21"/>
                <w:lang w:bidi="ar"/>
              </w:rPr>
            </w:pPr>
          </w:p>
        </w:tc>
        <w:tc>
          <w:tcPr>
            <w:tcW w:w="1145" w:type="dxa"/>
            <w:vAlign w:val="center"/>
          </w:tcPr>
          <w:p w14:paraId="12A33DC2">
            <w:pPr>
              <w:widowControl/>
              <w:jc w:val="center"/>
              <w:textAlignment w:val="center"/>
              <w:rPr>
                <w:kern w:val="0"/>
                <w:sz w:val="20"/>
                <w:szCs w:val="21"/>
                <w:lang w:bidi="ar"/>
              </w:rPr>
            </w:pPr>
          </w:p>
        </w:tc>
      </w:tr>
      <w:tr w14:paraId="5B62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93" w:type="dxa"/>
            <w:vAlign w:val="center"/>
          </w:tcPr>
          <w:p w14:paraId="547407F6">
            <w:pPr>
              <w:spacing w:line="23" w:lineRule="atLeast"/>
              <w:jc w:val="center"/>
              <w:rPr>
                <w:kern w:val="0"/>
                <w:sz w:val="20"/>
                <w:szCs w:val="21"/>
              </w:rPr>
            </w:pPr>
            <w:r>
              <w:rPr>
                <w:kern w:val="0"/>
                <w:sz w:val="20"/>
                <w:szCs w:val="21"/>
              </w:rPr>
              <w:t>16</w:t>
            </w:r>
          </w:p>
        </w:tc>
        <w:tc>
          <w:tcPr>
            <w:tcW w:w="2469" w:type="dxa"/>
            <w:vAlign w:val="center"/>
          </w:tcPr>
          <w:p w14:paraId="026241B0">
            <w:pPr>
              <w:widowControl/>
              <w:jc w:val="center"/>
              <w:textAlignment w:val="center"/>
              <w:rPr>
                <w:kern w:val="0"/>
                <w:sz w:val="20"/>
                <w:szCs w:val="21"/>
                <w:lang w:val="zh-CN" w:bidi="ar"/>
              </w:rPr>
            </w:pPr>
          </w:p>
        </w:tc>
        <w:tc>
          <w:tcPr>
            <w:tcW w:w="829" w:type="dxa"/>
            <w:vAlign w:val="center"/>
          </w:tcPr>
          <w:p w14:paraId="0E7E9DD6">
            <w:pPr>
              <w:widowControl/>
              <w:jc w:val="center"/>
              <w:textAlignment w:val="center"/>
              <w:rPr>
                <w:kern w:val="0"/>
                <w:sz w:val="20"/>
                <w:szCs w:val="21"/>
                <w:lang w:bidi="ar"/>
              </w:rPr>
            </w:pPr>
          </w:p>
        </w:tc>
        <w:tc>
          <w:tcPr>
            <w:tcW w:w="823" w:type="dxa"/>
            <w:vAlign w:val="center"/>
          </w:tcPr>
          <w:p w14:paraId="2A79C442">
            <w:pPr>
              <w:widowControl/>
              <w:jc w:val="center"/>
              <w:textAlignment w:val="center"/>
              <w:rPr>
                <w:kern w:val="0"/>
                <w:sz w:val="20"/>
                <w:szCs w:val="21"/>
                <w:lang w:bidi="ar"/>
              </w:rPr>
            </w:pPr>
          </w:p>
        </w:tc>
        <w:tc>
          <w:tcPr>
            <w:tcW w:w="933" w:type="dxa"/>
            <w:vAlign w:val="center"/>
          </w:tcPr>
          <w:p w14:paraId="1C6AD439">
            <w:pPr>
              <w:widowControl/>
              <w:jc w:val="center"/>
              <w:textAlignment w:val="center"/>
              <w:rPr>
                <w:kern w:val="0"/>
                <w:sz w:val="20"/>
                <w:szCs w:val="21"/>
                <w:lang w:bidi="ar"/>
              </w:rPr>
            </w:pPr>
          </w:p>
        </w:tc>
        <w:tc>
          <w:tcPr>
            <w:tcW w:w="764" w:type="dxa"/>
            <w:vAlign w:val="center"/>
          </w:tcPr>
          <w:p w14:paraId="495C43AE">
            <w:pPr>
              <w:widowControl/>
              <w:jc w:val="center"/>
              <w:textAlignment w:val="center"/>
              <w:rPr>
                <w:kern w:val="0"/>
                <w:sz w:val="20"/>
                <w:szCs w:val="21"/>
                <w:lang w:val="zh-CN" w:bidi="ar"/>
              </w:rPr>
            </w:pPr>
          </w:p>
        </w:tc>
        <w:tc>
          <w:tcPr>
            <w:tcW w:w="1202" w:type="dxa"/>
            <w:vAlign w:val="center"/>
          </w:tcPr>
          <w:p w14:paraId="739D5428">
            <w:pPr>
              <w:widowControl/>
              <w:jc w:val="center"/>
              <w:textAlignment w:val="center"/>
              <w:rPr>
                <w:kern w:val="0"/>
                <w:sz w:val="20"/>
                <w:szCs w:val="21"/>
                <w:lang w:bidi="ar"/>
              </w:rPr>
            </w:pPr>
          </w:p>
        </w:tc>
        <w:tc>
          <w:tcPr>
            <w:tcW w:w="1145" w:type="dxa"/>
            <w:vAlign w:val="center"/>
          </w:tcPr>
          <w:p w14:paraId="75B27C96">
            <w:pPr>
              <w:widowControl/>
              <w:jc w:val="center"/>
              <w:textAlignment w:val="center"/>
              <w:rPr>
                <w:kern w:val="0"/>
                <w:sz w:val="20"/>
                <w:szCs w:val="21"/>
                <w:lang w:bidi="ar"/>
              </w:rPr>
            </w:pPr>
          </w:p>
        </w:tc>
      </w:tr>
      <w:tr w14:paraId="4659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93" w:type="dxa"/>
            <w:vAlign w:val="center"/>
          </w:tcPr>
          <w:p w14:paraId="6D3AF364">
            <w:pPr>
              <w:spacing w:line="23" w:lineRule="atLeast"/>
              <w:jc w:val="center"/>
              <w:rPr>
                <w:kern w:val="0"/>
                <w:sz w:val="20"/>
                <w:szCs w:val="21"/>
              </w:rPr>
            </w:pPr>
            <w:r>
              <w:rPr>
                <w:kern w:val="0"/>
                <w:sz w:val="20"/>
                <w:szCs w:val="21"/>
              </w:rPr>
              <w:t>17</w:t>
            </w:r>
          </w:p>
        </w:tc>
        <w:tc>
          <w:tcPr>
            <w:tcW w:w="2469" w:type="dxa"/>
            <w:vAlign w:val="center"/>
          </w:tcPr>
          <w:p w14:paraId="09984269">
            <w:pPr>
              <w:widowControl/>
              <w:jc w:val="center"/>
              <w:textAlignment w:val="center"/>
              <w:rPr>
                <w:kern w:val="0"/>
                <w:sz w:val="20"/>
                <w:szCs w:val="21"/>
                <w:lang w:val="zh-CN" w:bidi="ar"/>
              </w:rPr>
            </w:pPr>
          </w:p>
        </w:tc>
        <w:tc>
          <w:tcPr>
            <w:tcW w:w="829" w:type="dxa"/>
            <w:vAlign w:val="center"/>
          </w:tcPr>
          <w:p w14:paraId="31386C05">
            <w:pPr>
              <w:widowControl/>
              <w:jc w:val="center"/>
              <w:textAlignment w:val="center"/>
              <w:rPr>
                <w:kern w:val="0"/>
                <w:sz w:val="20"/>
                <w:szCs w:val="21"/>
                <w:lang w:bidi="ar"/>
              </w:rPr>
            </w:pPr>
          </w:p>
        </w:tc>
        <w:tc>
          <w:tcPr>
            <w:tcW w:w="823" w:type="dxa"/>
            <w:vAlign w:val="center"/>
          </w:tcPr>
          <w:p w14:paraId="5C94C64B">
            <w:pPr>
              <w:jc w:val="center"/>
              <w:rPr>
                <w:kern w:val="0"/>
                <w:sz w:val="20"/>
                <w:szCs w:val="21"/>
                <w:lang w:val="zh-CN" w:bidi="ar"/>
              </w:rPr>
            </w:pPr>
          </w:p>
        </w:tc>
        <w:tc>
          <w:tcPr>
            <w:tcW w:w="933" w:type="dxa"/>
            <w:vAlign w:val="center"/>
          </w:tcPr>
          <w:p w14:paraId="52881A37">
            <w:pPr>
              <w:widowControl/>
              <w:jc w:val="center"/>
              <w:textAlignment w:val="center"/>
              <w:rPr>
                <w:kern w:val="0"/>
                <w:sz w:val="20"/>
                <w:szCs w:val="21"/>
                <w:lang w:val="zh-CN" w:bidi="ar"/>
              </w:rPr>
            </w:pPr>
          </w:p>
        </w:tc>
        <w:tc>
          <w:tcPr>
            <w:tcW w:w="764" w:type="dxa"/>
            <w:vAlign w:val="center"/>
          </w:tcPr>
          <w:p w14:paraId="4A628A32">
            <w:pPr>
              <w:widowControl/>
              <w:jc w:val="center"/>
              <w:textAlignment w:val="center"/>
              <w:rPr>
                <w:kern w:val="0"/>
                <w:sz w:val="20"/>
                <w:szCs w:val="21"/>
                <w:lang w:val="zh-CN" w:bidi="ar"/>
              </w:rPr>
            </w:pPr>
          </w:p>
        </w:tc>
        <w:tc>
          <w:tcPr>
            <w:tcW w:w="1202" w:type="dxa"/>
            <w:vAlign w:val="center"/>
          </w:tcPr>
          <w:p w14:paraId="415C6E51">
            <w:pPr>
              <w:widowControl/>
              <w:jc w:val="center"/>
              <w:textAlignment w:val="center"/>
              <w:rPr>
                <w:kern w:val="0"/>
                <w:sz w:val="20"/>
                <w:szCs w:val="21"/>
                <w:lang w:bidi="ar"/>
              </w:rPr>
            </w:pPr>
          </w:p>
        </w:tc>
        <w:tc>
          <w:tcPr>
            <w:tcW w:w="1145" w:type="dxa"/>
            <w:vAlign w:val="center"/>
          </w:tcPr>
          <w:p w14:paraId="1200DE37">
            <w:pPr>
              <w:widowControl/>
              <w:jc w:val="center"/>
              <w:textAlignment w:val="center"/>
              <w:rPr>
                <w:kern w:val="0"/>
                <w:sz w:val="20"/>
                <w:szCs w:val="21"/>
                <w:lang w:bidi="ar"/>
              </w:rPr>
            </w:pPr>
          </w:p>
        </w:tc>
      </w:tr>
      <w:tr w14:paraId="1C29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93" w:type="dxa"/>
            <w:vAlign w:val="center"/>
          </w:tcPr>
          <w:p w14:paraId="749E85FC">
            <w:pPr>
              <w:spacing w:line="23" w:lineRule="atLeast"/>
              <w:jc w:val="center"/>
              <w:rPr>
                <w:kern w:val="0"/>
                <w:sz w:val="20"/>
                <w:szCs w:val="21"/>
              </w:rPr>
            </w:pPr>
            <w:r>
              <w:rPr>
                <w:kern w:val="0"/>
                <w:sz w:val="20"/>
                <w:szCs w:val="21"/>
              </w:rPr>
              <w:t>18</w:t>
            </w:r>
          </w:p>
        </w:tc>
        <w:tc>
          <w:tcPr>
            <w:tcW w:w="2469" w:type="dxa"/>
            <w:vAlign w:val="center"/>
          </w:tcPr>
          <w:p w14:paraId="008712F5">
            <w:pPr>
              <w:widowControl/>
              <w:jc w:val="center"/>
              <w:textAlignment w:val="center"/>
              <w:rPr>
                <w:kern w:val="0"/>
                <w:sz w:val="20"/>
                <w:szCs w:val="21"/>
                <w:lang w:bidi="ar"/>
              </w:rPr>
            </w:pPr>
          </w:p>
        </w:tc>
        <w:tc>
          <w:tcPr>
            <w:tcW w:w="829" w:type="dxa"/>
            <w:vAlign w:val="center"/>
          </w:tcPr>
          <w:p w14:paraId="58EEDE99">
            <w:pPr>
              <w:widowControl/>
              <w:jc w:val="center"/>
              <w:textAlignment w:val="center"/>
              <w:rPr>
                <w:kern w:val="0"/>
                <w:sz w:val="20"/>
                <w:szCs w:val="21"/>
                <w:lang w:bidi="ar"/>
              </w:rPr>
            </w:pPr>
          </w:p>
        </w:tc>
        <w:tc>
          <w:tcPr>
            <w:tcW w:w="823" w:type="dxa"/>
            <w:vAlign w:val="center"/>
          </w:tcPr>
          <w:p w14:paraId="5EDE8A1E">
            <w:pPr>
              <w:jc w:val="center"/>
              <w:rPr>
                <w:kern w:val="0"/>
                <w:sz w:val="20"/>
                <w:szCs w:val="21"/>
                <w:lang w:bidi="ar"/>
              </w:rPr>
            </w:pPr>
          </w:p>
        </w:tc>
        <w:tc>
          <w:tcPr>
            <w:tcW w:w="933" w:type="dxa"/>
            <w:vAlign w:val="center"/>
          </w:tcPr>
          <w:p w14:paraId="1A6593D7">
            <w:pPr>
              <w:widowControl/>
              <w:jc w:val="center"/>
              <w:textAlignment w:val="center"/>
              <w:rPr>
                <w:kern w:val="0"/>
                <w:sz w:val="20"/>
                <w:szCs w:val="21"/>
                <w:lang w:bidi="ar"/>
              </w:rPr>
            </w:pPr>
          </w:p>
        </w:tc>
        <w:tc>
          <w:tcPr>
            <w:tcW w:w="764" w:type="dxa"/>
            <w:vAlign w:val="center"/>
          </w:tcPr>
          <w:p w14:paraId="45E56B02">
            <w:pPr>
              <w:widowControl/>
              <w:jc w:val="center"/>
              <w:textAlignment w:val="center"/>
              <w:rPr>
                <w:kern w:val="0"/>
                <w:sz w:val="20"/>
                <w:szCs w:val="21"/>
                <w:lang w:bidi="ar"/>
              </w:rPr>
            </w:pPr>
          </w:p>
        </w:tc>
        <w:tc>
          <w:tcPr>
            <w:tcW w:w="1202" w:type="dxa"/>
            <w:vAlign w:val="center"/>
          </w:tcPr>
          <w:p w14:paraId="0D4705A5">
            <w:pPr>
              <w:widowControl/>
              <w:jc w:val="center"/>
              <w:textAlignment w:val="center"/>
              <w:rPr>
                <w:kern w:val="0"/>
                <w:sz w:val="20"/>
                <w:szCs w:val="21"/>
                <w:lang w:bidi="ar"/>
              </w:rPr>
            </w:pPr>
          </w:p>
        </w:tc>
        <w:tc>
          <w:tcPr>
            <w:tcW w:w="1145" w:type="dxa"/>
            <w:vAlign w:val="center"/>
          </w:tcPr>
          <w:p w14:paraId="78B03D37">
            <w:pPr>
              <w:widowControl/>
              <w:jc w:val="center"/>
              <w:textAlignment w:val="center"/>
              <w:rPr>
                <w:kern w:val="0"/>
                <w:sz w:val="20"/>
                <w:szCs w:val="21"/>
                <w:lang w:bidi="ar"/>
              </w:rPr>
            </w:pPr>
          </w:p>
        </w:tc>
      </w:tr>
      <w:tr w14:paraId="6862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93" w:type="dxa"/>
            <w:vAlign w:val="center"/>
          </w:tcPr>
          <w:p w14:paraId="7AB8EFC8">
            <w:pPr>
              <w:spacing w:line="23" w:lineRule="atLeast"/>
              <w:jc w:val="center"/>
              <w:rPr>
                <w:kern w:val="0"/>
                <w:sz w:val="20"/>
                <w:szCs w:val="21"/>
              </w:rPr>
            </w:pPr>
            <w:r>
              <w:rPr>
                <w:kern w:val="0"/>
                <w:sz w:val="20"/>
                <w:szCs w:val="21"/>
              </w:rPr>
              <w:t>19</w:t>
            </w:r>
          </w:p>
        </w:tc>
        <w:tc>
          <w:tcPr>
            <w:tcW w:w="2469" w:type="dxa"/>
            <w:vAlign w:val="center"/>
          </w:tcPr>
          <w:p w14:paraId="23D3C830">
            <w:pPr>
              <w:widowControl/>
              <w:jc w:val="center"/>
              <w:textAlignment w:val="center"/>
              <w:rPr>
                <w:kern w:val="0"/>
                <w:sz w:val="20"/>
                <w:szCs w:val="21"/>
                <w:lang w:bidi="ar"/>
              </w:rPr>
            </w:pPr>
            <w:r>
              <w:rPr>
                <w:color w:val="000000"/>
                <w:kern w:val="0"/>
                <w:sz w:val="20"/>
                <w:szCs w:val="21"/>
                <w:lang w:bidi="ar"/>
              </w:rPr>
              <w:t>合计</w:t>
            </w:r>
          </w:p>
        </w:tc>
        <w:tc>
          <w:tcPr>
            <w:tcW w:w="829" w:type="dxa"/>
            <w:vAlign w:val="center"/>
          </w:tcPr>
          <w:p w14:paraId="0EB3AF15">
            <w:pPr>
              <w:widowControl/>
              <w:jc w:val="center"/>
              <w:textAlignment w:val="center"/>
              <w:rPr>
                <w:kern w:val="0"/>
                <w:sz w:val="20"/>
                <w:szCs w:val="21"/>
                <w:lang w:bidi="ar"/>
              </w:rPr>
            </w:pPr>
          </w:p>
        </w:tc>
        <w:tc>
          <w:tcPr>
            <w:tcW w:w="823" w:type="dxa"/>
            <w:vAlign w:val="center"/>
          </w:tcPr>
          <w:p w14:paraId="1E5083B6">
            <w:pPr>
              <w:widowControl/>
              <w:jc w:val="center"/>
              <w:textAlignment w:val="center"/>
              <w:rPr>
                <w:kern w:val="0"/>
                <w:sz w:val="20"/>
                <w:szCs w:val="21"/>
                <w:lang w:bidi="ar"/>
              </w:rPr>
            </w:pPr>
          </w:p>
        </w:tc>
        <w:tc>
          <w:tcPr>
            <w:tcW w:w="933" w:type="dxa"/>
            <w:vAlign w:val="center"/>
          </w:tcPr>
          <w:p w14:paraId="11D990BF">
            <w:pPr>
              <w:widowControl/>
              <w:jc w:val="center"/>
              <w:textAlignment w:val="center"/>
              <w:rPr>
                <w:kern w:val="0"/>
                <w:sz w:val="20"/>
                <w:szCs w:val="21"/>
                <w:lang w:bidi="ar"/>
              </w:rPr>
            </w:pPr>
          </w:p>
        </w:tc>
        <w:tc>
          <w:tcPr>
            <w:tcW w:w="764" w:type="dxa"/>
            <w:vAlign w:val="center"/>
          </w:tcPr>
          <w:p w14:paraId="6292A8A1">
            <w:pPr>
              <w:widowControl/>
              <w:jc w:val="center"/>
              <w:textAlignment w:val="center"/>
              <w:rPr>
                <w:kern w:val="0"/>
                <w:sz w:val="20"/>
                <w:szCs w:val="21"/>
                <w:lang w:bidi="ar"/>
              </w:rPr>
            </w:pPr>
          </w:p>
        </w:tc>
        <w:tc>
          <w:tcPr>
            <w:tcW w:w="1202" w:type="dxa"/>
            <w:vAlign w:val="center"/>
          </w:tcPr>
          <w:p w14:paraId="2F5C2000">
            <w:pPr>
              <w:widowControl/>
              <w:jc w:val="center"/>
              <w:textAlignment w:val="center"/>
              <w:rPr>
                <w:kern w:val="0"/>
                <w:sz w:val="20"/>
                <w:szCs w:val="21"/>
                <w:lang w:bidi="ar"/>
              </w:rPr>
            </w:pPr>
          </w:p>
        </w:tc>
        <w:tc>
          <w:tcPr>
            <w:tcW w:w="1145" w:type="dxa"/>
            <w:vAlign w:val="center"/>
          </w:tcPr>
          <w:p w14:paraId="7C446EF9">
            <w:pPr>
              <w:widowControl/>
              <w:jc w:val="center"/>
              <w:textAlignment w:val="center"/>
              <w:rPr>
                <w:b/>
                <w:bCs/>
                <w:kern w:val="0"/>
                <w:sz w:val="20"/>
                <w:szCs w:val="21"/>
                <w:lang w:bidi="ar"/>
              </w:rPr>
            </w:pPr>
          </w:p>
        </w:tc>
      </w:tr>
    </w:tbl>
    <w:p w14:paraId="1A12F79D">
      <w:pPr>
        <w:rPr>
          <w:rFonts w:eastAsia="仿宋_GB2312"/>
          <w:sz w:val="24"/>
        </w:rPr>
      </w:pPr>
    </w:p>
    <w:p w14:paraId="64B20744">
      <w:pPr>
        <w:rPr>
          <w:rFonts w:eastAsia="仿宋_GB2312"/>
          <w:sz w:val="24"/>
        </w:rPr>
      </w:pPr>
    </w:p>
    <w:p w14:paraId="1CCDB59D">
      <w:pPr>
        <w:autoSpaceDE w:val="0"/>
        <w:autoSpaceDN w:val="0"/>
        <w:adjustRightInd w:val="0"/>
        <w:ind w:firstLine="420"/>
        <w:jc w:val="left"/>
        <w:rPr>
          <w:rFonts w:ascii="宋体"/>
          <w:sz w:val="24"/>
        </w:rPr>
      </w:pPr>
    </w:p>
    <w:p w14:paraId="1ABD0FD2">
      <w:pPr>
        <w:rPr>
          <w:rFonts w:eastAsia="仿宋_GB2312"/>
          <w:sz w:val="24"/>
        </w:rPr>
      </w:pPr>
    </w:p>
    <w:p w14:paraId="62149F36">
      <w:pPr>
        <w:rPr>
          <w:rFonts w:eastAsia="仿宋_GB2312"/>
          <w:sz w:val="24"/>
        </w:rPr>
      </w:pPr>
    </w:p>
    <w:p w14:paraId="4C2CD619">
      <w:pPr>
        <w:rPr>
          <w:b/>
          <w:bCs/>
          <w:color w:val="000000"/>
          <w:sz w:val="24"/>
        </w:rPr>
      </w:pPr>
      <w:r>
        <w:rPr>
          <w:rFonts w:eastAsia="仿宋_GB2312"/>
          <w:b/>
          <w:bCs/>
          <w:sz w:val="24"/>
        </w:rPr>
        <w:br w:type="page"/>
      </w:r>
      <w:r>
        <w:rPr>
          <w:b/>
          <w:bCs/>
          <w:sz w:val="24"/>
        </w:rPr>
        <w:t xml:space="preserve">附件2   </w:t>
      </w:r>
    </w:p>
    <w:p w14:paraId="6F1E641B">
      <w:pPr>
        <w:spacing w:after="120" w:line="480" w:lineRule="exact"/>
        <w:jc w:val="center"/>
        <w:rPr>
          <w:sz w:val="24"/>
          <w:szCs w:val="20"/>
        </w:rPr>
      </w:pPr>
      <w:r>
        <w:rPr>
          <w:b/>
          <w:bCs/>
          <w:color w:val="000000"/>
          <w:sz w:val="24"/>
          <w:szCs w:val="20"/>
        </w:rPr>
        <w:t>监测仪器维修更换费——维修清单</w:t>
      </w:r>
    </w:p>
    <w:tbl>
      <w:tblPr>
        <w:tblStyle w:val="42"/>
        <w:tblW w:w="8772" w:type="dxa"/>
        <w:jc w:val="center"/>
        <w:tblLayout w:type="fixed"/>
        <w:tblCellMar>
          <w:top w:w="15" w:type="dxa"/>
          <w:left w:w="15" w:type="dxa"/>
          <w:bottom w:w="15" w:type="dxa"/>
          <w:right w:w="15" w:type="dxa"/>
        </w:tblCellMar>
      </w:tblPr>
      <w:tblGrid>
        <w:gridCol w:w="685"/>
        <w:gridCol w:w="3210"/>
        <w:gridCol w:w="1170"/>
        <w:gridCol w:w="2034"/>
        <w:gridCol w:w="1673"/>
      </w:tblGrid>
      <w:tr w14:paraId="2236B85F">
        <w:tblPrEx>
          <w:tblCellMar>
            <w:top w:w="15" w:type="dxa"/>
            <w:left w:w="15" w:type="dxa"/>
            <w:bottom w:w="15" w:type="dxa"/>
            <w:right w:w="15" w:type="dxa"/>
          </w:tblCellMar>
        </w:tblPrEx>
        <w:trPr>
          <w:trHeight w:val="89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7BF356A4">
            <w:pPr>
              <w:widowControl/>
              <w:adjustRightInd w:val="0"/>
              <w:snapToGrid w:val="0"/>
              <w:jc w:val="center"/>
              <w:textAlignment w:val="center"/>
              <w:rPr>
                <w:kern w:val="0"/>
                <w:szCs w:val="21"/>
                <w:lang w:bidi="ar"/>
              </w:rPr>
            </w:pPr>
            <w:r>
              <w:rPr>
                <w:kern w:val="0"/>
                <w:szCs w:val="21"/>
                <w:lang w:bidi="ar"/>
              </w:rPr>
              <w:t>序号</w:t>
            </w:r>
          </w:p>
        </w:tc>
        <w:tc>
          <w:tcPr>
            <w:tcW w:w="3210" w:type="dxa"/>
            <w:tcBorders>
              <w:top w:val="single" w:color="auto" w:sz="4" w:space="0"/>
              <w:left w:val="single" w:color="auto" w:sz="4" w:space="0"/>
              <w:bottom w:val="single" w:color="auto" w:sz="4" w:space="0"/>
              <w:right w:val="single" w:color="auto" w:sz="4" w:space="0"/>
            </w:tcBorders>
            <w:vAlign w:val="center"/>
          </w:tcPr>
          <w:p w14:paraId="414FD514">
            <w:pPr>
              <w:widowControl/>
              <w:adjustRightInd w:val="0"/>
              <w:snapToGrid w:val="0"/>
              <w:jc w:val="center"/>
              <w:textAlignment w:val="center"/>
              <w:rPr>
                <w:kern w:val="0"/>
                <w:szCs w:val="21"/>
                <w:lang w:bidi="ar"/>
              </w:rPr>
            </w:pPr>
            <w:r>
              <w:rPr>
                <w:kern w:val="0"/>
                <w:szCs w:val="21"/>
                <w:lang w:bidi="ar"/>
              </w:rPr>
              <w:t>仪器名称</w:t>
            </w:r>
          </w:p>
        </w:tc>
        <w:tc>
          <w:tcPr>
            <w:tcW w:w="1170" w:type="dxa"/>
            <w:tcBorders>
              <w:top w:val="single" w:color="auto" w:sz="4" w:space="0"/>
              <w:left w:val="single" w:color="auto" w:sz="4" w:space="0"/>
              <w:bottom w:val="single" w:color="auto" w:sz="4" w:space="0"/>
              <w:right w:val="single" w:color="auto" w:sz="4" w:space="0"/>
            </w:tcBorders>
            <w:vAlign w:val="center"/>
          </w:tcPr>
          <w:p w14:paraId="2EAE31B7">
            <w:pPr>
              <w:widowControl/>
              <w:adjustRightInd w:val="0"/>
              <w:snapToGrid w:val="0"/>
              <w:jc w:val="center"/>
              <w:textAlignment w:val="center"/>
              <w:rPr>
                <w:kern w:val="0"/>
                <w:szCs w:val="21"/>
                <w:lang w:bidi="ar"/>
              </w:rPr>
            </w:pPr>
            <w:r>
              <w:rPr>
                <w:kern w:val="0"/>
                <w:szCs w:val="21"/>
                <w:lang w:bidi="ar"/>
              </w:rPr>
              <w:t>数量</w:t>
            </w:r>
          </w:p>
        </w:tc>
        <w:tc>
          <w:tcPr>
            <w:tcW w:w="2034" w:type="dxa"/>
            <w:tcBorders>
              <w:top w:val="single" w:color="auto" w:sz="4" w:space="0"/>
              <w:left w:val="single" w:color="auto" w:sz="4" w:space="0"/>
              <w:bottom w:val="single" w:color="auto" w:sz="4" w:space="0"/>
              <w:right w:val="single" w:color="auto" w:sz="4" w:space="0"/>
            </w:tcBorders>
            <w:vAlign w:val="center"/>
          </w:tcPr>
          <w:p w14:paraId="6BB5FDF6">
            <w:pPr>
              <w:widowControl/>
              <w:adjustRightInd w:val="0"/>
              <w:snapToGrid w:val="0"/>
              <w:jc w:val="center"/>
              <w:textAlignment w:val="center"/>
              <w:rPr>
                <w:kern w:val="0"/>
                <w:szCs w:val="21"/>
                <w:lang w:bidi="ar"/>
              </w:rPr>
            </w:pPr>
            <w:r>
              <w:rPr>
                <w:kern w:val="0"/>
                <w:szCs w:val="21"/>
                <w:lang w:bidi="ar"/>
              </w:rPr>
              <w:t>单价</w:t>
            </w:r>
          </w:p>
          <w:p w14:paraId="3FDCC752">
            <w:pPr>
              <w:widowControl/>
              <w:adjustRightInd w:val="0"/>
              <w:snapToGrid w:val="0"/>
              <w:jc w:val="center"/>
              <w:textAlignment w:val="center"/>
              <w:rPr>
                <w:kern w:val="0"/>
                <w:szCs w:val="21"/>
                <w:lang w:bidi="ar"/>
              </w:rPr>
            </w:pPr>
            <w:r>
              <w:rPr>
                <w:kern w:val="0"/>
                <w:szCs w:val="21"/>
                <w:lang w:bidi="ar"/>
              </w:rPr>
              <w:t>（单位：元）</w:t>
            </w:r>
          </w:p>
        </w:tc>
        <w:tc>
          <w:tcPr>
            <w:tcW w:w="1673" w:type="dxa"/>
            <w:tcBorders>
              <w:top w:val="single" w:color="auto" w:sz="4" w:space="0"/>
              <w:left w:val="single" w:color="auto" w:sz="4" w:space="0"/>
              <w:bottom w:val="single" w:color="auto" w:sz="4" w:space="0"/>
              <w:right w:val="single" w:color="auto" w:sz="4" w:space="0"/>
            </w:tcBorders>
            <w:vAlign w:val="center"/>
          </w:tcPr>
          <w:p w14:paraId="13D75F7F">
            <w:pPr>
              <w:widowControl/>
              <w:adjustRightInd w:val="0"/>
              <w:snapToGrid w:val="0"/>
              <w:jc w:val="center"/>
              <w:textAlignment w:val="center"/>
              <w:rPr>
                <w:kern w:val="0"/>
                <w:szCs w:val="21"/>
                <w:lang w:bidi="ar"/>
              </w:rPr>
            </w:pPr>
            <w:r>
              <w:rPr>
                <w:kern w:val="0"/>
                <w:szCs w:val="21"/>
                <w:lang w:bidi="ar"/>
              </w:rPr>
              <w:t>总价</w:t>
            </w:r>
          </w:p>
          <w:p w14:paraId="48774249">
            <w:pPr>
              <w:widowControl/>
              <w:adjustRightInd w:val="0"/>
              <w:snapToGrid w:val="0"/>
              <w:jc w:val="center"/>
              <w:textAlignment w:val="center"/>
              <w:rPr>
                <w:kern w:val="0"/>
                <w:szCs w:val="21"/>
                <w:lang w:bidi="ar"/>
              </w:rPr>
            </w:pPr>
            <w:r>
              <w:rPr>
                <w:kern w:val="0"/>
                <w:szCs w:val="21"/>
                <w:lang w:bidi="ar"/>
              </w:rPr>
              <w:t>（单位：元）</w:t>
            </w:r>
          </w:p>
        </w:tc>
      </w:tr>
      <w:tr w14:paraId="6CFD54D0">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284BE3CA">
            <w:pPr>
              <w:widowControl/>
              <w:jc w:val="center"/>
              <w:textAlignment w:val="center"/>
              <w:rPr>
                <w:kern w:val="0"/>
                <w:szCs w:val="21"/>
                <w:lang w:bidi="ar"/>
              </w:rPr>
            </w:pPr>
            <w:r>
              <w:rPr>
                <w:kern w:val="0"/>
                <w:szCs w:val="21"/>
                <w:lang w:bidi="ar"/>
              </w:rPr>
              <w:t>1</w:t>
            </w:r>
          </w:p>
        </w:tc>
        <w:tc>
          <w:tcPr>
            <w:tcW w:w="3210" w:type="dxa"/>
            <w:tcBorders>
              <w:top w:val="single" w:color="auto" w:sz="4" w:space="0"/>
              <w:left w:val="single" w:color="auto" w:sz="4" w:space="0"/>
              <w:bottom w:val="single" w:color="auto" w:sz="4" w:space="0"/>
              <w:right w:val="single" w:color="auto" w:sz="4" w:space="0"/>
            </w:tcBorders>
            <w:vAlign w:val="center"/>
          </w:tcPr>
          <w:p w14:paraId="026E769B">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62C8D0F4">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4D0506C5">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54E19426">
            <w:pPr>
              <w:widowControl/>
              <w:jc w:val="center"/>
              <w:textAlignment w:val="center"/>
              <w:rPr>
                <w:kern w:val="0"/>
                <w:szCs w:val="21"/>
                <w:lang w:bidi="ar"/>
              </w:rPr>
            </w:pPr>
          </w:p>
        </w:tc>
      </w:tr>
      <w:tr w14:paraId="31378163">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4DAB95B0">
            <w:pPr>
              <w:widowControl/>
              <w:jc w:val="center"/>
              <w:textAlignment w:val="center"/>
              <w:rPr>
                <w:kern w:val="0"/>
                <w:szCs w:val="21"/>
                <w:lang w:bidi="ar"/>
              </w:rPr>
            </w:pPr>
            <w:r>
              <w:rPr>
                <w:kern w:val="0"/>
                <w:szCs w:val="21"/>
                <w:lang w:bidi="ar"/>
              </w:rPr>
              <w:t>2</w:t>
            </w:r>
          </w:p>
        </w:tc>
        <w:tc>
          <w:tcPr>
            <w:tcW w:w="3210" w:type="dxa"/>
            <w:tcBorders>
              <w:top w:val="single" w:color="auto" w:sz="4" w:space="0"/>
              <w:left w:val="single" w:color="auto" w:sz="4" w:space="0"/>
              <w:bottom w:val="single" w:color="auto" w:sz="4" w:space="0"/>
              <w:right w:val="single" w:color="auto" w:sz="4" w:space="0"/>
            </w:tcBorders>
            <w:vAlign w:val="center"/>
          </w:tcPr>
          <w:p w14:paraId="4A9A70F4">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21EC2FB0">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7CEE2DC1">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585E3581">
            <w:pPr>
              <w:widowControl/>
              <w:jc w:val="center"/>
              <w:textAlignment w:val="center"/>
              <w:rPr>
                <w:kern w:val="0"/>
                <w:szCs w:val="21"/>
                <w:lang w:bidi="ar"/>
              </w:rPr>
            </w:pPr>
          </w:p>
        </w:tc>
      </w:tr>
      <w:tr w14:paraId="74A45546">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396B7F8B">
            <w:pPr>
              <w:widowControl/>
              <w:jc w:val="center"/>
              <w:textAlignment w:val="center"/>
              <w:rPr>
                <w:kern w:val="0"/>
                <w:szCs w:val="21"/>
                <w:lang w:bidi="ar"/>
              </w:rPr>
            </w:pPr>
            <w:r>
              <w:rPr>
                <w:kern w:val="0"/>
                <w:szCs w:val="21"/>
                <w:lang w:bidi="ar"/>
              </w:rPr>
              <w:t>3</w:t>
            </w:r>
          </w:p>
        </w:tc>
        <w:tc>
          <w:tcPr>
            <w:tcW w:w="3210" w:type="dxa"/>
            <w:tcBorders>
              <w:top w:val="single" w:color="auto" w:sz="4" w:space="0"/>
              <w:left w:val="single" w:color="auto" w:sz="4" w:space="0"/>
              <w:bottom w:val="single" w:color="auto" w:sz="4" w:space="0"/>
              <w:right w:val="single" w:color="auto" w:sz="4" w:space="0"/>
            </w:tcBorders>
            <w:vAlign w:val="center"/>
          </w:tcPr>
          <w:p w14:paraId="6C08C365">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273CF9F8">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694E77BB">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02543C92">
            <w:pPr>
              <w:widowControl/>
              <w:jc w:val="center"/>
              <w:textAlignment w:val="center"/>
              <w:rPr>
                <w:kern w:val="0"/>
                <w:szCs w:val="21"/>
                <w:lang w:bidi="ar"/>
              </w:rPr>
            </w:pPr>
          </w:p>
        </w:tc>
      </w:tr>
      <w:tr w14:paraId="4E3A3B9E">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5F684D06">
            <w:pPr>
              <w:widowControl/>
              <w:jc w:val="center"/>
              <w:textAlignment w:val="center"/>
              <w:rPr>
                <w:kern w:val="0"/>
                <w:szCs w:val="21"/>
                <w:lang w:bidi="ar"/>
              </w:rPr>
            </w:pPr>
            <w:r>
              <w:rPr>
                <w:kern w:val="0"/>
                <w:szCs w:val="21"/>
                <w:lang w:bidi="ar"/>
              </w:rPr>
              <w:t>4</w:t>
            </w:r>
          </w:p>
        </w:tc>
        <w:tc>
          <w:tcPr>
            <w:tcW w:w="3210" w:type="dxa"/>
            <w:tcBorders>
              <w:top w:val="single" w:color="auto" w:sz="4" w:space="0"/>
              <w:left w:val="single" w:color="auto" w:sz="4" w:space="0"/>
              <w:bottom w:val="single" w:color="auto" w:sz="4" w:space="0"/>
              <w:right w:val="single" w:color="auto" w:sz="4" w:space="0"/>
            </w:tcBorders>
            <w:vAlign w:val="center"/>
          </w:tcPr>
          <w:p w14:paraId="3F5FD3FE">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5A5497EE">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7A556B6F">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3A0789B2">
            <w:pPr>
              <w:widowControl/>
              <w:jc w:val="center"/>
              <w:textAlignment w:val="center"/>
              <w:rPr>
                <w:kern w:val="0"/>
                <w:szCs w:val="21"/>
                <w:lang w:bidi="ar"/>
              </w:rPr>
            </w:pPr>
          </w:p>
        </w:tc>
      </w:tr>
      <w:tr w14:paraId="45B5F6F8">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2B0E00F4">
            <w:pPr>
              <w:widowControl/>
              <w:jc w:val="center"/>
              <w:textAlignment w:val="center"/>
              <w:rPr>
                <w:kern w:val="0"/>
                <w:szCs w:val="21"/>
                <w:lang w:bidi="ar"/>
              </w:rPr>
            </w:pPr>
            <w:r>
              <w:rPr>
                <w:kern w:val="0"/>
                <w:szCs w:val="21"/>
                <w:lang w:bidi="ar"/>
              </w:rPr>
              <w:t>5</w:t>
            </w:r>
          </w:p>
        </w:tc>
        <w:tc>
          <w:tcPr>
            <w:tcW w:w="3210" w:type="dxa"/>
            <w:tcBorders>
              <w:top w:val="single" w:color="auto" w:sz="4" w:space="0"/>
              <w:left w:val="single" w:color="auto" w:sz="4" w:space="0"/>
              <w:bottom w:val="single" w:color="auto" w:sz="4" w:space="0"/>
              <w:right w:val="single" w:color="auto" w:sz="4" w:space="0"/>
            </w:tcBorders>
            <w:vAlign w:val="center"/>
          </w:tcPr>
          <w:p w14:paraId="53476156">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746E1221">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3DBA7FCA">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36C52F57">
            <w:pPr>
              <w:widowControl/>
              <w:jc w:val="center"/>
              <w:textAlignment w:val="center"/>
              <w:rPr>
                <w:kern w:val="0"/>
                <w:szCs w:val="21"/>
                <w:lang w:bidi="ar"/>
              </w:rPr>
            </w:pPr>
          </w:p>
        </w:tc>
      </w:tr>
      <w:tr w14:paraId="119FFA76">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70D0642E">
            <w:pPr>
              <w:widowControl/>
              <w:jc w:val="center"/>
              <w:textAlignment w:val="center"/>
              <w:rPr>
                <w:kern w:val="0"/>
                <w:szCs w:val="21"/>
                <w:lang w:bidi="ar"/>
              </w:rPr>
            </w:pPr>
            <w:r>
              <w:rPr>
                <w:kern w:val="0"/>
                <w:szCs w:val="21"/>
                <w:lang w:bidi="ar"/>
              </w:rPr>
              <w:t>6</w:t>
            </w:r>
          </w:p>
        </w:tc>
        <w:tc>
          <w:tcPr>
            <w:tcW w:w="3210" w:type="dxa"/>
            <w:tcBorders>
              <w:top w:val="single" w:color="auto" w:sz="4" w:space="0"/>
              <w:left w:val="single" w:color="auto" w:sz="4" w:space="0"/>
              <w:bottom w:val="single" w:color="auto" w:sz="4" w:space="0"/>
              <w:right w:val="single" w:color="auto" w:sz="4" w:space="0"/>
            </w:tcBorders>
            <w:vAlign w:val="center"/>
          </w:tcPr>
          <w:p w14:paraId="05A01B9F">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6A504D3E">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25B0435A">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7614A8E3">
            <w:pPr>
              <w:widowControl/>
              <w:jc w:val="center"/>
              <w:textAlignment w:val="center"/>
              <w:rPr>
                <w:kern w:val="0"/>
                <w:szCs w:val="21"/>
                <w:lang w:bidi="ar"/>
              </w:rPr>
            </w:pPr>
          </w:p>
        </w:tc>
      </w:tr>
      <w:tr w14:paraId="612A394D">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41584D38">
            <w:pPr>
              <w:widowControl/>
              <w:jc w:val="center"/>
              <w:textAlignment w:val="center"/>
              <w:rPr>
                <w:kern w:val="0"/>
                <w:szCs w:val="21"/>
                <w:lang w:bidi="ar"/>
              </w:rPr>
            </w:pPr>
            <w:r>
              <w:rPr>
                <w:kern w:val="0"/>
                <w:szCs w:val="21"/>
                <w:lang w:bidi="ar"/>
              </w:rPr>
              <w:t>7</w:t>
            </w:r>
          </w:p>
        </w:tc>
        <w:tc>
          <w:tcPr>
            <w:tcW w:w="3210" w:type="dxa"/>
            <w:tcBorders>
              <w:top w:val="single" w:color="auto" w:sz="4" w:space="0"/>
              <w:left w:val="single" w:color="auto" w:sz="4" w:space="0"/>
              <w:bottom w:val="single" w:color="auto" w:sz="4" w:space="0"/>
              <w:right w:val="single" w:color="auto" w:sz="4" w:space="0"/>
            </w:tcBorders>
            <w:vAlign w:val="center"/>
          </w:tcPr>
          <w:p w14:paraId="73973AB4">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0BB3F1AC">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114B04B7">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0600A0EC">
            <w:pPr>
              <w:widowControl/>
              <w:jc w:val="center"/>
              <w:textAlignment w:val="center"/>
              <w:rPr>
                <w:kern w:val="0"/>
                <w:szCs w:val="21"/>
                <w:lang w:bidi="ar"/>
              </w:rPr>
            </w:pPr>
          </w:p>
        </w:tc>
      </w:tr>
      <w:tr w14:paraId="76BCC733">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2BE52853">
            <w:pPr>
              <w:widowControl/>
              <w:jc w:val="center"/>
              <w:textAlignment w:val="center"/>
              <w:rPr>
                <w:kern w:val="0"/>
                <w:szCs w:val="21"/>
                <w:lang w:bidi="ar"/>
              </w:rPr>
            </w:pPr>
            <w:r>
              <w:rPr>
                <w:kern w:val="0"/>
                <w:szCs w:val="21"/>
                <w:lang w:bidi="ar"/>
              </w:rPr>
              <w:t>8</w:t>
            </w:r>
          </w:p>
        </w:tc>
        <w:tc>
          <w:tcPr>
            <w:tcW w:w="3210" w:type="dxa"/>
            <w:tcBorders>
              <w:top w:val="single" w:color="auto" w:sz="4" w:space="0"/>
              <w:left w:val="single" w:color="auto" w:sz="4" w:space="0"/>
              <w:bottom w:val="single" w:color="auto" w:sz="4" w:space="0"/>
              <w:right w:val="single" w:color="auto" w:sz="4" w:space="0"/>
            </w:tcBorders>
            <w:vAlign w:val="center"/>
          </w:tcPr>
          <w:p w14:paraId="1148BA78">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2E26378E">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0B2E11A4">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016765E6">
            <w:pPr>
              <w:widowControl/>
              <w:jc w:val="center"/>
              <w:textAlignment w:val="center"/>
              <w:rPr>
                <w:kern w:val="0"/>
                <w:szCs w:val="21"/>
                <w:lang w:bidi="ar"/>
              </w:rPr>
            </w:pPr>
          </w:p>
        </w:tc>
      </w:tr>
      <w:tr w14:paraId="3B6BE910">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4332D488">
            <w:pPr>
              <w:widowControl/>
              <w:jc w:val="center"/>
              <w:textAlignment w:val="center"/>
              <w:rPr>
                <w:kern w:val="0"/>
                <w:szCs w:val="21"/>
                <w:lang w:bidi="ar"/>
              </w:rPr>
            </w:pPr>
            <w:r>
              <w:rPr>
                <w:kern w:val="0"/>
                <w:szCs w:val="21"/>
                <w:lang w:bidi="ar"/>
              </w:rPr>
              <w:t>9</w:t>
            </w:r>
          </w:p>
        </w:tc>
        <w:tc>
          <w:tcPr>
            <w:tcW w:w="3210" w:type="dxa"/>
            <w:tcBorders>
              <w:top w:val="single" w:color="auto" w:sz="4" w:space="0"/>
              <w:left w:val="single" w:color="auto" w:sz="4" w:space="0"/>
              <w:bottom w:val="single" w:color="auto" w:sz="4" w:space="0"/>
              <w:right w:val="single" w:color="auto" w:sz="4" w:space="0"/>
            </w:tcBorders>
            <w:vAlign w:val="center"/>
          </w:tcPr>
          <w:p w14:paraId="10104518">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5B375B78">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75BCFBCF">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6E151FA5">
            <w:pPr>
              <w:widowControl/>
              <w:jc w:val="center"/>
              <w:textAlignment w:val="center"/>
              <w:rPr>
                <w:kern w:val="0"/>
                <w:szCs w:val="21"/>
                <w:lang w:bidi="ar"/>
              </w:rPr>
            </w:pPr>
          </w:p>
        </w:tc>
      </w:tr>
      <w:tr w14:paraId="25F2EA5F">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35D8E8D9">
            <w:pPr>
              <w:widowControl/>
              <w:jc w:val="center"/>
              <w:textAlignment w:val="center"/>
              <w:rPr>
                <w:kern w:val="0"/>
                <w:szCs w:val="21"/>
                <w:lang w:bidi="ar"/>
              </w:rPr>
            </w:pPr>
            <w:r>
              <w:rPr>
                <w:kern w:val="0"/>
                <w:szCs w:val="21"/>
                <w:lang w:bidi="ar"/>
              </w:rPr>
              <w:t>10</w:t>
            </w:r>
          </w:p>
        </w:tc>
        <w:tc>
          <w:tcPr>
            <w:tcW w:w="3210" w:type="dxa"/>
            <w:tcBorders>
              <w:top w:val="single" w:color="auto" w:sz="4" w:space="0"/>
              <w:left w:val="single" w:color="auto" w:sz="4" w:space="0"/>
              <w:bottom w:val="single" w:color="auto" w:sz="4" w:space="0"/>
              <w:right w:val="single" w:color="auto" w:sz="4" w:space="0"/>
            </w:tcBorders>
            <w:vAlign w:val="center"/>
          </w:tcPr>
          <w:p w14:paraId="5D69A519">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38EF88DF">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5862B637">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5DF548B3">
            <w:pPr>
              <w:widowControl/>
              <w:jc w:val="center"/>
              <w:textAlignment w:val="center"/>
              <w:rPr>
                <w:kern w:val="0"/>
                <w:szCs w:val="21"/>
                <w:lang w:bidi="ar"/>
              </w:rPr>
            </w:pPr>
          </w:p>
        </w:tc>
      </w:tr>
      <w:tr w14:paraId="29179E42">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73161533">
            <w:pPr>
              <w:widowControl/>
              <w:jc w:val="center"/>
              <w:textAlignment w:val="center"/>
              <w:rPr>
                <w:kern w:val="0"/>
                <w:szCs w:val="21"/>
                <w:lang w:bidi="ar"/>
              </w:rPr>
            </w:pPr>
            <w:r>
              <w:rPr>
                <w:kern w:val="0"/>
                <w:szCs w:val="21"/>
                <w:lang w:bidi="ar"/>
              </w:rPr>
              <w:t>11</w:t>
            </w:r>
          </w:p>
        </w:tc>
        <w:tc>
          <w:tcPr>
            <w:tcW w:w="3210" w:type="dxa"/>
            <w:tcBorders>
              <w:top w:val="single" w:color="auto" w:sz="4" w:space="0"/>
              <w:left w:val="single" w:color="auto" w:sz="4" w:space="0"/>
              <w:bottom w:val="single" w:color="auto" w:sz="4" w:space="0"/>
              <w:right w:val="single" w:color="auto" w:sz="4" w:space="0"/>
            </w:tcBorders>
            <w:vAlign w:val="center"/>
          </w:tcPr>
          <w:p w14:paraId="31384BCD">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57C0BE21">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184ADCD8">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0B0710AE">
            <w:pPr>
              <w:widowControl/>
              <w:jc w:val="center"/>
              <w:textAlignment w:val="center"/>
              <w:rPr>
                <w:kern w:val="0"/>
                <w:szCs w:val="21"/>
                <w:lang w:bidi="ar"/>
              </w:rPr>
            </w:pPr>
          </w:p>
        </w:tc>
      </w:tr>
      <w:tr w14:paraId="722F8F1B">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0A1F028D">
            <w:pPr>
              <w:widowControl/>
              <w:jc w:val="center"/>
              <w:textAlignment w:val="center"/>
              <w:rPr>
                <w:kern w:val="0"/>
                <w:szCs w:val="21"/>
                <w:lang w:bidi="ar"/>
              </w:rPr>
            </w:pPr>
            <w:r>
              <w:rPr>
                <w:kern w:val="0"/>
                <w:szCs w:val="21"/>
                <w:lang w:bidi="ar"/>
              </w:rPr>
              <w:t>12</w:t>
            </w:r>
          </w:p>
        </w:tc>
        <w:tc>
          <w:tcPr>
            <w:tcW w:w="3210" w:type="dxa"/>
            <w:tcBorders>
              <w:top w:val="single" w:color="auto" w:sz="4" w:space="0"/>
              <w:left w:val="single" w:color="auto" w:sz="4" w:space="0"/>
              <w:bottom w:val="single" w:color="auto" w:sz="4" w:space="0"/>
              <w:right w:val="single" w:color="auto" w:sz="4" w:space="0"/>
            </w:tcBorders>
            <w:vAlign w:val="center"/>
          </w:tcPr>
          <w:p w14:paraId="62B19404">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51885184">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75AC1CA7">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66D41B7E">
            <w:pPr>
              <w:widowControl/>
              <w:jc w:val="center"/>
              <w:textAlignment w:val="center"/>
              <w:rPr>
                <w:kern w:val="0"/>
                <w:szCs w:val="21"/>
                <w:lang w:bidi="ar"/>
              </w:rPr>
            </w:pPr>
          </w:p>
        </w:tc>
      </w:tr>
      <w:tr w14:paraId="5553AD5D">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2591F2F3">
            <w:pPr>
              <w:widowControl/>
              <w:jc w:val="center"/>
              <w:textAlignment w:val="center"/>
              <w:rPr>
                <w:kern w:val="0"/>
                <w:szCs w:val="21"/>
                <w:lang w:bidi="ar"/>
              </w:rPr>
            </w:pPr>
            <w:r>
              <w:rPr>
                <w:kern w:val="0"/>
                <w:szCs w:val="21"/>
                <w:lang w:bidi="ar"/>
              </w:rPr>
              <w:t>13</w:t>
            </w:r>
          </w:p>
        </w:tc>
        <w:tc>
          <w:tcPr>
            <w:tcW w:w="3210" w:type="dxa"/>
            <w:tcBorders>
              <w:top w:val="single" w:color="auto" w:sz="4" w:space="0"/>
              <w:left w:val="single" w:color="auto" w:sz="4" w:space="0"/>
              <w:bottom w:val="single" w:color="auto" w:sz="4" w:space="0"/>
              <w:right w:val="single" w:color="auto" w:sz="4" w:space="0"/>
            </w:tcBorders>
            <w:vAlign w:val="center"/>
          </w:tcPr>
          <w:p w14:paraId="6B221CBB">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16B52494">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3E48F1F2">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0F76A2E4">
            <w:pPr>
              <w:widowControl/>
              <w:jc w:val="center"/>
              <w:textAlignment w:val="center"/>
              <w:rPr>
                <w:kern w:val="0"/>
                <w:szCs w:val="21"/>
                <w:lang w:bidi="ar"/>
              </w:rPr>
            </w:pPr>
          </w:p>
        </w:tc>
      </w:tr>
      <w:tr w14:paraId="3D6FD150">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062EACE5">
            <w:pPr>
              <w:widowControl/>
              <w:jc w:val="center"/>
              <w:textAlignment w:val="center"/>
              <w:rPr>
                <w:kern w:val="0"/>
                <w:szCs w:val="21"/>
                <w:lang w:bidi="ar"/>
              </w:rPr>
            </w:pPr>
            <w:r>
              <w:rPr>
                <w:kern w:val="0"/>
                <w:szCs w:val="21"/>
                <w:lang w:bidi="ar"/>
              </w:rPr>
              <w:t>14</w:t>
            </w:r>
          </w:p>
        </w:tc>
        <w:tc>
          <w:tcPr>
            <w:tcW w:w="3210" w:type="dxa"/>
            <w:tcBorders>
              <w:top w:val="single" w:color="auto" w:sz="4" w:space="0"/>
              <w:left w:val="single" w:color="auto" w:sz="4" w:space="0"/>
              <w:bottom w:val="single" w:color="auto" w:sz="4" w:space="0"/>
              <w:right w:val="single" w:color="auto" w:sz="4" w:space="0"/>
            </w:tcBorders>
            <w:vAlign w:val="center"/>
          </w:tcPr>
          <w:p w14:paraId="47AB7414">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17910786">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31DA5481">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1FE8B4E1">
            <w:pPr>
              <w:widowControl/>
              <w:jc w:val="center"/>
              <w:textAlignment w:val="center"/>
              <w:rPr>
                <w:kern w:val="0"/>
                <w:szCs w:val="21"/>
                <w:lang w:bidi="ar"/>
              </w:rPr>
            </w:pPr>
          </w:p>
        </w:tc>
      </w:tr>
      <w:tr w14:paraId="75F2F8F0">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05BDBF09">
            <w:pPr>
              <w:widowControl/>
              <w:jc w:val="center"/>
              <w:textAlignment w:val="center"/>
              <w:rPr>
                <w:kern w:val="0"/>
                <w:szCs w:val="21"/>
                <w:lang w:bidi="ar"/>
              </w:rPr>
            </w:pPr>
            <w:r>
              <w:rPr>
                <w:kern w:val="0"/>
                <w:szCs w:val="21"/>
                <w:lang w:bidi="ar"/>
              </w:rPr>
              <w:t>15</w:t>
            </w:r>
          </w:p>
        </w:tc>
        <w:tc>
          <w:tcPr>
            <w:tcW w:w="3210" w:type="dxa"/>
            <w:tcBorders>
              <w:top w:val="single" w:color="auto" w:sz="4" w:space="0"/>
              <w:left w:val="single" w:color="auto" w:sz="4" w:space="0"/>
              <w:bottom w:val="single" w:color="auto" w:sz="4" w:space="0"/>
              <w:right w:val="single" w:color="auto" w:sz="4" w:space="0"/>
            </w:tcBorders>
            <w:vAlign w:val="center"/>
          </w:tcPr>
          <w:p w14:paraId="5B566EFF">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1DED055B">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28F329EF">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139C804E">
            <w:pPr>
              <w:widowControl/>
              <w:jc w:val="center"/>
              <w:textAlignment w:val="center"/>
              <w:rPr>
                <w:kern w:val="0"/>
                <w:szCs w:val="21"/>
                <w:lang w:bidi="ar"/>
              </w:rPr>
            </w:pPr>
          </w:p>
        </w:tc>
      </w:tr>
      <w:tr w14:paraId="398FF31E">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05450FC5">
            <w:pPr>
              <w:widowControl/>
              <w:jc w:val="center"/>
              <w:textAlignment w:val="center"/>
              <w:rPr>
                <w:kern w:val="0"/>
                <w:szCs w:val="21"/>
                <w:lang w:bidi="ar"/>
              </w:rPr>
            </w:pPr>
            <w:r>
              <w:rPr>
                <w:kern w:val="0"/>
                <w:szCs w:val="21"/>
                <w:lang w:bidi="ar"/>
              </w:rPr>
              <w:t>16</w:t>
            </w:r>
          </w:p>
        </w:tc>
        <w:tc>
          <w:tcPr>
            <w:tcW w:w="3210" w:type="dxa"/>
            <w:tcBorders>
              <w:top w:val="single" w:color="auto" w:sz="4" w:space="0"/>
              <w:left w:val="single" w:color="auto" w:sz="4" w:space="0"/>
              <w:bottom w:val="single" w:color="auto" w:sz="4" w:space="0"/>
              <w:right w:val="single" w:color="auto" w:sz="4" w:space="0"/>
            </w:tcBorders>
            <w:vAlign w:val="center"/>
          </w:tcPr>
          <w:p w14:paraId="457AA05A">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0C6687D9">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54763991">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568B502F">
            <w:pPr>
              <w:widowControl/>
              <w:jc w:val="center"/>
              <w:textAlignment w:val="center"/>
              <w:rPr>
                <w:kern w:val="0"/>
                <w:szCs w:val="21"/>
                <w:lang w:bidi="ar"/>
              </w:rPr>
            </w:pPr>
          </w:p>
        </w:tc>
      </w:tr>
      <w:tr w14:paraId="6D82EF55">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626E89C8">
            <w:pPr>
              <w:widowControl/>
              <w:jc w:val="center"/>
              <w:textAlignment w:val="center"/>
              <w:rPr>
                <w:kern w:val="0"/>
                <w:szCs w:val="21"/>
                <w:lang w:bidi="ar"/>
              </w:rPr>
            </w:pPr>
            <w:r>
              <w:rPr>
                <w:kern w:val="0"/>
                <w:szCs w:val="21"/>
                <w:lang w:bidi="ar"/>
              </w:rPr>
              <w:t>17</w:t>
            </w:r>
          </w:p>
        </w:tc>
        <w:tc>
          <w:tcPr>
            <w:tcW w:w="3210" w:type="dxa"/>
            <w:tcBorders>
              <w:top w:val="single" w:color="auto" w:sz="4" w:space="0"/>
              <w:left w:val="single" w:color="auto" w:sz="4" w:space="0"/>
              <w:bottom w:val="single" w:color="auto" w:sz="4" w:space="0"/>
              <w:right w:val="single" w:color="auto" w:sz="4" w:space="0"/>
            </w:tcBorders>
            <w:vAlign w:val="center"/>
          </w:tcPr>
          <w:p w14:paraId="45A8AD39">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730A4F4D">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6D9136E1">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76F343F4">
            <w:pPr>
              <w:widowControl/>
              <w:jc w:val="center"/>
              <w:textAlignment w:val="center"/>
              <w:rPr>
                <w:kern w:val="0"/>
                <w:szCs w:val="21"/>
                <w:lang w:bidi="ar"/>
              </w:rPr>
            </w:pPr>
          </w:p>
        </w:tc>
      </w:tr>
      <w:tr w14:paraId="30555610">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53248E48">
            <w:pPr>
              <w:widowControl/>
              <w:jc w:val="center"/>
              <w:textAlignment w:val="center"/>
              <w:rPr>
                <w:kern w:val="0"/>
                <w:szCs w:val="21"/>
                <w:lang w:bidi="ar"/>
              </w:rPr>
            </w:pPr>
            <w:r>
              <w:rPr>
                <w:kern w:val="0"/>
                <w:szCs w:val="21"/>
                <w:lang w:bidi="ar"/>
              </w:rPr>
              <w:t>18</w:t>
            </w:r>
          </w:p>
        </w:tc>
        <w:tc>
          <w:tcPr>
            <w:tcW w:w="3210" w:type="dxa"/>
            <w:tcBorders>
              <w:top w:val="single" w:color="auto" w:sz="4" w:space="0"/>
              <w:left w:val="single" w:color="auto" w:sz="4" w:space="0"/>
              <w:bottom w:val="single" w:color="auto" w:sz="4" w:space="0"/>
              <w:right w:val="single" w:color="auto" w:sz="4" w:space="0"/>
            </w:tcBorders>
            <w:vAlign w:val="center"/>
          </w:tcPr>
          <w:p w14:paraId="3C734A7B">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2DFD20DC">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62E25908">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207E8231">
            <w:pPr>
              <w:widowControl/>
              <w:jc w:val="center"/>
              <w:textAlignment w:val="center"/>
              <w:rPr>
                <w:kern w:val="0"/>
                <w:szCs w:val="21"/>
                <w:lang w:bidi="ar"/>
              </w:rPr>
            </w:pPr>
          </w:p>
        </w:tc>
      </w:tr>
      <w:tr w14:paraId="31E9C6C7">
        <w:tblPrEx>
          <w:tblCellMar>
            <w:top w:w="15" w:type="dxa"/>
            <w:left w:w="15" w:type="dxa"/>
            <w:bottom w:w="15" w:type="dxa"/>
            <w:right w:w="15" w:type="dxa"/>
          </w:tblCellMar>
        </w:tblPrEx>
        <w:trPr>
          <w:trHeight w:val="454" w:hRule="atLeast"/>
          <w:jc w:val="center"/>
        </w:trPr>
        <w:tc>
          <w:tcPr>
            <w:tcW w:w="3895" w:type="dxa"/>
            <w:gridSpan w:val="2"/>
            <w:tcBorders>
              <w:top w:val="single" w:color="auto" w:sz="4" w:space="0"/>
              <w:left w:val="single" w:color="auto" w:sz="4" w:space="0"/>
              <w:bottom w:val="single" w:color="auto" w:sz="4" w:space="0"/>
              <w:right w:val="single" w:color="auto" w:sz="4" w:space="0"/>
            </w:tcBorders>
            <w:vAlign w:val="center"/>
          </w:tcPr>
          <w:p w14:paraId="54D3697F">
            <w:pPr>
              <w:widowControl/>
              <w:jc w:val="center"/>
              <w:textAlignment w:val="center"/>
              <w:rPr>
                <w:kern w:val="0"/>
                <w:szCs w:val="21"/>
                <w:lang w:bidi="ar"/>
              </w:rPr>
            </w:pPr>
            <w:r>
              <w:rPr>
                <w:kern w:val="0"/>
                <w:szCs w:val="21"/>
                <w:lang w:bidi="ar"/>
              </w:rPr>
              <w:t>合计</w:t>
            </w:r>
          </w:p>
        </w:tc>
        <w:tc>
          <w:tcPr>
            <w:tcW w:w="1170" w:type="dxa"/>
            <w:tcBorders>
              <w:top w:val="single" w:color="auto" w:sz="4" w:space="0"/>
              <w:left w:val="single" w:color="auto" w:sz="4" w:space="0"/>
              <w:bottom w:val="single" w:color="auto" w:sz="4" w:space="0"/>
              <w:right w:val="single" w:color="auto" w:sz="4" w:space="0"/>
            </w:tcBorders>
            <w:vAlign w:val="center"/>
          </w:tcPr>
          <w:p w14:paraId="4D830421">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36423B68">
            <w:pPr>
              <w:jc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25EDE152">
            <w:pPr>
              <w:widowControl/>
              <w:jc w:val="center"/>
              <w:textAlignment w:val="center"/>
              <w:rPr>
                <w:kern w:val="0"/>
                <w:szCs w:val="21"/>
                <w:lang w:bidi="ar"/>
              </w:rPr>
            </w:pPr>
          </w:p>
        </w:tc>
      </w:tr>
    </w:tbl>
    <w:p w14:paraId="707B9EC6">
      <w:pPr>
        <w:rPr>
          <w:rFonts w:eastAsia="仿宋_GB2312"/>
          <w:sz w:val="24"/>
        </w:rPr>
      </w:pPr>
    </w:p>
    <w:p w14:paraId="51871401">
      <w:pPr>
        <w:widowControl/>
      </w:pPr>
    </w:p>
    <w:p w14:paraId="461750CA">
      <w:pPr>
        <w:spacing w:after="120" w:line="480" w:lineRule="exact"/>
        <w:ind w:left="420" w:leftChars="200" w:firstLine="480" w:firstLineChars="200"/>
        <w:rPr>
          <w:sz w:val="24"/>
          <w:szCs w:val="20"/>
        </w:rPr>
      </w:pPr>
    </w:p>
    <w:p w14:paraId="07833AD7">
      <w:pPr>
        <w:spacing w:after="120" w:line="480" w:lineRule="exact"/>
        <w:ind w:left="420" w:leftChars="200" w:firstLine="480" w:firstLineChars="200"/>
        <w:rPr>
          <w:sz w:val="24"/>
          <w:szCs w:val="20"/>
        </w:rPr>
      </w:pPr>
    </w:p>
    <w:p w14:paraId="5074FB55">
      <w:pPr>
        <w:spacing w:after="120" w:line="480" w:lineRule="exact"/>
        <w:ind w:left="420" w:leftChars="200" w:firstLine="480" w:firstLineChars="200"/>
        <w:rPr>
          <w:sz w:val="24"/>
          <w:szCs w:val="20"/>
        </w:rPr>
      </w:pPr>
    </w:p>
    <w:p w14:paraId="32DAD2AF">
      <w:pPr>
        <w:rPr>
          <w:b/>
          <w:bCs/>
          <w:sz w:val="24"/>
        </w:rPr>
      </w:pPr>
    </w:p>
    <w:p w14:paraId="0FD13F25">
      <w:pPr>
        <w:rPr>
          <w:b/>
          <w:bCs/>
          <w:sz w:val="24"/>
        </w:rPr>
      </w:pPr>
    </w:p>
    <w:p w14:paraId="6970316D">
      <w:pPr>
        <w:rPr>
          <w:b/>
          <w:bCs/>
          <w:sz w:val="24"/>
        </w:rPr>
      </w:pPr>
      <w:r>
        <w:rPr>
          <w:b/>
          <w:bCs/>
          <w:sz w:val="24"/>
        </w:rPr>
        <w:t>附件</w:t>
      </w:r>
      <w:r>
        <w:rPr>
          <w:rFonts w:hint="eastAsia"/>
          <w:b/>
          <w:bCs/>
          <w:sz w:val="24"/>
        </w:rPr>
        <w:t>3</w:t>
      </w:r>
      <w:r>
        <w:rPr>
          <w:b/>
          <w:bCs/>
          <w:sz w:val="24"/>
        </w:rPr>
        <w:t>：</w:t>
      </w:r>
    </w:p>
    <w:p w14:paraId="10250B47">
      <w:pPr>
        <w:jc w:val="center"/>
        <w:rPr>
          <w:b/>
          <w:bCs/>
          <w:sz w:val="32"/>
          <w:szCs w:val="32"/>
        </w:rPr>
      </w:pPr>
      <w:r>
        <w:rPr>
          <w:b/>
          <w:bCs/>
          <w:sz w:val="32"/>
          <w:szCs w:val="32"/>
        </w:rPr>
        <w:t>廉政承诺书</w:t>
      </w:r>
    </w:p>
    <w:p w14:paraId="782E4CC0">
      <w:pPr>
        <w:spacing w:line="460" w:lineRule="exact"/>
        <w:ind w:firstLine="480" w:firstLineChars="200"/>
        <w:rPr>
          <w:sz w:val="24"/>
          <w:u w:val="single"/>
        </w:rPr>
      </w:pPr>
      <w:r>
        <w:rPr>
          <w:sz w:val="24"/>
        </w:rPr>
        <w:t>项目/工程名称</w:t>
      </w:r>
      <w:r>
        <w:rPr>
          <w:rFonts w:hint="eastAsia"/>
          <w:sz w:val="24"/>
        </w:rPr>
        <w:t>：</w:t>
      </w:r>
      <w:r>
        <w:rPr>
          <w:rFonts w:hint="eastAsia"/>
          <w:sz w:val="24"/>
          <w:u w:val="single"/>
        </w:rPr>
        <w:t xml:space="preserve">                   </w:t>
      </w:r>
    </w:p>
    <w:p w14:paraId="2343572A">
      <w:pPr>
        <w:autoSpaceDE w:val="0"/>
        <w:autoSpaceDN w:val="0"/>
        <w:spacing w:line="460" w:lineRule="exact"/>
        <w:ind w:firstLine="480" w:firstLineChars="200"/>
        <w:jc w:val="left"/>
        <w:rPr>
          <w:kern w:val="0"/>
          <w:sz w:val="24"/>
          <w:u w:val="single"/>
        </w:rPr>
      </w:pPr>
      <w:r>
        <w:rPr>
          <w:kern w:val="0"/>
          <w:sz w:val="24"/>
        </w:rPr>
        <w:t>甲方：</w:t>
      </w:r>
      <w:r>
        <w:rPr>
          <w:kern w:val="0"/>
          <w:sz w:val="24"/>
          <w:u w:val="single"/>
        </w:rPr>
        <w:t xml:space="preserve">北京市地质灾害防治研究所    </w:t>
      </w:r>
    </w:p>
    <w:p w14:paraId="6973B202">
      <w:pPr>
        <w:spacing w:line="460" w:lineRule="exact"/>
        <w:ind w:firstLine="480" w:firstLineChars="200"/>
        <w:rPr>
          <w:kern w:val="0"/>
          <w:sz w:val="24"/>
          <w:u w:val="single"/>
        </w:rPr>
      </w:pPr>
      <w:r>
        <w:rPr>
          <w:kern w:val="0"/>
          <w:sz w:val="24"/>
        </w:rPr>
        <w:t>乙方：</w:t>
      </w:r>
      <w:r>
        <w:rPr>
          <w:rFonts w:hint="eastAsia"/>
          <w:kern w:val="0"/>
          <w:sz w:val="24"/>
          <w:u w:val="single"/>
        </w:rPr>
        <w:t xml:space="preserve">                        </w:t>
      </w:r>
      <w:r>
        <w:rPr>
          <w:kern w:val="0"/>
          <w:sz w:val="24"/>
          <w:u w:val="single"/>
        </w:rPr>
        <w:t xml:space="preserve">    </w:t>
      </w:r>
    </w:p>
    <w:p w14:paraId="1680E912">
      <w:pPr>
        <w:spacing w:line="460" w:lineRule="exact"/>
        <w:ind w:firstLine="480" w:firstLineChars="200"/>
        <w:rPr>
          <w:kern w:val="0"/>
          <w:sz w:val="24"/>
        </w:rPr>
      </w:pPr>
      <w:r>
        <w:rPr>
          <w:kern w:val="0"/>
          <w:sz w:val="24"/>
        </w:rPr>
        <w:t>为加强廉政建设，防止发生谋取不正当利益的违法违纪行为，保护国家、集体和当事人的合法权益，根据国家法律法规和廉洁自律有关规定，特订立本廉政承诺书。</w:t>
      </w:r>
    </w:p>
    <w:p w14:paraId="6A7A120E">
      <w:pPr>
        <w:autoSpaceDE w:val="0"/>
        <w:autoSpaceDN w:val="0"/>
        <w:spacing w:line="460" w:lineRule="exact"/>
        <w:ind w:firstLine="482" w:firstLineChars="200"/>
        <w:rPr>
          <w:kern w:val="0"/>
          <w:sz w:val="24"/>
        </w:rPr>
      </w:pPr>
      <w:r>
        <w:rPr>
          <w:b/>
          <w:bCs/>
          <w:kern w:val="0"/>
          <w:sz w:val="24"/>
        </w:rPr>
        <w:t>一、双方的责任</w:t>
      </w:r>
    </w:p>
    <w:p w14:paraId="68139DF7">
      <w:pPr>
        <w:spacing w:line="460" w:lineRule="exact"/>
        <w:ind w:firstLine="480" w:firstLineChars="200"/>
        <w:rPr>
          <w:kern w:val="0"/>
          <w:sz w:val="24"/>
        </w:rPr>
      </w:pPr>
      <w:r>
        <w:rPr>
          <w:kern w:val="0"/>
          <w:sz w:val="24"/>
        </w:rPr>
        <w:t>1.严格遵守党和国家法律法规的有关规定和廉政建设的各项要求。</w:t>
      </w:r>
    </w:p>
    <w:p w14:paraId="53A008BC">
      <w:pPr>
        <w:spacing w:line="460" w:lineRule="exact"/>
        <w:ind w:firstLine="480" w:firstLineChars="200"/>
        <w:rPr>
          <w:kern w:val="0"/>
          <w:sz w:val="24"/>
        </w:rPr>
      </w:pPr>
      <w:r>
        <w:rPr>
          <w:kern w:val="0"/>
          <w:sz w:val="24"/>
        </w:rPr>
        <w:t>2.严格履行合同约定，自觉按合同办事。</w:t>
      </w:r>
    </w:p>
    <w:p w14:paraId="3D7C05BD">
      <w:pPr>
        <w:autoSpaceDE w:val="0"/>
        <w:autoSpaceDN w:val="0"/>
        <w:spacing w:line="460" w:lineRule="exact"/>
        <w:ind w:firstLine="480" w:firstLineChars="200"/>
        <w:rPr>
          <w:kern w:val="0"/>
          <w:sz w:val="24"/>
        </w:rPr>
      </w:pPr>
      <w:r>
        <w:rPr>
          <w:kern w:val="0"/>
          <w:sz w:val="24"/>
        </w:rPr>
        <w:t>3.坚持公开、公平、公正、诚信、透明的原则（除法律法规另有规定者外），不得为获取不正当的利益损害国家、集体和对方利益，不得违反行业规定、规范和相关法律法规。</w:t>
      </w:r>
    </w:p>
    <w:p w14:paraId="59F4FDA6">
      <w:pPr>
        <w:autoSpaceDE w:val="0"/>
        <w:autoSpaceDN w:val="0"/>
        <w:spacing w:line="460" w:lineRule="exact"/>
        <w:ind w:firstLine="480" w:firstLineChars="200"/>
        <w:rPr>
          <w:kern w:val="0"/>
          <w:sz w:val="24"/>
        </w:rPr>
      </w:pPr>
      <w:r>
        <w:rPr>
          <w:kern w:val="0"/>
          <w:sz w:val="24"/>
        </w:rPr>
        <w:t>4.发现对方在业务活动中有违规、违纪、违法行为的，应及时提醒对方，情节严重的，应向其上级主管部门或纪检监察、司法等有关机关举报。</w:t>
      </w:r>
    </w:p>
    <w:p w14:paraId="26B3A8EA">
      <w:pPr>
        <w:autoSpaceDE w:val="0"/>
        <w:autoSpaceDN w:val="0"/>
        <w:spacing w:line="460" w:lineRule="exact"/>
        <w:ind w:firstLine="482" w:firstLineChars="200"/>
        <w:rPr>
          <w:b/>
          <w:bCs/>
          <w:kern w:val="0"/>
          <w:sz w:val="24"/>
        </w:rPr>
      </w:pPr>
      <w:r>
        <w:rPr>
          <w:b/>
          <w:bCs/>
          <w:kern w:val="0"/>
          <w:sz w:val="24"/>
        </w:rPr>
        <w:t>二、甲方责任</w:t>
      </w:r>
    </w:p>
    <w:p w14:paraId="5563EA27">
      <w:pPr>
        <w:autoSpaceDE w:val="0"/>
        <w:autoSpaceDN w:val="0"/>
        <w:spacing w:line="460" w:lineRule="exact"/>
        <w:ind w:firstLine="480" w:firstLineChars="200"/>
        <w:rPr>
          <w:kern w:val="0"/>
          <w:sz w:val="24"/>
        </w:rPr>
      </w:pPr>
      <w:r>
        <w:rPr>
          <w:kern w:val="0"/>
          <w:sz w:val="24"/>
        </w:rPr>
        <w:t>甲方的领导和具体工作人员，在事前、事中、事后应遵守以下规定：</w:t>
      </w:r>
    </w:p>
    <w:p w14:paraId="751ACF81">
      <w:pPr>
        <w:autoSpaceDE w:val="0"/>
        <w:autoSpaceDN w:val="0"/>
        <w:spacing w:line="460" w:lineRule="exact"/>
        <w:ind w:firstLine="480" w:firstLineChars="200"/>
        <w:rPr>
          <w:kern w:val="0"/>
          <w:sz w:val="24"/>
        </w:rPr>
      </w:pPr>
      <w:r>
        <w:rPr>
          <w:kern w:val="0"/>
          <w:sz w:val="24"/>
        </w:rPr>
        <w:t>1.不得向乙方和相关单位索要或接受回扣、礼金、有价证券、贵重物品和好处费、感谢费等。</w:t>
      </w:r>
    </w:p>
    <w:p w14:paraId="209772F0">
      <w:pPr>
        <w:autoSpaceDE w:val="0"/>
        <w:autoSpaceDN w:val="0"/>
        <w:spacing w:line="460" w:lineRule="exact"/>
        <w:ind w:firstLine="480" w:firstLineChars="200"/>
        <w:rPr>
          <w:kern w:val="0"/>
          <w:sz w:val="24"/>
        </w:rPr>
      </w:pPr>
      <w:r>
        <w:rPr>
          <w:kern w:val="0"/>
          <w:sz w:val="24"/>
        </w:rPr>
        <w:t>2.不得在乙方和相关单位报销任何应由甲方或个人支付的费用。</w:t>
      </w:r>
    </w:p>
    <w:p w14:paraId="6D212A64">
      <w:pPr>
        <w:autoSpaceDE w:val="0"/>
        <w:autoSpaceDN w:val="0"/>
        <w:spacing w:line="460" w:lineRule="exact"/>
        <w:ind w:firstLine="480" w:firstLineChars="200"/>
        <w:rPr>
          <w:kern w:val="0"/>
          <w:sz w:val="24"/>
        </w:rPr>
      </w:pPr>
      <w:r>
        <w:rPr>
          <w:kern w:val="0"/>
          <w:sz w:val="24"/>
        </w:rPr>
        <w:t>3</w:t>
      </w:r>
      <w:r>
        <w:rPr>
          <w:rFonts w:hint="eastAsia"/>
          <w:kern w:val="0"/>
          <w:sz w:val="24"/>
        </w:rPr>
        <w:t>.</w:t>
      </w:r>
      <w:r>
        <w:rPr>
          <w:kern w:val="0"/>
          <w:sz w:val="24"/>
        </w:rPr>
        <w:t>不得要求、暗示或接受乙方和相关单位为个人装修住房、婚丧嫁娶、配偶子女的工作安排以及出国（境）、旅游等提供方便。</w:t>
      </w:r>
    </w:p>
    <w:p w14:paraId="2C6429ED">
      <w:pPr>
        <w:autoSpaceDE w:val="0"/>
        <w:autoSpaceDN w:val="0"/>
        <w:spacing w:line="460" w:lineRule="exact"/>
        <w:ind w:firstLine="480" w:firstLineChars="200"/>
        <w:rPr>
          <w:kern w:val="0"/>
          <w:sz w:val="24"/>
        </w:rPr>
      </w:pPr>
      <w:r>
        <w:rPr>
          <w:kern w:val="0"/>
          <w:sz w:val="24"/>
        </w:rPr>
        <w:t>4.不得以任何理由参加乙方、相关单位或个人组织提供有可能影响公正执行公务的宴请、健身、娱乐等活动。</w:t>
      </w:r>
    </w:p>
    <w:p w14:paraId="19A93CA5">
      <w:pPr>
        <w:autoSpaceDE w:val="0"/>
        <w:autoSpaceDN w:val="0"/>
        <w:spacing w:line="460" w:lineRule="exact"/>
        <w:ind w:firstLine="480" w:firstLineChars="200"/>
        <w:rPr>
          <w:kern w:val="0"/>
          <w:sz w:val="24"/>
        </w:rPr>
      </w:pPr>
      <w:r>
        <w:rPr>
          <w:kern w:val="0"/>
          <w:sz w:val="24"/>
        </w:rPr>
        <w:t>5.不得向乙方和相关单位介绍或为配偶、子女、亲属参与同甲方合同有关的业务活动；不得以任何理由要求乙方和相关单位使用某种产品、材料和设备。</w:t>
      </w:r>
    </w:p>
    <w:p w14:paraId="0C884DBA">
      <w:pPr>
        <w:autoSpaceDE w:val="0"/>
        <w:autoSpaceDN w:val="0"/>
        <w:spacing w:line="460" w:lineRule="exact"/>
        <w:ind w:firstLine="482" w:firstLineChars="200"/>
        <w:rPr>
          <w:kern w:val="0"/>
          <w:sz w:val="24"/>
        </w:rPr>
      </w:pPr>
      <w:r>
        <w:rPr>
          <w:b/>
          <w:bCs/>
          <w:kern w:val="0"/>
          <w:sz w:val="24"/>
        </w:rPr>
        <w:t>三、乙方责任</w:t>
      </w:r>
    </w:p>
    <w:p w14:paraId="641A8C7E">
      <w:pPr>
        <w:autoSpaceDE w:val="0"/>
        <w:autoSpaceDN w:val="0"/>
        <w:spacing w:line="460" w:lineRule="exact"/>
        <w:ind w:firstLine="480" w:firstLineChars="200"/>
        <w:rPr>
          <w:kern w:val="0"/>
          <w:sz w:val="24"/>
        </w:rPr>
      </w:pPr>
      <w:r>
        <w:rPr>
          <w:kern w:val="0"/>
          <w:sz w:val="24"/>
        </w:rPr>
        <w:t>应与甲方保持正常的业务交往，按照有关法律法规和程序开展业务工作，严格执行行业规定、规范和相关法律法规，并遵守以下规定：</w:t>
      </w:r>
    </w:p>
    <w:p w14:paraId="698CB941">
      <w:pPr>
        <w:autoSpaceDE w:val="0"/>
        <w:autoSpaceDN w:val="0"/>
        <w:spacing w:line="460" w:lineRule="exact"/>
        <w:ind w:firstLine="480" w:firstLineChars="200"/>
        <w:rPr>
          <w:kern w:val="0"/>
          <w:sz w:val="24"/>
        </w:rPr>
      </w:pPr>
      <w:r>
        <w:rPr>
          <w:kern w:val="0"/>
          <w:sz w:val="24"/>
        </w:rPr>
        <w:t>1.不得以任何理由向甲方及其工作人员索要、接受或赠送礼金、有价证券、贵重物品及回扣、好处费、感谢费等。</w:t>
      </w:r>
    </w:p>
    <w:p w14:paraId="56ABD9A3">
      <w:pPr>
        <w:autoSpaceDE w:val="0"/>
        <w:autoSpaceDN w:val="0"/>
        <w:spacing w:line="460" w:lineRule="exact"/>
        <w:ind w:firstLine="480" w:firstLineChars="200"/>
        <w:rPr>
          <w:kern w:val="0"/>
          <w:sz w:val="24"/>
        </w:rPr>
      </w:pPr>
      <w:r>
        <w:rPr>
          <w:kern w:val="0"/>
          <w:sz w:val="24"/>
        </w:rPr>
        <w:t>2.不得以任何理由为甲方和相关单位报销应由对方或个人支付的费用。</w:t>
      </w:r>
    </w:p>
    <w:p w14:paraId="19C9390E">
      <w:pPr>
        <w:autoSpaceDE w:val="0"/>
        <w:autoSpaceDN w:val="0"/>
        <w:spacing w:line="460" w:lineRule="exact"/>
        <w:ind w:firstLine="480" w:firstLineChars="200"/>
        <w:rPr>
          <w:kern w:val="0"/>
          <w:sz w:val="24"/>
        </w:rPr>
      </w:pPr>
      <w:r>
        <w:rPr>
          <w:kern w:val="0"/>
          <w:sz w:val="24"/>
        </w:rPr>
        <w:t>3.不得接受或暗示为甲方、相关单位或个人装修住房、婚丧嫁娶、配偶子女的工作安排以及出国（境）、旅游等提供方便。</w:t>
      </w:r>
    </w:p>
    <w:p w14:paraId="579E84B5">
      <w:pPr>
        <w:autoSpaceDE w:val="0"/>
        <w:autoSpaceDN w:val="0"/>
        <w:spacing w:line="460" w:lineRule="exact"/>
        <w:ind w:firstLine="480" w:firstLineChars="200"/>
        <w:rPr>
          <w:kern w:val="0"/>
          <w:sz w:val="24"/>
        </w:rPr>
      </w:pPr>
      <w:r>
        <w:rPr>
          <w:kern w:val="0"/>
          <w:sz w:val="24"/>
        </w:rPr>
        <w:t>4.不得以任何理由为甲方、相关单位或个人组织提供有可能影响公正执行公务的宴请、健身、娱乐等活动。</w:t>
      </w:r>
    </w:p>
    <w:p w14:paraId="7755FD8D">
      <w:pPr>
        <w:autoSpaceDE w:val="0"/>
        <w:autoSpaceDN w:val="0"/>
        <w:spacing w:line="460" w:lineRule="exact"/>
        <w:ind w:firstLine="482" w:firstLineChars="200"/>
        <w:rPr>
          <w:b/>
          <w:bCs/>
          <w:kern w:val="0"/>
          <w:sz w:val="24"/>
        </w:rPr>
      </w:pPr>
      <w:r>
        <w:rPr>
          <w:b/>
          <w:bCs/>
          <w:kern w:val="0"/>
          <w:sz w:val="24"/>
        </w:rPr>
        <w:t>四、违约责任</w:t>
      </w:r>
    </w:p>
    <w:p w14:paraId="38ECF658">
      <w:pPr>
        <w:autoSpaceDE w:val="0"/>
        <w:autoSpaceDN w:val="0"/>
        <w:spacing w:line="460" w:lineRule="exact"/>
        <w:ind w:firstLine="480" w:firstLineChars="200"/>
        <w:rPr>
          <w:kern w:val="0"/>
          <w:sz w:val="24"/>
        </w:rPr>
      </w:pPr>
      <w:r>
        <w:rPr>
          <w:kern w:val="0"/>
          <w:sz w:val="24"/>
        </w:rPr>
        <w:t>甲、乙双方相关人员要严格履行本廉政承诺书相关规定。如有违反依据有关法律、法规处理；涉嫌犯罪的，移交司法机关追究刑事责任；造成经济损失的，应予以赔偿。</w:t>
      </w:r>
    </w:p>
    <w:p w14:paraId="75B36C00">
      <w:pPr>
        <w:autoSpaceDE w:val="0"/>
        <w:autoSpaceDN w:val="0"/>
        <w:spacing w:line="460" w:lineRule="exact"/>
        <w:ind w:firstLine="482" w:firstLineChars="200"/>
        <w:rPr>
          <w:kern w:val="0"/>
          <w:sz w:val="24"/>
        </w:rPr>
      </w:pPr>
      <w:r>
        <w:rPr>
          <w:b/>
          <w:bCs/>
          <w:kern w:val="0"/>
          <w:sz w:val="24"/>
        </w:rPr>
        <w:t>五、其他约定</w:t>
      </w:r>
    </w:p>
    <w:p w14:paraId="7F433AA0">
      <w:pPr>
        <w:autoSpaceDE w:val="0"/>
        <w:autoSpaceDN w:val="0"/>
        <w:spacing w:line="460" w:lineRule="exact"/>
        <w:ind w:firstLine="480" w:firstLineChars="200"/>
        <w:rPr>
          <w:kern w:val="0"/>
          <w:sz w:val="24"/>
        </w:rPr>
      </w:pPr>
      <w:r>
        <w:rPr>
          <w:kern w:val="0"/>
          <w:sz w:val="24"/>
        </w:rPr>
        <w:t>1.本承诺书由甲乙双方法定代表人或授权的委托代理人签字，并加盖双方公章或合同专用章后生效。</w:t>
      </w:r>
    </w:p>
    <w:p w14:paraId="512D0B6D">
      <w:pPr>
        <w:autoSpaceDE w:val="0"/>
        <w:autoSpaceDN w:val="0"/>
        <w:spacing w:line="460" w:lineRule="exact"/>
        <w:ind w:firstLine="480" w:firstLineChars="200"/>
        <w:rPr>
          <w:kern w:val="0"/>
          <w:sz w:val="24"/>
        </w:rPr>
      </w:pPr>
      <w:r>
        <w:rPr>
          <w:kern w:val="0"/>
          <w:sz w:val="24"/>
        </w:rPr>
        <w:t>2.本承诺书总份数及甲乙双方执合同份数与主合同要求一致。</w:t>
      </w:r>
    </w:p>
    <w:p w14:paraId="481C45D0">
      <w:pPr>
        <w:autoSpaceDE w:val="0"/>
        <w:autoSpaceDN w:val="0"/>
        <w:spacing w:line="460" w:lineRule="exact"/>
        <w:ind w:firstLine="480" w:firstLineChars="200"/>
        <w:rPr>
          <w:kern w:val="0"/>
          <w:sz w:val="24"/>
        </w:rPr>
      </w:pPr>
      <w:r>
        <w:rPr>
          <w:kern w:val="0"/>
          <w:sz w:val="24"/>
        </w:rPr>
        <w:t>3.本承诺书作为本合同的组成部分，与本合同具有同等法律效力。</w:t>
      </w:r>
    </w:p>
    <w:tbl>
      <w:tblPr>
        <w:tblStyle w:val="42"/>
        <w:tblW w:w="9147" w:type="dxa"/>
        <w:jc w:val="center"/>
        <w:tblLayout w:type="fixed"/>
        <w:tblCellMar>
          <w:top w:w="0" w:type="dxa"/>
          <w:left w:w="108" w:type="dxa"/>
          <w:bottom w:w="0" w:type="dxa"/>
          <w:right w:w="108" w:type="dxa"/>
        </w:tblCellMar>
      </w:tblPr>
      <w:tblGrid>
        <w:gridCol w:w="1600"/>
        <w:gridCol w:w="2975"/>
        <w:gridCol w:w="1630"/>
        <w:gridCol w:w="2942"/>
      </w:tblGrid>
      <w:tr w14:paraId="7D9EC0B2">
        <w:tblPrEx>
          <w:tblCellMar>
            <w:top w:w="0" w:type="dxa"/>
            <w:left w:w="108" w:type="dxa"/>
            <w:bottom w:w="0" w:type="dxa"/>
            <w:right w:w="108" w:type="dxa"/>
          </w:tblCellMar>
        </w:tblPrEx>
        <w:trPr>
          <w:trHeight w:val="803" w:hRule="atLeast"/>
          <w:jc w:val="center"/>
        </w:trPr>
        <w:tc>
          <w:tcPr>
            <w:tcW w:w="9147" w:type="dxa"/>
            <w:gridSpan w:val="4"/>
            <w:vAlign w:val="center"/>
          </w:tcPr>
          <w:p w14:paraId="7FAF2802">
            <w:pPr>
              <w:spacing w:line="320" w:lineRule="exact"/>
              <w:jc w:val="center"/>
              <w:rPr>
                <w:rFonts w:hint="eastAsia" w:ascii="华文宋体" w:hAnsi="华文宋体" w:eastAsia="华文宋体" w:cs="华文宋体"/>
                <w:b/>
                <w:szCs w:val="21"/>
              </w:rPr>
            </w:pPr>
            <w:r>
              <w:rPr>
                <w:rFonts w:hint="eastAsia" w:ascii="华文宋体" w:hAnsi="华文宋体" w:eastAsia="华文宋体" w:cs="华文宋体"/>
                <w:b/>
                <w:sz w:val="28"/>
                <w:szCs w:val="28"/>
              </w:rPr>
              <w:t>承诺书签订双方</w:t>
            </w:r>
          </w:p>
        </w:tc>
      </w:tr>
      <w:tr w14:paraId="239C7440">
        <w:tblPrEx>
          <w:tblCellMar>
            <w:top w:w="0" w:type="dxa"/>
            <w:left w:w="108" w:type="dxa"/>
            <w:bottom w:w="0" w:type="dxa"/>
            <w:right w:w="108" w:type="dxa"/>
          </w:tblCellMar>
        </w:tblPrEx>
        <w:trPr>
          <w:trHeight w:val="997" w:hRule="atLeast"/>
          <w:jc w:val="center"/>
        </w:trPr>
        <w:tc>
          <w:tcPr>
            <w:tcW w:w="1600" w:type="dxa"/>
            <w:vAlign w:val="center"/>
          </w:tcPr>
          <w:p w14:paraId="4E536320">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甲方（盖章）：</w:t>
            </w:r>
          </w:p>
        </w:tc>
        <w:tc>
          <w:tcPr>
            <w:tcW w:w="2975" w:type="dxa"/>
            <w:vAlign w:val="center"/>
          </w:tcPr>
          <w:p w14:paraId="700EA334">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北京市地质灾害防治研究所</w:t>
            </w:r>
          </w:p>
        </w:tc>
        <w:tc>
          <w:tcPr>
            <w:tcW w:w="1630" w:type="dxa"/>
            <w:vAlign w:val="center"/>
          </w:tcPr>
          <w:p w14:paraId="7C980742">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乙方（盖章）：</w:t>
            </w:r>
          </w:p>
        </w:tc>
        <w:tc>
          <w:tcPr>
            <w:tcW w:w="2942" w:type="dxa"/>
            <w:vAlign w:val="center"/>
          </w:tcPr>
          <w:p w14:paraId="6F5B7B77">
            <w:pPr>
              <w:spacing w:line="320" w:lineRule="exact"/>
              <w:ind w:leftChars="-2" w:hanging="4" w:hangingChars="2"/>
              <w:jc w:val="center"/>
              <w:rPr>
                <w:rFonts w:hint="eastAsia" w:ascii="华文宋体" w:hAnsi="华文宋体" w:eastAsia="华文宋体" w:cs="华文宋体"/>
                <w:szCs w:val="21"/>
              </w:rPr>
            </w:pPr>
            <w:r>
              <w:rPr>
                <w:rFonts w:hint="eastAsia" w:ascii="华文宋体" w:hAnsi="华文宋体" w:eastAsia="华文宋体" w:cs="华文宋体"/>
                <w:szCs w:val="21"/>
              </w:rPr>
              <w:t xml:space="preserve"> </w:t>
            </w:r>
          </w:p>
        </w:tc>
      </w:tr>
      <w:tr w14:paraId="37002447">
        <w:tblPrEx>
          <w:tblCellMar>
            <w:top w:w="0" w:type="dxa"/>
            <w:left w:w="108" w:type="dxa"/>
            <w:bottom w:w="0" w:type="dxa"/>
            <w:right w:w="108" w:type="dxa"/>
          </w:tblCellMar>
        </w:tblPrEx>
        <w:trPr>
          <w:trHeight w:val="1087" w:hRule="atLeast"/>
          <w:jc w:val="center"/>
        </w:trPr>
        <w:tc>
          <w:tcPr>
            <w:tcW w:w="1600" w:type="dxa"/>
            <w:vAlign w:val="center"/>
          </w:tcPr>
          <w:p w14:paraId="44248401">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法定代表人</w:t>
            </w:r>
          </w:p>
          <w:p w14:paraId="47E90283">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75" w:type="dxa"/>
            <w:vAlign w:val="center"/>
          </w:tcPr>
          <w:p w14:paraId="511247DC">
            <w:pPr>
              <w:spacing w:line="320" w:lineRule="exact"/>
              <w:rPr>
                <w:rFonts w:hint="eastAsia" w:ascii="华文宋体" w:hAnsi="华文宋体" w:eastAsia="华文宋体" w:cs="华文宋体"/>
                <w:szCs w:val="21"/>
              </w:rPr>
            </w:pPr>
          </w:p>
        </w:tc>
        <w:tc>
          <w:tcPr>
            <w:tcW w:w="1630" w:type="dxa"/>
            <w:vAlign w:val="center"/>
          </w:tcPr>
          <w:p w14:paraId="455BAED2">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法定代表人</w:t>
            </w:r>
          </w:p>
          <w:p w14:paraId="694E7758">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42" w:type="dxa"/>
            <w:vAlign w:val="center"/>
          </w:tcPr>
          <w:p w14:paraId="024548A2">
            <w:pPr>
              <w:spacing w:line="320" w:lineRule="exact"/>
              <w:rPr>
                <w:rFonts w:hint="eastAsia" w:ascii="华文宋体" w:hAnsi="华文宋体" w:eastAsia="华文宋体" w:cs="华文宋体"/>
                <w:szCs w:val="21"/>
              </w:rPr>
            </w:pPr>
          </w:p>
        </w:tc>
      </w:tr>
      <w:tr w14:paraId="77C4B692">
        <w:tblPrEx>
          <w:tblCellMar>
            <w:top w:w="0" w:type="dxa"/>
            <w:left w:w="108" w:type="dxa"/>
            <w:bottom w:w="0" w:type="dxa"/>
            <w:right w:w="108" w:type="dxa"/>
          </w:tblCellMar>
        </w:tblPrEx>
        <w:trPr>
          <w:trHeight w:val="1087" w:hRule="atLeast"/>
          <w:jc w:val="center"/>
        </w:trPr>
        <w:tc>
          <w:tcPr>
            <w:tcW w:w="1600" w:type="dxa"/>
            <w:vAlign w:val="center"/>
          </w:tcPr>
          <w:p w14:paraId="1B7C7ED4">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委托代理人</w:t>
            </w:r>
          </w:p>
          <w:p w14:paraId="121A5CFE">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75" w:type="dxa"/>
            <w:vAlign w:val="center"/>
          </w:tcPr>
          <w:p w14:paraId="186E24D0">
            <w:pPr>
              <w:spacing w:line="320" w:lineRule="exact"/>
              <w:rPr>
                <w:rFonts w:hint="eastAsia" w:ascii="华文宋体" w:hAnsi="华文宋体" w:eastAsia="华文宋体" w:cs="华文宋体"/>
                <w:szCs w:val="21"/>
              </w:rPr>
            </w:pPr>
          </w:p>
        </w:tc>
        <w:tc>
          <w:tcPr>
            <w:tcW w:w="1630" w:type="dxa"/>
            <w:vAlign w:val="center"/>
          </w:tcPr>
          <w:p w14:paraId="5486FD4D">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委托代理人</w:t>
            </w:r>
          </w:p>
          <w:p w14:paraId="59B06696">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42" w:type="dxa"/>
            <w:vAlign w:val="center"/>
          </w:tcPr>
          <w:p w14:paraId="5F5C6CBF">
            <w:pPr>
              <w:spacing w:line="320" w:lineRule="exact"/>
              <w:rPr>
                <w:rFonts w:hint="eastAsia" w:ascii="华文宋体" w:hAnsi="华文宋体" w:eastAsia="华文宋体" w:cs="华文宋体"/>
                <w:szCs w:val="21"/>
              </w:rPr>
            </w:pPr>
          </w:p>
        </w:tc>
      </w:tr>
      <w:tr w14:paraId="322B0804">
        <w:tblPrEx>
          <w:tblCellMar>
            <w:top w:w="0" w:type="dxa"/>
            <w:left w:w="108" w:type="dxa"/>
            <w:bottom w:w="0" w:type="dxa"/>
            <w:right w:w="108" w:type="dxa"/>
          </w:tblCellMar>
        </w:tblPrEx>
        <w:trPr>
          <w:trHeight w:val="1087" w:hRule="atLeast"/>
          <w:jc w:val="center"/>
        </w:trPr>
        <w:tc>
          <w:tcPr>
            <w:tcW w:w="1600" w:type="dxa"/>
            <w:vAlign w:val="center"/>
          </w:tcPr>
          <w:p w14:paraId="509D016A">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签订日期：</w:t>
            </w:r>
          </w:p>
        </w:tc>
        <w:tc>
          <w:tcPr>
            <w:tcW w:w="2975" w:type="dxa"/>
            <w:vAlign w:val="center"/>
          </w:tcPr>
          <w:p w14:paraId="324C1B72">
            <w:pPr>
              <w:spacing w:line="320" w:lineRule="exact"/>
              <w:jc w:val="right"/>
              <w:rPr>
                <w:rFonts w:hint="eastAsia" w:ascii="华文宋体" w:hAnsi="华文宋体" w:eastAsia="华文宋体" w:cs="华文宋体"/>
                <w:szCs w:val="21"/>
              </w:rPr>
            </w:pPr>
            <w:r>
              <w:rPr>
                <w:rFonts w:hint="eastAsia" w:ascii="华文宋体" w:hAnsi="华文宋体" w:eastAsia="华文宋体" w:cs="华文宋体"/>
                <w:szCs w:val="21"/>
              </w:rPr>
              <w:t>________年____月____日</w:t>
            </w:r>
          </w:p>
        </w:tc>
        <w:tc>
          <w:tcPr>
            <w:tcW w:w="1630" w:type="dxa"/>
            <w:vAlign w:val="center"/>
          </w:tcPr>
          <w:p w14:paraId="2CC5B962">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签订日期：</w:t>
            </w:r>
          </w:p>
        </w:tc>
        <w:tc>
          <w:tcPr>
            <w:tcW w:w="2942" w:type="dxa"/>
            <w:vAlign w:val="center"/>
          </w:tcPr>
          <w:p w14:paraId="3865BDB1">
            <w:pPr>
              <w:spacing w:line="320" w:lineRule="exact"/>
              <w:jc w:val="right"/>
              <w:rPr>
                <w:rFonts w:hint="eastAsia" w:ascii="华文宋体" w:hAnsi="华文宋体" w:eastAsia="华文宋体" w:cs="华文宋体"/>
                <w:szCs w:val="21"/>
              </w:rPr>
            </w:pPr>
            <w:r>
              <w:rPr>
                <w:rFonts w:hint="eastAsia" w:ascii="华文宋体" w:hAnsi="华文宋体" w:eastAsia="华文宋体" w:cs="华文宋体"/>
                <w:szCs w:val="21"/>
              </w:rPr>
              <w:t>________年____月____日</w:t>
            </w:r>
          </w:p>
        </w:tc>
      </w:tr>
    </w:tbl>
    <w:p w14:paraId="37DF5DB1"/>
    <w:p w14:paraId="0F1A19C8">
      <w:pPr>
        <w:rPr>
          <w:b/>
          <w:bCs/>
          <w:sz w:val="24"/>
        </w:rPr>
      </w:pPr>
      <w:r>
        <w:rPr>
          <w:b/>
          <w:bCs/>
          <w:sz w:val="24"/>
        </w:rPr>
        <w:br w:type="page"/>
      </w:r>
    </w:p>
    <w:p w14:paraId="775BD642">
      <w:pPr>
        <w:rPr>
          <w:b/>
          <w:bCs/>
          <w:sz w:val="24"/>
        </w:rPr>
      </w:pPr>
      <w:r>
        <w:rPr>
          <w:b/>
          <w:bCs/>
          <w:sz w:val="24"/>
        </w:rPr>
        <w:t>附件</w:t>
      </w:r>
      <w:r>
        <w:rPr>
          <w:rFonts w:hint="eastAsia"/>
          <w:b/>
          <w:bCs/>
          <w:sz w:val="24"/>
        </w:rPr>
        <w:t>4</w:t>
      </w:r>
      <w:r>
        <w:rPr>
          <w:b/>
          <w:bCs/>
          <w:sz w:val="24"/>
        </w:rPr>
        <w:t>：</w:t>
      </w:r>
    </w:p>
    <w:p w14:paraId="1937A28E">
      <w:pPr>
        <w:widowControl/>
        <w:tabs>
          <w:tab w:val="left" w:pos="3480"/>
          <w:tab w:val="center" w:pos="4393"/>
        </w:tabs>
        <w:spacing w:before="100" w:beforeAutospacing="1" w:after="100" w:afterAutospacing="1" w:line="427" w:lineRule="auto"/>
        <w:jc w:val="center"/>
        <w:rPr>
          <w:rFonts w:hint="eastAsia" w:ascii="宋体" w:hAnsi="宋体" w:cs="宋体"/>
          <w:b/>
          <w:color w:val="000000"/>
          <w:kern w:val="0"/>
          <w:sz w:val="36"/>
          <w:szCs w:val="36"/>
        </w:rPr>
      </w:pPr>
      <w:r>
        <w:rPr>
          <w:rFonts w:hint="eastAsia" w:ascii="宋体" w:hAnsi="宋体" w:cs="宋体"/>
          <w:b/>
          <w:color w:val="000000"/>
          <w:kern w:val="0"/>
          <w:sz w:val="32"/>
          <w:szCs w:val="32"/>
        </w:rPr>
        <w:t>安全协议书</w:t>
      </w:r>
    </w:p>
    <w:p w14:paraId="0663EFBD">
      <w:pPr>
        <w:spacing w:line="440" w:lineRule="exact"/>
        <w:rPr>
          <w:b/>
          <w:color w:val="000000"/>
          <w:kern w:val="0"/>
          <w:sz w:val="24"/>
          <w:u w:val="single"/>
        </w:rPr>
      </w:pPr>
      <w:r>
        <w:rPr>
          <w:b/>
          <w:color w:val="000000"/>
          <w:kern w:val="0"/>
          <w:sz w:val="24"/>
        </w:rPr>
        <w:t>甲方：</w:t>
      </w:r>
      <w:r>
        <w:rPr>
          <w:rFonts w:hint="eastAsia"/>
          <w:bCs/>
          <w:color w:val="000000"/>
          <w:kern w:val="0"/>
          <w:sz w:val="24"/>
          <w:u w:val="single"/>
        </w:rPr>
        <w:t xml:space="preserve">                                               </w:t>
      </w:r>
    </w:p>
    <w:p w14:paraId="42F0EA72">
      <w:pPr>
        <w:spacing w:line="440" w:lineRule="exact"/>
        <w:rPr>
          <w:b/>
          <w:color w:val="000000"/>
          <w:kern w:val="0"/>
          <w:sz w:val="24"/>
        </w:rPr>
      </w:pPr>
      <w:r>
        <w:rPr>
          <w:b/>
          <w:color w:val="000000"/>
          <w:kern w:val="0"/>
          <w:sz w:val="24"/>
        </w:rPr>
        <w:t>乙方：</w:t>
      </w:r>
      <w:r>
        <w:rPr>
          <w:rFonts w:hint="eastAsia"/>
          <w:bCs/>
          <w:color w:val="000000"/>
          <w:kern w:val="0"/>
          <w:sz w:val="24"/>
          <w:u w:val="single"/>
        </w:rPr>
        <w:t xml:space="preserve">                                              </w:t>
      </w:r>
      <w:r>
        <w:rPr>
          <w:rFonts w:hint="eastAsia"/>
          <w:bCs/>
          <w:color w:val="000000"/>
          <w:kern w:val="0"/>
          <w:sz w:val="24"/>
        </w:rPr>
        <w:t xml:space="preserve"> </w:t>
      </w:r>
      <w:r>
        <w:rPr>
          <w:rFonts w:hint="eastAsia"/>
          <w:b/>
          <w:color w:val="000000"/>
          <w:kern w:val="0"/>
          <w:sz w:val="24"/>
        </w:rPr>
        <w:t xml:space="preserve"> </w:t>
      </w:r>
    </w:p>
    <w:p w14:paraId="2F5EE784">
      <w:pPr>
        <w:spacing w:line="440" w:lineRule="exact"/>
        <w:rPr>
          <w:b/>
          <w:sz w:val="24"/>
        </w:rPr>
      </w:pPr>
    </w:p>
    <w:p w14:paraId="66E46D18">
      <w:pPr>
        <w:spacing w:line="440" w:lineRule="exact"/>
        <w:rPr>
          <w:b/>
          <w:sz w:val="24"/>
        </w:rPr>
      </w:pPr>
      <w:r>
        <w:rPr>
          <w:b/>
          <w:sz w:val="24"/>
        </w:rPr>
        <w:t>一、目的</w:t>
      </w:r>
    </w:p>
    <w:p w14:paraId="643A301F">
      <w:pPr>
        <w:spacing w:line="440" w:lineRule="exact"/>
        <w:ind w:firstLine="480" w:firstLineChars="200"/>
        <w:rPr>
          <w:sz w:val="24"/>
        </w:rPr>
      </w:pPr>
      <w:r>
        <w:rPr>
          <w:sz w:val="24"/>
        </w:rPr>
        <w:t>为了维护甲乙双方的共同利益，保证施工安全，保持良好的工作秩序和施工场所的卫生环境，经甲乙双方平等协商，签订本安全协议。</w:t>
      </w:r>
    </w:p>
    <w:p w14:paraId="2754FF83">
      <w:pPr>
        <w:spacing w:line="440" w:lineRule="exact"/>
        <w:rPr>
          <w:sz w:val="24"/>
        </w:rPr>
      </w:pPr>
      <w:r>
        <w:rPr>
          <w:b/>
          <w:sz w:val="24"/>
        </w:rPr>
        <w:t>二、施工项目</w:t>
      </w:r>
    </w:p>
    <w:p w14:paraId="02DB0DCD">
      <w:pPr>
        <w:spacing w:line="440" w:lineRule="exact"/>
        <w:rPr>
          <w:b/>
          <w:sz w:val="24"/>
        </w:rPr>
      </w:pPr>
    </w:p>
    <w:p w14:paraId="28AD1058">
      <w:pPr>
        <w:spacing w:line="440" w:lineRule="exact"/>
        <w:rPr>
          <w:b/>
          <w:sz w:val="24"/>
        </w:rPr>
      </w:pPr>
      <w:r>
        <w:rPr>
          <w:b/>
          <w:sz w:val="24"/>
        </w:rPr>
        <w:t>三、施工地点</w:t>
      </w:r>
    </w:p>
    <w:p w14:paraId="1258D385">
      <w:pPr>
        <w:spacing w:line="440" w:lineRule="exact"/>
        <w:ind w:firstLine="602" w:firstLineChars="250"/>
        <w:rPr>
          <w:b/>
          <w:sz w:val="24"/>
        </w:rPr>
      </w:pPr>
    </w:p>
    <w:p w14:paraId="74B74DBC">
      <w:pPr>
        <w:spacing w:line="440" w:lineRule="exact"/>
        <w:rPr>
          <w:b/>
          <w:sz w:val="24"/>
        </w:rPr>
      </w:pPr>
      <w:r>
        <w:rPr>
          <w:b/>
          <w:sz w:val="24"/>
        </w:rPr>
        <w:t>四、施工时间</w:t>
      </w:r>
    </w:p>
    <w:p w14:paraId="372E1CE2">
      <w:pPr>
        <w:spacing w:line="440" w:lineRule="exact"/>
        <w:ind w:firstLine="480" w:firstLineChars="200"/>
        <w:rPr>
          <w:sz w:val="24"/>
        </w:rPr>
      </w:pPr>
      <w:r>
        <w:rPr>
          <w:sz w:val="24"/>
        </w:rPr>
        <w:t>以实际施工日期为准。</w:t>
      </w:r>
    </w:p>
    <w:p w14:paraId="7F16E00A">
      <w:pPr>
        <w:spacing w:line="440" w:lineRule="exact"/>
        <w:rPr>
          <w:b/>
          <w:sz w:val="24"/>
        </w:rPr>
      </w:pPr>
      <w:r>
        <w:rPr>
          <w:b/>
          <w:sz w:val="24"/>
        </w:rPr>
        <w:t>五、施工方式</w:t>
      </w:r>
    </w:p>
    <w:p w14:paraId="2B9DECF3">
      <w:pPr>
        <w:spacing w:line="440" w:lineRule="exact"/>
        <w:ind w:firstLine="480" w:firstLineChars="200"/>
        <w:rPr>
          <w:b/>
          <w:sz w:val="24"/>
        </w:rPr>
      </w:pPr>
      <w:r>
        <w:rPr>
          <w:sz w:val="24"/>
        </w:rPr>
        <w:t>按照双方签订合同及技术要求施工（详见合同相关条款）。</w:t>
      </w:r>
    </w:p>
    <w:p w14:paraId="6497EFEE">
      <w:pPr>
        <w:spacing w:line="440" w:lineRule="exact"/>
        <w:ind w:left="482" w:hanging="482" w:hangingChars="200"/>
        <w:rPr>
          <w:b/>
          <w:sz w:val="24"/>
        </w:rPr>
      </w:pPr>
      <w:r>
        <w:rPr>
          <w:b/>
          <w:sz w:val="24"/>
        </w:rPr>
        <w:t>六、协议内容</w:t>
      </w:r>
    </w:p>
    <w:p w14:paraId="33DC6C81">
      <w:pPr>
        <w:spacing w:line="440" w:lineRule="exact"/>
        <w:ind w:firstLine="482" w:firstLineChars="200"/>
        <w:rPr>
          <w:sz w:val="24"/>
        </w:rPr>
      </w:pPr>
      <w:r>
        <w:rPr>
          <w:b/>
          <w:sz w:val="24"/>
        </w:rPr>
        <w:t>第一条</w:t>
      </w:r>
      <w:r>
        <w:rPr>
          <w:sz w:val="24"/>
        </w:rPr>
        <w:t xml:space="preserve">  乙方在施工期间须指定现场施工负责人，施工现场还需设立安全监督员，便于施工过程中的协调、联系及安全监管等工作。</w:t>
      </w:r>
    </w:p>
    <w:p w14:paraId="2A3B720C">
      <w:pPr>
        <w:spacing w:line="440" w:lineRule="exact"/>
        <w:ind w:firstLine="482" w:firstLineChars="200"/>
        <w:rPr>
          <w:sz w:val="24"/>
        </w:rPr>
      </w:pPr>
      <w:r>
        <w:rPr>
          <w:b/>
          <w:sz w:val="24"/>
        </w:rPr>
        <w:t>第二条</w:t>
      </w:r>
      <w:r>
        <w:rPr>
          <w:sz w:val="24"/>
        </w:rPr>
        <w:t xml:space="preserve">  施工人员进行特种作业前必须持有效证件（电气焊操作证、电工操作证、起重操作证等），并由甲方审核作业人员资质，审核通过后方可施工。同时，由乙方负责在施工前将相关证件复印件（加盖公司公章）交至甲方安全保卫科存档。</w:t>
      </w:r>
    </w:p>
    <w:p w14:paraId="45930063">
      <w:pPr>
        <w:spacing w:line="440" w:lineRule="exact"/>
        <w:ind w:firstLine="482" w:firstLineChars="200"/>
        <w:rPr>
          <w:sz w:val="24"/>
        </w:rPr>
      </w:pPr>
      <w:r>
        <w:rPr>
          <w:b/>
          <w:sz w:val="24"/>
        </w:rPr>
        <w:t>第三条</w:t>
      </w:r>
      <w:r>
        <w:rPr>
          <w:sz w:val="24"/>
        </w:rPr>
        <w:t xml:space="preserve">  对于由乙方原因造成甲方人员伤害，引起火灾、设备事故的，一切损失由乙方负责。</w:t>
      </w:r>
    </w:p>
    <w:p w14:paraId="3382C17D">
      <w:pPr>
        <w:spacing w:line="440" w:lineRule="exact"/>
        <w:ind w:firstLine="482" w:firstLineChars="200"/>
        <w:rPr>
          <w:sz w:val="24"/>
        </w:rPr>
      </w:pPr>
      <w:r>
        <w:rPr>
          <w:b/>
          <w:sz w:val="24"/>
        </w:rPr>
        <w:t>第四条</w:t>
      </w:r>
      <w:r>
        <w:rPr>
          <w:sz w:val="24"/>
        </w:rPr>
        <w:t xml:space="preserve">  乙方施工队伍的安全防护器材必须配置到位，安全措施得力，乙方对其所有施工人员及相关联人员的人身安全负全部责任，甲方不承担任何责任。</w:t>
      </w:r>
    </w:p>
    <w:p w14:paraId="3A45A4FD">
      <w:pPr>
        <w:widowControl/>
        <w:spacing w:line="440" w:lineRule="exact"/>
        <w:ind w:firstLine="482" w:firstLineChars="200"/>
        <w:jc w:val="left"/>
        <w:rPr>
          <w:color w:val="000000"/>
          <w:kern w:val="0"/>
          <w:sz w:val="24"/>
        </w:rPr>
      </w:pPr>
      <w:r>
        <w:rPr>
          <w:b/>
          <w:sz w:val="24"/>
        </w:rPr>
        <w:t>第五条</w:t>
      </w:r>
      <w:r>
        <w:rPr>
          <w:sz w:val="24"/>
        </w:rPr>
        <w:t xml:space="preserve">  </w:t>
      </w:r>
      <w:r>
        <w:rPr>
          <w:color w:val="000000"/>
          <w:kern w:val="0"/>
          <w:sz w:val="24"/>
        </w:rPr>
        <w:t>登高观测作业，应检查攀登工具、安全带和观测工具，并保持完好。</w:t>
      </w:r>
    </w:p>
    <w:p w14:paraId="1CD749D1">
      <w:pPr>
        <w:widowControl/>
        <w:spacing w:line="440" w:lineRule="exact"/>
        <w:ind w:firstLine="482" w:firstLineChars="200"/>
        <w:jc w:val="left"/>
        <w:rPr>
          <w:color w:val="000000"/>
          <w:kern w:val="0"/>
          <w:sz w:val="24"/>
        </w:rPr>
      </w:pPr>
      <w:r>
        <w:rPr>
          <w:b/>
          <w:sz w:val="24"/>
        </w:rPr>
        <w:t>第六条</w:t>
      </w:r>
      <w:r>
        <w:rPr>
          <w:sz w:val="24"/>
        </w:rPr>
        <w:t xml:space="preserve">  </w:t>
      </w:r>
      <w:r>
        <w:rPr>
          <w:color w:val="000000"/>
          <w:kern w:val="0"/>
          <w:sz w:val="24"/>
        </w:rPr>
        <w:t>电网密集地区作业，应避开变压器、高压输电线等危险区，并禁止使用金属标尺。仪器设备架设与输电线路边缘之间的最小距离应该在15m以外，最少不小于10m。</w:t>
      </w:r>
    </w:p>
    <w:p w14:paraId="0A378A7B">
      <w:pPr>
        <w:widowControl/>
        <w:spacing w:line="440" w:lineRule="exact"/>
        <w:ind w:firstLine="482" w:firstLineChars="200"/>
        <w:jc w:val="left"/>
        <w:rPr>
          <w:color w:val="000000"/>
          <w:kern w:val="0"/>
          <w:sz w:val="24"/>
        </w:rPr>
      </w:pPr>
      <w:r>
        <w:rPr>
          <w:b/>
          <w:sz w:val="24"/>
        </w:rPr>
        <w:t>第七条</w:t>
      </w:r>
      <w:r>
        <w:rPr>
          <w:sz w:val="24"/>
        </w:rPr>
        <w:t xml:space="preserve">  </w:t>
      </w:r>
      <w:r>
        <w:rPr>
          <w:color w:val="000000"/>
          <w:kern w:val="0"/>
          <w:sz w:val="24"/>
        </w:rPr>
        <w:t>野外作业</w:t>
      </w:r>
    </w:p>
    <w:p w14:paraId="0FC842F7">
      <w:pPr>
        <w:spacing w:line="440" w:lineRule="exact"/>
        <w:ind w:firstLine="480" w:firstLineChars="200"/>
        <w:rPr>
          <w:sz w:val="24"/>
        </w:rPr>
      </w:pPr>
      <w:r>
        <w:rPr>
          <w:sz w:val="24"/>
        </w:rPr>
        <w:t>1、作业时必须认真对工作场地进行检查，特别要注意是否有毒蛇、毒蜂等危险因素，确认无危险因素后，方可工作。</w:t>
      </w:r>
    </w:p>
    <w:p w14:paraId="10BDACA4">
      <w:pPr>
        <w:widowControl/>
        <w:spacing w:line="440" w:lineRule="exact"/>
        <w:ind w:firstLine="480" w:firstLineChars="200"/>
        <w:jc w:val="left"/>
        <w:rPr>
          <w:color w:val="000000"/>
          <w:kern w:val="0"/>
          <w:sz w:val="24"/>
        </w:rPr>
      </w:pPr>
      <w:r>
        <w:rPr>
          <w:color w:val="000000"/>
          <w:kern w:val="0"/>
          <w:sz w:val="24"/>
        </w:rPr>
        <w:t>2</w:t>
      </w:r>
      <w:r>
        <w:rPr>
          <w:rFonts w:hint="eastAsia"/>
          <w:color w:val="000000"/>
          <w:kern w:val="0"/>
          <w:sz w:val="24"/>
        </w:rPr>
        <w:t>、</w:t>
      </w:r>
      <w:r>
        <w:rPr>
          <w:color w:val="000000"/>
          <w:kern w:val="0"/>
          <w:sz w:val="24"/>
        </w:rPr>
        <w:t>作业人员配备野外救生卫生包（常备创口贴、中暑、跌打类药物、防过敏、蚊虫叮咬药物）。</w:t>
      </w:r>
    </w:p>
    <w:p w14:paraId="5794B7D0">
      <w:pPr>
        <w:widowControl/>
        <w:spacing w:line="440" w:lineRule="exact"/>
        <w:ind w:firstLine="480" w:firstLineChars="200"/>
        <w:jc w:val="left"/>
        <w:rPr>
          <w:color w:val="000000"/>
          <w:kern w:val="0"/>
          <w:sz w:val="24"/>
        </w:rPr>
      </w:pPr>
      <w:r>
        <w:rPr>
          <w:color w:val="000000"/>
          <w:kern w:val="0"/>
          <w:sz w:val="24"/>
        </w:rPr>
        <w:t>3</w:t>
      </w:r>
      <w:r>
        <w:rPr>
          <w:rFonts w:hint="eastAsia"/>
          <w:color w:val="000000"/>
          <w:kern w:val="0"/>
          <w:sz w:val="24"/>
        </w:rPr>
        <w:t>、</w:t>
      </w:r>
      <w:r>
        <w:rPr>
          <w:color w:val="000000"/>
          <w:kern w:val="0"/>
          <w:sz w:val="24"/>
        </w:rPr>
        <w:t>禁止采、食不识别的野菜、野果。禁止饮用新发现水源水和未经消毒处理水。</w:t>
      </w:r>
    </w:p>
    <w:p w14:paraId="7F5C9527">
      <w:pPr>
        <w:widowControl/>
        <w:spacing w:line="440" w:lineRule="exact"/>
        <w:ind w:firstLine="480" w:firstLineChars="200"/>
        <w:jc w:val="left"/>
        <w:rPr>
          <w:color w:val="000000"/>
          <w:kern w:val="0"/>
          <w:sz w:val="24"/>
        </w:rPr>
      </w:pPr>
      <w:r>
        <w:rPr>
          <w:color w:val="000000"/>
          <w:kern w:val="0"/>
          <w:sz w:val="24"/>
        </w:rPr>
        <w:t>4</w:t>
      </w:r>
      <w:r>
        <w:rPr>
          <w:rFonts w:hint="eastAsia"/>
          <w:color w:val="000000"/>
          <w:kern w:val="0"/>
          <w:sz w:val="24"/>
        </w:rPr>
        <w:t>、</w:t>
      </w:r>
      <w:r>
        <w:rPr>
          <w:color w:val="000000"/>
          <w:kern w:val="0"/>
          <w:sz w:val="24"/>
        </w:rPr>
        <w:t>野外作业人员必须两人以上才能进山，应按约定时间和路线返回约定的营地。</w:t>
      </w:r>
    </w:p>
    <w:p w14:paraId="1DD2FD45">
      <w:pPr>
        <w:widowControl/>
        <w:spacing w:line="440" w:lineRule="exact"/>
        <w:ind w:firstLine="480" w:firstLineChars="200"/>
        <w:jc w:val="left"/>
        <w:rPr>
          <w:color w:val="000000"/>
          <w:kern w:val="0"/>
          <w:sz w:val="24"/>
        </w:rPr>
      </w:pPr>
      <w:r>
        <w:rPr>
          <w:color w:val="000000"/>
          <w:kern w:val="0"/>
          <w:sz w:val="24"/>
        </w:rPr>
        <w:t>5</w:t>
      </w:r>
      <w:r>
        <w:rPr>
          <w:rFonts w:hint="eastAsia"/>
          <w:color w:val="000000"/>
          <w:kern w:val="0"/>
          <w:sz w:val="24"/>
        </w:rPr>
        <w:t>、</w:t>
      </w:r>
      <w:r>
        <w:rPr>
          <w:color w:val="000000"/>
          <w:kern w:val="0"/>
          <w:sz w:val="24"/>
        </w:rPr>
        <w:t>野外设备应注意避雷。雷雨天气，禁止在树木下、山顶避雨。雷雨时候要及时把GPS设备关闭，禁止冒雨作业，雷雨临近或五级以上大风时，应停止作业。</w:t>
      </w:r>
    </w:p>
    <w:p w14:paraId="424AFC89">
      <w:pPr>
        <w:widowControl/>
        <w:spacing w:line="440" w:lineRule="exact"/>
        <w:ind w:firstLine="480" w:firstLineChars="200"/>
        <w:jc w:val="left"/>
        <w:rPr>
          <w:color w:val="000000"/>
          <w:kern w:val="0"/>
          <w:sz w:val="24"/>
        </w:rPr>
      </w:pPr>
      <w:r>
        <w:rPr>
          <w:color w:val="000000"/>
          <w:kern w:val="0"/>
          <w:sz w:val="24"/>
        </w:rPr>
        <w:t>6</w:t>
      </w:r>
      <w:r>
        <w:rPr>
          <w:rFonts w:hint="eastAsia"/>
          <w:color w:val="000000"/>
          <w:kern w:val="0"/>
          <w:sz w:val="24"/>
        </w:rPr>
        <w:t>、</w:t>
      </w:r>
      <w:r>
        <w:rPr>
          <w:color w:val="000000"/>
          <w:kern w:val="0"/>
          <w:sz w:val="24"/>
        </w:rPr>
        <w:t>可能危及作业人员或他人人身安全的野外作业，应设置安全标志。尤其在公路主干道作业要设置安全防护标志，配备及穿戴反光服。</w:t>
      </w:r>
    </w:p>
    <w:p w14:paraId="51C6DDA6">
      <w:pPr>
        <w:widowControl/>
        <w:spacing w:line="440" w:lineRule="exact"/>
        <w:ind w:firstLine="480" w:firstLineChars="200"/>
        <w:jc w:val="left"/>
        <w:rPr>
          <w:sz w:val="24"/>
        </w:rPr>
      </w:pPr>
      <w:r>
        <w:rPr>
          <w:sz w:val="24"/>
        </w:rPr>
        <w:t>7、施工后及时清理现场，做好环保工作。</w:t>
      </w:r>
    </w:p>
    <w:p w14:paraId="553206E4">
      <w:pPr>
        <w:widowControl/>
        <w:spacing w:line="440" w:lineRule="exact"/>
        <w:ind w:firstLine="480" w:firstLineChars="200"/>
        <w:jc w:val="left"/>
        <w:rPr>
          <w:color w:val="000000"/>
          <w:kern w:val="0"/>
          <w:sz w:val="24"/>
        </w:rPr>
      </w:pPr>
      <w:r>
        <w:rPr>
          <w:color w:val="000000"/>
          <w:kern w:val="0"/>
          <w:sz w:val="24"/>
        </w:rPr>
        <w:t>8</w:t>
      </w:r>
      <w:r>
        <w:rPr>
          <w:rFonts w:hint="eastAsia"/>
          <w:color w:val="000000"/>
          <w:kern w:val="0"/>
          <w:sz w:val="24"/>
        </w:rPr>
        <w:t>、</w:t>
      </w:r>
      <w:r>
        <w:rPr>
          <w:color w:val="000000"/>
          <w:kern w:val="0"/>
          <w:sz w:val="24"/>
        </w:rPr>
        <w:t>野外工作车辆，应该注意交通安全，做到不紧不慢，安全第一。</w:t>
      </w:r>
    </w:p>
    <w:p w14:paraId="7B3F2DA5">
      <w:pPr>
        <w:widowControl/>
        <w:spacing w:line="440" w:lineRule="exact"/>
        <w:ind w:firstLine="480" w:firstLineChars="200"/>
        <w:jc w:val="left"/>
        <w:rPr>
          <w:color w:val="000000"/>
          <w:kern w:val="0"/>
          <w:sz w:val="24"/>
        </w:rPr>
      </w:pPr>
      <w:r>
        <w:rPr>
          <w:color w:val="000000"/>
          <w:kern w:val="0"/>
          <w:sz w:val="24"/>
        </w:rPr>
        <w:t>9</w:t>
      </w:r>
      <w:r>
        <w:rPr>
          <w:rFonts w:hint="eastAsia"/>
          <w:color w:val="000000"/>
          <w:kern w:val="0"/>
          <w:sz w:val="24"/>
        </w:rPr>
        <w:t>、</w:t>
      </w:r>
      <w:r>
        <w:rPr>
          <w:color w:val="000000"/>
          <w:kern w:val="0"/>
          <w:sz w:val="24"/>
        </w:rPr>
        <w:t>野外营地选择应遵守下列规定：</w:t>
      </w:r>
    </w:p>
    <w:p w14:paraId="41C70475">
      <w:pPr>
        <w:widowControl/>
        <w:spacing w:line="440" w:lineRule="exact"/>
        <w:ind w:firstLine="480" w:firstLineChars="200"/>
        <w:jc w:val="left"/>
        <w:rPr>
          <w:color w:val="000000"/>
          <w:kern w:val="0"/>
          <w:sz w:val="24"/>
        </w:rPr>
      </w:pPr>
      <w:r>
        <w:rPr>
          <w:color w:val="000000"/>
          <w:kern w:val="0"/>
          <w:sz w:val="24"/>
        </w:rPr>
        <w:t>a</w:t>
      </w:r>
      <w:r>
        <w:rPr>
          <w:rFonts w:hint="eastAsia"/>
          <w:color w:val="000000"/>
          <w:kern w:val="0"/>
          <w:sz w:val="24"/>
        </w:rPr>
        <w:t>）</w:t>
      </w:r>
      <w:r>
        <w:rPr>
          <w:color w:val="000000"/>
          <w:kern w:val="0"/>
          <w:sz w:val="24"/>
        </w:rPr>
        <w:t>租住民房应检查房屋周边环境、基础和结构。</w:t>
      </w:r>
    </w:p>
    <w:p w14:paraId="0B02DD8A">
      <w:pPr>
        <w:widowControl/>
        <w:spacing w:line="440" w:lineRule="exact"/>
        <w:ind w:firstLine="480" w:firstLineChars="200"/>
        <w:jc w:val="left"/>
        <w:rPr>
          <w:color w:val="000000"/>
          <w:kern w:val="0"/>
          <w:sz w:val="24"/>
        </w:rPr>
      </w:pPr>
      <w:r>
        <w:rPr>
          <w:color w:val="000000"/>
          <w:kern w:val="0"/>
          <w:sz w:val="24"/>
        </w:rPr>
        <w:t>b</w:t>
      </w:r>
      <w:r>
        <w:rPr>
          <w:rFonts w:hint="eastAsia"/>
          <w:color w:val="000000"/>
          <w:kern w:val="0"/>
          <w:sz w:val="24"/>
        </w:rPr>
        <w:t>）</w:t>
      </w:r>
      <w:r>
        <w:rPr>
          <w:color w:val="000000"/>
          <w:kern w:val="0"/>
          <w:sz w:val="24"/>
        </w:rPr>
        <w:t xml:space="preserve">提高防盗、防抢意识，遇到盗窃、抢劫要及时报警，不要做过多激怒歹徒的行为。特别强调，安全第一。 </w:t>
      </w:r>
    </w:p>
    <w:p w14:paraId="07F9B33B">
      <w:pPr>
        <w:widowControl/>
        <w:spacing w:line="440" w:lineRule="exact"/>
        <w:ind w:firstLine="480" w:firstLineChars="200"/>
        <w:jc w:val="left"/>
        <w:rPr>
          <w:color w:val="000000"/>
          <w:kern w:val="0"/>
          <w:sz w:val="24"/>
        </w:rPr>
      </w:pPr>
      <w:r>
        <w:rPr>
          <w:color w:val="000000"/>
          <w:kern w:val="0"/>
          <w:sz w:val="24"/>
        </w:rPr>
        <w:t>c</w:t>
      </w:r>
      <w:r>
        <w:rPr>
          <w:rFonts w:hint="eastAsia"/>
          <w:color w:val="000000"/>
          <w:kern w:val="0"/>
          <w:sz w:val="24"/>
        </w:rPr>
        <w:t>）</w:t>
      </w:r>
      <w:r>
        <w:rPr>
          <w:color w:val="000000"/>
          <w:kern w:val="0"/>
          <w:sz w:val="24"/>
        </w:rPr>
        <w:t>注意设备充电时间，尽量避免超时充用电。</w:t>
      </w:r>
    </w:p>
    <w:p w14:paraId="115D8579">
      <w:pPr>
        <w:widowControl/>
        <w:spacing w:line="440" w:lineRule="exact"/>
        <w:ind w:firstLine="482" w:firstLineChars="200"/>
        <w:jc w:val="left"/>
        <w:rPr>
          <w:color w:val="000000"/>
          <w:kern w:val="0"/>
          <w:sz w:val="24"/>
        </w:rPr>
      </w:pPr>
      <w:r>
        <w:rPr>
          <w:b/>
          <w:sz w:val="24"/>
        </w:rPr>
        <w:t>第八条</w:t>
      </w:r>
      <w:r>
        <w:rPr>
          <w:sz w:val="24"/>
        </w:rPr>
        <w:t xml:space="preserve">  </w:t>
      </w:r>
      <w:r>
        <w:rPr>
          <w:color w:val="000000"/>
          <w:kern w:val="0"/>
          <w:sz w:val="24"/>
        </w:rPr>
        <w:t>山区、林地作业应遵守下列规定：</w:t>
      </w:r>
    </w:p>
    <w:p w14:paraId="4BD63EC9">
      <w:pPr>
        <w:widowControl/>
        <w:spacing w:line="440" w:lineRule="exact"/>
        <w:ind w:firstLine="480" w:firstLineChars="200"/>
        <w:jc w:val="left"/>
        <w:rPr>
          <w:color w:val="000000"/>
          <w:kern w:val="0"/>
          <w:sz w:val="24"/>
        </w:rPr>
      </w:pPr>
      <w:r>
        <w:rPr>
          <w:color w:val="000000"/>
          <w:kern w:val="0"/>
          <w:sz w:val="24"/>
        </w:rPr>
        <w:t>a</w:t>
      </w:r>
      <w:r>
        <w:rPr>
          <w:rFonts w:hint="eastAsia"/>
          <w:color w:val="000000"/>
          <w:kern w:val="0"/>
          <w:sz w:val="24"/>
        </w:rPr>
        <w:t>）</w:t>
      </w:r>
      <w:r>
        <w:rPr>
          <w:color w:val="000000"/>
          <w:kern w:val="0"/>
          <w:sz w:val="24"/>
        </w:rPr>
        <w:t>预防动物、植物、微生物伤害源，尤其注意防止村庄养狗伤人，山区丛林应该预防毒蛇叮咬。</w:t>
      </w:r>
    </w:p>
    <w:p w14:paraId="753377F6">
      <w:pPr>
        <w:widowControl/>
        <w:spacing w:line="440" w:lineRule="exact"/>
        <w:ind w:firstLine="480" w:firstLineChars="200"/>
        <w:jc w:val="left"/>
        <w:rPr>
          <w:color w:val="000000"/>
          <w:kern w:val="0"/>
          <w:sz w:val="24"/>
        </w:rPr>
      </w:pPr>
      <w:r>
        <w:rPr>
          <w:color w:val="000000"/>
          <w:kern w:val="0"/>
          <w:sz w:val="24"/>
        </w:rPr>
        <w:t>b</w:t>
      </w:r>
      <w:r>
        <w:rPr>
          <w:rFonts w:hint="eastAsia"/>
          <w:color w:val="000000"/>
          <w:kern w:val="0"/>
          <w:sz w:val="24"/>
        </w:rPr>
        <w:t>）</w:t>
      </w:r>
      <w:r>
        <w:rPr>
          <w:color w:val="000000"/>
          <w:kern w:val="0"/>
          <w:sz w:val="24"/>
        </w:rPr>
        <w:t>每日出发前，应了解天气情况、行进路线、路况、作业区地形地貌、地表覆盖等情况。</w:t>
      </w:r>
    </w:p>
    <w:p w14:paraId="528E1B7E">
      <w:pPr>
        <w:widowControl/>
        <w:spacing w:line="440" w:lineRule="exact"/>
        <w:ind w:firstLine="480" w:firstLineChars="200"/>
        <w:jc w:val="left"/>
        <w:rPr>
          <w:color w:val="000000"/>
          <w:kern w:val="0"/>
          <w:sz w:val="24"/>
        </w:rPr>
      </w:pPr>
      <w:r>
        <w:rPr>
          <w:color w:val="000000"/>
          <w:kern w:val="0"/>
          <w:sz w:val="24"/>
        </w:rPr>
        <w:t>c</w:t>
      </w:r>
      <w:r>
        <w:rPr>
          <w:rFonts w:hint="eastAsia"/>
          <w:color w:val="000000"/>
          <w:kern w:val="0"/>
          <w:sz w:val="24"/>
        </w:rPr>
        <w:t>）</w:t>
      </w:r>
      <w:r>
        <w:rPr>
          <w:color w:val="000000"/>
          <w:kern w:val="0"/>
          <w:sz w:val="24"/>
        </w:rPr>
        <w:t>在大于30°的陡坡或者垂直的悬崖峭壁上作业，应使用保险绳、安全带。</w:t>
      </w:r>
    </w:p>
    <w:p w14:paraId="30C185D1">
      <w:pPr>
        <w:widowControl/>
        <w:spacing w:line="440" w:lineRule="exact"/>
        <w:ind w:firstLine="480" w:firstLineChars="200"/>
        <w:jc w:val="left"/>
        <w:rPr>
          <w:color w:val="000000"/>
          <w:kern w:val="0"/>
          <w:sz w:val="24"/>
        </w:rPr>
      </w:pPr>
      <w:r>
        <w:rPr>
          <w:color w:val="000000"/>
          <w:kern w:val="0"/>
          <w:sz w:val="24"/>
        </w:rPr>
        <w:t>d</w:t>
      </w:r>
      <w:r>
        <w:rPr>
          <w:rFonts w:hint="eastAsia"/>
          <w:color w:val="000000"/>
          <w:kern w:val="0"/>
          <w:sz w:val="24"/>
        </w:rPr>
        <w:t>）</w:t>
      </w:r>
      <w:r>
        <w:rPr>
          <w:color w:val="000000"/>
          <w:kern w:val="0"/>
          <w:sz w:val="24"/>
        </w:rPr>
        <w:t>在悬崖、陡坡进行作业，应清除上部浮石。进行两层或多层作业，上下层间应有安全防护设施。2m及以上高处作业，应系安全带。</w:t>
      </w:r>
    </w:p>
    <w:p w14:paraId="0B3782FD">
      <w:pPr>
        <w:widowControl/>
        <w:spacing w:line="440" w:lineRule="exact"/>
        <w:ind w:firstLine="480" w:firstLineChars="200"/>
        <w:jc w:val="left"/>
        <w:rPr>
          <w:color w:val="000000"/>
          <w:kern w:val="0"/>
          <w:sz w:val="24"/>
        </w:rPr>
      </w:pPr>
      <w:r>
        <w:rPr>
          <w:color w:val="000000"/>
          <w:kern w:val="0"/>
          <w:sz w:val="24"/>
        </w:rPr>
        <w:t>e</w:t>
      </w:r>
      <w:r>
        <w:rPr>
          <w:rFonts w:hint="eastAsia"/>
          <w:color w:val="000000"/>
          <w:kern w:val="0"/>
          <w:sz w:val="24"/>
        </w:rPr>
        <w:t>）</w:t>
      </w:r>
      <w:r>
        <w:rPr>
          <w:color w:val="000000"/>
          <w:kern w:val="0"/>
          <w:sz w:val="24"/>
        </w:rPr>
        <w:t>山区施工，暴雨季节注意防洪、山体滑坡、坍塌措施。</w:t>
      </w:r>
    </w:p>
    <w:p w14:paraId="6BA8D223">
      <w:pPr>
        <w:widowControl/>
        <w:spacing w:line="440" w:lineRule="exact"/>
        <w:ind w:firstLine="480" w:firstLineChars="200"/>
        <w:jc w:val="left"/>
        <w:rPr>
          <w:color w:val="000000"/>
          <w:kern w:val="0"/>
          <w:sz w:val="24"/>
        </w:rPr>
      </w:pPr>
      <w:r>
        <w:rPr>
          <w:color w:val="000000"/>
          <w:kern w:val="0"/>
          <w:sz w:val="24"/>
        </w:rPr>
        <w:t>f</w:t>
      </w:r>
      <w:r>
        <w:rPr>
          <w:rFonts w:hint="eastAsia"/>
          <w:color w:val="000000"/>
          <w:kern w:val="0"/>
          <w:sz w:val="24"/>
        </w:rPr>
        <w:t>）</w:t>
      </w:r>
      <w:r>
        <w:rPr>
          <w:color w:val="000000"/>
          <w:kern w:val="0"/>
          <w:sz w:val="24"/>
        </w:rPr>
        <w:t>在森林地区进行作业，应遵守禁区防火规定。</w:t>
      </w:r>
    </w:p>
    <w:p w14:paraId="46928BB0">
      <w:pPr>
        <w:widowControl/>
        <w:spacing w:line="440" w:lineRule="exact"/>
        <w:ind w:firstLine="480" w:firstLineChars="200"/>
        <w:jc w:val="left"/>
        <w:rPr>
          <w:color w:val="000000"/>
          <w:kern w:val="0"/>
          <w:sz w:val="24"/>
        </w:rPr>
      </w:pPr>
      <w:r>
        <w:rPr>
          <w:rFonts w:hint="eastAsia"/>
          <w:color w:val="000000"/>
          <w:kern w:val="0"/>
          <w:sz w:val="24"/>
        </w:rPr>
        <w:t>g）</w:t>
      </w:r>
      <w:r>
        <w:rPr>
          <w:color w:val="000000"/>
          <w:kern w:val="0"/>
          <w:sz w:val="24"/>
        </w:rPr>
        <w:t xml:space="preserve">山区施工现场严禁烟火。 </w:t>
      </w:r>
    </w:p>
    <w:p w14:paraId="7F05CC41">
      <w:pPr>
        <w:widowControl/>
        <w:spacing w:line="440" w:lineRule="exact"/>
        <w:ind w:firstLine="482" w:firstLineChars="200"/>
        <w:jc w:val="left"/>
        <w:rPr>
          <w:color w:val="000000"/>
          <w:kern w:val="0"/>
          <w:sz w:val="24"/>
        </w:rPr>
      </w:pPr>
      <w:r>
        <w:rPr>
          <w:b/>
          <w:sz w:val="24"/>
        </w:rPr>
        <w:t>第九条</w:t>
      </w:r>
      <w:r>
        <w:rPr>
          <w:sz w:val="24"/>
        </w:rPr>
        <w:t xml:space="preserve">  </w:t>
      </w:r>
      <w:r>
        <w:rPr>
          <w:color w:val="000000"/>
          <w:kern w:val="0"/>
          <w:sz w:val="24"/>
        </w:rPr>
        <w:t>水系、沼泽地区作业应遵守下列规定：</w:t>
      </w:r>
    </w:p>
    <w:p w14:paraId="1C79DA58">
      <w:pPr>
        <w:widowControl/>
        <w:spacing w:line="440" w:lineRule="exact"/>
        <w:ind w:firstLine="480" w:firstLineChars="200"/>
        <w:jc w:val="left"/>
        <w:rPr>
          <w:color w:val="000000"/>
          <w:kern w:val="0"/>
          <w:sz w:val="24"/>
        </w:rPr>
      </w:pPr>
      <w:r>
        <w:rPr>
          <w:color w:val="000000"/>
          <w:kern w:val="0"/>
          <w:sz w:val="24"/>
        </w:rPr>
        <w:t>a</w:t>
      </w:r>
      <w:r>
        <w:rPr>
          <w:rFonts w:hint="eastAsia"/>
          <w:color w:val="000000"/>
          <w:kern w:val="0"/>
          <w:sz w:val="24"/>
        </w:rPr>
        <w:t>）</w:t>
      </w:r>
      <w:r>
        <w:rPr>
          <w:color w:val="000000"/>
          <w:kern w:val="0"/>
          <w:sz w:val="24"/>
        </w:rPr>
        <w:t>在沼泽地区作业，应佩戴黑绢网、皮手套，扎紧袖口和裤脚。注意防范蚊虫叮咬。</w:t>
      </w:r>
    </w:p>
    <w:p w14:paraId="09BA17D9">
      <w:pPr>
        <w:widowControl/>
        <w:spacing w:line="440" w:lineRule="exact"/>
        <w:ind w:firstLine="480" w:firstLineChars="200"/>
        <w:jc w:val="left"/>
        <w:rPr>
          <w:color w:val="000000"/>
          <w:kern w:val="0"/>
          <w:sz w:val="24"/>
        </w:rPr>
      </w:pPr>
      <w:r>
        <w:rPr>
          <w:color w:val="000000"/>
          <w:kern w:val="0"/>
          <w:sz w:val="24"/>
        </w:rPr>
        <w:t>b</w:t>
      </w:r>
      <w:r>
        <w:rPr>
          <w:rFonts w:hint="eastAsia"/>
          <w:color w:val="000000"/>
          <w:kern w:val="0"/>
          <w:sz w:val="24"/>
        </w:rPr>
        <w:t>）</w:t>
      </w:r>
      <w:r>
        <w:rPr>
          <w:color w:val="000000"/>
          <w:kern w:val="0"/>
          <w:sz w:val="24"/>
        </w:rPr>
        <w:t>徒步涉水河流、水域，水深应小于半身高，并采取相应防护措施，超过0.7m水深不得徒手下水渡过河流、沟渠。</w:t>
      </w:r>
    </w:p>
    <w:p w14:paraId="433183F3">
      <w:pPr>
        <w:widowControl/>
        <w:spacing w:line="440" w:lineRule="exact"/>
        <w:ind w:firstLine="482" w:firstLineChars="200"/>
        <w:jc w:val="left"/>
        <w:rPr>
          <w:color w:val="000000"/>
          <w:kern w:val="0"/>
          <w:sz w:val="24"/>
        </w:rPr>
      </w:pPr>
      <w:r>
        <w:rPr>
          <w:b/>
          <w:color w:val="000000"/>
          <w:kern w:val="0"/>
          <w:sz w:val="24"/>
        </w:rPr>
        <w:t>第十条</w:t>
      </w:r>
      <w:r>
        <w:rPr>
          <w:color w:val="000000"/>
          <w:kern w:val="0"/>
          <w:sz w:val="24"/>
        </w:rPr>
        <w:t xml:space="preserve">  乙方应严格遵守上述协议内容，如若违规甲方有权责令其停工或进行处罚。</w:t>
      </w:r>
    </w:p>
    <w:p w14:paraId="5D9FC9E2">
      <w:pPr>
        <w:spacing w:line="440" w:lineRule="exact"/>
        <w:ind w:firstLine="482" w:firstLineChars="200"/>
        <w:rPr>
          <w:sz w:val="24"/>
        </w:rPr>
      </w:pPr>
      <w:r>
        <w:rPr>
          <w:b/>
          <w:sz w:val="24"/>
        </w:rPr>
        <w:t>第十一条</w:t>
      </w:r>
      <w:r>
        <w:rPr>
          <w:sz w:val="24"/>
        </w:rPr>
        <w:t xml:space="preserve">  如因乙方违反相关法律、法规及以上规定，所造成的一切不良后果（人员伤亡、财产损失等）均由乙方全部负责，与甲方无关。</w:t>
      </w:r>
    </w:p>
    <w:p w14:paraId="5610BD50">
      <w:pPr>
        <w:spacing w:after="120" w:line="480" w:lineRule="exact"/>
        <w:ind w:left="420" w:leftChars="200" w:firstLine="480" w:firstLineChars="200"/>
        <w:rPr>
          <w:sz w:val="24"/>
          <w:szCs w:val="20"/>
        </w:rPr>
      </w:pPr>
    </w:p>
    <w:tbl>
      <w:tblPr>
        <w:tblStyle w:val="42"/>
        <w:tblW w:w="9147" w:type="dxa"/>
        <w:jc w:val="center"/>
        <w:tblLayout w:type="fixed"/>
        <w:tblCellMar>
          <w:top w:w="0" w:type="dxa"/>
          <w:left w:w="108" w:type="dxa"/>
          <w:bottom w:w="0" w:type="dxa"/>
          <w:right w:w="108" w:type="dxa"/>
        </w:tblCellMar>
      </w:tblPr>
      <w:tblGrid>
        <w:gridCol w:w="1600"/>
        <w:gridCol w:w="2975"/>
        <w:gridCol w:w="1630"/>
        <w:gridCol w:w="2942"/>
      </w:tblGrid>
      <w:tr w14:paraId="18A5E48D">
        <w:tblPrEx>
          <w:tblCellMar>
            <w:top w:w="0" w:type="dxa"/>
            <w:left w:w="108" w:type="dxa"/>
            <w:bottom w:w="0" w:type="dxa"/>
            <w:right w:w="108" w:type="dxa"/>
          </w:tblCellMar>
        </w:tblPrEx>
        <w:trPr>
          <w:trHeight w:val="803" w:hRule="atLeast"/>
          <w:jc w:val="center"/>
        </w:trPr>
        <w:tc>
          <w:tcPr>
            <w:tcW w:w="9147" w:type="dxa"/>
            <w:gridSpan w:val="4"/>
            <w:vAlign w:val="center"/>
          </w:tcPr>
          <w:p w14:paraId="5B3B9A93">
            <w:pPr>
              <w:spacing w:line="320" w:lineRule="exact"/>
              <w:jc w:val="center"/>
              <w:rPr>
                <w:rFonts w:hint="eastAsia" w:ascii="华文宋体" w:hAnsi="华文宋体" w:eastAsia="华文宋体" w:cs="华文宋体"/>
                <w:b/>
                <w:szCs w:val="21"/>
              </w:rPr>
            </w:pPr>
            <w:r>
              <w:rPr>
                <w:rFonts w:hint="eastAsia" w:ascii="华文宋体" w:hAnsi="华文宋体" w:eastAsia="华文宋体" w:cs="华文宋体"/>
                <w:b/>
                <w:sz w:val="28"/>
                <w:szCs w:val="28"/>
              </w:rPr>
              <w:t>协议签订双方</w:t>
            </w:r>
          </w:p>
        </w:tc>
      </w:tr>
      <w:tr w14:paraId="1C6F4CAA">
        <w:tblPrEx>
          <w:tblCellMar>
            <w:top w:w="0" w:type="dxa"/>
            <w:left w:w="108" w:type="dxa"/>
            <w:bottom w:w="0" w:type="dxa"/>
            <w:right w:w="108" w:type="dxa"/>
          </w:tblCellMar>
        </w:tblPrEx>
        <w:trPr>
          <w:trHeight w:val="997" w:hRule="atLeast"/>
          <w:jc w:val="center"/>
        </w:trPr>
        <w:tc>
          <w:tcPr>
            <w:tcW w:w="1600" w:type="dxa"/>
            <w:vAlign w:val="center"/>
          </w:tcPr>
          <w:p w14:paraId="2F3DC553">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甲方（盖章）：</w:t>
            </w:r>
          </w:p>
        </w:tc>
        <w:tc>
          <w:tcPr>
            <w:tcW w:w="2975" w:type="dxa"/>
            <w:vAlign w:val="center"/>
          </w:tcPr>
          <w:p w14:paraId="6FC7BB4B">
            <w:pPr>
              <w:spacing w:line="320" w:lineRule="exact"/>
              <w:jc w:val="center"/>
              <w:rPr>
                <w:rFonts w:hint="eastAsia" w:ascii="华文宋体" w:hAnsi="华文宋体" w:eastAsia="华文宋体" w:cs="华文宋体"/>
                <w:szCs w:val="21"/>
              </w:rPr>
            </w:pPr>
          </w:p>
        </w:tc>
        <w:tc>
          <w:tcPr>
            <w:tcW w:w="1630" w:type="dxa"/>
            <w:vAlign w:val="center"/>
          </w:tcPr>
          <w:p w14:paraId="5C692AA6">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乙方（盖章）：</w:t>
            </w:r>
          </w:p>
        </w:tc>
        <w:tc>
          <w:tcPr>
            <w:tcW w:w="2942" w:type="dxa"/>
            <w:vAlign w:val="center"/>
          </w:tcPr>
          <w:p w14:paraId="49960CA1">
            <w:pPr>
              <w:spacing w:line="320" w:lineRule="exact"/>
              <w:ind w:leftChars="-2" w:hanging="4" w:hangingChars="2"/>
              <w:jc w:val="center"/>
              <w:rPr>
                <w:rFonts w:hint="eastAsia" w:ascii="华文宋体" w:hAnsi="华文宋体" w:eastAsia="华文宋体" w:cs="华文宋体"/>
                <w:szCs w:val="21"/>
              </w:rPr>
            </w:pPr>
          </w:p>
        </w:tc>
      </w:tr>
      <w:tr w14:paraId="55D00B37">
        <w:tblPrEx>
          <w:tblCellMar>
            <w:top w:w="0" w:type="dxa"/>
            <w:left w:w="108" w:type="dxa"/>
            <w:bottom w:w="0" w:type="dxa"/>
            <w:right w:w="108" w:type="dxa"/>
          </w:tblCellMar>
        </w:tblPrEx>
        <w:trPr>
          <w:trHeight w:val="1087" w:hRule="atLeast"/>
          <w:jc w:val="center"/>
        </w:trPr>
        <w:tc>
          <w:tcPr>
            <w:tcW w:w="1600" w:type="dxa"/>
            <w:vAlign w:val="center"/>
          </w:tcPr>
          <w:p w14:paraId="74DCD6DE">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法定代表人</w:t>
            </w:r>
          </w:p>
          <w:p w14:paraId="572BFCEE">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75" w:type="dxa"/>
            <w:vAlign w:val="center"/>
          </w:tcPr>
          <w:p w14:paraId="4D932115">
            <w:pPr>
              <w:spacing w:line="320" w:lineRule="exact"/>
              <w:rPr>
                <w:rFonts w:hint="eastAsia" w:ascii="华文宋体" w:hAnsi="华文宋体" w:eastAsia="华文宋体" w:cs="华文宋体"/>
                <w:szCs w:val="21"/>
              </w:rPr>
            </w:pPr>
          </w:p>
        </w:tc>
        <w:tc>
          <w:tcPr>
            <w:tcW w:w="1630" w:type="dxa"/>
            <w:vAlign w:val="center"/>
          </w:tcPr>
          <w:p w14:paraId="20690EAE">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法定代表人</w:t>
            </w:r>
          </w:p>
          <w:p w14:paraId="7964D9D6">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42" w:type="dxa"/>
            <w:vAlign w:val="center"/>
          </w:tcPr>
          <w:p w14:paraId="2D05E286">
            <w:pPr>
              <w:spacing w:line="320" w:lineRule="exact"/>
              <w:rPr>
                <w:rFonts w:hint="eastAsia" w:ascii="华文宋体" w:hAnsi="华文宋体" w:eastAsia="华文宋体" w:cs="华文宋体"/>
                <w:szCs w:val="21"/>
              </w:rPr>
            </w:pPr>
          </w:p>
        </w:tc>
      </w:tr>
      <w:tr w14:paraId="34563C8C">
        <w:tblPrEx>
          <w:tblCellMar>
            <w:top w:w="0" w:type="dxa"/>
            <w:left w:w="108" w:type="dxa"/>
            <w:bottom w:w="0" w:type="dxa"/>
            <w:right w:w="108" w:type="dxa"/>
          </w:tblCellMar>
        </w:tblPrEx>
        <w:trPr>
          <w:trHeight w:val="1087" w:hRule="atLeast"/>
          <w:jc w:val="center"/>
        </w:trPr>
        <w:tc>
          <w:tcPr>
            <w:tcW w:w="1600" w:type="dxa"/>
            <w:vAlign w:val="center"/>
          </w:tcPr>
          <w:p w14:paraId="294B2356">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委托代理人</w:t>
            </w:r>
          </w:p>
          <w:p w14:paraId="4297525D">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75" w:type="dxa"/>
            <w:vAlign w:val="center"/>
          </w:tcPr>
          <w:p w14:paraId="423F957F">
            <w:pPr>
              <w:spacing w:line="320" w:lineRule="exact"/>
              <w:rPr>
                <w:rFonts w:hint="eastAsia" w:ascii="华文宋体" w:hAnsi="华文宋体" w:eastAsia="华文宋体" w:cs="华文宋体"/>
                <w:szCs w:val="21"/>
              </w:rPr>
            </w:pPr>
          </w:p>
        </w:tc>
        <w:tc>
          <w:tcPr>
            <w:tcW w:w="1630" w:type="dxa"/>
            <w:vAlign w:val="center"/>
          </w:tcPr>
          <w:p w14:paraId="1C570F91">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委托代理人</w:t>
            </w:r>
          </w:p>
          <w:p w14:paraId="52FCECC4">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42" w:type="dxa"/>
            <w:vAlign w:val="center"/>
          </w:tcPr>
          <w:p w14:paraId="4C13F2CB">
            <w:pPr>
              <w:spacing w:line="320" w:lineRule="exact"/>
              <w:rPr>
                <w:rFonts w:hint="eastAsia" w:ascii="华文宋体" w:hAnsi="华文宋体" w:eastAsia="华文宋体" w:cs="华文宋体"/>
                <w:szCs w:val="21"/>
              </w:rPr>
            </w:pPr>
          </w:p>
        </w:tc>
      </w:tr>
      <w:tr w14:paraId="53B44C78">
        <w:tblPrEx>
          <w:tblCellMar>
            <w:top w:w="0" w:type="dxa"/>
            <w:left w:w="108" w:type="dxa"/>
            <w:bottom w:w="0" w:type="dxa"/>
            <w:right w:w="108" w:type="dxa"/>
          </w:tblCellMar>
        </w:tblPrEx>
        <w:trPr>
          <w:trHeight w:val="1087" w:hRule="atLeast"/>
          <w:jc w:val="center"/>
        </w:trPr>
        <w:tc>
          <w:tcPr>
            <w:tcW w:w="1600" w:type="dxa"/>
            <w:vAlign w:val="center"/>
          </w:tcPr>
          <w:p w14:paraId="6B5DA8CA">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签订日期：</w:t>
            </w:r>
          </w:p>
        </w:tc>
        <w:tc>
          <w:tcPr>
            <w:tcW w:w="2975" w:type="dxa"/>
            <w:vAlign w:val="center"/>
          </w:tcPr>
          <w:p w14:paraId="032136BC">
            <w:pPr>
              <w:spacing w:line="320" w:lineRule="exact"/>
              <w:jc w:val="right"/>
              <w:rPr>
                <w:rFonts w:hint="eastAsia" w:ascii="华文宋体" w:hAnsi="华文宋体" w:eastAsia="华文宋体" w:cs="华文宋体"/>
                <w:szCs w:val="21"/>
              </w:rPr>
            </w:pPr>
            <w:r>
              <w:rPr>
                <w:rFonts w:hint="eastAsia" w:ascii="华文宋体" w:hAnsi="华文宋体" w:eastAsia="华文宋体" w:cs="华文宋体"/>
                <w:szCs w:val="21"/>
              </w:rPr>
              <w:t>________年____月____日</w:t>
            </w:r>
          </w:p>
        </w:tc>
        <w:tc>
          <w:tcPr>
            <w:tcW w:w="1630" w:type="dxa"/>
            <w:vAlign w:val="center"/>
          </w:tcPr>
          <w:p w14:paraId="2C3D8CC3">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签订日期：</w:t>
            </w:r>
          </w:p>
        </w:tc>
        <w:tc>
          <w:tcPr>
            <w:tcW w:w="2942" w:type="dxa"/>
            <w:vAlign w:val="center"/>
          </w:tcPr>
          <w:p w14:paraId="504DCCBD">
            <w:pPr>
              <w:spacing w:line="320" w:lineRule="exact"/>
              <w:jc w:val="right"/>
              <w:rPr>
                <w:rFonts w:hint="eastAsia" w:ascii="华文宋体" w:hAnsi="华文宋体" w:eastAsia="华文宋体" w:cs="华文宋体"/>
                <w:szCs w:val="21"/>
              </w:rPr>
            </w:pPr>
            <w:r>
              <w:rPr>
                <w:rFonts w:hint="eastAsia" w:ascii="华文宋体" w:hAnsi="华文宋体" w:eastAsia="华文宋体" w:cs="华文宋体"/>
                <w:szCs w:val="21"/>
              </w:rPr>
              <w:t>________年____月____日</w:t>
            </w:r>
          </w:p>
        </w:tc>
      </w:tr>
    </w:tbl>
    <w:p w14:paraId="46E68151">
      <w:pPr>
        <w:spacing w:line="360" w:lineRule="auto"/>
        <w:ind w:firstLine="480" w:firstLineChars="200"/>
        <w:rPr>
          <w:rFonts w:hint="eastAsia" w:ascii="宋体" w:hAnsi="宋体" w:cs="宋体"/>
          <w:color w:val="000000"/>
          <w:sz w:val="24"/>
        </w:rPr>
      </w:pPr>
      <w:r>
        <w:rPr>
          <w:rFonts w:hint="eastAsia" w:ascii="宋体" w:hAnsi="宋体" w:cs="宋体"/>
          <w:color w:val="000000"/>
          <w:sz w:val="24"/>
        </w:rPr>
        <w:br w:type="page"/>
      </w:r>
    </w:p>
    <w:p w14:paraId="13FBE595">
      <w:pPr>
        <w:spacing w:after="240" w:afterLines="100" w:line="360" w:lineRule="auto"/>
        <w:outlineLvl w:val="1"/>
        <w:rPr>
          <w:rFonts w:hint="eastAsia" w:ascii="宋体" w:hAnsi="宋体" w:cs="宋体"/>
          <w:b/>
          <w:color w:val="000000"/>
          <w:sz w:val="28"/>
          <w:szCs w:val="28"/>
        </w:rPr>
      </w:pPr>
      <w:r>
        <w:rPr>
          <w:rFonts w:hint="eastAsia" w:ascii="宋体" w:hAnsi="宋体" w:cs="宋体"/>
          <w:b/>
          <w:color w:val="000000"/>
          <w:sz w:val="28"/>
          <w:szCs w:val="28"/>
        </w:rPr>
        <w:t>第三包：</w:t>
      </w:r>
    </w:p>
    <w:p w14:paraId="41A340D9">
      <w:pPr>
        <w:spacing w:after="120" w:line="480" w:lineRule="exact"/>
        <w:jc w:val="center"/>
        <w:rPr>
          <w:rFonts w:hint="eastAsia" w:hAnsi="宋体" w:cs="宋体"/>
          <w:b/>
          <w:bCs/>
          <w:color w:val="000000"/>
          <w:sz w:val="28"/>
          <w:szCs w:val="28"/>
        </w:rPr>
      </w:pPr>
      <w:r>
        <w:rPr>
          <w:rFonts w:hint="eastAsia" w:hAnsi="宋体" w:cs="宋体"/>
          <w:b/>
          <w:bCs/>
          <w:color w:val="000000"/>
          <w:sz w:val="28"/>
          <w:szCs w:val="28"/>
        </w:rPr>
        <w:t>政 府 采 购 合 同</w:t>
      </w:r>
    </w:p>
    <w:p w14:paraId="2EFB95C2">
      <w:pPr>
        <w:rPr>
          <w:rFonts w:hint="eastAsia" w:ascii="宋体" w:hAnsi="宋体" w:cs="宋体"/>
        </w:rPr>
      </w:pPr>
    </w:p>
    <w:p w14:paraId="04ACED8D">
      <w:pPr>
        <w:jc w:val="right"/>
        <w:rPr>
          <w:rFonts w:hint="eastAsia" w:ascii="宋体" w:hAnsi="宋体" w:cs="宋体"/>
          <w:color w:val="000000"/>
          <w:sz w:val="24"/>
        </w:rPr>
      </w:pPr>
      <w:r>
        <w:rPr>
          <w:rFonts w:hint="eastAsia" w:ascii="宋体" w:hAnsi="宋体" w:cs="宋体"/>
          <w:color w:val="000000"/>
          <w:sz w:val="24"/>
        </w:rPr>
        <w:t>合同编号：</w:t>
      </w:r>
    </w:p>
    <w:p w14:paraId="7921E4EE">
      <w:pPr>
        <w:rPr>
          <w:rFonts w:hint="eastAsia" w:ascii="宋体" w:hAnsi="宋体" w:cs="宋体"/>
          <w:color w:val="000000"/>
          <w:sz w:val="24"/>
        </w:rPr>
      </w:pPr>
    </w:p>
    <w:p w14:paraId="24586CD5">
      <w:pPr>
        <w:rPr>
          <w:rFonts w:hint="eastAsia" w:ascii="宋体" w:hAnsi="宋体" w:cs="宋体"/>
          <w:color w:val="000000"/>
          <w:sz w:val="24"/>
        </w:rPr>
      </w:pPr>
    </w:p>
    <w:p w14:paraId="6F53F048">
      <w:pPr>
        <w:rPr>
          <w:rFonts w:hint="eastAsia" w:ascii="宋体" w:hAnsi="宋体" w:cs="宋体"/>
          <w:color w:val="000000"/>
          <w:sz w:val="24"/>
        </w:rPr>
      </w:pPr>
    </w:p>
    <w:p w14:paraId="0235F03F">
      <w:pPr>
        <w:rPr>
          <w:rFonts w:hint="eastAsia" w:ascii="宋体" w:hAnsi="宋体" w:cs="宋体"/>
          <w:color w:val="000000"/>
          <w:sz w:val="24"/>
        </w:rPr>
      </w:pPr>
    </w:p>
    <w:p w14:paraId="6A4E5E8D">
      <w:pPr>
        <w:ind w:firstLine="1680" w:firstLineChars="700"/>
        <w:rPr>
          <w:rFonts w:hint="eastAsia" w:ascii="宋体" w:hAnsi="宋体" w:cs="宋体"/>
          <w:color w:val="000000"/>
          <w:sz w:val="24"/>
          <w:u w:val="single"/>
        </w:rPr>
      </w:pPr>
      <w:r>
        <w:rPr>
          <w:rFonts w:hint="eastAsia" w:ascii="宋体" w:hAnsi="宋体" w:cs="宋体"/>
          <w:color w:val="000000"/>
          <w:sz w:val="24"/>
        </w:rPr>
        <w:t>项目名称：</w:t>
      </w:r>
      <w:r>
        <w:rPr>
          <w:rFonts w:hint="eastAsia" w:ascii="宋体" w:hAnsi="宋体" w:cs="宋体"/>
          <w:color w:val="000000"/>
          <w:sz w:val="24"/>
          <w:u w:val="single"/>
        </w:rPr>
        <w:t xml:space="preserve">                          </w:t>
      </w:r>
    </w:p>
    <w:p w14:paraId="5B8E33DF">
      <w:pPr>
        <w:ind w:firstLine="1680" w:firstLineChars="700"/>
        <w:jc w:val="center"/>
        <w:rPr>
          <w:rFonts w:hint="eastAsia" w:ascii="宋体" w:hAnsi="宋体" w:cs="宋体"/>
          <w:color w:val="000000"/>
          <w:sz w:val="24"/>
        </w:rPr>
      </w:pPr>
    </w:p>
    <w:p w14:paraId="7968CB06">
      <w:pPr>
        <w:ind w:firstLine="1680" w:firstLineChars="700"/>
        <w:jc w:val="center"/>
        <w:rPr>
          <w:rFonts w:hint="eastAsia" w:ascii="宋体" w:hAnsi="宋体" w:cs="宋体"/>
          <w:color w:val="000000"/>
          <w:sz w:val="24"/>
        </w:rPr>
      </w:pPr>
    </w:p>
    <w:p w14:paraId="44419D4A">
      <w:pPr>
        <w:ind w:firstLine="1680" w:firstLineChars="700"/>
        <w:jc w:val="center"/>
        <w:rPr>
          <w:rFonts w:hint="eastAsia" w:ascii="宋体" w:hAnsi="宋体" w:cs="宋体"/>
          <w:color w:val="000000"/>
          <w:sz w:val="24"/>
        </w:rPr>
      </w:pPr>
    </w:p>
    <w:p w14:paraId="243C0051">
      <w:pPr>
        <w:ind w:firstLine="1680" w:firstLineChars="700"/>
        <w:rPr>
          <w:rFonts w:hint="eastAsia" w:ascii="宋体" w:hAnsi="宋体" w:cs="宋体"/>
          <w:color w:val="000000"/>
          <w:sz w:val="24"/>
          <w:u w:val="single"/>
        </w:rPr>
      </w:pPr>
      <w:r>
        <w:rPr>
          <w:rFonts w:hint="eastAsia" w:ascii="宋体" w:hAnsi="宋体" w:cs="宋体"/>
          <w:color w:val="000000"/>
          <w:sz w:val="24"/>
        </w:rPr>
        <w:t>采购人：</w:t>
      </w:r>
      <w:r>
        <w:rPr>
          <w:rFonts w:hint="eastAsia" w:ascii="宋体" w:hAnsi="宋体" w:cs="宋体"/>
          <w:color w:val="000000"/>
          <w:sz w:val="24"/>
          <w:u w:val="single"/>
        </w:rPr>
        <w:t xml:space="preserve">                         </w:t>
      </w:r>
    </w:p>
    <w:p w14:paraId="2CE4F480">
      <w:pPr>
        <w:ind w:firstLine="1680" w:firstLineChars="700"/>
        <w:jc w:val="center"/>
        <w:rPr>
          <w:rFonts w:hint="eastAsia" w:ascii="宋体" w:hAnsi="宋体" w:cs="宋体"/>
          <w:color w:val="000000"/>
          <w:sz w:val="24"/>
        </w:rPr>
      </w:pPr>
    </w:p>
    <w:p w14:paraId="66849A81">
      <w:pPr>
        <w:ind w:firstLine="1680" w:firstLineChars="700"/>
        <w:jc w:val="center"/>
        <w:rPr>
          <w:rFonts w:hint="eastAsia" w:ascii="宋体" w:hAnsi="宋体" w:cs="宋体"/>
          <w:color w:val="000000"/>
          <w:sz w:val="24"/>
        </w:rPr>
      </w:pPr>
    </w:p>
    <w:p w14:paraId="08283610">
      <w:pPr>
        <w:ind w:firstLine="1680" w:firstLineChars="700"/>
        <w:jc w:val="center"/>
        <w:rPr>
          <w:rFonts w:hint="eastAsia" w:ascii="宋体" w:hAnsi="宋体" w:cs="宋体"/>
          <w:color w:val="000000"/>
          <w:sz w:val="24"/>
        </w:rPr>
      </w:pPr>
    </w:p>
    <w:p w14:paraId="09AEA635">
      <w:pPr>
        <w:ind w:firstLine="1680" w:firstLineChars="700"/>
        <w:jc w:val="center"/>
        <w:rPr>
          <w:rFonts w:hint="eastAsia" w:ascii="宋体" w:hAnsi="宋体" w:cs="宋体"/>
          <w:color w:val="000000"/>
          <w:sz w:val="24"/>
        </w:rPr>
      </w:pPr>
    </w:p>
    <w:p w14:paraId="0C2B010B">
      <w:pPr>
        <w:ind w:firstLine="1680" w:firstLineChars="700"/>
        <w:rPr>
          <w:rFonts w:hint="eastAsia" w:ascii="宋体" w:hAnsi="宋体" w:cs="宋体"/>
          <w:color w:val="000000"/>
          <w:sz w:val="24"/>
          <w:u w:val="single"/>
        </w:rPr>
      </w:pPr>
      <w:r>
        <w:rPr>
          <w:rFonts w:hint="eastAsia" w:ascii="宋体" w:hAnsi="宋体" w:cs="宋体"/>
          <w:color w:val="000000"/>
          <w:sz w:val="24"/>
        </w:rPr>
        <w:t>中标供应商：</w:t>
      </w:r>
      <w:r>
        <w:rPr>
          <w:rFonts w:hint="eastAsia" w:ascii="宋体" w:hAnsi="宋体" w:cs="宋体"/>
          <w:color w:val="000000"/>
          <w:sz w:val="24"/>
          <w:u w:val="single"/>
        </w:rPr>
        <w:t xml:space="preserve">                         </w:t>
      </w:r>
    </w:p>
    <w:p w14:paraId="68D3C8E7">
      <w:pPr>
        <w:ind w:firstLine="1680" w:firstLineChars="700"/>
        <w:jc w:val="center"/>
        <w:rPr>
          <w:rFonts w:hint="eastAsia" w:ascii="宋体" w:hAnsi="宋体" w:cs="宋体"/>
          <w:color w:val="000000"/>
          <w:sz w:val="24"/>
        </w:rPr>
      </w:pPr>
    </w:p>
    <w:p w14:paraId="1FCF31D1">
      <w:pPr>
        <w:ind w:firstLine="1680" w:firstLineChars="700"/>
        <w:jc w:val="center"/>
        <w:rPr>
          <w:rFonts w:hint="eastAsia" w:ascii="宋体" w:hAnsi="宋体" w:cs="宋体"/>
          <w:color w:val="000000"/>
          <w:sz w:val="24"/>
        </w:rPr>
      </w:pPr>
    </w:p>
    <w:p w14:paraId="6AB6E7FB">
      <w:pPr>
        <w:ind w:firstLine="1680" w:firstLineChars="700"/>
        <w:jc w:val="center"/>
        <w:rPr>
          <w:rFonts w:hint="eastAsia" w:ascii="宋体" w:hAnsi="宋体" w:cs="宋体"/>
          <w:color w:val="000000"/>
          <w:sz w:val="24"/>
        </w:rPr>
      </w:pPr>
    </w:p>
    <w:p w14:paraId="05EE65D9">
      <w:pPr>
        <w:ind w:firstLine="1680" w:firstLineChars="700"/>
        <w:jc w:val="center"/>
        <w:rPr>
          <w:rFonts w:hint="eastAsia" w:ascii="宋体" w:hAnsi="宋体" w:cs="宋体"/>
          <w:color w:val="000000"/>
          <w:sz w:val="24"/>
        </w:rPr>
      </w:pPr>
    </w:p>
    <w:p w14:paraId="25C5EB42">
      <w:pPr>
        <w:ind w:firstLine="1680" w:firstLineChars="700"/>
        <w:rPr>
          <w:rFonts w:hint="eastAsia" w:ascii="宋体" w:hAnsi="宋体" w:cs="宋体"/>
          <w:color w:val="000000"/>
          <w:sz w:val="24"/>
          <w:u w:val="single"/>
        </w:rPr>
      </w:pPr>
      <w:r>
        <w:rPr>
          <w:rFonts w:hint="eastAsia" w:ascii="宋体" w:hAnsi="宋体" w:cs="宋体"/>
          <w:color w:val="000000"/>
          <w:sz w:val="24"/>
        </w:rPr>
        <w:t>签署日期：</w:t>
      </w:r>
      <w:r>
        <w:rPr>
          <w:rFonts w:hint="eastAsia" w:ascii="宋体" w:hAnsi="宋体" w:cs="宋体"/>
          <w:color w:val="000000"/>
          <w:sz w:val="24"/>
          <w:u w:val="single"/>
        </w:rPr>
        <w:t xml:space="preserve">                         </w:t>
      </w:r>
    </w:p>
    <w:p w14:paraId="34DF0A02">
      <w:pPr>
        <w:rPr>
          <w:rFonts w:hint="eastAsia" w:ascii="宋体" w:hAnsi="宋体" w:cs="宋体"/>
          <w:color w:val="000000"/>
          <w:sz w:val="24"/>
        </w:rPr>
      </w:pPr>
    </w:p>
    <w:p w14:paraId="6B8FD00E">
      <w:pPr>
        <w:jc w:val="center"/>
        <w:rPr>
          <w:rFonts w:hint="eastAsia" w:ascii="宋体" w:hAnsi="宋体" w:cs="宋体"/>
          <w:color w:val="000000"/>
          <w:sz w:val="24"/>
        </w:rPr>
      </w:pPr>
    </w:p>
    <w:p w14:paraId="072DA76B">
      <w:pPr>
        <w:jc w:val="center"/>
        <w:rPr>
          <w:rFonts w:hint="eastAsia" w:ascii="宋体" w:hAnsi="宋体" w:cs="宋体"/>
          <w:color w:val="000000"/>
          <w:sz w:val="24"/>
        </w:rPr>
      </w:pPr>
    </w:p>
    <w:p w14:paraId="7D7C70EF">
      <w:pPr>
        <w:jc w:val="center"/>
        <w:rPr>
          <w:rFonts w:hint="eastAsia" w:ascii="宋体" w:hAnsi="宋体" w:cs="宋体"/>
          <w:color w:val="000000"/>
          <w:sz w:val="24"/>
        </w:rPr>
      </w:pPr>
    </w:p>
    <w:p w14:paraId="2A058274">
      <w:pPr>
        <w:jc w:val="center"/>
        <w:rPr>
          <w:rFonts w:hint="eastAsia" w:ascii="宋体" w:hAnsi="宋体" w:cs="宋体"/>
          <w:color w:val="000000"/>
          <w:sz w:val="24"/>
        </w:rPr>
      </w:pPr>
    </w:p>
    <w:p w14:paraId="306A58E9">
      <w:pPr>
        <w:jc w:val="center"/>
        <w:rPr>
          <w:rFonts w:hint="eastAsia" w:ascii="宋体" w:hAnsi="宋体" w:cs="宋体"/>
          <w:color w:val="000000"/>
          <w:sz w:val="24"/>
        </w:rPr>
      </w:pPr>
    </w:p>
    <w:p w14:paraId="7AE1A208">
      <w:pPr>
        <w:jc w:val="center"/>
        <w:rPr>
          <w:rFonts w:hint="eastAsia" w:ascii="宋体" w:hAnsi="宋体" w:cs="宋体"/>
          <w:color w:val="000000"/>
          <w:sz w:val="24"/>
        </w:rPr>
      </w:pPr>
      <w:r>
        <w:rPr>
          <w:rFonts w:hint="eastAsia" w:ascii="宋体" w:hAnsi="宋体" w:cs="宋体"/>
          <w:color w:val="000000"/>
          <w:sz w:val="24"/>
        </w:rPr>
        <w:t xml:space="preserve"> </w:t>
      </w:r>
    </w:p>
    <w:p w14:paraId="3D12005F">
      <w:pPr>
        <w:rPr>
          <w:rFonts w:hint="eastAsia" w:ascii="宋体" w:hAnsi="宋体" w:cs="宋体"/>
          <w:color w:val="000000"/>
          <w:sz w:val="24"/>
        </w:rPr>
      </w:pPr>
      <w:r>
        <w:rPr>
          <w:rFonts w:hint="eastAsia" w:ascii="宋体" w:hAnsi="宋体" w:cs="宋体"/>
          <w:color w:val="000000"/>
          <w:sz w:val="24"/>
        </w:rPr>
        <w:br w:type="page"/>
      </w:r>
    </w:p>
    <w:p w14:paraId="76A512E7">
      <w:pPr>
        <w:jc w:val="center"/>
        <w:rPr>
          <w:rFonts w:hint="eastAsia" w:ascii="宋体" w:hAnsi="宋体" w:cs="宋体"/>
          <w:b/>
          <w:bCs/>
          <w:color w:val="000000"/>
          <w:sz w:val="28"/>
          <w:szCs w:val="28"/>
        </w:rPr>
      </w:pPr>
      <w:r>
        <w:rPr>
          <w:rFonts w:hint="eastAsia" w:ascii="宋体" w:hAnsi="宋体" w:cs="宋体"/>
          <w:b/>
          <w:bCs/>
          <w:color w:val="000000"/>
          <w:sz w:val="28"/>
          <w:szCs w:val="28"/>
        </w:rPr>
        <w:t>合 同 书</w:t>
      </w:r>
    </w:p>
    <w:p w14:paraId="35D31251">
      <w:pPr>
        <w:rPr>
          <w:rFonts w:hint="eastAsia" w:ascii="宋体" w:hAnsi="宋体" w:cs="宋体"/>
          <w:b/>
          <w:bCs/>
          <w:color w:val="000000"/>
          <w:sz w:val="28"/>
          <w:szCs w:val="28"/>
        </w:rPr>
      </w:pPr>
    </w:p>
    <w:p w14:paraId="7D728490">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(采购人)(项目名称)中所需(服务名称)经国信招标集团以（招标 编号）号招标文件公开招标。经评标委员会评定(公司名称)为中标供应商。采购人、 中标供应商同意按照下面的条款和条件，签署本合同。</w:t>
      </w:r>
    </w:p>
    <w:p w14:paraId="2D549208">
      <w:pPr>
        <w:snapToGrid w:val="0"/>
        <w:spacing w:line="360" w:lineRule="auto"/>
        <w:ind w:firstLine="482" w:firstLineChars="200"/>
        <w:jc w:val="left"/>
        <w:rPr>
          <w:rFonts w:hint="eastAsia" w:ascii="宋体" w:hAnsi="宋体" w:cs="宋体"/>
          <w:b/>
          <w:bCs/>
          <w:color w:val="000000"/>
          <w:sz w:val="24"/>
        </w:rPr>
      </w:pPr>
    </w:p>
    <w:p w14:paraId="2073115A">
      <w:pPr>
        <w:numPr>
          <w:ilvl w:val="0"/>
          <w:numId w:val="27"/>
        </w:numPr>
        <w:snapToGrid w:val="0"/>
        <w:spacing w:line="360" w:lineRule="auto"/>
        <w:jc w:val="left"/>
        <w:rPr>
          <w:rFonts w:hint="eastAsia" w:ascii="宋体" w:hAnsi="宋体" w:cs="宋体"/>
          <w:b/>
          <w:bCs/>
          <w:color w:val="000000"/>
          <w:sz w:val="24"/>
        </w:rPr>
      </w:pPr>
      <w:r>
        <w:rPr>
          <w:rFonts w:hint="eastAsia" w:ascii="宋体" w:hAnsi="宋体" w:cs="宋体"/>
          <w:b/>
          <w:bCs/>
          <w:color w:val="000000"/>
          <w:sz w:val="24"/>
        </w:rPr>
        <w:t>合同文件</w:t>
      </w:r>
    </w:p>
    <w:p w14:paraId="796D785E">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下列文件构成本合同的组成部分，应当认为是一个整体，彼此相互解释，相互补 充。为便于解释，组成合同的多个文件的优先支配地位的次序如下： </w:t>
      </w:r>
    </w:p>
    <w:p w14:paraId="77AFA3B5">
      <w:pPr>
        <w:numPr>
          <w:ilvl w:val="0"/>
          <w:numId w:val="28"/>
        </w:num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本合同书 </w:t>
      </w:r>
    </w:p>
    <w:p w14:paraId="282856CF">
      <w:pPr>
        <w:numPr>
          <w:ilvl w:val="0"/>
          <w:numId w:val="28"/>
        </w:num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中标通知书 </w:t>
      </w:r>
    </w:p>
    <w:p w14:paraId="2E970703">
      <w:pPr>
        <w:numPr>
          <w:ilvl w:val="0"/>
          <w:numId w:val="28"/>
        </w:num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合同书条款 </w:t>
      </w:r>
    </w:p>
    <w:p w14:paraId="72F4C053">
      <w:pPr>
        <w:numPr>
          <w:ilvl w:val="0"/>
          <w:numId w:val="28"/>
        </w:num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合同一般条款 </w:t>
      </w:r>
    </w:p>
    <w:p w14:paraId="32831FDF">
      <w:pPr>
        <w:numPr>
          <w:ilvl w:val="0"/>
          <w:numId w:val="28"/>
        </w:num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投标文件(含澄清文件) </w:t>
      </w:r>
    </w:p>
    <w:p w14:paraId="6B6A8141">
      <w:pPr>
        <w:numPr>
          <w:ilvl w:val="0"/>
          <w:numId w:val="28"/>
        </w:num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招标文件其他内容（含招标文件补充通知）</w:t>
      </w:r>
    </w:p>
    <w:p w14:paraId="6FED933F">
      <w:pPr>
        <w:snapToGrid w:val="0"/>
        <w:spacing w:line="360" w:lineRule="auto"/>
        <w:jc w:val="left"/>
        <w:rPr>
          <w:rFonts w:hint="eastAsia" w:ascii="宋体" w:hAnsi="宋体" w:cs="宋体"/>
          <w:color w:val="000000"/>
          <w:sz w:val="24"/>
        </w:rPr>
      </w:pPr>
    </w:p>
    <w:p w14:paraId="0836C2D0">
      <w:pPr>
        <w:numPr>
          <w:ilvl w:val="0"/>
          <w:numId w:val="27"/>
        </w:numPr>
        <w:snapToGrid w:val="0"/>
        <w:spacing w:line="360" w:lineRule="auto"/>
        <w:jc w:val="left"/>
        <w:rPr>
          <w:rFonts w:hint="eastAsia" w:ascii="宋体" w:hAnsi="宋体" w:cs="宋体"/>
          <w:b/>
          <w:bCs/>
          <w:color w:val="000000"/>
          <w:sz w:val="24"/>
        </w:rPr>
      </w:pPr>
      <w:r>
        <w:rPr>
          <w:rFonts w:hint="eastAsia" w:ascii="宋体" w:hAnsi="宋体" w:cs="宋体"/>
          <w:b/>
          <w:bCs/>
          <w:color w:val="000000"/>
          <w:sz w:val="24"/>
        </w:rPr>
        <w:t xml:space="preserve">合同范围和条件 </w:t>
      </w:r>
    </w:p>
    <w:p w14:paraId="37DC60D5">
      <w:pPr>
        <w:jc w:val="left"/>
        <w:rPr>
          <w:rFonts w:hint="eastAsia" w:ascii="宋体" w:hAnsi="宋体" w:cs="宋体"/>
        </w:rPr>
      </w:pPr>
      <w:r>
        <w:rPr>
          <w:rFonts w:hint="eastAsia" w:ascii="宋体" w:hAnsi="宋体" w:cs="宋体"/>
          <w:color w:val="000000"/>
          <w:sz w:val="24"/>
        </w:rPr>
        <w:t>本合同的范围和条件应与上述规定的合同文件内容一致。</w:t>
      </w:r>
      <w:r>
        <w:rPr>
          <w:rFonts w:hint="eastAsia" w:ascii="宋体" w:hAnsi="宋体" w:cs="宋体"/>
        </w:rPr>
        <w:t xml:space="preserve">具体内容如下： </w:t>
      </w:r>
    </w:p>
    <w:tbl>
      <w:tblPr>
        <w:tblStyle w:val="42"/>
        <w:tblW w:w="7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568"/>
        <w:gridCol w:w="1842"/>
        <w:gridCol w:w="2237"/>
      </w:tblGrid>
      <w:tr w14:paraId="5E14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2" w:type="dxa"/>
            <w:vAlign w:val="center"/>
          </w:tcPr>
          <w:p w14:paraId="1C7B98DB">
            <w:pPr>
              <w:autoSpaceDE w:val="0"/>
              <w:autoSpaceDN w:val="0"/>
              <w:spacing w:line="440" w:lineRule="exact"/>
              <w:jc w:val="center"/>
              <w:rPr>
                <w:rFonts w:hint="eastAsia" w:ascii="宋体" w:hAnsi="宋体" w:cs="宋体"/>
                <w:b/>
                <w:kern w:val="0"/>
              </w:rPr>
            </w:pPr>
            <w:r>
              <w:rPr>
                <w:rFonts w:hint="eastAsia" w:ascii="宋体" w:hAnsi="宋体" w:cs="宋体"/>
                <w:b/>
                <w:kern w:val="0"/>
              </w:rPr>
              <w:t>序号</w:t>
            </w:r>
          </w:p>
        </w:tc>
        <w:tc>
          <w:tcPr>
            <w:tcW w:w="2568" w:type="dxa"/>
            <w:vAlign w:val="center"/>
          </w:tcPr>
          <w:p w14:paraId="4CA3DC5B">
            <w:pPr>
              <w:autoSpaceDE w:val="0"/>
              <w:autoSpaceDN w:val="0"/>
              <w:spacing w:line="440" w:lineRule="exact"/>
              <w:jc w:val="center"/>
              <w:rPr>
                <w:rFonts w:hint="eastAsia" w:ascii="宋体" w:hAnsi="宋体" w:cs="宋体"/>
                <w:b/>
                <w:kern w:val="0"/>
              </w:rPr>
            </w:pPr>
            <w:r>
              <w:rPr>
                <w:rFonts w:hint="eastAsia" w:ascii="宋体" w:hAnsi="宋体" w:cs="宋体"/>
                <w:b/>
                <w:kern w:val="0"/>
              </w:rPr>
              <w:t>合同明细</w:t>
            </w:r>
          </w:p>
        </w:tc>
        <w:tc>
          <w:tcPr>
            <w:tcW w:w="1842" w:type="dxa"/>
            <w:vAlign w:val="center"/>
          </w:tcPr>
          <w:p w14:paraId="45495DE2">
            <w:pPr>
              <w:autoSpaceDE w:val="0"/>
              <w:autoSpaceDN w:val="0"/>
              <w:spacing w:line="440" w:lineRule="exact"/>
              <w:jc w:val="center"/>
              <w:rPr>
                <w:rFonts w:hint="eastAsia" w:ascii="宋体" w:hAnsi="宋体" w:cs="宋体"/>
                <w:b/>
                <w:kern w:val="0"/>
              </w:rPr>
            </w:pPr>
            <w:r>
              <w:rPr>
                <w:rFonts w:hint="eastAsia" w:ascii="宋体" w:hAnsi="宋体" w:cs="宋体"/>
                <w:b/>
                <w:kern w:val="0"/>
              </w:rPr>
              <w:t>金额（万元）</w:t>
            </w:r>
          </w:p>
        </w:tc>
        <w:tc>
          <w:tcPr>
            <w:tcW w:w="2237" w:type="dxa"/>
            <w:vAlign w:val="center"/>
          </w:tcPr>
          <w:p w14:paraId="2AA3843D">
            <w:pPr>
              <w:autoSpaceDE w:val="0"/>
              <w:autoSpaceDN w:val="0"/>
              <w:spacing w:line="440" w:lineRule="exact"/>
              <w:jc w:val="center"/>
              <w:rPr>
                <w:rFonts w:hint="eastAsia" w:ascii="宋体" w:hAnsi="宋体" w:cs="宋体"/>
                <w:b/>
                <w:kern w:val="0"/>
              </w:rPr>
            </w:pPr>
            <w:r>
              <w:rPr>
                <w:rFonts w:hint="eastAsia" w:ascii="宋体" w:hAnsi="宋体" w:cs="宋体"/>
                <w:b/>
                <w:kern w:val="0"/>
              </w:rPr>
              <w:t>合计（万元）</w:t>
            </w:r>
          </w:p>
        </w:tc>
      </w:tr>
      <w:tr w14:paraId="5F54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2" w:type="dxa"/>
            <w:vAlign w:val="center"/>
          </w:tcPr>
          <w:p w14:paraId="634FEA49">
            <w:pPr>
              <w:autoSpaceDE w:val="0"/>
              <w:autoSpaceDN w:val="0"/>
              <w:spacing w:line="440" w:lineRule="exact"/>
              <w:jc w:val="center"/>
              <w:rPr>
                <w:rFonts w:hint="eastAsia" w:ascii="宋体" w:hAnsi="宋体" w:cs="宋体"/>
                <w:kern w:val="0"/>
              </w:rPr>
            </w:pPr>
            <w:r>
              <w:rPr>
                <w:rFonts w:hint="eastAsia" w:ascii="宋体" w:hAnsi="宋体" w:cs="宋体"/>
                <w:kern w:val="0"/>
              </w:rPr>
              <w:t>1</w:t>
            </w:r>
          </w:p>
        </w:tc>
        <w:tc>
          <w:tcPr>
            <w:tcW w:w="2568" w:type="dxa"/>
            <w:vAlign w:val="center"/>
          </w:tcPr>
          <w:p w14:paraId="0BDBD13B">
            <w:pPr>
              <w:jc w:val="center"/>
              <w:rPr>
                <w:rFonts w:hint="eastAsia" w:ascii="宋体" w:hAnsi="宋体" w:cs="宋体"/>
              </w:rPr>
            </w:pPr>
            <w:r>
              <w:rPr>
                <w:szCs w:val="21"/>
                <w:lang w:bidi="ar"/>
              </w:rPr>
              <w:t>监测仪器</w:t>
            </w:r>
            <w:r>
              <w:rPr>
                <w:szCs w:val="21"/>
              </w:rPr>
              <w:t>维护费</w:t>
            </w:r>
            <w:r>
              <w:rPr>
                <w:color w:val="000000"/>
                <w:szCs w:val="21"/>
                <w:lang w:bidi="ar"/>
              </w:rPr>
              <w:t>*</w:t>
            </w:r>
          </w:p>
        </w:tc>
        <w:tc>
          <w:tcPr>
            <w:tcW w:w="1842" w:type="dxa"/>
            <w:vAlign w:val="center"/>
          </w:tcPr>
          <w:p w14:paraId="0AF68EB1">
            <w:pPr>
              <w:autoSpaceDE w:val="0"/>
              <w:autoSpaceDN w:val="0"/>
              <w:spacing w:line="440" w:lineRule="exact"/>
              <w:jc w:val="center"/>
              <w:rPr>
                <w:rFonts w:hint="eastAsia" w:ascii="宋体" w:hAnsi="宋体" w:cs="宋体"/>
                <w:kern w:val="0"/>
              </w:rPr>
            </w:pPr>
          </w:p>
        </w:tc>
        <w:tc>
          <w:tcPr>
            <w:tcW w:w="2237" w:type="dxa"/>
            <w:vMerge w:val="restart"/>
            <w:vAlign w:val="center"/>
          </w:tcPr>
          <w:p w14:paraId="2FCCD001">
            <w:pPr>
              <w:autoSpaceDE w:val="0"/>
              <w:autoSpaceDN w:val="0"/>
              <w:spacing w:line="440" w:lineRule="exact"/>
              <w:jc w:val="center"/>
              <w:rPr>
                <w:rFonts w:hint="eastAsia" w:ascii="宋体" w:hAnsi="宋体" w:cs="宋体"/>
                <w:kern w:val="0"/>
              </w:rPr>
            </w:pPr>
          </w:p>
        </w:tc>
      </w:tr>
      <w:tr w14:paraId="3746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2" w:type="dxa"/>
            <w:vAlign w:val="center"/>
          </w:tcPr>
          <w:p w14:paraId="4655D8CB">
            <w:pPr>
              <w:autoSpaceDE w:val="0"/>
              <w:autoSpaceDN w:val="0"/>
              <w:spacing w:line="440" w:lineRule="exact"/>
              <w:jc w:val="center"/>
              <w:rPr>
                <w:rFonts w:hint="eastAsia" w:ascii="宋体" w:hAnsi="宋体" w:cs="宋体"/>
                <w:kern w:val="0"/>
              </w:rPr>
            </w:pPr>
            <w:r>
              <w:rPr>
                <w:rFonts w:hint="eastAsia" w:ascii="宋体" w:hAnsi="宋体" w:cs="宋体"/>
                <w:kern w:val="0"/>
              </w:rPr>
              <w:t>2</w:t>
            </w:r>
          </w:p>
        </w:tc>
        <w:tc>
          <w:tcPr>
            <w:tcW w:w="2568" w:type="dxa"/>
            <w:vAlign w:val="center"/>
          </w:tcPr>
          <w:p w14:paraId="666AB318">
            <w:pPr>
              <w:jc w:val="center"/>
              <w:rPr>
                <w:rFonts w:hint="eastAsia" w:ascii="宋体" w:hAnsi="宋体" w:cs="宋体"/>
              </w:rPr>
            </w:pPr>
            <w:r>
              <w:rPr>
                <w:szCs w:val="21"/>
                <w:lang w:bidi="ar"/>
              </w:rPr>
              <w:t>监测仪器维修费</w:t>
            </w:r>
            <w:r>
              <w:rPr>
                <w:color w:val="000000"/>
                <w:szCs w:val="21"/>
                <w:lang w:bidi="ar"/>
              </w:rPr>
              <w:t>**</w:t>
            </w:r>
          </w:p>
        </w:tc>
        <w:tc>
          <w:tcPr>
            <w:tcW w:w="1842" w:type="dxa"/>
            <w:vAlign w:val="center"/>
          </w:tcPr>
          <w:p w14:paraId="26658746">
            <w:pPr>
              <w:autoSpaceDE w:val="0"/>
              <w:autoSpaceDN w:val="0"/>
              <w:spacing w:line="440" w:lineRule="exact"/>
              <w:jc w:val="center"/>
              <w:rPr>
                <w:rFonts w:hint="eastAsia" w:ascii="宋体" w:hAnsi="宋体" w:cs="宋体"/>
                <w:kern w:val="0"/>
              </w:rPr>
            </w:pPr>
          </w:p>
        </w:tc>
        <w:tc>
          <w:tcPr>
            <w:tcW w:w="2237" w:type="dxa"/>
            <w:vMerge w:val="continue"/>
            <w:vAlign w:val="center"/>
          </w:tcPr>
          <w:p w14:paraId="20033CF5">
            <w:pPr>
              <w:autoSpaceDE w:val="0"/>
              <w:autoSpaceDN w:val="0"/>
              <w:spacing w:line="440" w:lineRule="exact"/>
              <w:jc w:val="center"/>
              <w:rPr>
                <w:rFonts w:hint="eastAsia" w:ascii="宋体" w:hAnsi="宋体" w:cs="宋体"/>
                <w:kern w:val="0"/>
              </w:rPr>
            </w:pPr>
          </w:p>
        </w:tc>
      </w:tr>
    </w:tbl>
    <w:p w14:paraId="1D8AA880">
      <w:pPr>
        <w:tabs>
          <w:tab w:val="left" w:pos="2400"/>
          <w:tab w:val="left" w:pos="2700"/>
          <w:tab w:val="left" w:pos="3000"/>
          <w:tab w:val="left" w:pos="3300"/>
          <w:tab w:val="left" w:pos="3600"/>
        </w:tabs>
        <w:spacing w:line="360" w:lineRule="auto"/>
        <w:ind w:firstLine="480" w:firstLineChars="200"/>
        <w:rPr>
          <w:color w:val="000000"/>
          <w:szCs w:val="21"/>
        </w:rPr>
      </w:pPr>
      <w:r>
        <w:rPr>
          <w:rFonts w:hint="eastAsia" w:ascii="宋体" w:hAnsi="宋体" w:cs="宋体"/>
          <w:color w:val="000000"/>
          <w:sz w:val="24"/>
        </w:rPr>
        <w:t xml:space="preserve"> </w:t>
      </w:r>
      <w:r>
        <w:rPr>
          <w:color w:val="000000"/>
          <w:szCs w:val="21"/>
          <w:lang w:bidi="ar"/>
        </w:rPr>
        <w:t>*——见附件1：监测仪器维护费用清单；</w:t>
      </w:r>
    </w:p>
    <w:p w14:paraId="6B6F09F8">
      <w:pPr>
        <w:snapToGrid w:val="0"/>
        <w:spacing w:line="360" w:lineRule="auto"/>
        <w:ind w:firstLine="630" w:firstLineChars="300"/>
        <w:jc w:val="left"/>
        <w:rPr>
          <w:rFonts w:hint="eastAsia" w:ascii="宋体" w:hAnsi="宋体" w:cs="宋体"/>
          <w:color w:val="000000"/>
          <w:sz w:val="24"/>
        </w:rPr>
      </w:pPr>
      <w:r>
        <w:rPr>
          <w:color w:val="000000"/>
          <w:szCs w:val="21"/>
          <w:lang w:bidi="ar"/>
        </w:rPr>
        <w:t>**——见附件2：监测仪器维修费——维修清单；</w:t>
      </w:r>
    </w:p>
    <w:p w14:paraId="1DDE5646">
      <w:pPr>
        <w:numPr>
          <w:ilvl w:val="0"/>
          <w:numId w:val="27"/>
        </w:numPr>
        <w:snapToGrid w:val="0"/>
        <w:spacing w:line="360" w:lineRule="auto"/>
        <w:jc w:val="left"/>
        <w:rPr>
          <w:rFonts w:hint="eastAsia" w:ascii="宋体" w:hAnsi="宋体" w:cs="宋体"/>
          <w:b/>
          <w:bCs/>
          <w:color w:val="000000"/>
          <w:sz w:val="24"/>
        </w:rPr>
      </w:pPr>
      <w:r>
        <w:rPr>
          <w:rFonts w:hint="eastAsia" w:ascii="宋体" w:hAnsi="宋体" w:cs="宋体"/>
          <w:b/>
          <w:bCs/>
          <w:color w:val="000000"/>
          <w:sz w:val="24"/>
        </w:rPr>
        <w:t xml:space="preserve">服务内容 </w:t>
      </w:r>
    </w:p>
    <w:p w14:paraId="75A0738C">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负责昌平、平谷等区布设的</w:t>
      </w:r>
      <w:r>
        <w:rPr>
          <w:rFonts w:ascii="宋体" w:hAnsi="宋体" w:cs="宋体"/>
          <w:color w:val="000000"/>
          <w:sz w:val="24"/>
        </w:rPr>
        <w:t>21</w:t>
      </w:r>
      <w:r>
        <w:rPr>
          <w:rFonts w:hint="eastAsia" w:ascii="宋体" w:hAnsi="宋体" w:cs="宋体"/>
          <w:color w:val="000000"/>
          <w:sz w:val="24"/>
        </w:rPr>
        <w:t xml:space="preserve">0台套地质灾害野外监测站的维护维修。 </w:t>
      </w:r>
    </w:p>
    <w:p w14:paraId="277DC3F0">
      <w:pPr>
        <w:numPr>
          <w:ilvl w:val="0"/>
          <w:numId w:val="27"/>
        </w:numPr>
        <w:snapToGrid w:val="0"/>
        <w:spacing w:line="360" w:lineRule="auto"/>
        <w:jc w:val="left"/>
        <w:rPr>
          <w:rFonts w:hint="eastAsia" w:ascii="宋体" w:hAnsi="宋体" w:cs="宋体"/>
          <w:b/>
          <w:bCs/>
          <w:color w:val="000000"/>
          <w:sz w:val="24"/>
        </w:rPr>
      </w:pPr>
      <w:r>
        <w:rPr>
          <w:rFonts w:hint="eastAsia" w:ascii="宋体" w:hAnsi="宋体" w:cs="宋体"/>
          <w:b/>
          <w:bCs/>
          <w:color w:val="000000"/>
          <w:sz w:val="24"/>
        </w:rPr>
        <w:t xml:space="preserve">提供服务期限、地点 </w:t>
      </w:r>
    </w:p>
    <w:p w14:paraId="1ED28E41">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1）服务期要求:合同签订之日起至2026年12月31日前，完成本项目全部工作内容。</w:t>
      </w:r>
    </w:p>
    <w:p w14:paraId="0EA812B5">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2）地点: 昌平、平谷等区范围内甲方指定地点。</w:t>
      </w:r>
    </w:p>
    <w:p w14:paraId="60E25AFB">
      <w:pPr>
        <w:numPr>
          <w:ilvl w:val="0"/>
          <w:numId w:val="27"/>
        </w:numPr>
        <w:snapToGrid w:val="0"/>
        <w:spacing w:line="360" w:lineRule="auto"/>
        <w:jc w:val="left"/>
        <w:rPr>
          <w:rFonts w:hint="eastAsia" w:ascii="宋体" w:hAnsi="宋体" w:cs="宋体"/>
          <w:b/>
          <w:bCs/>
          <w:color w:val="000000"/>
          <w:sz w:val="24"/>
        </w:rPr>
      </w:pPr>
      <w:r>
        <w:rPr>
          <w:rFonts w:hint="eastAsia" w:ascii="宋体" w:hAnsi="宋体" w:cs="宋体"/>
          <w:b/>
          <w:bCs/>
          <w:color w:val="000000"/>
          <w:sz w:val="24"/>
        </w:rPr>
        <w:t xml:space="preserve">付款方式 </w:t>
      </w:r>
    </w:p>
    <w:p w14:paraId="66C935FC">
      <w:pPr>
        <w:tabs>
          <w:tab w:val="left" w:pos="2400"/>
          <w:tab w:val="left" w:pos="2700"/>
          <w:tab w:val="left" w:pos="3000"/>
          <w:tab w:val="left" w:pos="3300"/>
          <w:tab w:val="left" w:pos="3600"/>
        </w:tabs>
        <w:spacing w:line="360" w:lineRule="auto"/>
        <w:ind w:firstLine="480" w:firstLineChars="200"/>
        <w:rPr>
          <w:sz w:val="24"/>
        </w:rPr>
      </w:pPr>
      <w:r>
        <w:rPr>
          <w:sz w:val="24"/>
        </w:rPr>
        <w:t>1）本合同价款为人民币</w:t>
      </w:r>
      <w:r>
        <w:rPr>
          <w:sz w:val="24"/>
          <w:u w:val="single"/>
        </w:rPr>
        <w:t xml:space="preserve"> ¥</w:t>
      </w:r>
      <w:r>
        <w:rPr>
          <w:rFonts w:hint="eastAsia"/>
          <w:sz w:val="24"/>
          <w:u w:val="single"/>
        </w:rPr>
        <w:t xml:space="preserve">          </w:t>
      </w:r>
      <w:r>
        <w:rPr>
          <w:sz w:val="24"/>
        </w:rPr>
        <w:t>元（大写：</w:t>
      </w:r>
      <w:r>
        <w:rPr>
          <w:rFonts w:hint="eastAsia"/>
          <w:sz w:val="24"/>
          <w:u w:val="single"/>
        </w:rPr>
        <w:t xml:space="preserve">          </w:t>
      </w:r>
      <w:r>
        <w:rPr>
          <w:sz w:val="24"/>
          <w:u w:val="single"/>
        </w:rPr>
        <w:t>元整</w:t>
      </w:r>
      <w:r>
        <w:rPr>
          <w:sz w:val="24"/>
        </w:rPr>
        <w:t>）。本合同价款为包含了购买货物及其相关服务的费用和所需缴纳的所有税费。</w:t>
      </w:r>
    </w:p>
    <w:p w14:paraId="5028E67A">
      <w:pPr>
        <w:tabs>
          <w:tab w:val="left" w:pos="2400"/>
          <w:tab w:val="left" w:pos="2700"/>
          <w:tab w:val="left" w:pos="3000"/>
          <w:tab w:val="left" w:pos="3300"/>
          <w:tab w:val="left" w:pos="3600"/>
        </w:tabs>
        <w:spacing w:line="360" w:lineRule="auto"/>
        <w:ind w:firstLine="480" w:firstLineChars="200"/>
        <w:rPr>
          <w:sz w:val="24"/>
        </w:rPr>
      </w:pPr>
      <w:r>
        <w:rPr>
          <w:sz w:val="24"/>
        </w:rPr>
        <w:t>2）付款方式</w:t>
      </w:r>
    </w:p>
    <w:p w14:paraId="4C1EBFAB">
      <w:pPr>
        <w:tabs>
          <w:tab w:val="left" w:pos="2400"/>
          <w:tab w:val="left" w:pos="2700"/>
          <w:tab w:val="left" w:pos="3000"/>
          <w:tab w:val="left" w:pos="3300"/>
          <w:tab w:val="left" w:pos="3600"/>
        </w:tabs>
        <w:spacing w:line="360" w:lineRule="auto"/>
        <w:ind w:firstLine="480" w:firstLineChars="200"/>
        <w:rPr>
          <w:sz w:val="24"/>
        </w:rPr>
      </w:pPr>
      <w:r>
        <w:rPr>
          <w:sz w:val="24"/>
        </w:rPr>
        <w:t>（1）采购人与中标供应商签订合同后20个工作日内，采购人向中标供应商支付本项目中监测仪器维护费50%，即</w:t>
      </w:r>
      <w:r>
        <w:rPr>
          <w:sz w:val="24"/>
          <w:u w:val="single"/>
        </w:rPr>
        <w:t>人民币（大写）</w:t>
      </w:r>
      <w:r>
        <w:rPr>
          <w:rFonts w:hint="eastAsia"/>
          <w:sz w:val="24"/>
          <w:u w:val="single"/>
        </w:rPr>
        <w:t xml:space="preserve">          </w:t>
      </w:r>
      <w:r>
        <w:rPr>
          <w:sz w:val="24"/>
          <w:u w:val="single"/>
        </w:rPr>
        <w:t>元整（¥</w:t>
      </w:r>
      <w:r>
        <w:rPr>
          <w:rFonts w:hint="eastAsia"/>
          <w:sz w:val="24"/>
          <w:u w:val="single"/>
        </w:rPr>
        <w:t xml:space="preserve">          </w:t>
      </w:r>
      <w:r>
        <w:rPr>
          <w:sz w:val="24"/>
          <w:u w:val="single"/>
        </w:rPr>
        <w:t>元）</w:t>
      </w:r>
      <w:r>
        <w:rPr>
          <w:sz w:val="24"/>
        </w:rPr>
        <w:t>及监测仪器维修费50%，即</w:t>
      </w:r>
      <w:r>
        <w:rPr>
          <w:sz w:val="24"/>
          <w:u w:val="single"/>
        </w:rPr>
        <w:t>人民币（大写）</w:t>
      </w:r>
      <w:r>
        <w:rPr>
          <w:rFonts w:hint="eastAsia"/>
          <w:sz w:val="24"/>
          <w:u w:val="single"/>
        </w:rPr>
        <w:t xml:space="preserve">          </w:t>
      </w:r>
      <w:r>
        <w:rPr>
          <w:sz w:val="24"/>
          <w:u w:val="single"/>
        </w:rPr>
        <w:t>元整（¥</w:t>
      </w:r>
      <w:r>
        <w:rPr>
          <w:rFonts w:hint="eastAsia"/>
          <w:sz w:val="24"/>
          <w:u w:val="single"/>
        </w:rPr>
        <w:t xml:space="preserve">          </w:t>
      </w:r>
      <w:r>
        <w:rPr>
          <w:sz w:val="24"/>
          <w:u w:val="single"/>
        </w:rPr>
        <w:t>元）</w:t>
      </w:r>
      <w:r>
        <w:rPr>
          <w:sz w:val="24"/>
        </w:rPr>
        <w:t>，二者共计：</w:t>
      </w:r>
      <w:r>
        <w:rPr>
          <w:sz w:val="24"/>
          <w:u w:val="single"/>
        </w:rPr>
        <w:t>人民币（大写）</w:t>
      </w:r>
      <w:r>
        <w:rPr>
          <w:rFonts w:hint="eastAsia"/>
          <w:sz w:val="24"/>
          <w:u w:val="single"/>
        </w:rPr>
        <w:t xml:space="preserve">          </w:t>
      </w:r>
      <w:r>
        <w:rPr>
          <w:sz w:val="24"/>
          <w:u w:val="single"/>
        </w:rPr>
        <w:t>元整（¥</w:t>
      </w:r>
      <w:r>
        <w:rPr>
          <w:rFonts w:hint="eastAsia"/>
          <w:sz w:val="24"/>
          <w:u w:val="single"/>
        </w:rPr>
        <w:t xml:space="preserve">          </w:t>
      </w:r>
      <w:r>
        <w:rPr>
          <w:sz w:val="24"/>
          <w:u w:val="single"/>
        </w:rPr>
        <w:t>元）</w:t>
      </w:r>
      <w:r>
        <w:rPr>
          <w:sz w:val="24"/>
        </w:rPr>
        <w:t>。</w:t>
      </w:r>
    </w:p>
    <w:p w14:paraId="52ABEBCC">
      <w:pPr>
        <w:tabs>
          <w:tab w:val="left" w:pos="2400"/>
          <w:tab w:val="left" w:pos="2700"/>
          <w:tab w:val="left" w:pos="3000"/>
          <w:tab w:val="left" w:pos="3300"/>
          <w:tab w:val="left" w:pos="3600"/>
        </w:tabs>
        <w:spacing w:line="360" w:lineRule="auto"/>
        <w:ind w:firstLine="480" w:firstLineChars="200"/>
        <w:rPr>
          <w:color w:val="FF0000"/>
          <w:sz w:val="24"/>
        </w:rPr>
      </w:pPr>
      <w:r>
        <w:rPr>
          <w:sz w:val="24"/>
        </w:rPr>
        <w:t>（2）汛前维护和汛中维护维修工作结束并提交成果后，经采购人验收合格后20个工作日内，支付本项目中监测仪器维护费35%，即</w:t>
      </w:r>
      <w:r>
        <w:rPr>
          <w:sz w:val="24"/>
          <w:u w:val="single"/>
        </w:rPr>
        <w:t>人民币（大写）</w:t>
      </w:r>
      <w:r>
        <w:rPr>
          <w:rFonts w:hint="eastAsia"/>
          <w:sz w:val="24"/>
          <w:u w:val="single"/>
        </w:rPr>
        <w:t xml:space="preserve">          </w:t>
      </w:r>
      <w:r>
        <w:rPr>
          <w:sz w:val="24"/>
          <w:u w:val="single"/>
        </w:rPr>
        <w:t>元整（¥</w:t>
      </w:r>
      <w:r>
        <w:rPr>
          <w:rFonts w:hint="eastAsia"/>
          <w:sz w:val="24"/>
          <w:u w:val="single"/>
        </w:rPr>
        <w:t xml:space="preserve">          </w:t>
      </w:r>
      <w:r>
        <w:rPr>
          <w:sz w:val="24"/>
          <w:u w:val="single"/>
        </w:rPr>
        <w:t>元）</w:t>
      </w:r>
      <w:r>
        <w:rPr>
          <w:sz w:val="24"/>
        </w:rPr>
        <w:t>及监测仪器维修费35%，即</w:t>
      </w:r>
      <w:r>
        <w:rPr>
          <w:sz w:val="24"/>
          <w:u w:val="single"/>
        </w:rPr>
        <w:t>人民币（大写）</w:t>
      </w:r>
      <w:r>
        <w:rPr>
          <w:rFonts w:hint="eastAsia"/>
          <w:sz w:val="24"/>
          <w:u w:val="single"/>
        </w:rPr>
        <w:t xml:space="preserve">          </w:t>
      </w:r>
      <w:r>
        <w:rPr>
          <w:sz w:val="24"/>
          <w:u w:val="single"/>
        </w:rPr>
        <w:t>元整（¥</w:t>
      </w:r>
      <w:r>
        <w:rPr>
          <w:rFonts w:hint="eastAsia"/>
          <w:sz w:val="24"/>
          <w:u w:val="single"/>
        </w:rPr>
        <w:t xml:space="preserve">          </w:t>
      </w:r>
      <w:r>
        <w:rPr>
          <w:sz w:val="24"/>
          <w:u w:val="single"/>
        </w:rPr>
        <w:t>元）</w:t>
      </w:r>
      <w:r>
        <w:rPr>
          <w:sz w:val="24"/>
        </w:rPr>
        <w:t>，此次支付共计：</w:t>
      </w:r>
      <w:r>
        <w:rPr>
          <w:sz w:val="24"/>
          <w:u w:val="single"/>
        </w:rPr>
        <w:t>人民币（大写）</w:t>
      </w:r>
      <w:r>
        <w:rPr>
          <w:rFonts w:hint="eastAsia"/>
          <w:sz w:val="24"/>
          <w:u w:val="single"/>
        </w:rPr>
        <w:t xml:space="preserve">          </w:t>
      </w:r>
      <w:r>
        <w:rPr>
          <w:sz w:val="24"/>
          <w:u w:val="single"/>
        </w:rPr>
        <w:t>元整（¥</w:t>
      </w:r>
      <w:r>
        <w:rPr>
          <w:rFonts w:hint="eastAsia"/>
          <w:sz w:val="24"/>
          <w:u w:val="single"/>
        </w:rPr>
        <w:t xml:space="preserve">          </w:t>
      </w:r>
      <w:r>
        <w:rPr>
          <w:sz w:val="24"/>
          <w:u w:val="single"/>
        </w:rPr>
        <w:t>元）</w:t>
      </w:r>
      <w:r>
        <w:rPr>
          <w:sz w:val="24"/>
        </w:rPr>
        <w:t>。甲方支付款项前，乙方须提交请款申请，申请内须包含本阶段完成工作情况，并由甲方确认。</w:t>
      </w:r>
    </w:p>
    <w:p w14:paraId="2881C16F">
      <w:pPr>
        <w:snapToGrid w:val="0"/>
        <w:spacing w:line="360" w:lineRule="auto"/>
        <w:jc w:val="left"/>
        <w:rPr>
          <w:rFonts w:hint="eastAsia" w:ascii="宋体" w:hAnsi="宋体" w:cs="宋体"/>
          <w:color w:val="000000"/>
          <w:sz w:val="24"/>
        </w:rPr>
      </w:pPr>
      <w:r>
        <w:rPr>
          <w:sz w:val="24"/>
        </w:rPr>
        <w:t>（3）汛后维护工作结束后并提交全部成果资料（含具体维修维护明细单）并经采购人验收合格后20个工作日内支付本项目中监测仪器维护费15%，即</w:t>
      </w:r>
      <w:r>
        <w:rPr>
          <w:sz w:val="24"/>
          <w:u w:val="single"/>
        </w:rPr>
        <w:t>人民币（大写）</w:t>
      </w:r>
      <w:r>
        <w:rPr>
          <w:rFonts w:hint="eastAsia"/>
          <w:sz w:val="24"/>
          <w:u w:val="single"/>
        </w:rPr>
        <w:t xml:space="preserve">          </w:t>
      </w:r>
      <w:r>
        <w:rPr>
          <w:sz w:val="24"/>
          <w:u w:val="single"/>
        </w:rPr>
        <w:t>元整（¥</w:t>
      </w:r>
      <w:r>
        <w:rPr>
          <w:rFonts w:hint="eastAsia"/>
          <w:sz w:val="24"/>
          <w:u w:val="single"/>
        </w:rPr>
        <w:t xml:space="preserve">          </w:t>
      </w:r>
      <w:r>
        <w:rPr>
          <w:sz w:val="24"/>
          <w:u w:val="single"/>
        </w:rPr>
        <w:t>元）</w:t>
      </w:r>
      <w:r>
        <w:rPr>
          <w:sz w:val="24"/>
        </w:rPr>
        <w:t>及监测仪器维修费15%，即</w:t>
      </w:r>
      <w:r>
        <w:rPr>
          <w:sz w:val="24"/>
          <w:u w:val="single"/>
        </w:rPr>
        <w:t>人民币（大写）</w:t>
      </w:r>
      <w:r>
        <w:rPr>
          <w:rFonts w:hint="eastAsia"/>
          <w:sz w:val="24"/>
          <w:u w:val="single"/>
        </w:rPr>
        <w:t xml:space="preserve">          </w:t>
      </w:r>
      <w:r>
        <w:rPr>
          <w:sz w:val="24"/>
          <w:u w:val="single"/>
        </w:rPr>
        <w:t>元整（¥</w:t>
      </w:r>
      <w:r>
        <w:rPr>
          <w:rFonts w:hint="eastAsia"/>
          <w:sz w:val="24"/>
          <w:u w:val="single"/>
        </w:rPr>
        <w:t xml:space="preserve">          </w:t>
      </w:r>
      <w:r>
        <w:rPr>
          <w:sz w:val="24"/>
          <w:u w:val="single"/>
        </w:rPr>
        <w:t>元）</w:t>
      </w:r>
      <w:r>
        <w:rPr>
          <w:sz w:val="24"/>
        </w:rPr>
        <w:t>，此次支付共计</w:t>
      </w:r>
      <w:r>
        <w:rPr>
          <w:sz w:val="24"/>
          <w:u w:val="single"/>
        </w:rPr>
        <w:t>人民币（大写）</w:t>
      </w:r>
      <w:r>
        <w:rPr>
          <w:rFonts w:hint="eastAsia"/>
          <w:sz w:val="24"/>
          <w:u w:val="single"/>
        </w:rPr>
        <w:t xml:space="preserve">          </w:t>
      </w:r>
      <w:r>
        <w:rPr>
          <w:sz w:val="24"/>
          <w:u w:val="single"/>
        </w:rPr>
        <w:t xml:space="preserve">元整（¥ </w:t>
      </w:r>
      <w:r>
        <w:rPr>
          <w:rFonts w:hint="eastAsia"/>
          <w:sz w:val="24"/>
          <w:u w:val="single"/>
        </w:rPr>
        <w:t xml:space="preserve">          </w:t>
      </w:r>
      <w:r>
        <w:rPr>
          <w:sz w:val="24"/>
          <w:u w:val="single"/>
        </w:rPr>
        <w:t>元）</w:t>
      </w:r>
      <w:r>
        <w:rPr>
          <w:sz w:val="24"/>
        </w:rPr>
        <w:t>。甲方支付款项前，乙方须提交请款申请，申请内须包含本阶段完成工作情况及维修维护结算单，并由甲方确认。</w:t>
      </w:r>
    </w:p>
    <w:p w14:paraId="14E68E60">
      <w:pPr>
        <w:numPr>
          <w:ilvl w:val="0"/>
          <w:numId w:val="27"/>
        </w:numPr>
        <w:snapToGrid w:val="0"/>
        <w:spacing w:line="360" w:lineRule="auto"/>
        <w:jc w:val="left"/>
        <w:rPr>
          <w:rFonts w:hint="eastAsia" w:ascii="宋体" w:hAnsi="宋体" w:cs="宋体"/>
          <w:b/>
          <w:bCs/>
          <w:color w:val="000000"/>
          <w:sz w:val="24"/>
        </w:rPr>
      </w:pPr>
      <w:r>
        <w:rPr>
          <w:rFonts w:hint="eastAsia" w:ascii="宋体" w:hAnsi="宋体" w:cs="宋体"/>
          <w:b/>
          <w:bCs/>
          <w:color w:val="000000"/>
          <w:sz w:val="24"/>
        </w:rPr>
        <w:t>履约保证金</w:t>
      </w:r>
    </w:p>
    <w:p w14:paraId="6BF0C48D">
      <w:pPr>
        <w:snapToGrid w:val="0"/>
        <w:spacing w:line="360" w:lineRule="auto"/>
        <w:jc w:val="left"/>
        <w:rPr>
          <w:rFonts w:hint="eastAsia" w:ascii="宋体" w:hAnsi="宋体" w:cs="宋体"/>
          <w:color w:val="000000"/>
          <w:sz w:val="24"/>
        </w:rPr>
      </w:pPr>
      <w:r>
        <w:rPr>
          <w:sz w:val="24"/>
        </w:rPr>
        <w:t>本项目不适用。</w:t>
      </w:r>
      <w:r>
        <w:rPr>
          <w:rFonts w:hint="eastAsia" w:ascii="宋体" w:hAnsi="宋体" w:cs="宋体"/>
          <w:b/>
          <w:bCs/>
          <w:color w:val="000000"/>
          <w:sz w:val="24"/>
        </w:rPr>
        <w:t xml:space="preserve"> </w:t>
      </w:r>
    </w:p>
    <w:p w14:paraId="0EB14099">
      <w:pPr>
        <w:numPr>
          <w:ilvl w:val="0"/>
          <w:numId w:val="27"/>
        </w:numPr>
        <w:snapToGrid w:val="0"/>
        <w:spacing w:line="360" w:lineRule="auto"/>
        <w:jc w:val="left"/>
        <w:rPr>
          <w:rFonts w:hint="eastAsia" w:ascii="宋体" w:hAnsi="宋体" w:cs="宋体"/>
          <w:b/>
          <w:bCs/>
          <w:color w:val="000000"/>
          <w:sz w:val="24"/>
        </w:rPr>
      </w:pPr>
      <w:r>
        <w:rPr>
          <w:rFonts w:hint="eastAsia" w:ascii="宋体" w:hAnsi="宋体" w:cs="宋体"/>
          <w:b/>
          <w:bCs/>
          <w:color w:val="000000"/>
          <w:sz w:val="24"/>
        </w:rPr>
        <w:t>合同的份数及生效</w:t>
      </w:r>
    </w:p>
    <w:p w14:paraId="4107EC4C">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u w:val="single"/>
        </w:rPr>
        <w:t xml:space="preserve"> 柒 </w:t>
      </w:r>
      <w:r>
        <w:rPr>
          <w:rFonts w:hint="eastAsia" w:ascii="宋体" w:hAnsi="宋体" w:cs="宋体"/>
          <w:color w:val="000000"/>
          <w:sz w:val="24"/>
        </w:rPr>
        <w:t>份，具有同等法律效力。采购人和中标供应商各执</w:t>
      </w:r>
      <w:r>
        <w:rPr>
          <w:rFonts w:hint="eastAsia" w:ascii="宋体" w:hAnsi="宋体" w:cs="宋体"/>
          <w:color w:val="000000"/>
          <w:sz w:val="24"/>
          <w:u w:val="single"/>
        </w:rPr>
        <w:t xml:space="preserve"> 叁 </w:t>
      </w:r>
      <w:r>
        <w:rPr>
          <w:rFonts w:hint="eastAsia" w:ascii="宋体" w:hAnsi="宋体" w:cs="宋体"/>
          <w:color w:val="000000"/>
          <w:sz w:val="24"/>
        </w:rPr>
        <w:t xml:space="preserve">份，招标代理机构执 壹 份。 </w:t>
      </w:r>
    </w:p>
    <w:p w14:paraId="6800FAB8">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本合同经双方各自的法定代表人或授权代表签署、加盖单位公章或合同专用章 并由中标供应商递交履约保证金（如有）之日起生效。  </w:t>
      </w:r>
    </w:p>
    <w:p w14:paraId="089F6041">
      <w:pPr>
        <w:ind w:firstLine="528"/>
        <w:rPr>
          <w:rFonts w:hint="eastAsia" w:ascii="宋体" w:hAnsi="宋体" w:cs="宋体"/>
          <w:color w:val="000000"/>
          <w:sz w:val="24"/>
        </w:rPr>
      </w:pPr>
    </w:p>
    <w:p w14:paraId="653C574E">
      <w:pPr>
        <w:rPr>
          <w:rFonts w:hint="eastAsia" w:ascii="宋体" w:hAnsi="宋体" w:cs="宋体"/>
          <w:color w:val="000000"/>
          <w:sz w:val="24"/>
        </w:rPr>
      </w:pPr>
    </w:p>
    <w:p w14:paraId="56EE464B">
      <w:pPr>
        <w:ind w:firstLine="528"/>
        <w:rPr>
          <w:rFonts w:hint="eastAsia" w:ascii="宋体" w:hAnsi="宋体" w:cs="宋体"/>
          <w:color w:val="000000"/>
          <w:sz w:val="24"/>
        </w:rPr>
      </w:pPr>
    </w:p>
    <w:p w14:paraId="0E0B87DC">
      <w:pPr>
        <w:rPr>
          <w:rFonts w:hint="eastAsia" w:ascii="宋体" w:hAnsi="宋体" w:cs="宋体"/>
          <w:color w:val="000000"/>
          <w:sz w:val="24"/>
        </w:rPr>
      </w:pPr>
    </w:p>
    <w:p w14:paraId="6B67C9E0">
      <w:pPr>
        <w:ind w:firstLine="528"/>
        <w:rPr>
          <w:rFonts w:hint="eastAsia" w:ascii="宋体" w:hAnsi="宋体" w:cs="宋体"/>
          <w:sz w:val="28"/>
        </w:rPr>
      </w:pPr>
    </w:p>
    <w:tbl>
      <w:tblPr>
        <w:tblStyle w:val="42"/>
        <w:tblW w:w="9094" w:type="dxa"/>
        <w:jc w:val="center"/>
        <w:tblLayout w:type="fixed"/>
        <w:tblCellMar>
          <w:top w:w="0" w:type="dxa"/>
          <w:left w:w="108" w:type="dxa"/>
          <w:bottom w:w="0" w:type="dxa"/>
          <w:right w:w="108" w:type="dxa"/>
        </w:tblCellMar>
      </w:tblPr>
      <w:tblGrid>
        <w:gridCol w:w="1882"/>
        <w:gridCol w:w="2653"/>
        <w:gridCol w:w="1866"/>
        <w:gridCol w:w="2693"/>
      </w:tblGrid>
      <w:tr w14:paraId="4F899CAE">
        <w:tblPrEx>
          <w:tblCellMar>
            <w:top w:w="0" w:type="dxa"/>
            <w:left w:w="108" w:type="dxa"/>
            <w:bottom w:w="0" w:type="dxa"/>
            <w:right w:w="108" w:type="dxa"/>
          </w:tblCellMar>
        </w:tblPrEx>
        <w:trPr>
          <w:trHeight w:val="741" w:hRule="atLeast"/>
          <w:jc w:val="center"/>
        </w:trPr>
        <w:tc>
          <w:tcPr>
            <w:tcW w:w="9094" w:type="dxa"/>
            <w:gridSpan w:val="4"/>
            <w:vAlign w:val="center"/>
          </w:tcPr>
          <w:p w14:paraId="07B8971B">
            <w:pPr>
              <w:spacing w:line="360" w:lineRule="exact"/>
              <w:jc w:val="center"/>
              <w:rPr>
                <w:rFonts w:eastAsia="华文仿宋"/>
                <w:b/>
                <w:sz w:val="28"/>
                <w:szCs w:val="28"/>
              </w:rPr>
            </w:pPr>
            <w:r>
              <w:rPr>
                <w:rFonts w:eastAsia="华文仿宋"/>
                <w:b/>
                <w:sz w:val="28"/>
                <w:szCs w:val="28"/>
              </w:rPr>
              <w:t>合同签订双方</w:t>
            </w:r>
          </w:p>
        </w:tc>
      </w:tr>
      <w:tr w14:paraId="14ECD175">
        <w:tblPrEx>
          <w:tblCellMar>
            <w:top w:w="0" w:type="dxa"/>
            <w:left w:w="108" w:type="dxa"/>
            <w:bottom w:w="0" w:type="dxa"/>
            <w:right w:w="108" w:type="dxa"/>
          </w:tblCellMar>
        </w:tblPrEx>
        <w:trPr>
          <w:trHeight w:val="1042" w:hRule="atLeast"/>
          <w:jc w:val="center"/>
        </w:trPr>
        <w:tc>
          <w:tcPr>
            <w:tcW w:w="1882" w:type="dxa"/>
            <w:vAlign w:val="center"/>
          </w:tcPr>
          <w:p w14:paraId="6D4CB00D">
            <w:pPr>
              <w:spacing w:line="360" w:lineRule="exact"/>
              <w:jc w:val="center"/>
              <w:rPr>
                <w:sz w:val="24"/>
              </w:rPr>
            </w:pPr>
            <w:r>
              <w:rPr>
                <w:sz w:val="24"/>
              </w:rPr>
              <w:t>甲方：</w:t>
            </w:r>
          </w:p>
          <w:p w14:paraId="320AD1B1">
            <w:pPr>
              <w:spacing w:line="360" w:lineRule="exact"/>
              <w:jc w:val="center"/>
              <w:rPr>
                <w:sz w:val="24"/>
              </w:rPr>
            </w:pPr>
            <w:r>
              <w:rPr>
                <w:sz w:val="18"/>
              </w:rPr>
              <w:t>（合同章或公章）</w:t>
            </w:r>
          </w:p>
        </w:tc>
        <w:tc>
          <w:tcPr>
            <w:tcW w:w="2653" w:type="dxa"/>
            <w:vAlign w:val="center"/>
          </w:tcPr>
          <w:p w14:paraId="641B4D96">
            <w:pPr>
              <w:spacing w:line="360" w:lineRule="exact"/>
              <w:jc w:val="left"/>
              <w:rPr>
                <w:sz w:val="24"/>
                <w:u w:val="single"/>
              </w:rPr>
            </w:pPr>
            <w:r>
              <w:rPr>
                <w:rFonts w:hint="eastAsia"/>
                <w:sz w:val="24"/>
                <w:u w:val="single"/>
              </w:rPr>
              <w:t xml:space="preserve">北京市地质灾害防治研究所                </w:t>
            </w:r>
          </w:p>
        </w:tc>
        <w:tc>
          <w:tcPr>
            <w:tcW w:w="1866" w:type="dxa"/>
            <w:vAlign w:val="center"/>
          </w:tcPr>
          <w:p w14:paraId="067C6EFA">
            <w:pPr>
              <w:spacing w:line="360" w:lineRule="exact"/>
              <w:jc w:val="center"/>
              <w:rPr>
                <w:sz w:val="24"/>
              </w:rPr>
            </w:pPr>
            <w:r>
              <w:rPr>
                <w:sz w:val="24"/>
              </w:rPr>
              <w:t>乙方：</w:t>
            </w:r>
          </w:p>
          <w:p w14:paraId="6EBA2D7B">
            <w:pPr>
              <w:spacing w:line="360" w:lineRule="exact"/>
              <w:jc w:val="center"/>
              <w:rPr>
                <w:sz w:val="18"/>
                <w:szCs w:val="18"/>
              </w:rPr>
            </w:pPr>
            <w:r>
              <w:rPr>
                <w:sz w:val="18"/>
                <w:szCs w:val="18"/>
              </w:rPr>
              <w:t>（合同章或公章）</w:t>
            </w:r>
          </w:p>
        </w:tc>
        <w:tc>
          <w:tcPr>
            <w:tcW w:w="2693" w:type="dxa"/>
            <w:vAlign w:val="center"/>
          </w:tcPr>
          <w:p w14:paraId="776FBE84">
            <w:pPr>
              <w:spacing w:line="360" w:lineRule="exact"/>
              <w:ind w:left="0" w:leftChars="-2" w:hanging="4" w:hangingChars="2"/>
              <w:rPr>
                <w:sz w:val="24"/>
              </w:rPr>
            </w:pPr>
            <w:r>
              <w:rPr>
                <w:rFonts w:hint="eastAsia"/>
                <w:sz w:val="24"/>
                <w:u w:val="single"/>
              </w:rPr>
              <w:t xml:space="preserve">                    </w:t>
            </w:r>
          </w:p>
        </w:tc>
      </w:tr>
      <w:tr w14:paraId="63608749">
        <w:tblPrEx>
          <w:tblCellMar>
            <w:top w:w="0" w:type="dxa"/>
            <w:left w:w="108" w:type="dxa"/>
            <w:bottom w:w="0" w:type="dxa"/>
            <w:right w:w="108" w:type="dxa"/>
          </w:tblCellMar>
        </w:tblPrEx>
        <w:trPr>
          <w:trHeight w:val="526" w:hRule="atLeast"/>
          <w:jc w:val="center"/>
        </w:trPr>
        <w:tc>
          <w:tcPr>
            <w:tcW w:w="1882" w:type="dxa"/>
            <w:vAlign w:val="center"/>
          </w:tcPr>
          <w:p w14:paraId="5C2C2096">
            <w:pPr>
              <w:spacing w:line="360" w:lineRule="exact"/>
              <w:jc w:val="center"/>
              <w:rPr>
                <w:sz w:val="18"/>
              </w:rPr>
            </w:pPr>
            <w:r>
              <w:rPr>
                <w:sz w:val="24"/>
              </w:rPr>
              <w:t>名称：（印章）</w:t>
            </w:r>
          </w:p>
        </w:tc>
        <w:tc>
          <w:tcPr>
            <w:tcW w:w="2653" w:type="dxa"/>
            <w:vAlign w:val="center"/>
          </w:tcPr>
          <w:p w14:paraId="23EB0558">
            <w:pPr>
              <w:spacing w:line="360" w:lineRule="exact"/>
              <w:jc w:val="left"/>
              <w:rPr>
                <w:sz w:val="24"/>
              </w:rPr>
            </w:pPr>
            <w:r>
              <w:rPr>
                <w:rFonts w:hint="eastAsia"/>
                <w:sz w:val="24"/>
                <w:u w:val="single"/>
              </w:rPr>
              <w:t xml:space="preserve">                    </w:t>
            </w:r>
          </w:p>
        </w:tc>
        <w:tc>
          <w:tcPr>
            <w:tcW w:w="1866" w:type="dxa"/>
            <w:vAlign w:val="center"/>
          </w:tcPr>
          <w:p w14:paraId="0A38B533">
            <w:pPr>
              <w:spacing w:line="360" w:lineRule="exact"/>
              <w:jc w:val="center"/>
              <w:rPr>
                <w:sz w:val="18"/>
                <w:szCs w:val="18"/>
              </w:rPr>
            </w:pPr>
            <w:r>
              <w:rPr>
                <w:sz w:val="24"/>
              </w:rPr>
              <w:t>名称：（印章）</w:t>
            </w:r>
          </w:p>
        </w:tc>
        <w:tc>
          <w:tcPr>
            <w:tcW w:w="2693" w:type="dxa"/>
            <w:vAlign w:val="center"/>
          </w:tcPr>
          <w:p w14:paraId="3C8C09CB">
            <w:pPr>
              <w:spacing w:line="360" w:lineRule="exact"/>
              <w:jc w:val="left"/>
              <w:rPr>
                <w:sz w:val="24"/>
                <w:u w:val="single"/>
              </w:rPr>
            </w:pPr>
            <w:r>
              <w:rPr>
                <w:rFonts w:hint="eastAsia"/>
                <w:sz w:val="24"/>
                <w:u w:val="single"/>
              </w:rPr>
              <w:t xml:space="preserve">                     </w:t>
            </w:r>
          </w:p>
        </w:tc>
      </w:tr>
      <w:tr w14:paraId="19E300FE">
        <w:tblPrEx>
          <w:tblCellMar>
            <w:top w:w="0" w:type="dxa"/>
            <w:left w:w="108" w:type="dxa"/>
            <w:bottom w:w="0" w:type="dxa"/>
            <w:right w:w="108" w:type="dxa"/>
          </w:tblCellMar>
        </w:tblPrEx>
        <w:trPr>
          <w:trHeight w:val="847" w:hRule="atLeast"/>
          <w:jc w:val="center"/>
        </w:trPr>
        <w:tc>
          <w:tcPr>
            <w:tcW w:w="1882" w:type="dxa"/>
            <w:vAlign w:val="center"/>
          </w:tcPr>
          <w:p w14:paraId="0932F3DC">
            <w:pPr>
              <w:spacing w:line="360" w:lineRule="exact"/>
              <w:jc w:val="center"/>
              <w:rPr>
                <w:sz w:val="24"/>
              </w:rPr>
            </w:pPr>
          </w:p>
        </w:tc>
        <w:tc>
          <w:tcPr>
            <w:tcW w:w="2653" w:type="dxa"/>
            <w:vAlign w:val="center"/>
          </w:tcPr>
          <w:p w14:paraId="02C1E776">
            <w:pPr>
              <w:spacing w:line="360" w:lineRule="exact"/>
              <w:jc w:val="center"/>
              <w:rPr>
                <w:sz w:val="24"/>
                <w:u w:val="single"/>
              </w:rPr>
            </w:pPr>
            <w:r>
              <w:rPr>
                <w:sz w:val="24"/>
                <w:u w:val="single"/>
              </w:rPr>
              <w:t xml:space="preserve">      </w:t>
            </w:r>
            <w:r>
              <w:rPr>
                <w:sz w:val="24"/>
              </w:rPr>
              <w:t>年</w:t>
            </w:r>
            <w:r>
              <w:rPr>
                <w:sz w:val="24"/>
                <w:u w:val="single"/>
              </w:rPr>
              <w:t xml:space="preserve">   </w:t>
            </w:r>
            <w:r>
              <w:rPr>
                <w:rFonts w:hint="eastAsia"/>
                <w:sz w:val="24"/>
                <w:u w:val="single"/>
              </w:rPr>
              <w:t xml:space="preserve"> </w:t>
            </w:r>
            <w:r>
              <w:rPr>
                <w:sz w:val="24"/>
              </w:rPr>
              <w:t>月</w:t>
            </w:r>
            <w:r>
              <w:rPr>
                <w:sz w:val="24"/>
                <w:u w:val="single"/>
              </w:rPr>
              <w:t xml:space="preserve">    </w:t>
            </w:r>
            <w:r>
              <w:rPr>
                <w:sz w:val="24"/>
              </w:rPr>
              <w:t>日</w:t>
            </w:r>
          </w:p>
        </w:tc>
        <w:tc>
          <w:tcPr>
            <w:tcW w:w="1866" w:type="dxa"/>
            <w:vAlign w:val="center"/>
          </w:tcPr>
          <w:p w14:paraId="63D9579B">
            <w:pPr>
              <w:spacing w:line="360" w:lineRule="exact"/>
              <w:jc w:val="center"/>
              <w:rPr>
                <w:sz w:val="24"/>
              </w:rPr>
            </w:pPr>
          </w:p>
        </w:tc>
        <w:tc>
          <w:tcPr>
            <w:tcW w:w="2693" w:type="dxa"/>
            <w:vAlign w:val="center"/>
          </w:tcPr>
          <w:p w14:paraId="2402C8ED">
            <w:pPr>
              <w:spacing w:line="360" w:lineRule="exact"/>
              <w:ind w:left="0" w:leftChars="-2" w:hanging="4" w:hangingChars="2"/>
              <w:rPr>
                <w:sz w:val="24"/>
                <w:u w:val="single"/>
              </w:rPr>
            </w:pPr>
            <w:r>
              <w:rPr>
                <w:sz w:val="24"/>
                <w:u w:val="single"/>
              </w:rPr>
              <w:t xml:space="preserve">      </w:t>
            </w:r>
            <w:r>
              <w:rPr>
                <w:sz w:val="24"/>
              </w:rPr>
              <w:t>年</w:t>
            </w:r>
            <w:r>
              <w:rPr>
                <w:sz w:val="24"/>
                <w:u w:val="single"/>
              </w:rPr>
              <w:t xml:space="preserve">   </w:t>
            </w:r>
            <w:r>
              <w:rPr>
                <w:rFonts w:hint="eastAsia"/>
                <w:sz w:val="24"/>
                <w:u w:val="single"/>
              </w:rPr>
              <w:t xml:space="preserve"> </w:t>
            </w:r>
            <w:r>
              <w:rPr>
                <w:sz w:val="24"/>
              </w:rPr>
              <w:t>月</w:t>
            </w:r>
            <w:r>
              <w:rPr>
                <w:sz w:val="24"/>
                <w:u w:val="single"/>
              </w:rPr>
              <w:t xml:space="preserve">    </w:t>
            </w:r>
            <w:r>
              <w:rPr>
                <w:sz w:val="24"/>
              </w:rPr>
              <w:t>日</w:t>
            </w:r>
          </w:p>
        </w:tc>
      </w:tr>
      <w:tr w14:paraId="0B392F78">
        <w:tblPrEx>
          <w:tblCellMar>
            <w:top w:w="0" w:type="dxa"/>
            <w:left w:w="108" w:type="dxa"/>
            <w:bottom w:w="0" w:type="dxa"/>
            <w:right w:w="108" w:type="dxa"/>
          </w:tblCellMar>
        </w:tblPrEx>
        <w:trPr>
          <w:trHeight w:val="1162" w:hRule="atLeast"/>
          <w:jc w:val="center"/>
        </w:trPr>
        <w:tc>
          <w:tcPr>
            <w:tcW w:w="1882" w:type="dxa"/>
            <w:vAlign w:val="center"/>
          </w:tcPr>
          <w:p w14:paraId="34A9E265">
            <w:pPr>
              <w:spacing w:line="360" w:lineRule="exact"/>
              <w:jc w:val="center"/>
              <w:rPr>
                <w:sz w:val="24"/>
              </w:rPr>
            </w:pPr>
            <w:r>
              <w:rPr>
                <w:sz w:val="24"/>
              </w:rPr>
              <w:t>法定代表人</w:t>
            </w:r>
          </w:p>
          <w:p w14:paraId="745F1986">
            <w:pPr>
              <w:spacing w:line="360" w:lineRule="exact"/>
              <w:jc w:val="center"/>
              <w:rPr>
                <w:sz w:val="24"/>
              </w:rPr>
            </w:pPr>
            <w:r>
              <w:rPr>
                <w:sz w:val="20"/>
              </w:rPr>
              <w:t>（签字）</w:t>
            </w:r>
            <w:r>
              <w:rPr>
                <w:sz w:val="24"/>
              </w:rPr>
              <w:t>：</w:t>
            </w:r>
          </w:p>
        </w:tc>
        <w:tc>
          <w:tcPr>
            <w:tcW w:w="2653" w:type="dxa"/>
            <w:vAlign w:val="bottom"/>
          </w:tcPr>
          <w:p w14:paraId="7F632BE7">
            <w:pPr>
              <w:spacing w:line="360" w:lineRule="exact"/>
              <w:rPr>
                <w:sz w:val="24"/>
                <w:u w:val="single"/>
              </w:rPr>
            </w:pPr>
            <w:r>
              <w:rPr>
                <w:rFonts w:hint="eastAsia"/>
                <w:sz w:val="24"/>
                <w:u w:val="single"/>
              </w:rPr>
              <w:t xml:space="preserve">                    </w:t>
            </w:r>
          </w:p>
        </w:tc>
        <w:tc>
          <w:tcPr>
            <w:tcW w:w="1866" w:type="dxa"/>
            <w:vAlign w:val="center"/>
          </w:tcPr>
          <w:p w14:paraId="1A98316F">
            <w:pPr>
              <w:spacing w:line="360" w:lineRule="exact"/>
              <w:jc w:val="center"/>
              <w:rPr>
                <w:sz w:val="24"/>
              </w:rPr>
            </w:pPr>
            <w:r>
              <w:rPr>
                <w:sz w:val="24"/>
              </w:rPr>
              <w:t>法定代表人</w:t>
            </w:r>
          </w:p>
          <w:p w14:paraId="5BAD342F">
            <w:pPr>
              <w:spacing w:line="360" w:lineRule="exact"/>
              <w:jc w:val="center"/>
              <w:rPr>
                <w:sz w:val="24"/>
              </w:rPr>
            </w:pPr>
            <w:r>
              <w:rPr>
                <w:sz w:val="20"/>
              </w:rPr>
              <w:t>（签字）</w:t>
            </w:r>
            <w:r>
              <w:rPr>
                <w:sz w:val="24"/>
              </w:rPr>
              <w:t>：</w:t>
            </w:r>
          </w:p>
        </w:tc>
        <w:tc>
          <w:tcPr>
            <w:tcW w:w="2693" w:type="dxa"/>
            <w:vAlign w:val="bottom"/>
          </w:tcPr>
          <w:p w14:paraId="1EB7C625">
            <w:pPr>
              <w:spacing w:line="360" w:lineRule="exact"/>
              <w:rPr>
                <w:sz w:val="24"/>
                <w:u w:val="single"/>
              </w:rPr>
            </w:pPr>
            <w:r>
              <w:rPr>
                <w:rFonts w:hint="eastAsia"/>
                <w:sz w:val="24"/>
                <w:u w:val="single"/>
              </w:rPr>
              <w:t xml:space="preserve">                     </w:t>
            </w:r>
          </w:p>
        </w:tc>
      </w:tr>
      <w:tr w14:paraId="7B125911">
        <w:tblPrEx>
          <w:tblCellMar>
            <w:top w:w="0" w:type="dxa"/>
            <w:left w:w="108" w:type="dxa"/>
            <w:bottom w:w="0" w:type="dxa"/>
            <w:right w:w="108" w:type="dxa"/>
          </w:tblCellMar>
        </w:tblPrEx>
        <w:trPr>
          <w:trHeight w:val="1144" w:hRule="atLeast"/>
          <w:jc w:val="center"/>
        </w:trPr>
        <w:tc>
          <w:tcPr>
            <w:tcW w:w="1882" w:type="dxa"/>
            <w:vAlign w:val="center"/>
          </w:tcPr>
          <w:p w14:paraId="2BDEC0A6">
            <w:pPr>
              <w:spacing w:line="360" w:lineRule="exact"/>
              <w:jc w:val="center"/>
              <w:rPr>
                <w:sz w:val="24"/>
              </w:rPr>
            </w:pPr>
            <w:r>
              <w:rPr>
                <w:sz w:val="24"/>
              </w:rPr>
              <w:t>委托代理人</w:t>
            </w:r>
          </w:p>
          <w:p w14:paraId="1B9160AC">
            <w:pPr>
              <w:spacing w:line="360" w:lineRule="exact"/>
              <w:jc w:val="center"/>
              <w:rPr>
                <w:sz w:val="24"/>
              </w:rPr>
            </w:pPr>
            <w:r>
              <w:rPr>
                <w:sz w:val="20"/>
              </w:rPr>
              <w:t>（签字）</w:t>
            </w:r>
            <w:r>
              <w:rPr>
                <w:sz w:val="24"/>
              </w:rPr>
              <w:t>：</w:t>
            </w:r>
          </w:p>
        </w:tc>
        <w:tc>
          <w:tcPr>
            <w:tcW w:w="2653" w:type="dxa"/>
            <w:vAlign w:val="bottom"/>
          </w:tcPr>
          <w:p w14:paraId="33365B16">
            <w:pPr>
              <w:spacing w:line="360" w:lineRule="exact"/>
              <w:rPr>
                <w:sz w:val="24"/>
              </w:rPr>
            </w:pPr>
            <w:r>
              <w:rPr>
                <w:rFonts w:hint="eastAsia"/>
                <w:sz w:val="24"/>
                <w:u w:val="single"/>
              </w:rPr>
              <w:t xml:space="preserve">                    </w:t>
            </w:r>
          </w:p>
        </w:tc>
        <w:tc>
          <w:tcPr>
            <w:tcW w:w="1866" w:type="dxa"/>
            <w:vAlign w:val="center"/>
          </w:tcPr>
          <w:p w14:paraId="47512219">
            <w:pPr>
              <w:spacing w:line="360" w:lineRule="exact"/>
              <w:jc w:val="center"/>
              <w:rPr>
                <w:sz w:val="24"/>
              </w:rPr>
            </w:pPr>
            <w:r>
              <w:rPr>
                <w:sz w:val="24"/>
              </w:rPr>
              <w:t>委托代理人</w:t>
            </w:r>
          </w:p>
          <w:p w14:paraId="0E960163">
            <w:pPr>
              <w:spacing w:line="360" w:lineRule="exact"/>
              <w:jc w:val="center"/>
              <w:rPr>
                <w:sz w:val="24"/>
              </w:rPr>
            </w:pPr>
            <w:r>
              <w:rPr>
                <w:sz w:val="20"/>
              </w:rPr>
              <w:t>（签字）</w:t>
            </w:r>
            <w:r>
              <w:rPr>
                <w:sz w:val="24"/>
              </w:rPr>
              <w:t>：</w:t>
            </w:r>
          </w:p>
        </w:tc>
        <w:tc>
          <w:tcPr>
            <w:tcW w:w="2693" w:type="dxa"/>
            <w:vAlign w:val="bottom"/>
          </w:tcPr>
          <w:p w14:paraId="2BBFE073">
            <w:pPr>
              <w:spacing w:line="360" w:lineRule="exact"/>
              <w:rPr>
                <w:sz w:val="24"/>
                <w:u w:val="single"/>
              </w:rPr>
            </w:pPr>
            <w:r>
              <w:rPr>
                <w:rFonts w:hint="eastAsia"/>
                <w:sz w:val="24"/>
                <w:u w:val="single"/>
              </w:rPr>
              <w:t xml:space="preserve">                     </w:t>
            </w:r>
          </w:p>
        </w:tc>
      </w:tr>
      <w:tr w14:paraId="2E519D21">
        <w:tblPrEx>
          <w:tblCellMar>
            <w:top w:w="0" w:type="dxa"/>
            <w:left w:w="108" w:type="dxa"/>
            <w:bottom w:w="0" w:type="dxa"/>
            <w:right w:w="108" w:type="dxa"/>
          </w:tblCellMar>
        </w:tblPrEx>
        <w:trPr>
          <w:trHeight w:val="1120" w:hRule="atLeast"/>
          <w:jc w:val="center"/>
        </w:trPr>
        <w:tc>
          <w:tcPr>
            <w:tcW w:w="1882" w:type="dxa"/>
            <w:vAlign w:val="center"/>
          </w:tcPr>
          <w:p w14:paraId="09EFD159">
            <w:pPr>
              <w:spacing w:line="360" w:lineRule="exact"/>
              <w:jc w:val="center"/>
              <w:rPr>
                <w:sz w:val="24"/>
              </w:rPr>
            </w:pPr>
            <w:r>
              <w:rPr>
                <w:sz w:val="24"/>
              </w:rPr>
              <w:t>地    址：</w:t>
            </w:r>
          </w:p>
        </w:tc>
        <w:tc>
          <w:tcPr>
            <w:tcW w:w="2653" w:type="dxa"/>
            <w:vAlign w:val="center"/>
          </w:tcPr>
          <w:p w14:paraId="503EF3A9">
            <w:pPr>
              <w:spacing w:line="360" w:lineRule="exact"/>
              <w:rPr>
                <w:sz w:val="24"/>
                <w:u w:val="single"/>
              </w:rPr>
            </w:pPr>
            <w:r>
              <w:rPr>
                <w:sz w:val="24"/>
                <w:u w:val="single"/>
              </w:rPr>
              <w:t>北京市西城区黄寺大街24号（22号楼）</w:t>
            </w:r>
            <w:r>
              <w:rPr>
                <w:rFonts w:hint="eastAsia"/>
                <w:sz w:val="24"/>
                <w:u w:val="single"/>
              </w:rPr>
              <w:t xml:space="preserve">     </w:t>
            </w:r>
          </w:p>
        </w:tc>
        <w:tc>
          <w:tcPr>
            <w:tcW w:w="1866" w:type="dxa"/>
            <w:vAlign w:val="center"/>
          </w:tcPr>
          <w:p w14:paraId="1A167A4E">
            <w:pPr>
              <w:spacing w:line="360" w:lineRule="exact"/>
              <w:jc w:val="center"/>
              <w:rPr>
                <w:sz w:val="24"/>
              </w:rPr>
            </w:pPr>
            <w:r>
              <w:rPr>
                <w:sz w:val="24"/>
              </w:rPr>
              <w:t>地    址：</w:t>
            </w:r>
          </w:p>
        </w:tc>
        <w:tc>
          <w:tcPr>
            <w:tcW w:w="2693" w:type="dxa"/>
            <w:vAlign w:val="center"/>
          </w:tcPr>
          <w:p w14:paraId="6B5EC8FE">
            <w:pPr>
              <w:spacing w:line="360" w:lineRule="exact"/>
              <w:rPr>
                <w:sz w:val="24"/>
              </w:rPr>
            </w:pPr>
            <w:r>
              <w:rPr>
                <w:rFonts w:hint="eastAsia"/>
                <w:sz w:val="24"/>
                <w:u w:val="single"/>
              </w:rPr>
              <w:t xml:space="preserve">                     </w:t>
            </w:r>
          </w:p>
        </w:tc>
      </w:tr>
      <w:tr w14:paraId="72DD9FD6">
        <w:tblPrEx>
          <w:tblCellMar>
            <w:top w:w="0" w:type="dxa"/>
            <w:left w:w="108" w:type="dxa"/>
            <w:bottom w:w="0" w:type="dxa"/>
            <w:right w:w="108" w:type="dxa"/>
          </w:tblCellMar>
        </w:tblPrEx>
        <w:trPr>
          <w:trHeight w:val="850" w:hRule="exact"/>
          <w:jc w:val="center"/>
        </w:trPr>
        <w:tc>
          <w:tcPr>
            <w:tcW w:w="1882" w:type="dxa"/>
            <w:vAlign w:val="center"/>
          </w:tcPr>
          <w:p w14:paraId="0C05C159">
            <w:pPr>
              <w:spacing w:line="360" w:lineRule="exact"/>
              <w:jc w:val="center"/>
              <w:rPr>
                <w:sz w:val="24"/>
              </w:rPr>
            </w:pPr>
            <w:r>
              <w:rPr>
                <w:rFonts w:hint="eastAsia"/>
                <w:sz w:val="24"/>
              </w:rPr>
              <w:t>邮政编码：</w:t>
            </w:r>
          </w:p>
        </w:tc>
        <w:tc>
          <w:tcPr>
            <w:tcW w:w="2653" w:type="dxa"/>
            <w:vAlign w:val="center"/>
          </w:tcPr>
          <w:p w14:paraId="53D73C50">
            <w:pPr>
              <w:spacing w:line="360" w:lineRule="exact"/>
              <w:rPr>
                <w:sz w:val="24"/>
              </w:rPr>
            </w:pPr>
            <w:r>
              <w:rPr>
                <w:sz w:val="24"/>
                <w:u w:val="single"/>
                <w:lang w:bidi="ar"/>
              </w:rPr>
              <w:t>100120</w:t>
            </w:r>
            <w:r>
              <w:rPr>
                <w:rFonts w:hint="eastAsia"/>
                <w:sz w:val="24"/>
                <w:u w:val="single"/>
                <w:lang w:bidi="ar"/>
              </w:rPr>
              <w:t xml:space="preserve">              </w:t>
            </w:r>
          </w:p>
        </w:tc>
        <w:tc>
          <w:tcPr>
            <w:tcW w:w="1866" w:type="dxa"/>
            <w:vAlign w:val="center"/>
          </w:tcPr>
          <w:p w14:paraId="03319FC2">
            <w:pPr>
              <w:spacing w:line="360" w:lineRule="exact"/>
              <w:jc w:val="center"/>
              <w:rPr>
                <w:sz w:val="24"/>
              </w:rPr>
            </w:pPr>
            <w:r>
              <w:rPr>
                <w:rFonts w:hint="eastAsia"/>
                <w:sz w:val="24"/>
              </w:rPr>
              <w:t>邮政编码：</w:t>
            </w:r>
          </w:p>
        </w:tc>
        <w:tc>
          <w:tcPr>
            <w:tcW w:w="2693" w:type="dxa"/>
            <w:vAlign w:val="center"/>
          </w:tcPr>
          <w:p w14:paraId="21CA8F06">
            <w:pPr>
              <w:spacing w:line="360" w:lineRule="exact"/>
              <w:rPr>
                <w:sz w:val="24"/>
                <w:u w:val="single"/>
              </w:rPr>
            </w:pPr>
            <w:r>
              <w:rPr>
                <w:rFonts w:hint="eastAsia"/>
                <w:sz w:val="24"/>
                <w:u w:val="single"/>
              </w:rPr>
              <w:t xml:space="preserve">                      </w:t>
            </w:r>
          </w:p>
        </w:tc>
      </w:tr>
      <w:tr w14:paraId="06640B13">
        <w:tblPrEx>
          <w:tblCellMar>
            <w:top w:w="0" w:type="dxa"/>
            <w:left w:w="108" w:type="dxa"/>
            <w:bottom w:w="0" w:type="dxa"/>
            <w:right w:w="108" w:type="dxa"/>
          </w:tblCellMar>
        </w:tblPrEx>
        <w:trPr>
          <w:trHeight w:val="850" w:hRule="exact"/>
          <w:jc w:val="center"/>
        </w:trPr>
        <w:tc>
          <w:tcPr>
            <w:tcW w:w="1882" w:type="dxa"/>
            <w:vAlign w:val="center"/>
          </w:tcPr>
          <w:p w14:paraId="3B49D099">
            <w:pPr>
              <w:spacing w:line="360" w:lineRule="exact"/>
              <w:jc w:val="center"/>
              <w:rPr>
                <w:sz w:val="24"/>
              </w:rPr>
            </w:pPr>
            <w:r>
              <w:rPr>
                <w:sz w:val="24"/>
              </w:rPr>
              <w:t>联系电话：</w:t>
            </w:r>
          </w:p>
        </w:tc>
        <w:tc>
          <w:tcPr>
            <w:tcW w:w="2653" w:type="dxa"/>
            <w:vAlign w:val="center"/>
          </w:tcPr>
          <w:p w14:paraId="19D4612A">
            <w:pPr>
              <w:spacing w:line="360" w:lineRule="exact"/>
              <w:rPr>
                <w:sz w:val="24"/>
              </w:rPr>
            </w:pPr>
            <w:r>
              <w:rPr>
                <w:sz w:val="24"/>
                <w:u w:val="single"/>
                <w:lang w:bidi="ar"/>
              </w:rPr>
              <w:t>010-51632</w:t>
            </w:r>
            <w:r>
              <w:rPr>
                <w:rFonts w:hint="eastAsia"/>
                <w:sz w:val="24"/>
                <w:u w:val="single"/>
                <w:lang w:bidi="ar"/>
              </w:rPr>
              <w:t xml:space="preserve">203         </w:t>
            </w:r>
          </w:p>
        </w:tc>
        <w:tc>
          <w:tcPr>
            <w:tcW w:w="1866" w:type="dxa"/>
            <w:vAlign w:val="center"/>
          </w:tcPr>
          <w:p w14:paraId="03A04B19">
            <w:pPr>
              <w:spacing w:line="360" w:lineRule="exact"/>
              <w:jc w:val="center"/>
              <w:rPr>
                <w:sz w:val="24"/>
              </w:rPr>
            </w:pPr>
            <w:r>
              <w:rPr>
                <w:sz w:val="24"/>
              </w:rPr>
              <w:t>联系电话：</w:t>
            </w:r>
          </w:p>
        </w:tc>
        <w:tc>
          <w:tcPr>
            <w:tcW w:w="2693" w:type="dxa"/>
            <w:vAlign w:val="center"/>
          </w:tcPr>
          <w:p w14:paraId="376DB275">
            <w:pPr>
              <w:spacing w:line="360" w:lineRule="exact"/>
              <w:rPr>
                <w:sz w:val="24"/>
              </w:rPr>
            </w:pPr>
            <w:r>
              <w:rPr>
                <w:rFonts w:hint="eastAsia"/>
                <w:sz w:val="24"/>
                <w:u w:val="single"/>
              </w:rPr>
              <w:t xml:space="preserve">                        </w:t>
            </w:r>
          </w:p>
        </w:tc>
      </w:tr>
      <w:tr w14:paraId="2E119111">
        <w:tblPrEx>
          <w:tblCellMar>
            <w:top w:w="0" w:type="dxa"/>
            <w:left w:w="108" w:type="dxa"/>
            <w:bottom w:w="0" w:type="dxa"/>
            <w:right w:w="108" w:type="dxa"/>
          </w:tblCellMar>
        </w:tblPrEx>
        <w:trPr>
          <w:trHeight w:val="850" w:hRule="exact"/>
          <w:jc w:val="center"/>
        </w:trPr>
        <w:tc>
          <w:tcPr>
            <w:tcW w:w="1882" w:type="dxa"/>
            <w:vAlign w:val="center"/>
          </w:tcPr>
          <w:p w14:paraId="47097FD7">
            <w:pPr>
              <w:spacing w:line="360" w:lineRule="exact"/>
              <w:jc w:val="center"/>
              <w:rPr>
                <w:sz w:val="24"/>
              </w:rPr>
            </w:pPr>
            <w:r>
              <w:rPr>
                <w:sz w:val="24"/>
              </w:rPr>
              <w:t>开 户 行：</w:t>
            </w:r>
          </w:p>
        </w:tc>
        <w:tc>
          <w:tcPr>
            <w:tcW w:w="2653" w:type="dxa"/>
            <w:vAlign w:val="center"/>
          </w:tcPr>
          <w:p w14:paraId="527A2DD3">
            <w:pPr>
              <w:spacing w:line="360" w:lineRule="exact"/>
              <w:rPr>
                <w:sz w:val="24"/>
                <w:u w:val="single"/>
              </w:rPr>
            </w:pPr>
            <w:r>
              <w:rPr>
                <w:sz w:val="24"/>
                <w:u w:val="single"/>
              </w:rPr>
              <w:t>中国银行北京黄寺支行</w:t>
            </w:r>
            <w:r>
              <w:rPr>
                <w:rFonts w:hint="eastAsia"/>
                <w:sz w:val="24"/>
                <w:u w:val="single"/>
              </w:rPr>
              <w:t xml:space="preserve"> </w:t>
            </w:r>
          </w:p>
        </w:tc>
        <w:tc>
          <w:tcPr>
            <w:tcW w:w="1866" w:type="dxa"/>
            <w:vAlign w:val="center"/>
          </w:tcPr>
          <w:p w14:paraId="343CE5DF">
            <w:pPr>
              <w:spacing w:line="360" w:lineRule="exact"/>
              <w:jc w:val="center"/>
              <w:rPr>
                <w:sz w:val="24"/>
              </w:rPr>
            </w:pPr>
            <w:r>
              <w:rPr>
                <w:sz w:val="24"/>
              </w:rPr>
              <w:t>开 户 行：</w:t>
            </w:r>
          </w:p>
        </w:tc>
        <w:tc>
          <w:tcPr>
            <w:tcW w:w="2693" w:type="dxa"/>
            <w:vAlign w:val="center"/>
          </w:tcPr>
          <w:p w14:paraId="1F4B7D45">
            <w:pPr>
              <w:spacing w:line="360" w:lineRule="exact"/>
              <w:rPr>
                <w:sz w:val="24"/>
              </w:rPr>
            </w:pPr>
            <w:r>
              <w:rPr>
                <w:rFonts w:hint="eastAsia"/>
                <w:sz w:val="24"/>
                <w:u w:val="single"/>
              </w:rPr>
              <w:t xml:space="preserve">                        </w:t>
            </w:r>
          </w:p>
        </w:tc>
      </w:tr>
      <w:tr w14:paraId="038163B8">
        <w:tblPrEx>
          <w:tblCellMar>
            <w:top w:w="0" w:type="dxa"/>
            <w:left w:w="108" w:type="dxa"/>
            <w:bottom w:w="0" w:type="dxa"/>
            <w:right w:w="108" w:type="dxa"/>
          </w:tblCellMar>
        </w:tblPrEx>
        <w:trPr>
          <w:trHeight w:val="850" w:hRule="exact"/>
          <w:jc w:val="center"/>
        </w:trPr>
        <w:tc>
          <w:tcPr>
            <w:tcW w:w="1882" w:type="dxa"/>
            <w:vAlign w:val="center"/>
          </w:tcPr>
          <w:p w14:paraId="72F6FA36">
            <w:pPr>
              <w:spacing w:line="360" w:lineRule="exact"/>
              <w:jc w:val="center"/>
              <w:rPr>
                <w:sz w:val="24"/>
              </w:rPr>
            </w:pPr>
            <w:r>
              <w:rPr>
                <w:sz w:val="24"/>
              </w:rPr>
              <w:t>帐     号：</w:t>
            </w:r>
          </w:p>
        </w:tc>
        <w:tc>
          <w:tcPr>
            <w:tcW w:w="2653" w:type="dxa"/>
            <w:vAlign w:val="center"/>
          </w:tcPr>
          <w:p w14:paraId="07E9DCF0">
            <w:pPr>
              <w:spacing w:line="360" w:lineRule="exact"/>
              <w:rPr>
                <w:sz w:val="24"/>
                <w:u w:val="single"/>
              </w:rPr>
            </w:pPr>
            <w:r>
              <w:rPr>
                <w:sz w:val="24"/>
                <w:u w:val="single"/>
              </w:rPr>
              <w:t>333761859012</w:t>
            </w:r>
            <w:r>
              <w:rPr>
                <w:rFonts w:hint="eastAsia"/>
                <w:sz w:val="24"/>
                <w:u w:val="single"/>
              </w:rPr>
              <w:t xml:space="preserve">        </w:t>
            </w:r>
          </w:p>
        </w:tc>
        <w:tc>
          <w:tcPr>
            <w:tcW w:w="1866" w:type="dxa"/>
            <w:vAlign w:val="center"/>
          </w:tcPr>
          <w:p w14:paraId="31CD8548">
            <w:pPr>
              <w:spacing w:line="360" w:lineRule="exact"/>
              <w:jc w:val="center"/>
              <w:rPr>
                <w:sz w:val="24"/>
              </w:rPr>
            </w:pPr>
            <w:r>
              <w:rPr>
                <w:sz w:val="24"/>
              </w:rPr>
              <w:t>帐     号：</w:t>
            </w:r>
          </w:p>
        </w:tc>
        <w:tc>
          <w:tcPr>
            <w:tcW w:w="2693" w:type="dxa"/>
            <w:vAlign w:val="center"/>
          </w:tcPr>
          <w:p w14:paraId="347EE76F">
            <w:pPr>
              <w:spacing w:line="360" w:lineRule="exact"/>
              <w:rPr>
                <w:sz w:val="24"/>
              </w:rPr>
            </w:pPr>
            <w:r>
              <w:rPr>
                <w:rFonts w:hint="eastAsia"/>
                <w:sz w:val="24"/>
                <w:u w:val="single"/>
                <w:lang w:bidi="ar"/>
              </w:rPr>
              <w:t xml:space="preserve">                       </w:t>
            </w:r>
          </w:p>
        </w:tc>
      </w:tr>
      <w:tr w14:paraId="6A174930">
        <w:tblPrEx>
          <w:tblCellMar>
            <w:top w:w="0" w:type="dxa"/>
            <w:left w:w="108" w:type="dxa"/>
            <w:bottom w:w="0" w:type="dxa"/>
            <w:right w:w="108" w:type="dxa"/>
          </w:tblCellMar>
        </w:tblPrEx>
        <w:trPr>
          <w:trHeight w:val="850" w:hRule="exact"/>
          <w:jc w:val="center"/>
        </w:trPr>
        <w:tc>
          <w:tcPr>
            <w:tcW w:w="1882" w:type="dxa"/>
            <w:vAlign w:val="center"/>
          </w:tcPr>
          <w:p w14:paraId="15DB4DE2">
            <w:pPr>
              <w:spacing w:line="360" w:lineRule="exact"/>
              <w:jc w:val="center"/>
              <w:rPr>
                <w:sz w:val="24"/>
              </w:rPr>
            </w:pPr>
            <w:r>
              <w:rPr>
                <w:rFonts w:hint="eastAsia"/>
                <w:sz w:val="24"/>
              </w:rPr>
              <w:t>纳税人识别号：</w:t>
            </w:r>
          </w:p>
        </w:tc>
        <w:tc>
          <w:tcPr>
            <w:tcW w:w="2653" w:type="dxa"/>
            <w:vAlign w:val="center"/>
          </w:tcPr>
          <w:p w14:paraId="194787E2">
            <w:pPr>
              <w:spacing w:line="360" w:lineRule="exact"/>
              <w:rPr>
                <w:sz w:val="24"/>
                <w:u w:val="single"/>
              </w:rPr>
            </w:pPr>
            <w:r>
              <w:rPr>
                <w:rFonts w:hint="eastAsia"/>
                <w:sz w:val="24"/>
                <w:u w:val="single"/>
              </w:rPr>
              <w:t xml:space="preserve">121100004000030913  </w:t>
            </w:r>
          </w:p>
        </w:tc>
        <w:tc>
          <w:tcPr>
            <w:tcW w:w="1866" w:type="dxa"/>
            <w:vAlign w:val="center"/>
          </w:tcPr>
          <w:p w14:paraId="6834A617">
            <w:pPr>
              <w:spacing w:line="360" w:lineRule="exact"/>
              <w:jc w:val="center"/>
              <w:rPr>
                <w:sz w:val="24"/>
              </w:rPr>
            </w:pPr>
            <w:r>
              <w:rPr>
                <w:rFonts w:hint="eastAsia"/>
                <w:sz w:val="24"/>
              </w:rPr>
              <w:t>纳税人识别号：</w:t>
            </w:r>
          </w:p>
        </w:tc>
        <w:tc>
          <w:tcPr>
            <w:tcW w:w="2693" w:type="dxa"/>
            <w:vAlign w:val="center"/>
          </w:tcPr>
          <w:p w14:paraId="46D4BB03">
            <w:pPr>
              <w:spacing w:line="360" w:lineRule="exact"/>
              <w:rPr>
                <w:sz w:val="24"/>
                <w:u w:val="single"/>
              </w:rPr>
            </w:pPr>
            <w:r>
              <w:rPr>
                <w:rFonts w:hint="eastAsia"/>
                <w:sz w:val="24"/>
                <w:u w:val="single"/>
              </w:rPr>
              <w:t xml:space="preserve">                     </w:t>
            </w:r>
          </w:p>
        </w:tc>
      </w:tr>
    </w:tbl>
    <w:p w14:paraId="1A5FB43F">
      <w:pPr>
        <w:spacing w:line="360" w:lineRule="auto"/>
        <w:rPr>
          <w:rFonts w:hint="eastAsia" w:ascii="宋体" w:hAnsi="宋体" w:cs="宋体"/>
          <w:b/>
          <w:color w:val="000000"/>
          <w:sz w:val="28"/>
          <w:szCs w:val="28"/>
          <w:highlight w:val="yellow"/>
        </w:rPr>
      </w:pPr>
    </w:p>
    <w:p w14:paraId="64928763">
      <w:pPr>
        <w:spacing w:line="360" w:lineRule="auto"/>
        <w:rPr>
          <w:rFonts w:hint="eastAsia" w:ascii="宋体" w:hAnsi="宋体" w:cs="宋体"/>
          <w:b/>
          <w:color w:val="000000"/>
          <w:sz w:val="28"/>
          <w:szCs w:val="28"/>
          <w:highlight w:val="yellow"/>
        </w:rPr>
      </w:pPr>
    </w:p>
    <w:p w14:paraId="6460CB23">
      <w:pPr>
        <w:spacing w:line="360" w:lineRule="auto"/>
        <w:rPr>
          <w:rFonts w:hint="eastAsia" w:ascii="宋体" w:hAnsi="宋体" w:cs="宋体"/>
          <w:b/>
          <w:color w:val="000000"/>
          <w:sz w:val="28"/>
          <w:szCs w:val="28"/>
          <w:highlight w:val="yellow"/>
        </w:rPr>
      </w:pPr>
    </w:p>
    <w:p w14:paraId="705DE650">
      <w:pPr>
        <w:spacing w:line="360" w:lineRule="auto"/>
        <w:rPr>
          <w:rFonts w:hint="eastAsia" w:ascii="宋体" w:hAnsi="宋体" w:cs="宋体"/>
          <w:b/>
          <w:color w:val="000000"/>
          <w:sz w:val="28"/>
          <w:szCs w:val="28"/>
          <w:highlight w:val="yellow"/>
        </w:rPr>
      </w:pPr>
    </w:p>
    <w:p w14:paraId="5D597AC7">
      <w:pPr>
        <w:spacing w:line="360" w:lineRule="auto"/>
        <w:rPr>
          <w:rFonts w:hint="eastAsia" w:ascii="宋体" w:hAnsi="宋体" w:cs="宋体"/>
          <w:b/>
          <w:color w:val="000000"/>
          <w:sz w:val="28"/>
          <w:szCs w:val="28"/>
          <w:highlight w:val="yellow"/>
        </w:rPr>
      </w:pPr>
    </w:p>
    <w:p w14:paraId="4CC81DE7">
      <w:pPr>
        <w:spacing w:line="360" w:lineRule="auto"/>
        <w:rPr>
          <w:rFonts w:hint="eastAsia" w:ascii="宋体" w:hAnsi="宋体" w:cs="宋体"/>
          <w:b/>
          <w:color w:val="000000"/>
          <w:sz w:val="28"/>
          <w:szCs w:val="28"/>
          <w:highlight w:val="yellow"/>
        </w:rPr>
      </w:pPr>
    </w:p>
    <w:p w14:paraId="342FF931">
      <w:pPr>
        <w:spacing w:line="360" w:lineRule="auto"/>
        <w:rPr>
          <w:rFonts w:hint="eastAsia" w:ascii="宋体" w:hAnsi="宋体" w:cs="宋体"/>
          <w:b/>
          <w:color w:val="000000"/>
          <w:sz w:val="28"/>
          <w:szCs w:val="28"/>
          <w:highlight w:val="yellow"/>
        </w:rPr>
      </w:pPr>
    </w:p>
    <w:p w14:paraId="2F779136">
      <w:pPr>
        <w:spacing w:line="360" w:lineRule="auto"/>
        <w:rPr>
          <w:rFonts w:hint="eastAsia" w:ascii="宋体" w:hAnsi="宋体" w:cs="宋体"/>
          <w:b/>
          <w:color w:val="000000"/>
          <w:sz w:val="28"/>
          <w:szCs w:val="28"/>
          <w:highlight w:val="yellow"/>
        </w:rPr>
      </w:pPr>
    </w:p>
    <w:p w14:paraId="190A983D">
      <w:pPr>
        <w:jc w:val="center"/>
        <w:rPr>
          <w:rFonts w:hint="eastAsia" w:ascii="宋体" w:hAnsi="宋体" w:cs="宋体"/>
          <w:b/>
          <w:bCs/>
          <w:color w:val="000000"/>
          <w:sz w:val="24"/>
        </w:rPr>
      </w:pPr>
      <w:r>
        <w:rPr>
          <w:rFonts w:hint="eastAsia" w:ascii="宋体" w:hAnsi="宋体" w:cs="宋体"/>
          <w:b/>
          <w:bCs/>
          <w:color w:val="000000"/>
          <w:sz w:val="24"/>
        </w:rPr>
        <w:t>合同特殊条款</w:t>
      </w:r>
    </w:p>
    <w:p w14:paraId="467F2AE9">
      <w:pPr>
        <w:ind w:firstLine="528"/>
        <w:rPr>
          <w:rFonts w:hint="eastAsia" w:ascii="宋体" w:hAnsi="宋体" w:cs="宋体"/>
          <w:sz w:val="28"/>
        </w:rPr>
      </w:pPr>
    </w:p>
    <w:p w14:paraId="179E02D1">
      <w:pPr>
        <w:spacing w:before="120" w:line="360" w:lineRule="auto"/>
        <w:ind w:firstLine="508" w:firstLineChars="212"/>
        <w:rPr>
          <w:sz w:val="24"/>
        </w:rPr>
      </w:pPr>
      <w:r>
        <w:rPr>
          <w:sz w:val="24"/>
        </w:rPr>
        <w:t>合同特殊条款是合同一般条款的补充和修改。如果两者之间有抵触，应当以特殊条款为准。合同特殊条款的序号将与招标文件第一册中第二章合同一般条款序号相对应。</w:t>
      </w:r>
    </w:p>
    <w:p w14:paraId="23DEBB0F">
      <w:pPr>
        <w:spacing w:before="120" w:line="360" w:lineRule="auto"/>
        <w:rPr>
          <w:sz w:val="24"/>
        </w:rPr>
      </w:pPr>
      <w:r>
        <w:rPr>
          <w:sz w:val="24"/>
        </w:rPr>
        <w:t>1、定义</w:t>
      </w:r>
    </w:p>
    <w:p w14:paraId="32BAEB98">
      <w:pPr>
        <w:spacing w:before="120" w:line="360" w:lineRule="auto"/>
        <w:rPr>
          <w:sz w:val="24"/>
        </w:rPr>
      </w:pPr>
      <w:r>
        <w:rPr>
          <w:sz w:val="24"/>
        </w:rPr>
        <w:t>1.3  采购人：</w:t>
      </w:r>
      <w:r>
        <w:rPr>
          <w:sz w:val="24"/>
          <w:u w:val="single"/>
        </w:rPr>
        <w:t>北京市地质灾害防治研究所</w:t>
      </w:r>
      <w:r>
        <w:rPr>
          <w:rFonts w:hint="eastAsia"/>
          <w:sz w:val="24"/>
          <w:u w:val="single"/>
        </w:rPr>
        <w:t>。</w:t>
      </w:r>
    </w:p>
    <w:p w14:paraId="47ECE216">
      <w:pPr>
        <w:spacing w:before="120" w:line="360" w:lineRule="auto"/>
        <w:rPr>
          <w:sz w:val="24"/>
        </w:rPr>
      </w:pPr>
      <w:r>
        <w:rPr>
          <w:sz w:val="24"/>
        </w:rPr>
        <w:t>1.4  中标供应商：</w:t>
      </w:r>
      <w:r>
        <w:rPr>
          <w:sz w:val="24"/>
          <w:u w:val="single"/>
        </w:rPr>
        <w:t>　</w:t>
      </w:r>
      <w:r>
        <w:rPr>
          <w:rFonts w:hint="eastAsia"/>
          <w:sz w:val="24"/>
          <w:u w:val="single"/>
        </w:rPr>
        <w:t xml:space="preserve">                </w:t>
      </w:r>
      <w:r>
        <w:rPr>
          <w:sz w:val="24"/>
          <w:u w:val="single"/>
        </w:rPr>
        <w:t xml:space="preserve">    </w:t>
      </w:r>
    </w:p>
    <w:p w14:paraId="65AA44D9">
      <w:pPr>
        <w:spacing w:line="360" w:lineRule="auto"/>
        <w:rPr>
          <w:sz w:val="24"/>
        </w:rPr>
      </w:pPr>
      <w:r>
        <w:rPr>
          <w:sz w:val="24"/>
        </w:rPr>
        <w:t>3、服务内容</w:t>
      </w:r>
    </w:p>
    <w:p w14:paraId="50203763">
      <w:pPr>
        <w:spacing w:line="360" w:lineRule="auto"/>
        <w:ind w:firstLine="480" w:firstLineChars="200"/>
        <w:rPr>
          <w:sz w:val="24"/>
        </w:rPr>
      </w:pPr>
      <w:r>
        <w:rPr>
          <w:sz w:val="24"/>
          <w:u w:val="single"/>
        </w:rPr>
        <w:t>仪器维护、仪器维修</w:t>
      </w:r>
      <w:r>
        <w:rPr>
          <w:rFonts w:hint="eastAsia"/>
          <w:sz w:val="24"/>
          <w:u w:val="single"/>
        </w:rPr>
        <w:t>。</w:t>
      </w:r>
    </w:p>
    <w:p w14:paraId="7EF9A2C8">
      <w:pPr>
        <w:spacing w:line="360" w:lineRule="auto"/>
        <w:rPr>
          <w:sz w:val="24"/>
        </w:rPr>
      </w:pPr>
      <w:r>
        <w:rPr>
          <w:sz w:val="24"/>
        </w:rPr>
        <w:t>4、提供服务期限、地点</w:t>
      </w:r>
    </w:p>
    <w:p w14:paraId="49E6E058">
      <w:pPr>
        <w:spacing w:before="120" w:line="360" w:lineRule="auto"/>
        <w:ind w:left="1" w:firstLine="482" w:firstLineChars="200"/>
        <w:rPr>
          <w:b/>
          <w:sz w:val="24"/>
          <w:u w:val="single"/>
        </w:rPr>
      </w:pPr>
      <w:r>
        <w:rPr>
          <w:b/>
          <w:sz w:val="24"/>
          <w:u w:val="single"/>
        </w:rPr>
        <w:t>服务期要求：</w:t>
      </w:r>
      <w:r>
        <w:rPr>
          <w:sz w:val="24"/>
          <w:u w:val="single"/>
        </w:rPr>
        <w:t>合同签订之日起至202</w:t>
      </w:r>
      <w:r>
        <w:rPr>
          <w:rFonts w:hint="eastAsia"/>
          <w:sz w:val="24"/>
          <w:u w:val="single"/>
        </w:rPr>
        <w:t>6</w:t>
      </w:r>
      <w:r>
        <w:rPr>
          <w:sz w:val="24"/>
          <w:u w:val="single"/>
        </w:rPr>
        <w:t>年12月31日前，完成本项目全部工作内容。</w:t>
      </w:r>
    </w:p>
    <w:p w14:paraId="39397C64">
      <w:pPr>
        <w:spacing w:before="120" w:line="360" w:lineRule="auto"/>
        <w:ind w:left="1" w:firstLine="482" w:firstLineChars="200"/>
        <w:rPr>
          <w:sz w:val="24"/>
        </w:rPr>
      </w:pPr>
      <w:r>
        <w:rPr>
          <w:b/>
          <w:sz w:val="24"/>
          <w:u w:val="single"/>
        </w:rPr>
        <w:t>地点：</w:t>
      </w:r>
      <w:r>
        <w:rPr>
          <w:bCs/>
          <w:sz w:val="24"/>
          <w:u w:val="single"/>
        </w:rPr>
        <w:t>昌平、平谷</w:t>
      </w:r>
      <w:r>
        <w:rPr>
          <w:rFonts w:hint="eastAsia"/>
          <w:bCs/>
          <w:sz w:val="24"/>
          <w:u w:val="single"/>
        </w:rPr>
        <w:t>等</w:t>
      </w:r>
      <w:r>
        <w:rPr>
          <w:bCs/>
          <w:sz w:val="24"/>
          <w:u w:val="single"/>
        </w:rPr>
        <w:t>区范围内甲方指定地点。</w:t>
      </w:r>
    </w:p>
    <w:p w14:paraId="6D65DBCC">
      <w:pPr>
        <w:spacing w:line="360" w:lineRule="auto"/>
        <w:rPr>
          <w:sz w:val="24"/>
        </w:rPr>
      </w:pPr>
      <w:r>
        <w:rPr>
          <w:sz w:val="24"/>
        </w:rPr>
        <w:t>5、付款方式</w:t>
      </w:r>
    </w:p>
    <w:p w14:paraId="77AE0848">
      <w:pPr>
        <w:spacing w:before="120" w:line="360" w:lineRule="auto"/>
        <w:ind w:left="1" w:firstLine="480" w:firstLineChars="200"/>
        <w:rPr>
          <w:sz w:val="24"/>
        </w:rPr>
      </w:pPr>
      <w:r>
        <w:rPr>
          <w:sz w:val="24"/>
        </w:rPr>
        <w:t>5.1 付款方式</w:t>
      </w:r>
      <w:r>
        <w:rPr>
          <w:sz w:val="24"/>
          <w:u w:val="single"/>
        </w:rPr>
        <w:t>：采购人与中标供应商签订合同后二十个工作日内，采购人向中标供应商支付本项目中标金额50%的预付款，汛前维护和汛中维护维修工作结束并提交成果后支付本项目中标金额35%的预付款，汛后维护工作结束后并提交全部成果资料并经采购人验收合格后20个工作日内一次性付清本次中标金额15%的余款。</w:t>
      </w:r>
    </w:p>
    <w:p w14:paraId="6A80B700">
      <w:pPr>
        <w:spacing w:before="120" w:line="360" w:lineRule="auto"/>
        <w:rPr>
          <w:sz w:val="24"/>
        </w:rPr>
      </w:pPr>
      <w:r>
        <w:rPr>
          <w:sz w:val="24"/>
        </w:rPr>
        <w:t>8、索赔：根据合同一般条款约定。</w:t>
      </w:r>
    </w:p>
    <w:p w14:paraId="66F97D26">
      <w:pPr>
        <w:spacing w:before="120" w:line="360" w:lineRule="auto"/>
        <w:rPr>
          <w:sz w:val="24"/>
        </w:rPr>
      </w:pPr>
      <w:r>
        <w:rPr>
          <w:sz w:val="24"/>
        </w:rPr>
        <w:t>10、不可抗力：根据合同一般条款约定。</w:t>
      </w:r>
    </w:p>
    <w:p w14:paraId="0C430834">
      <w:pPr>
        <w:spacing w:before="120" w:line="360" w:lineRule="auto"/>
        <w:jc w:val="left"/>
        <w:rPr>
          <w:sz w:val="24"/>
        </w:rPr>
      </w:pPr>
      <w:r>
        <w:rPr>
          <w:sz w:val="24"/>
        </w:rPr>
        <w:t>12、履约保证金：本项目不适用。</w:t>
      </w:r>
    </w:p>
    <w:p w14:paraId="029E6DDD">
      <w:pPr>
        <w:spacing w:line="360" w:lineRule="auto"/>
        <w:rPr>
          <w:rFonts w:hint="eastAsia" w:ascii="宋体" w:hAnsi="宋体" w:cs="宋体"/>
          <w:color w:val="000000"/>
          <w:sz w:val="24"/>
        </w:rPr>
      </w:pPr>
      <w:r>
        <w:rPr>
          <w:sz w:val="24"/>
        </w:rPr>
        <w:t>22.3 本合同一式</w:t>
      </w:r>
      <w:r>
        <w:rPr>
          <w:sz w:val="24"/>
          <w:u w:val="single"/>
        </w:rPr>
        <w:t>柒</w:t>
      </w:r>
      <w:r>
        <w:rPr>
          <w:sz w:val="24"/>
        </w:rPr>
        <w:t>份，具有同等法律效力。</w:t>
      </w:r>
      <w:r>
        <w:rPr>
          <w:sz w:val="24"/>
          <w:u w:val="single"/>
        </w:rPr>
        <w:t>采购人</w:t>
      </w:r>
      <w:r>
        <w:rPr>
          <w:sz w:val="24"/>
        </w:rPr>
        <w:t>和</w:t>
      </w:r>
      <w:r>
        <w:rPr>
          <w:sz w:val="24"/>
          <w:u w:val="single"/>
        </w:rPr>
        <w:t>中标供应商</w:t>
      </w:r>
      <w:r>
        <w:rPr>
          <w:sz w:val="24"/>
        </w:rPr>
        <w:t>各执</w:t>
      </w:r>
      <w:r>
        <w:rPr>
          <w:sz w:val="24"/>
          <w:u w:val="single"/>
        </w:rPr>
        <w:t>叁</w:t>
      </w:r>
      <w:r>
        <w:rPr>
          <w:sz w:val="24"/>
        </w:rPr>
        <w:t>份，招标代理机构执壹份。</w:t>
      </w:r>
      <w:r>
        <w:rPr>
          <w:rFonts w:hint="eastAsia" w:ascii="宋体" w:hAnsi="宋体" w:cs="宋体"/>
          <w:color w:val="000000"/>
          <w:sz w:val="24"/>
        </w:rPr>
        <w:br w:type="page"/>
      </w:r>
    </w:p>
    <w:p w14:paraId="12E968E4">
      <w:pPr>
        <w:jc w:val="center"/>
        <w:rPr>
          <w:b/>
          <w:bCs/>
          <w:color w:val="000000"/>
          <w:sz w:val="24"/>
        </w:rPr>
      </w:pPr>
      <w:r>
        <w:rPr>
          <w:b/>
          <w:bCs/>
          <w:color w:val="000000"/>
          <w:sz w:val="24"/>
        </w:rPr>
        <w:t>合同一般条款</w:t>
      </w:r>
    </w:p>
    <w:p w14:paraId="1F69AFC0">
      <w:pPr>
        <w:spacing w:line="360" w:lineRule="auto"/>
        <w:rPr>
          <w:b/>
          <w:bCs/>
          <w:sz w:val="24"/>
        </w:rPr>
      </w:pPr>
      <w:r>
        <w:rPr>
          <w:b/>
          <w:bCs/>
          <w:sz w:val="24"/>
        </w:rPr>
        <w:t>1、定义</w:t>
      </w:r>
    </w:p>
    <w:p w14:paraId="348816B7">
      <w:pPr>
        <w:spacing w:line="360" w:lineRule="auto"/>
        <w:ind w:firstLine="480" w:firstLineChars="200"/>
        <w:rPr>
          <w:sz w:val="24"/>
        </w:rPr>
      </w:pPr>
      <w:r>
        <w:rPr>
          <w:sz w:val="24"/>
        </w:rPr>
        <w:t>本合同中的下列术语应解释为：</w:t>
      </w:r>
    </w:p>
    <w:p w14:paraId="63DC4CA2">
      <w:pPr>
        <w:spacing w:line="360" w:lineRule="auto"/>
        <w:ind w:firstLine="480" w:firstLineChars="200"/>
        <w:rPr>
          <w:sz w:val="24"/>
        </w:rPr>
      </w:pPr>
      <w:r>
        <w:rPr>
          <w:sz w:val="24"/>
        </w:rPr>
        <w:t>1.1“合同”系指采购人与中标供应商签署的、合同格式中载明的采购人与中标供应商所达成的合同，包括所有的附件、附录和构成合同的其它文件。</w:t>
      </w:r>
    </w:p>
    <w:p w14:paraId="1574E11C">
      <w:pPr>
        <w:spacing w:line="360" w:lineRule="auto"/>
        <w:ind w:firstLine="480" w:firstLineChars="200"/>
        <w:rPr>
          <w:sz w:val="24"/>
          <w:u w:val="single"/>
        </w:rPr>
      </w:pPr>
      <w:r>
        <w:rPr>
          <w:sz w:val="24"/>
        </w:rPr>
        <w:t>1.2“服务”系指根据合同规定中标供应商承担的服务。</w:t>
      </w:r>
    </w:p>
    <w:p w14:paraId="3FECA51F">
      <w:pPr>
        <w:spacing w:line="360" w:lineRule="auto"/>
        <w:ind w:firstLine="480" w:firstLineChars="200"/>
        <w:rPr>
          <w:sz w:val="24"/>
        </w:rPr>
      </w:pPr>
      <w:r>
        <w:rPr>
          <w:sz w:val="24"/>
        </w:rPr>
        <w:t>1.3“采购人”系指与中标供应商签署采购合同的单位（含最终用户）</w:t>
      </w:r>
    </w:p>
    <w:p w14:paraId="748767B5">
      <w:pPr>
        <w:spacing w:line="360" w:lineRule="auto"/>
        <w:ind w:firstLine="480" w:firstLineChars="200"/>
        <w:rPr>
          <w:sz w:val="24"/>
          <w:u w:val="single"/>
        </w:rPr>
      </w:pPr>
      <w:r>
        <w:rPr>
          <w:sz w:val="24"/>
        </w:rPr>
        <w:t>1.4“中标供应商”系指</w:t>
      </w:r>
      <w:r>
        <w:rPr>
          <w:sz w:val="24"/>
          <w:u w:val="single"/>
        </w:rPr>
        <w:t>根据合同规定提供服务的中标供应商。</w:t>
      </w:r>
    </w:p>
    <w:p w14:paraId="09A2759B">
      <w:pPr>
        <w:spacing w:line="360" w:lineRule="auto"/>
        <w:ind w:firstLine="480" w:firstLineChars="200"/>
        <w:rPr>
          <w:sz w:val="24"/>
        </w:rPr>
      </w:pPr>
      <w:r>
        <w:rPr>
          <w:sz w:val="24"/>
        </w:rPr>
        <w:t>1.5“招标代理机构”系</w:t>
      </w:r>
      <w:r>
        <w:rPr>
          <w:sz w:val="24"/>
          <w:u w:val="single"/>
        </w:rPr>
        <w:t>指</w:t>
      </w:r>
      <w:r>
        <w:rPr>
          <w:rFonts w:hint="eastAsia"/>
          <w:sz w:val="24"/>
          <w:u w:val="single"/>
        </w:rPr>
        <w:t>国信招标集团股份有限公司</w:t>
      </w:r>
      <w:r>
        <w:rPr>
          <w:sz w:val="24"/>
          <w:u w:val="single"/>
        </w:rPr>
        <w:t>。</w:t>
      </w:r>
    </w:p>
    <w:p w14:paraId="38866FAF">
      <w:pPr>
        <w:spacing w:line="360" w:lineRule="auto"/>
        <w:ind w:firstLine="480" w:firstLineChars="200"/>
        <w:rPr>
          <w:sz w:val="24"/>
        </w:rPr>
      </w:pPr>
      <w:r>
        <w:rPr>
          <w:sz w:val="24"/>
        </w:rPr>
        <w:t>1.6“现场”系指</w:t>
      </w:r>
      <w:r>
        <w:rPr>
          <w:sz w:val="24"/>
          <w:u w:val="single"/>
        </w:rPr>
        <w:t>合同项下服务的实施地点。</w:t>
      </w:r>
    </w:p>
    <w:p w14:paraId="18776524">
      <w:pPr>
        <w:spacing w:line="360" w:lineRule="auto"/>
        <w:ind w:firstLine="480" w:firstLineChars="200"/>
        <w:rPr>
          <w:sz w:val="24"/>
          <w:u w:val="single"/>
        </w:rPr>
      </w:pPr>
      <w:r>
        <w:rPr>
          <w:sz w:val="24"/>
        </w:rPr>
        <w:t>1.7“验收”系指</w:t>
      </w:r>
      <w:r>
        <w:rPr>
          <w:sz w:val="24"/>
          <w:u w:val="single"/>
        </w:rPr>
        <w:t>合同双方依据规定的程序和条件确认合同项下的服务符合技术规范的要求。</w:t>
      </w:r>
    </w:p>
    <w:p w14:paraId="376FE461">
      <w:pPr>
        <w:spacing w:line="360" w:lineRule="auto"/>
        <w:rPr>
          <w:b/>
          <w:bCs/>
          <w:sz w:val="24"/>
        </w:rPr>
      </w:pPr>
      <w:r>
        <w:rPr>
          <w:b/>
          <w:bCs/>
          <w:sz w:val="24"/>
        </w:rPr>
        <w:t>2、技术规范</w:t>
      </w:r>
    </w:p>
    <w:p w14:paraId="5A992FF5">
      <w:pPr>
        <w:spacing w:line="360" w:lineRule="auto"/>
        <w:ind w:firstLine="480" w:firstLineChars="200"/>
        <w:rPr>
          <w:sz w:val="24"/>
        </w:rPr>
      </w:pPr>
      <w:r>
        <w:rPr>
          <w:sz w:val="24"/>
        </w:rPr>
        <w:t>2.1维护维修工作的技术要求应与招标文件规定的技术规范及附件相一致。</w:t>
      </w:r>
    </w:p>
    <w:p w14:paraId="41D1B839">
      <w:pPr>
        <w:spacing w:line="360" w:lineRule="auto"/>
        <w:ind w:firstLine="480" w:firstLineChars="200"/>
        <w:rPr>
          <w:sz w:val="24"/>
        </w:rPr>
      </w:pPr>
      <w:r>
        <w:rPr>
          <w:sz w:val="24"/>
        </w:rPr>
        <w:t>2.2 汛期设备监管包括通过网络平台检查监测设备状态是否正常和发现异常后在规定时限内进行维修。</w:t>
      </w:r>
    </w:p>
    <w:p w14:paraId="259543F7">
      <w:pPr>
        <w:spacing w:line="360" w:lineRule="auto"/>
        <w:ind w:firstLine="480" w:firstLineChars="200"/>
        <w:rPr>
          <w:sz w:val="24"/>
        </w:rPr>
      </w:pPr>
      <w:r>
        <w:rPr>
          <w:sz w:val="24"/>
        </w:rPr>
        <w:t>2.3维护工作须按照 “北京地灾” APP中维护任务的下发列表完成，并形成符合招标人要求的维护记录，维护后按工作阶段提交旬报、月报，重点阐述数据传输质量、设备状态、存在问题及解决方案。</w:t>
      </w:r>
    </w:p>
    <w:p w14:paraId="6A5D2BBA">
      <w:pPr>
        <w:spacing w:line="360" w:lineRule="auto"/>
        <w:ind w:firstLine="480" w:firstLineChars="200"/>
        <w:rPr>
          <w:sz w:val="24"/>
        </w:rPr>
      </w:pPr>
      <w:r>
        <w:rPr>
          <w:sz w:val="24"/>
        </w:rPr>
        <w:t>2.4设备维护工作以野外设备正常运行，监测数据正常传输至招标人的地质灾害监测预警系统中，且上线率达到90%，为考核合格依据。</w:t>
      </w:r>
    </w:p>
    <w:p w14:paraId="136365F9">
      <w:pPr>
        <w:spacing w:line="360" w:lineRule="auto"/>
        <w:ind w:firstLine="480" w:firstLineChars="200"/>
        <w:rPr>
          <w:sz w:val="24"/>
        </w:rPr>
      </w:pPr>
      <w:r>
        <w:rPr>
          <w:sz w:val="24"/>
        </w:rPr>
        <w:t>2.5每个监测设备均须提交设备维护路线轨迹；维护完成后，需拍摄设备照片，并按设备位置名称命名分类存档。</w:t>
      </w:r>
    </w:p>
    <w:p w14:paraId="674BCE68">
      <w:pPr>
        <w:spacing w:line="360" w:lineRule="auto"/>
        <w:ind w:firstLine="480" w:firstLineChars="200"/>
        <w:rPr>
          <w:sz w:val="24"/>
        </w:rPr>
      </w:pPr>
      <w:r>
        <w:rPr>
          <w:sz w:val="24"/>
        </w:rPr>
        <w:t>2.6中标人在各维护行政区内应分别安排维修负责人，以保证监测设备维修工作能够快速、有效的开展，并在规定时间内完成维修并填写相关记录。</w:t>
      </w:r>
    </w:p>
    <w:p w14:paraId="623A5A86">
      <w:pPr>
        <w:spacing w:line="360" w:lineRule="auto"/>
        <w:ind w:firstLine="480" w:firstLineChars="200"/>
        <w:rPr>
          <w:sz w:val="24"/>
        </w:rPr>
      </w:pPr>
      <w:r>
        <w:rPr>
          <w:sz w:val="24"/>
        </w:rPr>
        <w:t>2.7须安排一名专职工作人员于每日定时检查监测系统设备运行情况，发现设备故障及时维修，做好每日系统运行及设备维修记录，以确保监测系统全年正常运行，系统运行记录及设备维修记录均应提供纸质原始文件。</w:t>
      </w:r>
    </w:p>
    <w:p w14:paraId="73AFB259">
      <w:pPr>
        <w:spacing w:line="360" w:lineRule="auto"/>
        <w:ind w:firstLine="480" w:firstLineChars="200"/>
        <w:rPr>
          <w:sz w:val="24"/>
        </w:rPr>
      </w:pPr>
      <w:r>
        <w:rPr>
          <w:sz w:val="24"/>
        </w:rPr>
        <w:t>2.8中标人提前准备本包所涉及各种类型设备配件的初始易损易耗配件备件</w:t>
      </w:r>
      <w:r>
        <w:rPr>
          <w:rFonts w:hint="eastAsia"/>
          <w:sz w:val="24"/>
        </w:rPr>
        <w:t>，</w:t>
      </w:r>
      <w:r>
        <w:rPr>
          <w:sz w:val="24"/>
        </w:rPr>
        <w:t>中标人的投标报价中须包含完成上述工作所需的采购、安装、人工、利润、税金等全部费用（采购人有权根据实际维护情况要求设备变更，要求中标公司提供价值相当的备品备件）。</w:t>
      </w:r>
    </w:p>
    <w:p w14:paraId="365A0136">
      <w:pPr>
        <w:spacing w:line="360" w:lineRule="auto"/>
        <w:ind w:firstLine="480" w:firstLineChars="200"/>
        <w:rPr>
          <w:sz w:val="24"/>
        </w:rPr>
      </w:pPr>
      <w:r>
        <w:rPr>
          <w:sz w:val="24"/>
        </w:rPr>
        <w:t>2.9 按招标文件要求在规定时间内提交相应维护维修成果。</w:t>
      </w:r>
    </w:p>
    <w:p w14:paraId="35ED3847">
      <w:pPr>
        <w:numPr>
          <w:ilvl w:val="0"/>
          <w:numId w:val="24"/>
        </w:numPr>
        <w:spacing w:line="360" w:lineRule="auto"/>
        <w:rPr>
          <w:b/>
          <w:bCs/>
          <w:sz w:val="24"/>
        </w:rPr>
      </w:pPr>
      <w:r>
        <w:rPr>
          <w:b/>
          <w:bCs/>
          <w:sz w:val="24"/>
        </w:rPr>
        <w:t>服务内容</w:t>
      </w:r>
    </w:p>
    <w:p w14:paraId="6894D674">
      <w:pPr>
        <w:spacing w:line="360" w:lineRule="auto"/>
        <w:ind w:firstLine="480" w:firstLineChars="200"/>
        <w:rPr>
          <w:sz w:val="24"/>
        </w:rPr>
      </w:pPr>
      <w:r>
        <w:rPr>
          <w:sz w:val="24"/>
        </w:rPr>
        <w:t>详见合同书中规定。</w:t>
      </w:r>
    </w:p>
    <w:p w14:paraId="30F4181A">
      <w:pPr>
        <w:spacing w:line="360" w:lineRule="auto"/>
        <w:rPr>
          <w:b/>
          <w:bCs/>
          <w:sz w:val="24"/>
        </w:rPr>
      </w:pPr>
      <w:r>
        <w:rPr>
          <w:b/>
          <w:bCs/>
          <w:sz w:val="24"/>
        </w:rPr>
        <w:t>4、提供服务期限、地点</w:t>
      </w:r>
    </w:p>
    <w:p w14:paraId="1F4D6FDE">
      <w:pPr>
        <w:spacing w:line="360" w:lineRule="auto"/>
        <w:ind w:firstLine="480" w:firstLineChars="200"/>
        <w:rPr>
          <w:bCs/>
          <w:sz w:val="24"/>
        </w:rPr>
      </w:pPr>
      <w:r>
        <w:rPr>
          <w:sz w:val="24"/>
        </w:rPr>
        <w:t xml:space="preserve">详见合同书中规定。                    </w:t>
      </w:r>
    </w:p>
    <w:p w14:paraId="78C969FE">
      <w:pPr>
        <w:spacing w:line="360" w:lineRule="auto"/>
        <w:rPr>
          <w:b/>
          <w:bCs/>
          <w:sz w:val="24"/>
        </w:rPr>
      </w:pPr>
      <w:r>
        <w:rPr>
          <w:b/>
          <w:bCs/>
          <w:sz w:val="24"/>
        </w:rPr>
        <w:t>5、付款方式</w:t>
      </w:r>
    </w:p>
    <w:p w14:paraId="61F42703">
      <w:pPr>
        <w:spacing w:before="120" w:line="360" w:lineRule="auto"/>
        <w:ind w:left="1020" w:leftChars="200" w:hanging="600" w:hangingChars="250"/>
        <w:rPr>
          <w:sz w:val="24"/>
        </w:rPr>
      </w:pPr>
      <w:r>
        <w:rPr>
          <w:sz w:val="24"/>
        </w:rPr>
        <w:t>付款条件详见合同书中规定。</w:t>
      </w:r>
    </w:p>
    <w:p w14:paraId="6E899419">
      <w:pPr>
        <w:spacing w:line="360" w:lineRule="auto"/>
        <w:rPr>
          <w:b/>
          <w:bCs/>
          <w:sz w:val="24"/>
        </w:rPr>
      </w:pPr>
      <w:r>
        <w:rPr>
          <w:b/>
          <w:bCs/>
          <w:sz w:val="24"/>
        </w:rPr>
        <w:t>6、索赔</w:t>
      </w:r>
    </w:p>
    <w:p w14:paraId="2F038682">
      <w:pPr>
        <w:spacing w:line="360" w:lineRule="auto"/>
        <w:ind w:firstLine="480" w:firstLineChars="200"/>
        <w:rPr>
          <w:sz w:val="24"/>
        </w:rPr>
      </w:pPr>
      <w:r>
        <w:rPr>
          <w:sz w:val="24"/>
        </w:rPr>
        <w:t>如果中标供应商提供的服务质量与合同不符，采购人有权根据合同约定向中标供应商提出索赔。</w:t>
      </w:r>
    </w:p>
    <w:p w14:paraId="354BF3C8">
      <w:pPr>
        <w:spacing w:line="360" w:lineRule="auto"/>
        <w:rPr>
          <w:b/>
          <w:bCs/>
          <w:sz w:val="24"/>
        </w:rPr>
      </w:pPr>
      <w:r>
        <w:rPr>
          <w:b/>
          <w:bCs/>
          <w:sz w:val="24"/>
        </w:rPr>
        <w:t>7、延期提供服务</w:t>
      </w:r>
    </w:p>
    <w:p w14:paraId="3DD40F3B">
      <w:pPr>
        <w:spacing w:line="360" w:lineRule="auto"/>
        <w:ind w:firstLine="480" w:firstLineChars="200"/>
        <w:rPr>
          <w:sz w:val="24"/>
        </w:rPr>
      </w:pPr>
      <w:r>
        <w:rPr>
          <w:sz w:val="24"/>
        </w:rPr>
        <w:t>7.1中标供应商应按照合同中规定的条款提供服务。</w:t>
      </w:r>
    </w:p>
    <w:p w14:paraId="0B592088">
      <w:pPr>
        <w:spacing w:line="360" w:lineRule="auto"/>
        <w:ind w:firstLine="480" w:firstLineChars="200"/>
        <w:rPr>
          <w:sz w:val="24"/>
        </w:rPr>
      </w:pPr>
      <w:r>
        <w:rPr>
          <w:sz w:val="24"/>
        </w:rPr>
        <w:t>7.2如果中标供应商延迟交货和/或提供服务并影响采购方正常履行合同的的，采购人可采取以下制裁: 收取违约金、赔偿金，直至解除合同。</w:t>
      </w:r>
    </w:p>
    <w:p w14:paraId="7541A991">
      <w:pPr>
        <w:spacing w:line="360" w:lineRule="auto"/>
        <w:rPr>
          <w:b/>
          <w:bCs/>
          <w:sz w:val="24"/>
        </w:rPr>
      </w:pPr>
      <w:r>
        <w:rPr>
          <w:b/>
          <w:sz w:val="24"/>
        </w:rPr>
        <w:t>8</w:t>
      </w:r>
      <w:r>
        <w:rPr>
          <w:b/>
          <w:bCs/>
          <w:sz w:val="24"/>
        </w:rPr>
        <w:t>、违约赔偿</w:t>
      </w:r>
    </w:p>
    <w:p w14:paraId="7313074C">
      <w:pPr>
        <w:spacing w:line="360" w:lineRule="auto"/>
        <w:ind w:firstLine="480" w:firstLineChars="200"/>
        <w:rPr>
          <w:sz w:val="24"/>
        </w:rPr>
      </w:pPr>
      <w:r>
        <w:rPr>
          <w:sz w:val="24"/>
        </w:rPr>
        <w:t>如果中标供应商没有按照合同规定的时间交货或提供服务，采购人可从应付款项中先行扣除违约金。违约金的计算标准为中标供应商每迟提供服务一天，按延迟提供服务的价格的1%计收。如果违约金不足以弥补甲方损失的，采购人有权要求中标供应商支付赔偿金，补足违约金不足部分。如果中标供应商在超过</w:t>
      </w:r>
      <w:r>
        <w:rPr>
          <w:b/>
          <w:sz w:val="24"/>
        </w:rPr>
        <w:t>7</w:t>
      </w:r>
      <w:r>
        <w:rPr>
          <w:sz w:val="24"/>
        </w:rPr>
        <w:t>天后仍不能交货和/或提供服务，采购人有权单方解除合同。</w:t>
      </w:r>
    </w:p>
    <w:p w14:paraId="3C0BF6E8">
      <w:pPr>
        <w:spacing w:line="360" w:lineRule="auto"/>
        <w:rPr>
          <w:b/>
          <w:bCs/>
          <w:sz w:val="24"/>
        </w:rPr>
      </w:pPr>
      <w:r>
        <w:rPr>
          <w:b/>
          <w:bCs/>
          <w:sz w:val="24"/>
        </w:rPr>
        <w:t>9、验收</w:t>
      </w:r>
    </w:p>
    <w:p w14:paraId="320BE558">
      <w:pPr>
        <w:spacing w:line="360" w:lineRule="auto"/>
        <w:ind w:firstLine="480" w:firstLineChars="200"/>
        <w:rPr>
          <w:sz w:val="24"/>
        </w:rPr>
      </w:pPr>
      <w:r>
        <w:rPr>
          <w:sz w:val="24"/>
        </w:rPr>
        <w:t xml:space="preserve">由采购方进行数据精度检查和接收。   </w:t>
      </w:r>
    </w:p>
    <w:p w14:paraId="0D6A2A41">
      <w:pPr>
        <w:spacing w:line="360" w:lineRule="auto"/>
        <w:rPr>
          <w:b/>
          <w:bCs/>
          <w:sz w:val="24"/>
        </w:rPr>
      </w:pPr>
      <w:r>
        <w:rPr>
          <w:b/>
          <w:bCs/>
          <w:sz w:val="24"/>
        </w:rPr>
        <w:t>10、不可抗力</w:t>
      </w:r>
    </w:p>
    <w:p w14:paraId="3CE3A574">
      <w:pPr>
        <w:spacing w:line="360" w:lineRule="auto"/>
        <w:ind w:firstLine="480" w:firstLineChars="200"/>
        <w:rPr>
          <w:sz w:val="24"/>
        </w:rPr>
      </w:pPr>
      <w:r>
        <w:rPr>
          <w:sz w:val="24"/>
        </w:rPr>
        <w:t>10.1如果双方中任何一方由于战争、严重火灾、水灾、台风和地震以及其它经双方同意属于不可抗力的事故，致使合同履行受阻时，履行合同的期限应予延长，延长的期限应相当于事故所影响的时间。</w:t>
      </w:r>
    </w:p>
    <w:p w14:paraId="044F2292">
      <w:pPr>
        <w:spacing w:line="360" w:lineRule="auto"/>
        <w:ind w:firstLine="480" w:firstLineChars="200"/>
        <w:rPr>
          <w:sz w:val="24"/>
        </w:rPr>
      </w:pPr>
      <w:r>
        <w:rPr>
          <w:sz w:val="24"/>
        </w:rPr>
        <w:t>10.2 受事故影响的一方应在不可抗力的事故发生后尽快以书面形式通知另一方，并在事故发生后14天内，将有关部门出具的证明文件用挂号信航寄给或送给另一方。</w:t>
      </w:r>
    </w:p>
    <w:p w14:paraId="6AEDDCD4">
      <w:pPr>
        <w:spacing w:line="360" w:lineRule="auto"/>
        <w:ind w:firstLine="480" w:firstLineChars="200"/>
        <w:rPr>
          <w:sz w:val="24"/>
        </w:rPr>
      </w:pPr>
      <w:r>
        <w:rPr>
          <w:sz w:val="24"/>
        </w:rPr>
        <w:t>10.3因不可抗力不能履行合同的，根据不可抗力的影响，当事人双方部分或全部免除责任，但法律另有规定的除外。当事人延迟履行合同后发生不可抗力的，不能免除责任。</w:t>
      </w:r>
    </w:p>
    <w:p w14:paraId="423DAE25">
      <w:pPr>
        <w:spacing w:line="360" w:lineRule="auto"/>
        <w:rPr>
          <w:b/>
          <w:bCs/>
          <w:sz w:val="24"/>
        </w:rPr>
      </w:pPr>
      <w:r>
        <w:rPr>
          <w:b/>
          <w:bCs/>
          <w:sz w:val="24"/>
        </w:rPr>
        <w:t>11、税费</w:t>
      </w:r>
    </w:p>
    <w:p w14:paraId="534EA878">
      <w:pPr>
        <w:spacing w:line="360" w:lineRule="auto"/>
        <w:ind w:firstLine="480" w:firstLineChars="200"/>
        <w:rPr>
          <w:sz w:val="24"/>
        </w:rPr>
      </w:pPr>
      <w:r>
        <w:rPr>
          <w:sz w:val="24"/>
        </w:rPr>
        <w:t>与本合同有关的一切税费均适用中华人民共和国法律的相关规定。采购人与中标供应商按照中华人民共和国相关法律的规定各自承担其依法应承担的签订、履行本合同所需缴纳的税费。本合同价格为含税价格。</w:t>
      </w:r>
    </w:p>
    <w:p w14:paraId="0BA1D412">
      <w:pPr>
        <w:spacing w:line="360" w:lineRule="auto"/>
        <w:rPr>
          <w:b/>
          <w:bCs/>
          <w:sz w:val="24"/>
        </w:rPr>
      </w:pPr>
      <w:r>
        <w:rPr>
          <w:b/>
          <w:bCs/>
          <w:sz w:val="24"/>
        </w:rPr>
        <w:t>12、履约保证金</w:t>
      </w:r>
    </w:p>
    <w:p w14:paraId="5A516D29">
      <w:pPr>
        <w:tabs>
          <w:tab w:val="left" w:pos="0"/>
        </w:tabs>
        <w:spacing w:line="360" w:lineRule="auto"/>
        <w:ind w:left="-105" w:leftChars="-50" w:firstLine="480" w:firstLineChars="200"/>
        <w:rPr>
          <w:sz w:val="24"/>
        </w:rPr>
      </w:pPr>
      <w:r>
        <w:rPr>
          <w:sz w:val="24"/>
        </w:rPr>
        <w:t>12.1 履约保证金应当使用本合同指定货币，具体规定详见合同书中规定。</w:t>
      </w:r>
    </w:p>
    <w:p w14:paraId="00D5A7B3">
      <w:pPr>
        <w:tabs>
          <w:tab w:val="left" w:pos="0"/>
        </w:tabs>
        <w:spacing w:line="360" w:lineRule="auto"/>
        <w:ind w:left="-105" w:leftChars="-50" w:firstLine="480" w:firstLineChars="200"/>
        <w:rPr>
          <w:sz w:val="24"/>
        </w:rPr>
      </w:pPr>
      <w:r>
        <w:rPr>
          <w:sz w:val="24"/>
        </w:rPr>
        <w:t>12.2 履约保证金用于补偿采购人因中标供应商不能履行其合同义务而蒙受的损失。</w:t>
      </w:r>
    </w:p>
    <w:p w14:paraId="1F8F1D6D">
      <w:pPr>
        <w:tabs>
          <w:tab w:val="left" w:pos="0"/>
        </w:tabs>
        <w:spacing w:line="360" w:lineRule="auto"/>
        <w:ind w:left="-105" w:leftChars="-50" w:firstLine="480" w:firstLineChars="200"/>
        <w:rPr>
          <w:sz w:val="24"/>
        </w:rPr>
      </w:pPr>
      <w:r>
        <w:rPr>
          <w:sz w:val="24"/>
        </w:rPr>
        <w:t>12.3 履约保证金在服务期满前完全有效。</w:t>
      </w:r>
    </w:p>
    <w:p w14:paraId="50689632">
      <w:pPr>
        <w:tabs>
          <w:tab w:val="left" w:pos="0"/>
        </w:tabs>
        <w:spacing w:line="360" w:lineRule="auto"/>
        <w:ind w:left="-105" w:leftChars="-50" w:firstLine="480" w:firstLineChars="200"/>
        <w:rPr>
          <w:sz w:val="24"/>
        </w:rPr>
      </w:pPr>
      <w:r>
        <w:rPr>
          <w:sz w:val="24"/>
        </w:rPr>
        <w:t>12.4 如果中标供应商未能按合同规定履行其义务，采购人有权从履约保证金中取得补偿。服务期结束后30天内，采购人将把履约保证金的剩余部分退还中标供应商。</w:t>
      </w:r>
    </w:p>
    <w:p w14:paraId="5756D8F6">
      <w:pPr>
        <w:spacing w:line="360" w:lineRule="auto"/>
        <w:rPr>
          <w:b/>
          <w:bCs/>
          <w:sz w:val="24"/>
        </w:rPr>
      </w:pPr>
      <w:r>
        <w:rPr>
          <w:b/>
          <w:bCs/>
          <w:sz w:val="24"/>
        </w:rPr>
        <w:t>13、合同争议的解决</w:t>
      </w:r>
    </w:p>
    <w:p w14:paraId="39CE40F7">
      <w:pPr>
        <w:spacing w:line="360" w:lineRule="auto"/>
        <w:ind w:firstLine="480" w:firstLineChars="200"/>
        <w:rPr>
          <w:sz w:val="24"/>
        </w:rPr>
      </w:pPr>
      <w:r>
        <w:rPr>
          <w:sz w:val="24"/>
        </w:rPr>
        <w:t>采购人、中标供应商双方应通过友好协商， 解决在执行合同中所发生的或与本合同有关的一切争端，如果协商仍得不到解决，双方同意向采购人所在地的人民法院起诉解决。</w:t>
      </w:r>
    </w:p>
    <w:p w14:paraId="389F1747">
      <w:pPr>
        <w:spacing w:line="360" w:lineRule="auto"/>
        <w:rPr>
          <w:b/>
          <w:bCs/>
          <w:sz w:val="24"/>
        </w:rPr>
      </w:pPr>
      <w:r>
        <w:rPr>
          <w:b/>
          <w:bCs/>
          <w:sz w:val="24"/>
        </w:rPr>
        <w:t>14、合同变更和终止</w:t>
      </w:r>
    </w:p>
    <w:p w14:paraId="4A4CC693">
      <w:pPr>
        <w:spacing w:line="360" w:lineRule="auto"/>
        <w:ind w:firstLine="480" w:firstLineChars="200"/>
        <w:rPr>
          <w:sz w:val="24"/>
        </w:rPr>
      </w:pPr>
      <w:r>
        <w:rPr>
          <w:sz w:val="24"/>
        </w:rPr>
        <w:t>14.1在本合同有效期内，如合同与其生效后新颁布的有关法律、法规、政策规定不符，由甲、乙双方协商变更，如能协商一致，按照符合新颁法律、法规、政策规定拟定补充合同执行；如不能达成一致，本合同解除。合同解除后，尚未发生的业务，停止履行。</w:t>
      </w:r>
    </w:p>
    <w:p w14:paraId="7E6ACFB0">
      <w:pPr>
        <w:spacing w:line="360" w:lineRule="auto"/>
        <w:ind w:firstLine="480" w:firstLineChars="200"/>
        <w:rPr>
          <w:sz w:val="24"/>
        </w:rPr>
      </w:pPr>
      <w:r>
        <w:rPr>
          <w:sz w:val="24"/>
        </w:rPr>
        <w:t>14.2 在中标供应商违约的情况下，采购人可向中标供应商发出书面通知，部分或全部终止合同。同时保留向中标供应商追诉的权利。</w:t>
      </w:r>
    </w:p>
    <w:p w14:paraId="62AE8E6B">
      <w:pPr>
        <w:spacing w:line="360" w:lineRule="auto"/>
        <w:ind w:firstLine="480" w:firstLineChars="200"/>
        <w:rPr>
          <w:sz w:val="24"/>
        </w:rPr>
      </w:pPr>
      <w:r>
        <w:rPr>
          <w:sz w:val="24"/>
        </w:rPr>
        <w:t xml:space="preserve">14.2.1中标供应商未能在合同规定的限期或采购人同意延长的限期内提供全部或部分服务, 合同解除； </w:t>
      </w:r>
    </w:p>
    <w:p w14:paraId="5D9A85E5">
      <w:pPr>
        <w:spacing w:line="360" w:lineRule="auto"/>
        <w:ind w:firstLine="480" w:firstLineChars="200"/>
        <w:rPr>
          <w:sz w:val="24"/>
        </w:rPr>
      </w:pPr>
      <w:r>
        <w:rPr>
          <w:sz w:val="24"/>
        </w:rPr>
        <w:t>14.2.2中标供应商未能履行合同规定的其它主要义务的；</w:t>
      </w:r>
    </w:p>
    <w:p w14:paraId="0C0F9908">
      <w:pPr>
        <w:spacing w:line="360" w:lineRule="auto"/>
        <w:ind w:firstLine="480" w:firstLineChars="200"/>
        <w:rPr>
          <w:sz w:val="24"/>
        </w:rPr>
      </w:pPr>
      <w:r>
        <w:rPr>
          <w:sz w:val="24"/>
        </w:rPr>
        <w:t>14.2.3在本合同履行过程中有腐败和欺诈行为的。</w:t>
      </w:r>
    </w:p>
    <w:p w14:paraId="4D6E7E87">
      <w:pPr>
        <w:spacing w:line="360" w:lineRule="auto"/>
        <w:ind w:firstLine="480" w:firstLineChars="200"/>
        <w:rPr>
          <w:sz w:val="24"/>
        </w:rPr>
      </w:pPr>
      <w:r>
        <w:rPr>
          <w:sz w:val="24"/>
        </w:rPr>
        <w:t>14.2.3.1“腐败行为”和“欺诈行为”定义如下:</w:t>
      </w:r>
    </w:p>
    <w:p w14:paraId="22F8EAD8">
      <w:pPr>
        <w:spacing w:line="360" w:lineRule="auto"/>
        <w:ind w:firstLine="480" w:firstLineChars="200"/>
        <w:rPr>
          <w:sz w:val="24"/>
        </w:rPr>
      </w:pPr>
      <w:r>
        <w:rPr>
          <w:sz w:val="24"/>
        </w:rPr>
        <w:t>14.2.3.1.1“腐败行为”是指提供/给予/接受或索取任何有价值的东西来影响甲方在合同签订、履行过程中的行为。</w:t>
      </w:r>
    </w:p>
    <w:p w14:paraId="4256263A">
      <w:pPr>
        <w:spacing w:line="360" w:lineRule="auto"/>
        <w:ind w:firstLine="480" w:firstLineChars="200"/>
        <w:rPr>
          <w:sz w:val="24"/>
        </w:rPr>
      </w:pPr>
      <w:r>
        <w:rPr>
          <w:sz w:val="24"/>
        </w:rPr>
        <w:t>14.2.3.1.2“欺诈行为”是指为了影响合同签订、履行过程，以谎报事实的方法，损害采购人的利益的行为。</w:t>
      </w:r>
    </w:p>
    <w:p w14:paraId="7E055D07">
      <w:pPr>
        <w:spacing w:line="360" w:lineRule="auto"/>
        <w:ind w:firstLine="480" w:firstLineChars="200"/>
        <w:rPr>
          <w:sz w:val="24"/>
        </w:rPr>
      </w:pPr>
      <w:r>
        <w:rPr>
          <w:sz w:val="24"/>
        </w:rPr>
        <w:t>14.3合同履行期间，如因中标供应商违反相关规定及本合同约定，采购人终止合同履行的，采购人需以书面形式通知中标供应商，通知送达中标供应商后本合同解除；合同解除前，本合同继续有效。</w:t>
      </w:r>
    </w:p>
    <w:p w14:paraId="2ECECD34">
      <w:pPr>
        <w:spacing w:line="360" w:lineRule="auto"/>
        <w:ind w:firstLine="480" w:firstLineChars="200"/>
        <w:rPr>
          <w:sz w:val="24"/>
        </w:rPr>
      </w:pPr>
      <w:r>
        <w:rPr>
          <w:sz w:val="24"/>
        </w:rPr>
        <w:t>14.4本合同终止后，需求与中标双方应对合同期间发生的应尽未尽事项负责结清，有关保密义务的条款对双方仍然有效。</w:t>
      </w:r>
    </w:p>
    <w:p w14:paraId="4EA320E0">
      <w:pPr>
        <w:spacing w:line="360" w:lineRule="auto"/>
        <w:rPr>
          <w:b/>
          <w:bCs/>
          <w:sz w:val="24"/>
        </w:rPr>
      </w:pPr>
      <w:r>
        <w:rPr>
          <w:b/>
          <w:bCs/>
          <w:sz w:val="24"/>
        </w:rPr>
        <w:t>15、破产终止合同</w:t>
      </w:r>
    </w:p>
    <w:p w14:paraId="63311B2C">
      <w:pPr>
        <w:spacing w:line="360" w:lineRule="auto"/>
        <w:ind w:firstLine="480" w:firstLineChars="200"/>
        <w:rPr>
          <w:sz w:val="24"/>
        </w:rPr>
      </w:pPr>
      <w:r>
        <w:rPr>
          <w:sz w:val="24"/>
        </w:rPr>
        <w:t>如果中标供应商因破产、清算、注销、被吊销营业执照、停业等原因导致合同无法履行时，采购人可以书面形式通知中标供应商，单方解除合同而不给中标供应商补偿，但采购人必须以书面形式告知同级政府采购监督管理部门。该合同的解除将不损害或不影响采购人已经采取或将要采取的任何行动或补救措施的权利。</w:t>
      </w:r>
    </w:p>
    <w:p w14:paraId="6DEC531A">
      <w:pPr>
        <w:spacing w:line="360" w:lineRule="auto"/>
        <w:rPr>
          <w:b/>
          <w:bCs/>
          <w:sz w:val="24"/>
        </w:rPr>
      </w:pPr>
      <w:r>
        <w:rPr>
          <w:b/>
          <w:bCs/>
          <w:sz w:val="24"/>
        </w:rPr>
        <w:t>16、转让和分包</w:t>
      </w:r>
    </w:p>
    <w:p w14:paraId="1E3D10C5">
      <w:pPr>
        <w:spacing w:line="360" w:lineRule="auto"/>
        <w:ind w:firstLine="480" w:firstLineChars="200"/>
        <w:rPr>
          <w:sz w:val="24"/>
        </w:rPr>
      </w:pPr>
      <w:r>
        <w:rPr>
          <w:sz w:val="24"/>
        </w:rPr>
        <w:t>未经采购人事先书面同意，中标供应商不得部分转让或全部转让其所享有的合同权利或应履行的合同义务。并且，未经采购人事先书面同意，中标供应商不得将本合同项目中实质性内容分包给其他第三方完成。否则，中标供应商应当向采购人支付合同总金额20%的违约金，并且，于此情形下，采购人还有权解除合同。</w:t>
      </w:r>
    </w:p>
    <w:p w14:paraId="27B92704">
      <w:pPr>
        <w:spacing w:line="360" w:lineRule="auto"/>
        <w:rPr>
          <w:b/>
          <w:bCs/>
          <w:sz w:val="24"/>
        </w:rPr>
      </w:pPr>
      <w:r>
        <w:rPr>
          <w:b/>
          <w:bCs/>
          <w:sz w:val="24"/>
        </w:rPr>
        <w:t>17、合同修改</w:t>
      </w:r>
    </w:p>
    <w:p w14:paraId="051A88F1">
      <w:pPr>
        <w:spacing w:line="360" w:lineRule="auto"/>
        <w:ind w:firstLine="480" w:firstLineChars="200"/>
        <w:rPr>
          <w:sz w:val="24"/>
        </w:rPr>
      </w:pPr>
      <w:r>
        <w:rPr>
          <w:sz w:val="24"/>
        </w:rPr>
        <w:t>欲对合同条款进行任何改动，均须由采购人、中标供应商签署书面的合同修改书。</w:t>
      </w:r>
    </w:p>
    <w:p w14:paraId="660439C6">
      <w:pPr>
        <w:spacing w:line="360" w:lineRule="auto"/>
        <w:rPr>
          <w:b/>
          <w:bCs/>
          <w:sz w:val="24"/>
        </w:rPr>
      </w:pPr>
      <w:r>
        <w:rPr>
          <w:b/>
          <w:bCs/>
          <w:sz w:val="24"/>
        </w:rPr>
        <w:t>18、通知</w:t>
      </w:r>
    </w:p>
    <w:p w14:paraId="4B2951EC">
      <w:pPr>
        <w:spacing w:line="360" w:lineRule="auto"/>
        <w:ind w:firstLine="480" w:firstLineChars="200"/>
        <w:rPr>
          <w:sz w:val="24"/>
        </w:rPr>
      </w:pPr>
      <w:r>
        <w:rPr>
          <w:sz w:val="24"/>
        </w:rPr>
        <w:t>本合同任何一方给另一方的通知，都应以书面或传真的形式发送，而另一方应以书面形式确认并发送到对方明确的地址。</w:t>
      </w:r>
    </w:p>
    <w:p w14:paraId="0B38A148">
      <w:pPr>
        <w:spacing w:line="360" w:lineRule="auto"/>
        <w:rPr>
          <w:b/>
          <w:bCs/>
          <w:sz w:val="24"/>
        </w:rPr>
      </w:pPr>
      <w:r>
        <w:rPr>
          <w:b/>
          <w:bCs/>
          <w:sz w:val="24"/>
        </w:rPr>
        <w:t>19、知识产权条款</w:t>
      </w:r>
    </w:p>
    <w:p w14:paraId="168FF2C4">
      <w:pPr>
        <w:spacing w:line="360" w:lineRule="auto"/>
        <w:ind w:firstLine="480" w:firstLineChars="200"/>
        <w:rPr>
          <w:sz w:val="24"/>
        </w:rPr>
      </w:pPr>
      <w:r>
        <w:rPr>
          <w:sz w:val="24"/>
        </w:rPr>
        <w:t>19.1本项目成果的知识产权为采购人所有。未经采购人的许可，中标供应商不得向第三方转让、传播、销售。否则，中标供应商应当向采购人支付合同总金额20%的违约金。</w:t>
      </w:r>
    </w:p>
    <w:p w14:paraId="2B61181B">
      <w:pPr>
        <w:spacing w:line="360" w:lineRule="auto"/>
        <w:ind w:firstLine="480" w:firstLineChars="200"/>
        <w:rPr>
          <w:sz w:val="24"/>
        </w:rPr>
      </w:pPr>
      <w:r>
        <w:rPr>
          <w:sz w:val="24"/>
        </w:rPr>
        <w:t>19.2中标供应商应保证采购人在使用该项目成果时免受任何第三方提出的侵犯著作权、专利权或其他知识产权的诉讼或指控。如果任何第三方提起基于知识产权的侵权诉讼，将由中标供应商负责处理并承担相关的一切法律责任和费用；由此给采购人造成的任何损失，中标供应商应负责赔偿。</w:t>
      </w:r>
    </w:p>
    <w:p w14:paraId="46E6818D">
      <w:pPr>
        <w:spacing w:line="360" w:lineRule="auto"/>
        <w:rPr>
          <w:b/>
          <w:bCs/>
          <w:sz w:val="24"/>
        </w:rPr>
      </w:pPr>
      <w:r>
        <w:rPr>
          <w:b/>
          <w:bCs/>
          <w:sz w:val="24"/>
        </w:rPr>
        <w:t>20、技术情报和资料的保密</w:t>
      </w:r>
    </w:p>
    <w:p w14:paraId="1404CB7A">
      <w:pPr>
        <w:spacing w:line="360" w:lineRule="auto"/>
        <w:ind w:firstLine="480" w:firstLineChars="200"/>
        <w:rPr>
          <w:bCs/>
          <w:sz w:val="24"/>
        </w:rPr>
      </w:pPr>
      <w:r>
        <w:rPr>
          <w:bCs/>
          <w:sz w:val="24"/>
        </w:rPr>
        <w:t>中标供应商应对合同执行过程中的技术情报及资料履行保密义务。</w:t>
      </w:r>
    </w:p>
    <w:p w14:paraId="16FEC537">
      <w:pPr>
        <w:spacing w:line="360" w:lineRule="auto"/>
        <w:rPr>
          <w:b/>
          <w:bCs/>
          <w:sz w:val="24"/>
        </w:rPr>
      </w:pPr>
      <w:r>
        <w:rPr>
          <w:b/>
          <w:bCs/>
          <w:sz w:val="24"/>
        </w:rPr>
        <w:t>21、适用法律</w:t>
      </w:r>
    </w:p>
    <w:p w14:paraId="46E083CE">
      <w:pPr>
        <w:spacing w:line="360" w:lineRule="auto"/>
        <w:ind w:firstLine="480" w:firstLineChars="200"/>
        <w:rPr>
          <w:sz w:val="24"/>
        </w:rPr>
      </w:pPr>
      <w:r>
        <w:rPr>
          <w:sz w:val="24"/>
        </w:rPr>
        <w:t>本合同应按照中华人民共和国的法律进行解释。</w:t>
      </w:r>
    </w:p>
    <w:p w14:paraId="2E2D51D9">
      <w:pPr>
        <w:spacing w:line="360" w:lineRule="auto"/>
        <w:rPr>
          <w:b/>
          <w:bCs/>
          <w:sz w:val="24"/>
        </w:rPr>
      </w:pPr>
      <w:r>
        <w:rPr>
          <w:b/>
          <w:bCs/>
          <w:sz w:val="24"/>
        </w:rPr>
        <w:t>22、其他</w:t>
      </w:r>
    </w:p>
    <w:p w14:paraId="1BA9CDC6">
      <w:pPr>
        <w:spacing w:line="360" w:lineRule="auto"/>
        <w:ind w:left="14" w:firstLine="480" w:firstLineChars="200"/>
        <w:rPr>
          <w:sz w:val="24"/>
        </w:rPr>
      </w:pPr>
      <w:r>
        <w:rPr>
          <w:sz w:val="24"/>
        </w:rPr>
        <w:t>22.1 采购人应当自政府采购合同签订之日起2个工作日内，将政府采购合同在省级以上人民政府财政部门指定的媒体上公告，但政府采购合同中涉及国家秘密、商业秘密的内容除外。</w:t>
      </w:r>
    </w:p>
    <w:p w14:paraId="5C47D389">
      <w:pPr>
        <w:spacing w:line="360" w:lineRule="auto"/>
        <w:ind w:left="17" w:firstLine="480" w:firstLineChars="200"/>
      </w:pPr>
      <w:r>
        <w:rPr>
          <w:sz w:val="24"/>
        </w:rPr>
        <w:t>22.2 如需修改或补充合同内容，经协商，采购人与中标供应商应签署书面修改或补充合同，该合同将作为本合同的一个组成部分。</w:t>
      </w:r>
    </w:p>
    <w:p w14:paraId="4A8B07DC">
      <w:pPr>
        <w:autoSpaceDE w:val="0"/>
        <w:autoSpaceDN w:val="0"/>
        <w:adjustRightInd w:val="0"/>
        <w:jc w:val="left"/>
        <w:rPr>
          <w:rFonts w:ascii="宋体"/>
          <w:sz w:val="24"/>
        </w:rPr>
      </w:pPr>
    </w:p>
    <w:p w14:paraId="52B95BA3">
      <w:pPr>
        <w:rPr>
          <w:sz w:val="24"/>
          <w:u w:val="single"/>
        </w:rPr>
      </w:pPr>
      <w:r>
        <w:rPr>
          <w:sz w:val="24"/>
          <w:u w:val="single"/>
        </w:rPr>
        <w:br w:type="page"/>
      </w:r>
    </w:p>
    <w:p w14:paraId="2BFD5874">
      <w:pPr>
        <w:rPr>
          <w:sz w:val="24"/>
        </w:rPr>
      </w:pPr>
      <w:r>
        <w:rPr>
          <w:b/>
          <w:bCs/>
          <w:sz w:val="24"/>
        </w:rPr>
        <w:t xml:space="preserve">附件1  </w:t>
      </w:r>
      <w:r>
        <w:rPr>
          <w:b/>
          <w:bCs/>
          <w:color w:val="FF0000"/>
          <w:sz w:val="24"/>
        </w:rPr>
        <w:t xml:space="preserve"> </w:t>
      </w:r>
      <w:r>
        <w:rPr>
          <w:b/>
          <w:bCs/>
          <w:sz w:val="24"/>
        </w:rPr>
        <w:t xml:space="preserve"> </w:t>
      </w:r>
      <w:r>
        <w:rPr>
          <w:color w:val="FF0000"/>
          <w:sz w:val="24"/>
        </w:rPr>
        <w:t xml:space="preserve"> </w:t>
      </w:r>
    </w:p>
    <w:p w14:paraId="3137249F">
      <w:pPr>
        <w:jc w:val="center"/>
        <w:rPr>
          <w:rFonts w:eastAsia="仿宋_GB2312"/>
          <w:sz w:val="24"/>
        </w:rPr>
      </w:pPr>
      <w:r>
        <w:rPr>
          <w:b/>
          <w:bCs/>
          <w:sz w:val="24"/>
        </w:rPr>
        <w:t>监测仪器维护费用清单</w:t>
      </w:r>
    </w:p>
    <w:tbl>
      <w:tblPr>
        <w:tblStyle w:val="42"/>
        <w:tblpPr w:leftFromText="180" w:rightFromText="180" w:vertAnchor="text" w:horzAnchor="page" w:tblpXSpec="center" w:tblpY="135"/>
        <w:tblOverlap w:val="never"/>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2514"/>
        <w:gridCol w:w="845"/>
        <w:gridCol w:w="838"/>
        <w:gridCol w:w="950"/>
        <w:gridCol w:w="777"/>
        <w:gridCol w:w="1224"/>
        <w:gridCol w:w="1166"/>
      </w:tblGrid>
      <w:tr w14:paraId="6A7D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04" w:type="dxa"/>
            <w:vMerge w:val="restart"/>
            <w:vAlign w:val="center"/>
          </w:tcPr>
          <w:p w14:paraId="2B84B05E">
            <w:pPr>
              <w:spacing w:line="23" w:lineRule="atLeast"/>
              <w:jc w:val="center"/>
              <w:rPr>
                <w:kern w:val="0"/>
                <w:sz w:val="20"/>
                <w:szCs w:val="21"/>
              </w:rPr>
            </w:pPr>
            <w:r>
              <w:rPr>
                <w:kern w:val="0"/>
                <w:sz w:val="20"/>
                <w:szCs w:val="21"/>
              </w:rPr>
              <w:t>序号</w:t>
            </w:r>
          </w:p>
        </w:tc>
        <w:tc>
          <w:tcPr>
            <w:tcW w:w="2514" w:type="dxa"/>
            <w:vMerge w:val="restart"/>
            <w:vAlign w:val="center"/>
          </w:tcPr>
          <w:p w14:paraId="1C6EE05D">
            <w:pPr>
              <w:tabs>
                <w:tab w:val="center" w:pos="1341"/>
                <w:tab w:val="right" w:pos="2563"/>
              </w:tabs>
              <w:spacing w:line="23" w:lineRule="atLeast"/>
              <w:jc w:val="center"/>
              <w:rPr>
                <w:kern w:val="0"/>
                <w:sz w:val="20"/>
                <w:szCs w:val="21"/>
              </w:rPr>
            </w:pPr>
            <w:r>
              <w:rPr>
                <w:kern w:val="0"/>
                <w:sz w:val="20"/>
                <w:szCs w:val="21"/>
              </w:rPr>
              <w:t>仪器名称</w:t>
            </w:r>
          </w:p>
        </w:tc>
        <w:tc>
          <w:tcPr>
            <w:tcW w:w="3410" w:type="dxa"/>
            <w:gridSpan w:val="4"/>
            <w:vAlign w:val="center"/>
          </w:tcPr>
          <w:p w14:paraId="64A21DEF">
            <w:pPr>
              <w:spacing w:line="23" w:lineRule="atLeast"/>
              <w:jc w:val="center"/>
              <w:rPr>
                <w:kern w:val="0"/>
                <w:sz w:val="20"/>
                <w:szCs w:val="21"/>
              </w:rPr>
            </w:pPr>
            <w:r>
              <w:rPr>
                <w:kern w:val="0"/>
                <w:sz w:val="20"/>
                <w:szCs w:val="21"/>
                <w:lang w:bidi="ar"/>
              </w:rPr>
              <w:t>数量</w:t>
            </w:r>
          </w:p>
        </w:tc>
        <w:tc>
          <w:tcPr>
            <w:tcW w:w="1224" w:type="dxa"/>
            <w:vMerge w:val="restart"/>
            <w:vAlign w:val="center"/>
          </w:tcPr>
          <w:p w14:paraId="3A6344F9">
            <w:pPr>
              <w:spacing w:line="23" w:lineRule="atLeast"/>
              <w:jc w:val="center"/>
              <w:rPr>
                <w:kern w:val="0"/>
                <w:sz w:val="20"/>
                <w:szCs w:val="21"/>
              </w:rPr>
            </w:pPr>
            <w:r>
              <w:rPr>
                <w:kern w:val="0"/>
                <w:sz w:val="20"/>
                <w:szCs w:val="21"/>
              </w:rPr>
              <w:t>单价</w:t>
            </w:r>
          </w:p>
          <w:p w14:paraId="0D59D48F">
            <w:pPr>
              <w:spacing w:line="23" w:lineRule="atLeast"/>
              <w:jc w:val="center"/>
              <w:rPr>
                <w:kern w:val="0"/>
                <w:sz w:val="20"/>
                <w:szCs w:val="21"/>
              </w:rPr>
            </w:pPr>
            <w:r>
              <w:rPr>
                <w:kern w:val="0"/>
                <w:sz w:val="20"/>
                <w:szCs w:val="21"/>
              </w:rPr>
              <w:t>（单位：元）</w:t>
            </w:r>
          </w:p>
        </w:tc>
        <w:tc>
          <w:tcPr>
            <w:tcW w:w="1166" w:type="dxa"/>
            <w:vMerge w:val="restart"/>
            <w:vAlign w:val="center"/>
          </w:tcPr>
          <w:p w14:paraId="4A3C2C18">
            <w:pPr>
              <w:spacing w:line="23" w:lineRule="atLeast"/>
              <w:jc w:val="center"/>
              <w:rPr>
                <w:kern w:val="0"/>
                <w:sz w:val="20"/>
                <w:szCs w:val="21"/>
              </w:rPr>
            </w:pPr>
            <w:r>
              <w:rPr>
                <w:kern w:val="0"/>
                <w:sz w:val="20"/>
                <w:szCs w:val="21"/>
              </w:rPr>
              <w:t>总价</w:t>
            </w:r>
          </w:p>
          <w:p w14:paraId="01746CC3">
            <w:pPr>
              <w:spacing w:line="23" w:lineRule="atLeast"/>
              <w:jc w:val="center"/>
              <w:rPr>
                <w:kern w:val="0"/>
                <w:sz w:val="20"/>
                <w:szCs w:val="21"/>
              </w:rPr>
            </w:pPr>
            <w:r>
              <w:rPr>
                <w:kern w:val="0"/>
                <w:sz w:val="20"/>
                <w:szCs w:val="21"/>
              </w:rPr>
              <w:t>（单位：元）</w:t>
            </w:r>
          </w:p>
        </w:tc>
      </w:tr>
      <w:tr w14:paraId="07CC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vMerge w:val="continue"/>
            <w:vAlign w:val="center"/>
          </w:tcPr>
          <w:p w14:paraId="60F600C6">
            <w:pPr>
              <w:spacing w:line="23" w:lineRule="atLeast"/>
              <w:jc w:val="center"/>
              <w:rPr>
                <w:kern w:val="0"/>
                <w:sz w:val="20"/>
                <w:szCs w:val="21"/>
              </w:rPr>
            </w:pPr>
          </w:p>
        </w:tc>
        <w:tc>
          <w:tcPr>
            <w:tcW w:w="2514" w:type="dxa"/>
            <w:vMerge w:val="continue"/>
            <w:vAlign w:val="center"/>
          </w:tcPr>
          <w:p w14:paraId="5888A2FD">
            <w:pPr>
              <w:spacing w:line="23" w:lineRule="atLeast"/>
              <w:jc w:val="center"/>
              <w:rPr>
                <w:kern w:val="0"/>
                <w:sz w:val="20"/>
                <w:szCs w:val="21"/>
              </w:rPr>
            </w:pPr>
          </w:p>
        </w:tc>
        <w:tc>
          <w:tcPr>
            <w:tcW w:w="845" w:type="dxa"/>
            <w:vAlign w:val="center"/>
          </w:tcPr>
          <w:p w14:paraId="0CE1B5CE">
            <w:pPr>
              <w:widowControl/>
              <w:spacing w:line="23" w:lineRule="atLeast"/>
              <w:jc w:val="center"/>
              <w:textAlignment w:val="center"/>
              <w:rPr>
                <w:kern w:val="0"/>
                <w:sz w:val="20"/>
                <w:szCs w:val="21"/>
                <w:lang w:bidi="ar"/>
              </w:rPr>
            </w:pPr>
            <w:r>
              <w:rPr>
                <w:rFonts w:hint="eastAsia"/>
                <w:kern w:val="0"/>
                <w:sz w:val="20"/>
                <w:szCs w:val="21"/>
                <w:lang w:bidi="ar"/>
              </w:rPr>
              <w:t>昌平</w:t>
            </w:r>
            <w:r>
              <w:rPr>
                <w:kern w:val="0"/>
                <w:sz w:val="20"/>
                <w:szCs w:val="21"/>
                <w:lang w:bidi="ar"/>
              </w:rPr>
              <w:t>区</w:t>
            </w:r>
          </w:p>
        </w:tc>
        <w:tc>
          <w:tcPr>
            <w:tcW w:w="838" w:type="dxa"/>
            <w:vAlign w:val="center"/>
          </w:tcPr>
          <w:p w14:paraId="4A0856E8">
            <w:pPr>
              <w:widowControl/>
              <w:spacing w:line="23" w:lineRule="atLeast"/>
              <w:jc w:val="center"/>
              <w:textAlignment w:val="center"/>
              <w:rPr>
                <w:kern w:val="0"/>
                <w:sz w:val="20"/>
                <w:szCs w:val="21"/>
                <w:lang w:bidi="ar"/>
              </w:rPr>
            </w:pPr>
            <w:r>
              <w:rPr>
                <w:rFonts w:hint="eastAsia"/>
                <w:kern w:val="0"/>
                <w:sz w:val="20"/>
                <w:szCs w:val="21"/>
                <w:lang w:bidi="ar"/>
              </w:rPr>
              <w:t>平谷</w:t>
            </w:r>
            <w:r>
              <w:rPr>
                <w:kern w:val="0"/>
                <w:sz w:val="20"/>
                <w:szCs w:val="21"/>
                <w:lang w:bidi="ar"/>
              </w:rPr>
              <w:t>区</w:t>
            </w:r>
          </w:p>
        </w:tc>
        <w:tc>
          <w:tcPr>
            <w:tcW w:w="950" w:type="dxa"/>
            <w:vAlign w:val="center"/>
          </w:tcPr>
          <w:p w14:paraId="3CFAEF87">
            <w:pPr>
              <w:widowControl/>
              <w:spacing w:line="23" w:lineRule="atLeast"/>
              <w:jc w:val="center"/>
              <w:textAlignment w:val="center"/>
              <w:rPr>
                <w:kern w:val="0"/>
                <w:sz w:val="20"/>
                <w:szCs w:val="21"/>
                <w:lang w:bidi="ar"/>
              </w:rPr>
            </w:pPr>
          </w:p>
        </w:tc>
        <w:tc>
          <w:tcPr>
            <w:tcW w:w="777" w:type="dxa"/>
            <w:vAlign w:val="center"/>
          </w:tcPr>
          <w:p w14:paraId="01C3E171">
            <w:pPr>
              <w:widowControl/>
              <w:spacing w:line="23" w:lineRule="atLeast"/>
              <w:jc w:val="center"/>
              <w:textAlignment w:val="center"/>
              <w:rPr>
                <w:kern w:val="0"/>
                <w:sz w:val="20"/>
                <w:szCs w:val="21"/>
                <w:lang w:bidi="ar"/>
              </w:rPr>
            </w:pPr>
            <w:r>
              <w:rPr>
                <w:kern w:val="0"/>
                <w:sz w:val="20"/>
                <w:szCs w:val="21"/>
                <w:lang w:bidi="ar"/>
              </w:rPr>
              <w:t>总计</w:t>
            </w:r>
          </w:p>
        </w:tc>
        <w:tc>
          <w:tcPr>
            <w:tcW w:w="1224" w:type="dxa"/>
            <w:vMerge w:val="continue"/>
            <w:vAlign w:val="center"/>
          </w:tcPr>
          <w:p w14:paraId="52AC65E5">
            <w:pPr>
              <w:spacing w:line="23" w:lineRule="atLeast"/>
              <w:jc w:val="center"/>
              <w:rPr>
                <w:kern w:val="0"/>
                <w:sz w:val="20"/>
                <w:szCs w:val="21"/>
              </w:rPr>
            </w:pPr>
          </w:p>
        </w:tc>
        <w:tc>
          <w:tcPr>
            <w:tcW w:w="1166" w:type="dxa"/>
            <w:vMerge w:val="continue"/>
            <w:vAlign w:val="center"/>
          </w:tcPr>
          <w:p w14:paraId="3ACDE4BA">
            <w:pPr>
              <w:spacing w:line="23" w:lineRule="atLeast"/>
              <w:jc w:val="center"/>
              <w:rPr>
                <w:kern w:val="0"/>
                <w:sz w:val="20"/>
                <w:szCs w:val="21"/>
              </w:rPr>
            </w:pPr>
          </w:p>
        </w:tc>
      </w:tr>
      <w:tr w14:paraId="71CF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4" w:type="dxa"/>
            <w:vAlign w:val="center"/>
          </w:tcPr>
          <w:p w14:paraId="4A3AAAC5">
            <w:pPr>
              <w:spacing w:line="23" w:lineRule="atLeast"/>
              <w:jc w:val="center"/>
              <w:rPr>
                <w:kern w:val="0"/>
                <w:sz w:val="20"/>
                <w:szCs w:val="21"/>
              </w:rPr>
            </w:pPr>
            <w:r>
              <w:rPr>
                <w:kern w:val="0"/>
                <w:sz w:val="20"/>
                <w:szCs w:val="21"/>
              </w:rPr>
              <w:t>1</w:t>
            </w:r>
          </w:p>
        </w:tc>
        <w:tc>
          <w:tcPr>
            <w:tcW w:w="2514" w:type="dxa"/>
            <w:vAlign w:val="center"/>
          </w:tcPr>
          <w:p w14:paraId="47B61BB6">
            <w:pPr>
              <w:widowControl/>
              <w:jc w:val="center"/>
              <w:textAlignment w:val="center"/>
              <w:rPr>
                <w:kern w:val="0"/>
                <w:sz w:val="20"/>
                <w:szCs w:val="21"/>
                <w:lang w:val="zh-CN" w:bidi="ar"/>
              </w:rPr>
            </w:pPr>
          </w:p>
        </w:tc>
        <w:tc>
          <w:tcPr>
            <w:tcW w:w="845" w:type="dxa"/>
            <w:vAlign w:val="center"/>
          </w:tcPr>
          <w:p w14:paraId="3051EE48">
            <w:pPr>
              <w:widowControl/>
              <w:jc w:val="center"/>
              <w:textAlignment w:val="center"/>
              <w:rPr>
                <w:kern w:val="0"/>
                <w:sz w:val="20"/>
                <w:szCs w:val="21"/>
                <w:lang w:bidi="ar"/>
              </w:rPr>
            </w:pPr>
          </w:p>
        </w:tc>
        <w:tc>
          <w:tcPr>
            <w:tcW w:w="838" w:type="dxa"/>
            <w:vAlign w:val="center"/>
          </w:tcPr>
          <w:p w14:paraId="522F1FD7">
            <w:pPr>
              <w:widowControl/>
              <w:jc w:val="center"/>
              <w:textAlignment w:val="center"/>
              <w:rPr>
                <w:kern w:val="0"/>
                <w:sz w:val="20"/>
                <w:szCs w:val="21"/>
                <w:lang w:bidi="ar"/>
              </w:rPr>
            </w:pPr>
          </w:p>
        </w:tc>
        <w:tc>
          <w:tcPr>
            <w:tcW w:w="950" w:type="dxa"/>
            <w:vAlign w:val="center"/>
          </w:tcPr>
          <w:p w14:paraId="74E55338">
            <w:pPr>
              <w:widowControl/>
              <w:jc w:val="center"/>
              <w:textAlignment w:val="center"/>
              <w:rPr>
                <w:kern w:val="0"/>
                <w:sz w:val="20"/>
                <w:szCs w:val="21"/>
                <w:lang w:bidi="ar"/>
              </w:rPr>
            </w:pPr>
          </w:p>
        </w:tc>
        <w:tc>
          <w:tcPr>
            <w:tcW w:w="777" w:type="dxa"/>
            <w:vAlign w:val="center"/>
          </w:tcPr>
          <w:p w14:paraId="1CB67C90">
            <w:pPr>
              <w:widowControl/>
              <w:jc w:val="center"/>
              <w:textAlignment w:val="center"/>
              <w:rPr>
                <w:kern w:val="0"/>
                <w:sz w:val="20"/>
                <w:szCs w:val="21"/>
                <w:lang w:bidi="ar"/>
              </w:rPr>
            </w:pPr>
          </w:p>
        </w:tc>
        <w:tc>
          <w:tcPr>
            <w:tcW w:w="1224" w:type="dxa"/>
            <w:vAlign w:val="center"/>
          </w:tcPr>
          <w:p w14:paraId="1FD56579">
            <w:pPr>
              <w:widowControl/>
              <w:jc w:val="center"/>
              <w:textAlignment w:val="center"/>
              <w:rPr>
                <w:kern w:val="0"/>
                <w:sz w:val="20"/>
                <w:szCs w:val="21"/>
                <w:lang w:bidi="ar"/>
              </w:rPr>
            </w:pPr>
          </w:p>
        </w:tc>
        <w:tc>
          <w:tcPr>
            <w:tcW w:w="1166" w:type="dxa"/>
            <w:vAlign w:val="center"/>
          </w:tcPr>
          <w:p w14:paraId="58A29F88">
            <w:pPr>
              <w:widowControl/>
              <w:jc w:val="center"/>
              <w:textAlignment w:val="center"/>
              <w:rPr>
                <w:kern w:val="0"/>
                <w:sz w:val="20"/>
                <w:szCs w:val="21"/>
                <w:lang w:bidi="ar"/>
              </w:rPr>
            </w:pPr>
          </w:p>
        </w:tc>
      </w:tr>
      <w:tr w14:paraId="7AA4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4" w:type="dxa"/>
            <w:vAlign w:val="center"/>
          </w:tcPr>
          <w:p w14:paraId="30A59E66">
            <w:pPr>
              <w:spacing w:line="23" w:lineRule="atLeast"/>
              <w:jc w:val="center"/>
              <w:rPr>
                <w:kern w:val="0"/>
                <w:sz w:val="20"/>
                <w:szCs w:val="21"/>
              </w:rPr>
            </w:pPr>
            <w:r>
              <w:rPr>
                <w:kern w:val="0"/>
                <w:sz w:val="20"/>
                <w:szCs w:val="21"/>
              </w:rPr>
              <w:t>2</w:t>
            </w:r>
          </w:p>
        </w:tc>
        <w:tc>
          <w:tcPr>
            <w:tcW w:w="2514" w:type="dxa"/>
            <w:vAlign w:val="center"/>
          </w:tcPr>
          <w:p w14:paraId="5CBA87B2">
            <w:pPr>
              <w:widowControl/>
              <w:jc w:val="center"/>
              <w:textAlignment w:val="center"/>
              <w:rPr>
                <w:kern w:val="0"/>
                <w:sz w:val="20"/>
                <w:szCs w:val="21"/>
                <w:lang w:val="zh-CN" w:bidi="ar"/>
              </w:rPr>
            </w:pPr>
          </w:p>
        </w:tc>
        <w:tc>
          <w:tcPr>
            <w:tcW w:w="845" w:type="dxa"/>
            <w:vAlign w:val="center"/>
          </w:tcPr>
          <w:p w14:paraId="7AF48CEE">
            <w:pPr>
              <w:widowControl/>
              <w:jc w:val="center"/>
              <w:textAlignment w:val="center"/>
              <w:rPr>
                <w:kern w:val="0"/>
                <w:sz w:val="20"/>
                <w:szCs w:val="21"/>
                <w:lang w:bidi="ar"/>
              </w:rPr>
            </w:pPr>
          </w:p>
        </w:tc>
        <w:tc>
          <w:tcPr>
            <w:tcW w:w="838" w:type="dxa"/>
            <w:vAlign w:val="center"/>
          </w:tcPr>
          <w:p w14:paraId="12CF7B6D">
            <w:pPr>
              <w:widowControl/>
              <w:jc w:val="center"/>
              <w:textAlignment w:val="center"/>
              <w:rPr>
                <w:kern w:val="0"/>
                <w:sz w:val="20"/>
                <w:szCs w:val="21"/>
                <w:lang w:val="zh-CN" w:bidi="ar"/>
              </w:rPr>
            </w:pPr>
          </w:p>
        </w:tc>
        <w:tc>
          <w:tcPr>
            <w:tcW w:w="950" w:type="dxa"/>
            <w:vAlign w:val="center"/>
          </w:tcPr>
          <w:p w14:paraId="3CBECCE7">
            <w:pPr>
              <w:widowControl/>
              <w:jc w:val="center"/>
              <w:textAlignment w:val="center"/>
              <w:rPr>
                <w:kern w:val="0"/>
                <w:sz w:val="20"/>
                <w:szCs w:val="21"/>
                <w:lang w:bidi="ar"/>
              </w:rPr>
            </w:pPr>
          </w:p>
        </w:tc>
        <w:tc>
          <w:tcPr>
            <w:tcW w:w="777" w:type="dxa"/>
            <w:vAlign w:val="center"/>
          </w:tcPr>
          <w:p w14:paraId="7EC79E9E">
            <w:pPr>
              <w:widowControl/>
              <w:jc w:val="center"/>
              <w:textAlignment w:val="center"/>
              <w:rPr>
                <w:kern w:val="0"/>
                <w:sz w:val="20"/>
                <w:szCs w:val="21"/>
                <w:lang w:val="zh-CN" w:bidi="ar"/>
              </w:rPr>
            </w:pPr>
          </w:p>
        </w:tc>
        <w:tc>
          <w:tcPr>
            <w:tcW w:w="1224" w:type="dxa"/>
            <w:vAlign w:val="center"/>
          </w:tcPr>
          <w:p w14:paraId="4B1D1865">
            <w:pPr>
              <w:widowControl/>
              <w:jc w:val="center"/>
              <w:textAlignment w:val="center"/>
              <w:rPr>
                <w:kern w:val="0"/>
                <w:sz w:val="20"/>
                <w:szCs w:val="21"/>
                <w:lang w:bidi="ar"/>
              </w:rPr>
            </w:pPr>
          </w:p>
        </w:tc>
        <w:tc>
          <w:tcPr>
            <w:tcW w:w="1166" w:type="dxa"/>
            <w:vAlign w:val="center"/>
          </w:tcPr>
          <w:p w14:paraId="363DC46B">
            <w:pPr>
              <w:widowControl/>
              <w:jc w:val="center"/>
              <w:textAlignment w:val="center"/>
              <w:rPr>
                <w:kern w:val="0"/>
                <w:sz w:val="20"/>
                <w:szCs w:val="21"/>
                <w:lang w:bidi="ar"/>
              </w:rPr>
            </w:pPr>
          </w:p>
        </w:tc>
      </w:tr>
      <w:tr w14:paraId="4B87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4" w:type="dxa"/>
            <w:vAlign w:val="center"/>
          </w:tcPr>
          <w:p w14:paraId="2657647A">
            <w:pPr>
              <w:spacing w:line="23" w:lineRule="atLeast"/>
              <w:jc w:val="center"/>
              <w:rPr>
                <w:kern w:val="0"/>
                <w:sz w:val="20"/>
                <w:szCs w:val="21"/>
              </w:rPr>
            </w:pPr>
            <w:r>
              <w:rPr>
                <w:kern w:val="0"/>
                <w:sz w:val="20"/>
                <w:szCs w:val="21"/>
              </w:rPr>
              <w:t>3</w:t>
            </w:r>
          </w:p>
        </w:tc>
        <w:tc>
          <w:tcPr>
            <w:tcW w:w="2514" w:type="dxa"/>
            <w:vAlign w:val="center"/>
          </w:tcPr>
          <w:p w14:paraId="01B66D52">
            <w:pPr>
              <w:widowControl/>
              <w:jc w:val="center"/>
              <w:textAlignment w:val="center"/>
              <w:rPr>
                <w:kern w:val="0"/>
                <w:sz w:val="20"/>
                <w:szCs w:val="21"/>
                <w:lang w:val="zh-CN" w:bidi="ar"/>
              </w:rPr>
            </w:pPr>
          </w:p>
        </w:tc>
        <w:tc>
          <w:tcPr>
            <w:tcW w:w="845" w:type="dxa"/>
            <w:vAlign w:val="center"/>
          </w:tcPr>
          <w:p w14:paraId="4E8CA3D4">
            <w:pPr>
              <w:widowControl/>
              <w:jc w:val="center"/>
              <w:textAlignment w:val="center"/>
              <w:rPr>
                <w:kern w:val="0"/>
                <w:sz w:val="20"/>
                <w:szCs w:val="21"/>
                <w:lang w:bidi="ar"/>
              </w:rPr>
            </w:pPr>
          </w:p>
        </w:tc>
        <w:tc>
          <w:tcPr>
            <w:tcW w:w="838" w:type="dxa"/>
            <w:vAlign w:val="center"/>
          </w:tcPr>
          <w:p w14:paraId="0475C8F9">
            <w:pPr>
              <w:jc w:val="center"/>
              <w:rPr>
                <w:kern w:val="0"/>
                <w:sz w:val="20"/>
                <w:szCs w:val="21"/>
                <w:lang w:val="zh-CN" w:bidi="ar"/>
              </w:rPr>
            </w:pPr>
          </w:p>
        </w:tc>
        <w:tc>
          <w:tcPr>
            <w:tcW w:w="950" w:type="dxa"/>
            <w:vAlign w:val="center"/>
          </w:tcPr>
          <w:p w14:paraId="35ABB17A">
            <w:pPr>
              <w:widowControl/>
              <w:jc w:val="center"/>
              <w:textAlignment w:val="center"/>
              <w:rPr>
                <w:kern w:val="0"/>
                <w:sz w:val="20"/>
                <w:szCs w:val="21"/>
                <w:lang w:val="zh-CN" w:bidi="ar"/>
              </w:rPr>
            </w:pPr>
          </w:p>
        </w:tc>
        <w:tc>
          <w:tcPr>
            <w:tcW w:w="777" w:type="dxa"/>
            <w:vAlign w:val="center"/>
          </w:tcPr>
          <w:p w14:paraId="16C477EE">
            <w:pPr>
              <w:widowControl/>
              <w:jc w:val="center"/>
              <w:textAlignment w:val="center"/>
              <w:rPr>
                <w:kern w:val="0"/>
                <w:sz w:val="20"/>
                <w:szCs w:val="21"/>
                <w:lang w:val="zh-CN" w:bidi="ar"/>
              </w:rPr>
            </w:pPr>
          </w:p>
        </w:tc>
        <w:tc>
          <w:tcPr>
            <w:tcW w:w="1224" w:type="dxa"/>
            <w:vAlign w:val="center"/>
          </w:tcPr>
          <w:p w14:paraId="0A399A70">
            <w:pPr>
              <w:widowControl/>
              <w:jc w:val="center"/>
              <w:textAlignment w:val="center"/>
              <w:rPr>
                <w:kern w:val="0"/>
                <w:sz w:val="20"/>
                <w:szCs w:val="21"/>
                <w:lang w:bidi="ar"/>
              </w:rPr>
            </w:pPr>
          </w:p>
        </w:tc>
        <w:tc>
          <w:tcPr>
            <w:tcW w:w="1166" w:type="dxa"/>
            <w:vAlign w:val="center"/>
          </w:tcPr>
          <w:p w14:paraId="5EE67E45">
            <w:pPr>
              <w:widowControl/>
              <w:jc w:val="center"/>
              <w:textAlignment w:val="center"/>
              <w:rPr>
                <w:kern w:val="0"/>
                <w:sz w:val="20"/>
                <w:szCs w:val="21"/>
                <w:lang w:bidi="ar"/>
              </w:rPr>
            </w:pPr>
          </w:p>
        </w:tc>
      </w:tr>
      <w:tr w14:paraId="5EC8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4" w:type="dxa"/>
            <w:vAlign w:val="center"/>
          </w:tcPr>
          <w:p w14:paraId="188EFC58">
            <w:pPr>
              <w:spacing w:line="23" w:lineRule="atLeast"/>
              <w:jc w:val="center"/>
              <w:rPr>
                <w:kern w:val="0"/>
                <w:sz w:val="20"/>
                <w:szCs w:val="21"/>
              </w:rPr>
            </w:pPr>
            <w:r>
              <w:rPr>
                <w:kern w:val="0"/>
                <w:sz w:val="20"/>
                <w:szCs w:val="21"/>
              </w:rPr>
              <w:t>4</w:t>
            </w:r>
          </w:p>
        </w:tc>
        <w:tc>
          <w:tcPr>
            <w:tcW w:w="2514" w:type="dxa"/>
            <w:vAlign w:val="center"/>
          </w:tcPr>
          <w:p w14:paraId="40738E04">
            <w:pPr>
              <w:widowControl/>
              <w:jc w:val="center"/>
              <w:textAlignment w:val="center"/>
              <w:rPr>
                <w:kern w:val="0"/>
                <w:sz w:val="20"/>
                <w:szCs w:val="21"/>
                <w:lang w:val="zh-CN" w:bidi="ar"/>
              </w:rPr>
            </w:pPr>
          </w:p>
        </w:tc>
        <w:tc>
          <w:tcPr>
            <w:tcW w:w="845" w:type="dxa"/>
            <w:vAlign w:val="center"/>
          </w:tcPr>
          <w:p w14:paraId="2C1C0553">
            <w:pPr>
              <w:widowControl/>
              <w:jc w:val="center"/>
              <w:textAlignment w:val="center"/>
              <w:rPr>
                <w:kern w:val="0"/>
                <w:sz w:val="20"/>
                <w:szCs w:val="21"/>
                <w:lang w:bidi="ar"/>
              </w:rPr>
            </w:pPr>
          </w:p>
        </w:tc>
        <w:tc>
          <w:tcPr>
            <w:tcW w:w="838" w:type="dxa"/>
            <w:vAlign w:val="center"/>
          </w:tcPr>
          <w:p w14:paraId="4A04FAC6">
            <w:pPr>
              <w:widowControl/>
              <w:jc w:val="center"/>
              <w:textAlignment w:val="center"/>
              <w:rPr>
                <w:kern w:val="0"/>
                <w:sz w:val="20"/>
                <w:szCs w:val="21"/>
                <w:lang w:bidi="ar"/>
              </w:rPr>
            </w:pPr>
          </w:p>
        </w:tc>
        <w:tc>
          <w:tcPr>
            <w:tcW w:w="950" w:type="dxa"/>
            <w:vAlign w:val="center"/>
          </w:tcPr>
          <w:p w14:paraId="3C154B8E">
            <w:pPr>
              <w:widowControl/>
              <w:jc w:val="center"/>
              <w:textAlignment w:val="center"/>
              <w:rPr>
                <w:kern w:val="0"/>
                <w:sz w:val="20"/>
                <w:szCs w:val="21"/>
                <w:lang w:bidi="ar"/>
              </w:rPr>
            </w:pPr>
          </w:p>
        </w:tc>
        <w:tc>
          <w:tcPr>
            <w:tcW w:w="777" w:type="dxa"/>
            <w:vAlign w:val="center"/>
          </w:tcPr>
          <w:p w14:paraId="18006752">
            <w:pPr>
              <w:widowControl/>
              <w:jc w:val="center"/>
              <w:textAlignment w:val="center"/>
              <w:rPr>
                <w:kern w:val="0"/>
                <w:sz w:val="20"/>
                <w:szCs w:val="21"/>
                <w:lang w:bidi="ar"/>
              </w:rPr>
            </w:pPr>
          </w:p>
        </w:tc>
        <w:tc>
          <w:tcPr>
            <w:tcW w:w="1224" w:type="dxa"/>
            <w:vAlign w:val="center"/>
          </w:tcPr>
          <w:p w14:paraId="62887B5F">
            <w:pPr>
              <w:widowControl/>
              <w:jc w:val="center"/>
              <w:textAlignment w:val="center"/>
              <w:rPr>
                <w:kern w:val="0"/>
                <w:sz w:val="20"/>
                <w:szCs w:val="21"/>
                <w:lang w:bidi="ar"/>
              </w:rPr>
            </w:pPr>
          </w:p>
        </w:tc>
        <w:tc>
          <w:tcPr>
            <w:tcW w:w="1166" w:type="dxa"/>
            <w:vAlign w:val="center"/>
          </w:tcPr>
          <w:p w14:paraId="28F1C966">
            <w:pPr>
              <w:widowControl/>
              <w:jc w:val="center"/>
              <w:textAlignment w:val="center"/>
              <w:rPr>
                <w:kern w:val="0"/>
                <w:sz w:val="20"/>
                <w:szCs w:val="21"/>
                <w:lang w:bidi="ar"/>
              </w:rPr>
            </w:pPr>
          </w:p>
        </w:tc>
      </w:tr>
      <w:tr w14:paraId="62EA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4" w:type="dxa"/>
            <w:vAlign w:val="center"/>
          </w:tcPr>
          <w:p w14:paraId="3D5C48A2">
            <w:pPr>
              <w:spacing w:line="23" w:lineRule="atLeast"/>
              <w:jc w:val="center"/>
              <w:rPr>
                <w:kern w:val="0"/>
                <w:sz w:val="20"/>
                <w:szCs w:val="21"/>
              </w:rPr>
            </w:pPr>
            <w:r>
              <w:rPr>
                <w:kern w:val="0"/>
                <w:sz w:val="20"/>
                <w:szCs w:val="21"/>
              </w:rPr>
              <w:t>5</w:t>
            </w:r>
          </w:p>
        </w:tc>
        <w:tc>
          <w:tcPr>
            <w:tcW w:w="2514" w:type="dxa"/>
            <w:vAlign w:val="center"/>
          </w:tcPr>
          <w:p w14:paraId="185B514F">
            <w:pPr>
              <w:widowControl/>
              <w:jc w:val="center"/>
              <w:textAlignment w:val="center"/>
              <w:rPr>
                <w:kern w:val="0"/>
                <w:sz w:val="20"/>
                <w:szCs w:val="21"/>
                <w:lang w:val="zh-CN" w:bidi="ar"/>
              </w:rPr>
            </w:pPr>
          </w:p>
        </w:tc>
        <w:tc>
          <w:tcPr>
            <w:tcW w:w="845" w:type="dxa"/>
            <w:vAlign w:val="center"/>
          </w:tcPr>
          <w:p w14:paraId="024B111B">
            <w:pPr>
              <w:widowControl/>
              <w:jc w:val="center"/>
              <w:textAlignment w:val="center"/>
              <w:rPr>
                <w:kern w:val="0"/>
                <w:sz w:val="20"/>
                <w:szCs w:val="21"/>
                <w:lang w:bidi="ar"/>
              </w:rPr>
            </w:pPr>
          </w:p>
        </w:tc>
        <w:tc>
          <w:tcPr>
            <w:tcW w:w="838" w:type="dxa"/>
            <w:vAlign w:val="center"/>
          </w:tcPr>
          <w:p w14:paraId="14DBDE47">
            <w:pPr>
              <w:widowControl/>
              <w:jc w:val="center"/>
              <w:textAlignment w:val="center"/>
              <w:rPr>
                <w:kern w:val="0"/>
                <w:sz w:val="20"/>
                <w:szCs w:val="21"/>
                <w:lang w:bidi="ar"/>
              </w:rPr>
            </w:pPr>
          </w:p>
        </w:tc>
        <w:tc>
          <w:tcPr>
            <w:tcW w:w="950" w:type="dxa"/>
            <w:vAlign w:val="center"/>
          </w:tcPr>
          <w:p w14:paraId="51EAF660">
            <w:pPr>
              <w:widowControl/>
              <w:jc w:val="center"/>
              <w:textAlignment w:val="center"/>
              <w:rPr>
                <w:kern w:val="0"/>
                <w:sz w:val="20"/>
                <w:szCs w:val="21"/>
                <w:lang w:bidi="ar"/>
              </w:rPr>
            </w:pPr>
          </w:p>
        </w:tc>
        <w:tc>
          <w:tcPr>
            <w:tcW w:w="777" w:type="dxa"/>
            <w:vAlign w:val="center"/>
          </w:tcPr>
          <w:p w14:paraId="3DFAB4A4">
            <w:pPr>
              <w:widowControl/>
              <w:jc w:val="center"/>
              <w:textAlignment w:val="center"/>
              <w:rPr>
                <w:kern w:val="0"/>
                <w:sz w:val="20"/>
                <w:szCs w:val="21"/>
                <w:lang w:val="zh-CN" w:bidi="ar"/>
              </w:rPr>
            </w:pPr>
          </w:p>
        </w:tc>
        <w:tc>
          <w:tcPr>
            <w:tcW w:w="1224" w:type="dxa"/>
            <w:vAlign w:val="center"/>
          </w:tcPr>
          <w:p w14:paraId="55F0C368">
            <w:pPr>
              <w:widowControl/>
              <w:jc w:val="center"/>
              <w:textAlignment w:val="center"/>
              <w:rPr>
                <w:kern w:val="0"/>
                <w:sz w:val="20"/>
                <w:szCs w:val="21"/>
                <w:lang w:bidi="ar"/>
              </w:rPr>
            </w:pPr>
          </w:p>
        </w:tc>
        <w:tc>
          <w:tcPr>
            <w:tcW w:w="1166" w:type="dxa"/>
            <w:vAlign w:val="center"/>
          </w:tcPr>
          <w:p w14:paraId="10853FBB">
            <w:pPr>
              <w:widowControl/>
              <w:jc w:val="center"/>
              <w:textAlignment w:val="center"/>
              <w:rPr>
                <w:kern w:val="0"/>
                <w:sz w:val="20"/>
                <w:szCs w:val="21"/>
                <w:lang w:bidi="ar"/>
              </w:rPr>
            </w:pPr>
          </w:p>
        </w:tc>
      </w:tr>
      <w:tr w14:paraId="264A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4" w:type="dxa"/>
            <w:vAlign w:val="center"/>
          </w:tcPr>
          <w:p w14:paraId="5DEF54C5">
            <w:pPr>
              <w:spacing w:line="23" w:lineRule="atLeast"/>
              <w:jc w:val="center"/>
              <w:rPr>
                <w:kern w:val="0"/>
                <w:sz w:val="20"/>
                <w:szCs w:val="21"/>
              </w:rPr>
            </w:pPr>
            <w:r>
              <w:rPr>
                <w:kern w:val="0"/>
                <w:sz w:val="20"/>
                <w:szCs w:val="21"/>
              </w:rPr>
              <w:t>6</w:t>
            </w:r>
          </w:p>
        </w:tc>
        <w:tc>
          <w:tcPr>
            <w:tcW w:w="2514" w:type="dxa"/>
            <w:vAlign w:val="center"/>
          </w:tcPr>
          <w:p w14:paraId="4194020D">
            <w:pPr>
              <w:widowControl/>
              <w:jc w:val="center"/>
              <w:textAlignment w:val="center"/>
              <w:rPr>
                <w:kern w:val="0"/>
                <w:sz w:val="20"/>
                <w:szCs w:val="21"/>
                <w:lang w:val="zh-CN" w:bidi="ar"/>
              </w:rPr>
            </w:pPr>
          </w:p>
        </w:tc>
        <w:tc>
          <w:tcPr>
            <w:tcW w:w="845" w:type="dxa"/>
            <w:vAlign w:val="center"/>
          </w:tcPr>
          <w:p w14:paraId="661F898F">
            <w:pPr>
              <w:widowControl/>
              <w:jc w:val="center"/>
              <w:textAlignment w:val="center"/>
              <w:rPr>
                <w:kern w:val="0"/>
                <w:sz w:val="20"/>
                <w:szCs w:val="21"/>
                <w:lang w:bidi="ar"/>
              </w:rPr>
            </w:pPr>
          </w:p>
        </w:tc>
        <w:tc>
          <w:tcPr>
            <w:tcW w:w="838" w:type="dxa"/>
            <w:vAlign w:val="center"/>
          </w:tcPr>
          <w:p w14:paraId="62ED0ECF">
            <w:pPr>
              <w:jc w:val="center"/>
              <w:rPr>
                <w:kern w:val="0"/>
                <w:sz w:val="20"/>
                <w:szCs w:val="21"/>
                <w:lang w:val="zh-CN" w:bidi="ar"/>
              </w:rPr>
            </w:pPr>
          </w:p>
        </w:tc>
        <w:tc>
          <w:tcPr>
            <w:tcW w:w="950" w:type="dxa"/>
            <w:vAlign w:val="center"/>
          </w:tcPr>
          <w:p w14:paraId="3B5E0F90">
            <w:pPr>
              <w:widowControl/>
              <w:jc w:val="center"/>
              <w:textAlignment w:val="center"/>
              <w:rPr>
                <w:kern w:val="0"/>
                <w:sz w:val="20"/>
                <w:szCs w:val="21"/>
                <w:lang w:val="zh-CN" w:bidi="ar"/>
              </w:rPr>
            </w:pPr>
          </w:p>
        </w:tc>
        <w:tc>
          <w:tcPr>
            <w:tcW w:w="777" w:type="dxa"/>
            <w:vAlign w:val="center"/>
          </w:tcPr>
          <w:p w14:paraId="2287E487">
            <w:pPr>
              <w:widowControl/>
              <w:jc w:val="center"/>
              <w:textAlignment w:val="center"/>
              <w:rPr>
                <w:kern w:val="0"/>
                <w:sz w:val="20"/>
                <w:szCs w:val="21"/>
                <w:lang w:val="zh-CN" w:bidi="ar"/>
              </w:rPr>
            </w:pPr>
          </w:p>
        </w:tc>
        <w:tc>
          <w:tcPr>
            <w:tcW w:w="1224" w:type="dxa"/>
            <w:vAlign w:val="center"/>
          </w:tcPr>
          <w:p w14:paraId="5256C105">
            <w:pPr>
              <w:widowControl/>
              <w:jc w:val="center"/>
              <w:textAlignment w:val="center"/>
              <w:rPr>
                <w:kern w:val="0"/>
                <w:sz w:val="20"/>
                <w:szCs w:val="21"/>
                <w:lang w:bidi="ar"/>
              </w:rPr>
            </w:pPr>
          </w:p>
        </w:tc>
        <w:tc>
          <w:tcPr>
            <w:tcW w:w="1166" w:type="dxa"/>
            <w:vAlign w:val="center"/>
          </w:tcPr>
          <w:p w14:paraId="6537BC93">
            <w:pPr>
              <w:widowControl/>
              <w:jc w:val="center"/>
              <w:textAlignment w:val="center"/>
              <w:rPr>
                <w:kern w:val="0"/>
                <w:sz w:val="20"/>
                <w:szCs w:val="21"/>
                <w:lang w:bidi="ar"/>
              </w:rPr>
            </w:pPr>
          </w:p>
        </w:tc>
      </w:tr>
      <w:tr w14:paraId="6777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4" w:type="dxa"/>
            <w:vAlign w:val="center"/>
          </w:tcPr>
          <w:p w14:paraId="077FAC25">
            <w:pPr>
              <w:spacing w:line="23" w:lineRule="atLeast"/>
              <w:jc w:val="center"/>
              <w:rPr>
                <w:kern w:val="0"/>
                <w:sz w:val="20"/>
                <w:szCs w:val="21"/>
              </w:rPr>
            </w:pPr>
            <w:r>
              <w:rPr>
                <w:kern w:val="0"/>
                <w:sz w:val="20"/>
                <w:szCs w:val="21"/>
              </w:rPr>
              <w:t>7</w:t>
            </w:r>
          </w:p>
        </w:tc>
        <w:tc>
          <w:tcPr>
            <w:tcW w:w="2514" w:type="dxa"/>
            <w:vAlign w:val="center"/>
          </w:tcPr>
          <w:p w14:paraId="47FBCCE6">
            <w:pPr>
              <w:widowControl/>
              <w:jc w:val="center"/>
              <w:textAlignment w:val="center"/>
              <w:rPr>
                <w:kern w:val="0"/>
                <w:sz w:val="20"/>
                <w:szCs w:val="21"/>
                <w:lang w:val="zh-CN" w:bidi="ar"/>
              </w:rPr>
            </w:pPr>
          </w:p>
        </w:tc>
        <w:tc>
          <w:tcPr>
            <w:tcW w:w="845" w:type="dxa"/>
            <w:vAlign w:val="center"/>
          </w:tcPr>
          <w:p w14:paraId="21F07C02">
            <w:pPr>
              <w:jc w:val="center"/>
              <w:rPr>
                <w:kern w:val="0"/>
                <w:sz w:val="20"/>
                <w:szCs w:val="21"/>
                <w:lang w:bidi="ar"/>
              </w:rPr>
            </w:pPr>
          </w:p>
        </w:tc>
        <w:tc>
          <w:tcPr>
            <w:tcW w:w="838" w:type="dxa"/>
            <w:vAlign w:val="center"/>
          </w:tcPr>
          <w:p w14:paraId="21D21426">
            <w:pPr>
              <w:widowControl/>
              <w:jc w:val="center"/>
              <w:textAlignment w:val="center"/>
              <w:rPr>
                <w:kern w:val="0"/>
                <w:sz w:val="20"/>
                <w:szCs w:val="21"/>
                <w:lang w:bidi="ar"/>
              </w:rPr>
            </w:pPr>
          </w:p>
        </w:tc>
        <w:tc>
          <w:tcPr>
            <w:tcW w:w="950" w:type="dxa"/>
            <w:vAlign w:val="center"/>
          </w:tcPr>
          <w:p w14:paraId="135BAADB">
            <w:pPr>
              <w:jc w:val="center"/>
              <w:rPr>
                <w:kern w:val="0"/>
                <w:sz w:val="20"/>
                <w:szCs w:val="21"/>
                <w:lang w:bidi="ar"/>
              </w:rPr>
            </w:pPr>
          </w:p>
        </w:tc>
        <w:tc>
          <w:tcPr>
            <w:tcW w:w="777" w:type="dxa"/>
            <w:vAlign w:val="center"/>
          </w:tcPr>
          <w:p w14:paraId="3EB65E1D">
            <w:pPr>
              <w:widowControl/>
              <w:jc w:val="center"/>
              <w:textAlignment w:val="center"/>
              <w:rPr>
                <w:kern w:val="0"/>
                <w:sz w:val="20"/>
                <w:szCs w:val="21"/>
                <w:lang w:val="zh-CN" w:bidi="ar"/>
              </w:rPr>
            </w:pPr>
          </w:p>
        </w:tc>
        <w:tc>
          <w:tcPr>
            <w:tcW w:w="1224" w:type="dxa"/>
            <w:vAlign w:val="center"/>
          </w:tcPr>
          <w:p w14:paraId="75454E1B">
            <w:pPr>
              <w:widowControl/>
              <w:jc w:val="center"/>
              <w:textAlignment w:val="center"/>
              <w:rPr>
                <w:kern w:val="0"/>
                <w:sz w:val="20"/>
                <w:szCs w:val="21"/>
                <w:lang w:bidi="ar"/>
              </w:rPr>
            </w:pPr>
          </w:p>
        </w:tc>
        <w:tc>
          <w:tcPr>
            <w:tcW w:w="1166" w:type="dxa"/>
            <w:vAlign w:val="center"/>
          </w:tcPr>
          <w:p w14:paraId="7ED25E43">
            <w:pPr>
              <w:widowControl/>
              <w:jc w:val="center"/>
              <w:textAlignment w:val="center"/>
              <w:rPr>
                <w:kern w:val="0"/>
                <w:sz w:val="20"/>
                <w:szCs w:val="21"/>
                <w:lang w:bidi="ar"/>
              </w:rPr>
            </w:pPr>
          </w:p>
        </w:tc>
      </w:tr>
      <w:tr w14:paraId="0C31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4" w:type="dxa"/>
            <w:vAlign w:val="center"/>
          </w:tcPr>
          <w:p w14:paraId="60DEE9A4">
            <w:pPr>
              <w:spacing w:line="23" w:lineRule="atLeast"/>
              <w:jc w:val="center"/>
              <w:rPr>
                <w:kern w:val="0"/>
                <w:sz w:val="20"/>
                <w:szCs w:val="21"/>
              </w:rPr>
            </w:pPr>
            <w:r>
              <w:rPr>
                <w:kern w:val="0"/>
                <w:sz w:val="20"/>
                <w:szCs w:val="21"/>
              </w:rPr>
              <w:t>8</w:t>
            </w:r>
          </w:p>
        </w:tc>
        <w:tc>
          <w:tcPr>
            <w:tcW w:w="2514" w:type="dxa"/>
            <w:vAlign w:val="center"/>
          </w:tcPr>
          <w:p w14:paraId="62B61D48">
            <w:pPr>
              <w:widowControl/>
              <w:jc w:val="center"/>
              <w:textAlignment w:val="center"/>
              <w:rPr>
                <w:kern w:val="0"/>
                <w:sz w:val="20"/>
                <w:szCs w:val="21"/>
                <w:lang w:val="zh-CN" w:bidi="ar"/>
              </w:rPr>
            </w:pPr>
          </w:p>
        </w:tc>
        <w:tc>
          <w:tcPr>
            <w:tcW w:w="845" w:type="dxa"/>
            <w:vAlign w:val="center"/>
          </w:tcPr>
          <w:p w14:paraId="7F8E31CA">
            <w:pPr>
              <w:jc w:val="center"/>
              <w:rPr>
                <w:kern w:val="0"/>
                <w:sz w:val="20"/>
                <w:szCs w:val="21"/>
                <w:lang w:val="zh-CN" w:bidi="ar"/>
              </w:rPr>
            </w:pPr>
          </w:p>
        </w:tc>
        <w:tc>
          <w:tcPr>
            <w:tcW w:w="838" w:type="dxa"/>
            <w:vAlign w:val="center"/>
          </w:tcPr>
          <w:p w14:paraId="0D18FC09">
            <w:pPr>
              <w:jc w:val="center"/>
              <w:rPr>
                <w:kern w:val="0"/>
                <w:sz w:val="20"/>
                <w:szCs w:val="21"/>
                <w:lang w:val="zh-CN" w:bidi="ar"/>
              </w:rPr>
            </w:pPr>
          </w:p>
        </w:tc>
        <w:tc>
          <w:tcPr>
            <w:tcW w:w="950" w:type="dxa"/>
            <w:vAlign w:val="center"/>
          </w:tcPr>
          <w:p w14:paraId="12899D3E">
            <w:pPr>
              <w:widowControl/>
              <w:jc w:val="center"/>
              <w:textAlignment w:val="center"/>
              <w:rPr>
                <w:kern w:val="0"/>
                <w:sz w:val="20"/>
                <w:szCs w:val="21"/>
                <w:lang w:val="zh-CN" w:bidi="ar"/>
              </w:rPr>
            </w:pPr>
          </w:p>
        </w:tc>
        <w:tc>
          <w:tcPr>
            <w:tcW w:w="777" w:type="dxa"/>
            <w:vAlign w:val="center"/>
          </w:tcPr>
          <w:p w14:paraId="4462214D">
            <w:pPr>
              <w:widowControl/>
              <w:jc w:val="center"/>
              <w:textAlignment w:val="center"/>
              <w:rPr>
                <w:kern w:val="0"/>
                <w:sz w:val="20"/>
                <w:szCs w:val="21"/>
                <w:lang w:val="zh-CN" w:bidi="ar"/>
              </w:rPr>
            </w:pPr>
          </w:p>
        </w:tc>
        <w:tc>
          <w:tcPr>
            <w:tcW w:w="1224" w:type="dxa"/>
            <w:vAlign w:val="center"/>
          </w:tcPr>
          <w:p w14:paraId="03A44F48">
            <w:pPr>
              <w:widowControl/>
              <w:jc w:val="center"/>
              <w:textAlignment w:val="center"/>
              <w:rPr>
                <w:kern w:val="0"/>
                <w:sz w:val="20"/>
                <w:szCs w:val="21"/>
                <w:lang w:bidi="ar"/>
              </w:rPr>
            </w:pPr>
          </w:p>
        </w:tc>
        <w:tc>
          <w:tcPr>
            <w:tcW w:w="1166" w:type="dxa"/>
            <w:vAlign w:val="center"/>
          </w:tcPr>
          <w:p w14:paraId="51823B7F">
            <w:pPr>
              <w:widowControl/>
              <w:jc w:val="center"/>
              <w:textAlignment w:val="center"/>
              <w:rPr>
                <w:kern w:val="0"/>
                <w:sz w:val="20"/>
                <w:szCs w:val="21"/>
                <w:lang w:val="zh-CN" w:bidi="ar"/>
              </w:rPr>
            </w:pPr>
          </w:p>
        </w:tc>
      </w:tr>
      <w:tr w14:paraId="2FC1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4" w:type="dxa"/>
            <w:vAlign w:val="center"/>
          </w:tcPr>
          <w:p w14:paraId="5BB45037">
            <w:pPr>
              <w:spacing w:line="23" w:lineRule="atLeast"/>
              <w:jc w:val="center"/>
              <w:rPr>
                <w:kern w:val="0"/>
                <w:sz w:val="20"/>
                <w:szCs w:val="21"/>
              </w:rPr>
            </w:pPr>
            <w:r>
              <w:rPr>
                <w:kern w:val="0"/>
                <w:sz w:val="20"/>
                <w:szCs w:val="21"/>
              </w:rPr>
              <w:t>9</w:t>
            </w:r>
          </w:p>
        </w:tc>
        <w:tc>
          <w:tcPr>
            <w:tcW w:w="2514" w:type="dxa"/>
            <w:vAlign w:val="center"/>
          </w:tcPr>
          <w:p w14:paraId="2F762C2B">
            <w:pPr>
              <w:widowControl/>
              <w:jc w:val="center"/>
              <w:textAlignment w:val="center"/>
              <w:rPr>
                <w:kern w:val="0"/>
                <w:sz w:val="20"/>
                <w:szCs w:val="21"/>
                <w:lang w:val="zh-CN" w:bidi="ar"/>
              </w:rPr>
            </w:pPr>
          </w:p>
        </w:tc>
        <w:tc>
          <w:tcPr>
            <w:tcW w:w="845" w:type="dxa"/>
            <w:vAlign w:val="center"/>
          </w:tcPr>
          <w:p w14:paraId="63892D75">
            <w:pPr>
              <w:jc w:val="center"/>
              <w:rPr>
                <w:kern w:val="0"/>
                <w:sz w:val="20"/>
                <w:szCs w:val="21"/>
                <w:lang w:val="zh-CN" w:bidi="ar"/>
              </w:rPr>
            </w:pPr>
          </w:p>
        </w:tc>
        <w:tc>
          <w:tcPr>
            <w:tcW w:w="838" w:type="dxa"/>
            <w:vAlign w:val="center"/>
          </w:tcPr>
          <w:p w14:paraId="20A1D86B">
            <w:pPr>
              <w:jc w:val="center"/>
              <w:rPr>
                <w:kern w:val="0"/>
                <w:sz w:val="20"/>
                <w:szCs w:val="21"/>
                <w:lang w:val="zh-CN" w:bidi="ar"/>
              </w:rPr>
            </w:pPr>
          </w:p>
        </w:tc>
        <w:tc>
          <w:tcPr>
            <w:tcW w:w="950" w:type="dxa"/>
            <w:vAlign w:val="center"/>
          </w:tcPr>
          <w:p w14:paraId="7BF83E75">
            <w:pPr>
              <w:widowControl/>
              <w:jc w:val="center"/>
              <w:textAlignment w:val="center"/>
              <w:rPr>
                <w:kern w:val="0"/>
                <w:sz w:val="20"/>
                <w:szCs w:val="21"/>
                <w:lang w:val="zh-CN" w:bidi="ar"/>
              </w:rPr>
            </w:pPr>
          </w:p>
        </w:tc>
        <w:tc>
          <w:tcPr>
            <w:tcW w:w="777" w:type="dxa"/>
            <w:vAlign w:val="center"/>
          </w:tcPr>
          <w:p w14:paraId="7D811A8B">
            <w:pPr>
              <w:widowControl/>
              <w:jc w:val="center"/>
              <w:textAlignment w:val="center"/>
              <w:rPr>
                <w:kern w:val="0"/>
                <w:sz w:val="20"/>
                <w:szCs w:val="21"/>
                <w:lang w:val="zh-CN" w:bidi="ar"/>
              </w:rPr>
            </w:pPr>
          </w:p>
        </w:tc>
        <w:tc>
          <w:tcPr>
            <w:tcW w:w="1224" w:type="dxa"/>
            <w:vAlign w:val="center"/>
          </w:tcPr>
          <w:p w14:paraId="5CE43311">
            <w:pPr>
              <w:widowControl/>
              <w:jc w:val="center"/>
              <w:textAlignment w:val="center"/>
              <w:rPr>
                <w:kern w:val="0"/>
                <w:sz w:val="20"/>
                <w:szCs w:val="21"/>
                <w:lang w:bidi="ar"/>
              </w:rPr>
            </w:pPr>
          </w:p>
        </w:tc>
        <w:tc>
          <w:tcPr>
            <w:tcW w:w="1166" w:type="dxa"/>
            <w:vAlign w:val="center"/>
          </w:tcPr>
          <w:p w14:paraId="3987F4A9">
            <w:pPr>
              <w:widowControl/>
              <w:jc w:val="center"/>
              <w:textAlignment w:val="center"/>
              <w:rPr>
                <w:kern w:val="0"/>
                <w:sz w:val="20"/>
                <w:szCs w:val="21"/>
                <w:lang w:val="zh-CN" w:bidi="ar"/>
              </w:rPr>
            </w:pPr>
          </w:p>
        </w:tc>
      </w:tr>
      <w:tr w14:paraId="29B6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4" w:type="dxa"/>
            <w:vAlign w:val="center"/>
          </w:tcPr>
          <w:p w14:paraId="3593C9DD">
            <w:pPr>
              <w:spacing w:line="23" w:lineRule="atLeast"/>
              <w:jc w:val="center"/>
              <w:rPr>
                <w:kern w:val="0"/>
                <w:sz w:val="20"/>
                <w:szCs w:val="21"/>
              </w:rPr>
            </w:pPr>
            <w:r>
              <w:rPr>
                <w:kern w:val="0"/>
                <w:sz w:val="20"/>
                <w:szCs w:val="21"/>
              </w:rPr>
              <w:t>10</w:t>
            </w:r>
          </w:p>
        </w:tc>
        <w:tc>
          <w:tcPr>
            <w:tcW w:w="2514" w:type="dxa"/>
            <w:vAlign w:val="center"/>
          </w:tcPr>
          <w:p w14:paraId="01B3F15D">
            <w:pPr>
              <w:widowControl/>
              <w:jc w:val="center"/>
              <w:textAlignment w:val="center"/>
              <w:rPr>
                <w:kern w:val="0"/>
                <w:sz w:val="20"/>
                <w:szCs w:val="21"/>
                <w:lang w:val="zh-CN" w:bidi="ar"/>
              </w:rPr>
            </w:pPr>
          </w:p>
        </w:tc>
        <w:tc>
          <w:tcPr>
            <w:tcW w:w="845" w:type="dxa"/>
            <w:vAlign w:val="center"/>
          </w:tcPr>
          <w:p w14:paraId="6F3F3A99">
            <w:pPr>
              <w:jc w:val="center"/>
              <w:rPr>
                <w:kern w:val="0"/>
                <w:sz w:val="20"/>
                <w:szCs w:val="21"/>
                <w:lang w:val="zh-CN" w:bidi="ar"/>
              </w:rPr>
            </w:pPr>
          </w:p>
        </w:tc>
        <w:tc>
          <w:tcPr>
            <w:tcW w:w="838" w:type="dxa"/>
            <w:vAlign w:val="center"/>
          </w:tcPr>
          <w:p w14:paraId="67B7FA2A">
            <w:pPr>
              <w:jc w:val="center"/>
              <w:rPr>
                <w:kern w:val="0"/>
                <w:sz w:val="20"/>
                <w:szCs w:val="21"/>
                <w:lang w:val="zh-CN" w:bidi="ar"/>
              </w:rPr>
            </w:pPr>
          </w:p>
        </w:tc>
        <w:tc>
          <w:tcPr>
            <w:tcW w:w="950" w:type="dxa"/>
            <w:vAlign w:val="center"/>
          </w:tcPr>
          <w:p w14:paraId="18051479">
            <w:pPr>
              <w:widowControl/>
              <w:jc w:val="center"/>
              <w:textAlignment w:val="center"/>
              <w:rPr>
                <w:kern w:val="0"/>
                <w:sz w:val="20"/>
                <w:szCs w:val="21"/>
                <w:lang w:val="zh-CN" w:bidi="ar"/>
              </w:rPr>
            </w:pPr>
          </w:p>
        </w:tc>
        <w:tc>
          <w:tcPr>
            <w:tcW w:w="777" w:type="dxa"/>
            <w:vAlign w:val="center"/>
          </w:tcPr>
          <w:p w14:paraId="15EF1910">
            <w:pPr>
              <w:widowControl/>
              <w:jc w:val="center"/>
              <w:textAlignment w:val="center"/>
              <w:rPr>
                <w:kern w:val="0"/>
                <w:sz w:val="20"/>
                <w:szCs w:val="21"/>
                <w:lang w:val="zh-CN" w:bidi="ar"/>
              </w:rPr>
            </w:pPr>
          </w:p>
        </w:tc>
        <w:tc>
          <w:tcPr>
            <w:tcW w:w="1224" w:type="dxa"/>
            <w:vAlign w:val="center"/>
          </w:tcPr>
          <w:p w14:paraId="10A129A5">
            <w:pPr>
              <w:widowControl/>
              <w:jc w:val="center"/>
              <w:textAlignment w:val="center"/>
              <w:rPr>
                <w:kern w:val="0"/>
                <w:sz w:val="20"/>
                <w:szCs w:val="21"/>
                <w:lang w:bidi="ar"/>
              </w:rPr>
            </w:pPr>
          </w:p>
        </w:tc>
        <w:tc>
          <w:tcPr>
            <w:tcW w:w="1166" w:type="dxa"/>
            <w:vAlign w:val="center"/>
          </w:tcPr>
          <w:p w14:paraId="11C76693">
            <w:pPr>
              <w:widowControl/>
              <w:jc w:val="center"/>
              <w:textAlignment w:val="center"/>
              <w:rPr>
                <w:kern w:val="0"/>
                <w:sz w:val="20"/>
                <w:szCs w:val="21"/>
                <w:lang w:val="zh-CN" w:bidi="ar"/>
              </w:rPr>
            </w:pPr>
          </w:p>
        </w:tc>
      </w:tr>
      <w:tr w14:paraId="7EB4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4" w:type="dxa"/>
            <w:vAlign w:val="center"/>
          </w:tcPr>
          <w:p w14:paraId="67FF8679">
            <w:pPr>
              <w:spacing w:line="23" w:lineRule="atLeast"/>
              <w:jc w:val="center"/>
              <w:rPr>
                <w:kern w:val="0"/>
                <w:sz w:val="20"/>
                <w:szCs w:val="21"/>
              </w:rPr>
            </w:pPr>
            <w:r>
              <w:rPr>
                <w:kern w:val="0"/>
                <w:sz w:val="20"/>
                <w:szCs w:val="21"/>
              </w:rPr>
              <w:t>11</w:t>
            </w:r>
          </w:p>
        </w:tc>
        <w:tc>
          <w:tcPr>
            <w:tcW w:w="2514" w:type="dxa"/>
            <w:vAlign w:val="center"/>
          </w:tcPr>
          <w:p w14:paraId="50D6B63C">
            <w:pPr>
              <w:widowControl/>
              <w:jc w:val="center"/>
              <w:textAlignment w:val="center"/>
              <w:rPr>
                <w:kern w:val="0"/>
                <w:sz w:val="20"/>
                <w:szCs w:val="21"/>
                <w:lang w:bidi="ar"/>
              </w:rPr>
            </w:pPr>
          </w:p>
        </w:tc>
        <w:tc>
          <w:tcPr>
            <w:tcW w:w="845" w:type="dxa"/>
            <w:vAlign w:val="center"/>
          </w:tcPr>
          <w:p w14:paraId="5819F350">
            <w:pPr>
              <w:jc w:val="center"/>
              <w:rPr>
                <w:kern w:val="0"/>
                <w:sz w:val="20"/>
                <w:szCs w:val="21"/>
                <w:lang w:bidi="ar"/>
              </w:rPr>
            </w:pPr>
          </w:p>
        </w:tc>
        <w:tc>
          <w:tcPr>
            <w:tcW w:w="838" w:type="dxa"/>
            <w:vAlign w:val="center"/>
          </w:tcPr>
          <w:p w14:paraId="769823E5">
            <w:pPr>
              <w:jc w:val="center"/>
              <w:rPr>
                <w:kern w:val="0"/>
                <w:sz w:val="20"/>
                <w:szCs w:val="21"/>
                <w:lang w:bidi="ar"/>
              </w:rPr>
            </w:pPr>
          </w:p>
        </w:tc>
        <w:tc>
          <w:tcPr>
            <w:tcW w:w="950" w:type="dxa"/>
            <w:vAlign w:val="center"/>
          </w:tcPr>
          <w:p w14:paraId="45A5EE3E">
            <w:pPr>
              <w:widowControl/>
              <w:jc w:val="center"/>
              <w:textAlignment w:val="center"/>
              <w:rPr>
                <w:kern w:val="0"/>
                <w:sz w:val="20"/>
                <w:szCs w:val="21"/>
                <w:lang w:bidi="ar"/>
              </w:rPr>
            </w:pPr>
          </w:p>
        </w:tc>
        <w:tc>
          <w:tcPr>
            <w:tcW w:w="777" w:type="dxa"/>
            <w:vAlign w:val="center"/>
          </w:tcPr>
          <w:p w14:paraId="09B1A9A7">
            <w:pPr>
              <w:widowControl/>
              <w:jc w:val="center"/>
              <w:textAlignment w:val="center"/>
              <w:rPr>
                <w:kern w:val="0"/>
                <w:sz w:val="20"/>
                <w:szCs w:val="21"/>
                <w:lang w:val="zh-CN" w:bidi="ar"/>
              </w:rPr>
            </w:pPr>
          </w:p>
        </w:tc>
        <w:tc>
          <w:tcPr>
            <w:tcW w:w="1224" w:type="dxa"/>
            <w:vAlign w:val="center"/>
          </w:tcPr>
          <w:p w14:paraId="7FC61912">
            <w:pPr>
              <w:widowControl/>
              <w:jc w:val="center"/>
              <w:textAlignment w:val="center"/>
              <w:rPr>
                <w:kern w:val="0"/>
                <w:sz w:val="20"/>
                <w:szCs w:val="21"/>
                <w:lang w:bidi="ar"/>
              </w:rPr>
            </w:pPr>
          </w:p>
        </w:tc>
        <w:tc>
          <w:tcPr>
            <w:tcW w:w="1166" w:type="dxa"/>
            <w:vAlign w:val="center"/>
          </w:tcPr>
          <w:p w14:paraId="6DBCCA96">
            <w:pPr>
              <w:widowControl/>
              <w:jc w:val="center"/>
              <w:textAlignment w:val="center"/>
              <w:rPr>
                <w:kern w:val="0"/>
                <w:sz w:val="20"/>
                <w:szCs w:val="21"/>
                <w:lang w:bidi="ar"/>
              </w:rPr>
            </w:pPr>
          </w:p>
        </w:tc>
      </w:tr>
      <w:tr w14:paraId="0623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4" w:type="dxa"/>
            <w:vAlign w:val="center"/>
          </w:tcPr>
          <w:p w14:paraId="79BD3ED7">
            <w:pPr>
              <w:spacing w:line="23" w:lineRule="atLeast"/>
              <w:jc w:val="center"/>
              <w:rPr>
                <w:kern w:val="0"/>
                <w:sz w:val="20"/>
                <w:szCs w:val="21"/>
              </w:rPr>
            </w:pPr>
            <w:r>
              <w:rPr>
                <w:kern w:val="0"/>
                <w:sz w:val="20"/>
                <w:szCs w:val="21"/>
              </w:rPr>
              <w:t>12</w:t>
            </w:r>
          </w:p>
        </w:tc>
        <w:tc>
          <w:tcPr>
            <w:tcW w:w="2514" w:type="dxa"/>
            <w:vAlign w:val="center"/>
          </w:tcPr>
          <w:p w14:paraId="6C20C3DA">
            <w:pPr>
              <w:widowControl/>
              <w:jc w:val="center"/>
              <w:textAlignment w:val="center"/>
              <w:rPr>
                <w:kern w:val="0"/>
                <w:sz w:val="20"/>
                <w:szCs w:val="21"/>
                <w:lang w:val="zh-CN" w:bidi="ar"/>
              </w:rPr>
            </w:pPr>
          </w:p>
        </w:tc>
        <w:tc>
          <w:tcPr>
            <w:tcW w:w="845" w:type="dxa"/>
            <w:vAlign w:val="center"/>
          </w:tcPr>
          <w:p w14:paraId="400664E0">
            <w:pPr>
              <w:widowControl/>
              <w:jc w:val="center"/>
              <w:textAlignment w:val="center"/>
              <w:rPr>
                <w:kern w:val="0"/>
                <w:sz w:val="20"/>
                <w:szCs w:val="21"/>
                <w:lang w:bidi="ar"/>
              </w:rPr>
            </w:pPr>
          </w:p>
        </w:tc>
        <w:tc>
          <w:tcPr>
            <w:tcW w:w="838" w:type="dxa"/>
            <w:vAlign w:val="center"/>
          </w:tcPr>
          <w:p w14:paraId="5058C7C1">
            <w:pPr>
              <w:jc w:val="center"/>
              <w:rPr>
                <w:kern w:val="0"/>
                <w:sz w:val="20"/>
                <w:szCs w:val="21"/>
                <w:lang w:bidi="ar"/>
              </w:rPr>
            </w:pPr>
          </w:p>
        </w:tc>
        <w:tc>
          <w:tcPr>
            <w:tcW w:w="950" w:type="dxa"/>
            <w:vAlign w:val="center"/>
          </w:tcPr>
          <w:p w14:paraId="78F423E8">
            <w:pPr>
              <w:widowControl/>
              <w:jc w:val="center"/>
              <w:textAlignment w:val="center"/>
              <w:rPr>
                <w:kern w:val="0"/>
                <w:sz w:val="20"/>
                <w:szCs w:val="21"/>
                <w:lang w:bidi="ar"/>
              </w:rPr>
            </w:pPr>
          </w:p>
        </w:tc>
        <w:tc>
          <w:tcPr>
            <w:tcW w:w="777" w:type="dxa"/>
            <w:vAlign w:val="center"/>
          </w:tcPr>
          <w:p w14:paraId="49127198">
            <w:pPr>
              <w:widowControl/>
              <w:jc w:val="center"/>
              <w:textAlignment w:val="center"/>
              <w:rPr>
                <w:kern w:val="0"/>
                <w:sz w:val="20"/>
                <w:szCs w:val="21"/>
                <w:lang w:val="zh-CN" w:bidi="ar"/>
              </w:rPr>
            </w:pPr>
          </w:p>
        </w:tc>
        <w:tc>
          <w:tcPr>
            <w:tcW w:w="1224" w:type="dxa"/>
            <w:vAlign w:val="center"/>
          </w:tcPr>
          <w:p w14:paraId="639CA6DD">
            <w:pPr>
              <w:widowControl/>
              <w:jc w:val="center"/>
              <w:textAlignment w:val="center"/>
              <w:rPr>
                <w:kern w:val="0"/>
                <w:sz w:val="20"/>
                <w:szCs w:val="21"/>
                <w:lang w:bidi="ar"/>
              </w:rPr>
            </w:pPr>
          </w:p>
        </w:tc>
        <w:tc>
          <w:tcPr>
            <w:tcW w:w="1166" w:type="dxa"/>
            <w:vAlign w:val="center"/>
          </w:tcPr>
          <w:p w14:paraId="0BBA538A">
            <w:pPr>
              <w:widowControl/>
              <w:jc w:val="center"/>
              <w:textAlignment w:val="center"/>
              <w:rPr>
                <w:kern w:val="0"/>
                <w:sz w:val="20"/>
                <w:szCs w:val="21"/>
                <w:lang w:bidi="ar"/>
              </w:rPr>
            </w:pPr>
          </w:p>
        </w:tc>
      </w:tr>
      <w:tr w14:paraId="68876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4" w:type="dxa"/>
            <w:vAlign w:val="center"/>
          </w:tcPr>
          <w:p w14:paraId="1DF7466E">
            <w:pPr>
              <w:spacing w:line="23" w:lineRule="atLeast"/>
              <w:jc w:val="center"/>
              <w:rPr>
                <w:kern w:val="0"/>
                <w:sz w:val="20"/>
                <w:szCs w:val="21"/>
              </w:rPr>
            </w:pPr>
            <w:r>
              <w:rPr>
                <w:kern w:val="0"/>
                <w:sz w:val="20"/>
                <w:szCs w:val="21"/>
              </w:rPr>
              <w:t>13</w:t>
            </w:r>
          </w:p>
        </w:tc>
        <w:tc>
          <w:tcPr>
            <w:tcW w:w="2514" w:type="dxa"/>
            <w:vAlign w:val="center"/>
          </w:tcPr>
          <w:p w14:paraId="3255AE86">
            <w:pPr>
              <w:widowControl/>
              <w:jc w:val="center"/>
              <w:textAlignment w:val="center"/>
              <w:rPr>
                <w:kern w:val="0"/>
                <w:sz w:val="20"/>
                <w:szCs w:val="21"/>
                <w:lang w:val="zh-CN" w:bidi="ar"/>
              </w:rPr>
            </w:pPr>
          </w:p>
        </w:tc>
        <w:tc>
          <w:tcPr>
            <w:tcW w:w="845" w:type="dxa"/>
            <w:vAlign w:val="center"/>
          </w:tcPr>
          <w:p w14:paraId="1C1505E0">
            <w:pPr>
              <w:widowControl/>
              <w:jc w:val="center"/>
              <w:textAlignment w:val="center"/>
              <w:rPr>
                <w:kern w:val="0"/>
                <w:sz w:val="20"/>
                <w:szCs w:val="21"/>
                <w:lang w:bidi="ar"/>
              </w:rPr>
            </w:pPr>
          </w:p>
        </w:tc>
        <w:tc>
          <w:tcPr>
            <w:tcW w:w="838" w:type="dxa"/>
            <w:vAlign w:val="center"/>
          </w:tcPr>
          <w:p w14:paraId="6D8F28E1">
            <w:pPr>
              <w:jc w:val="center"/>
              <w:rPr>
                <w:kern w:val="0"/>
                <w:sz w:val="20"/>
                <w:szCs w:val="21"/>
                <w:lang w:bidi="ar"/>
              </w:rPr>
            </w:pPr>
          </w:p>
        </w:tc>
        <w:tc>
          <w:tcPr>
            <w:tcW w:w="950" w:type="dxa"/>
            <w:vAlign w:val="center"/>
          </w:tcPr>
          <w:p w14:paraId="28203D05">
            <w:pPr>
              <w:widowControl/>
              <w:jc w:val="center"/>
              <w:textAlignment w:val="center"/>
              <w:rPr>
                <w:kern w:val="0"/>
                <w:sz w:val="20"/>
                <w:szCs w:val="21"/>
                <w:lang w:bidi="ar"/>
              </w:rPr>
            </w:pPr>
          </w:p>
        </w:tc>
        <w:tc>
          <w:tcPr>
            <w:tcW w:w="777" w:type="dxa"/>
            <w:vAlign w:val="center"/>
          </w:tcPr>
          <w:p w14:paraId="77D1B743">
            <w:pPr>
              <w:widowControl/>
              <w:jc w:val="center"/>
              <w:textAlignment w:val="center"/>
              <w:rPr>
                <w:kern w:val="0"/>
                <w:sz w:val="20"/>
                <w:szCs w:val="21"/>
                <w:lang w:val="zh-CN" w:bidi="ar"/>
              </w:rPr>
            </w:pPr>
          </w:p>
        </w:tc>
        <w:tc>
          <w:tcPr>
            <w:tcW w:w="1224" w:type="dxa"/>
            <w:vAlign w:val="center"/>
          </w:tcPr>
          <w:p w14:paraId="43708C5C">
            <w:pPr>
              <w:widowControl/>
              <w:jc w:val="center"/>
              <w:textAlignment w:val="center"/>
              <w:rPr>
                <w:kern w:val="0"/>
                <w:sz w:val="20"/>
                <w:szCs w:val="21"/>
                <w:lang w:bidi="ar"/>
              </w:rPr>
            </w:pPr>
          </w:p>
        </w:tc>
        <w:tc>
          <w:tcPr>
            <w:tcW w:w="1166" w:type="dxa"/>
            <w:vAlign w:val="center"/>
          </w:tcPr>
          <w:p w14:paraId="4FC58B8C">
            <w:pPr>
              <w:widowControl/>
              <w:jc w:val="center"/>
              <w:textAlignment w:val="center"/>
              <w:rPr>
                <w:kern w:val="0"/>
                <w:sz w:val="20"/>
                <w:szCs w:val="21"/>
                <w:lang w:bidi="ar"/>
              </w:rPr>
            </w:pPr>
          </w:p>
        </w:tc>
      </w:tr>
      <w:tr w14:paraId="1E1E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4" w:type="dxa"/>
            <w:vAlign w:val="center"/>
          </w:tcPr>
          <w:p w14:paraId="2DF2C58D">
            <w:pPr>
              <w:spacing w:line="23" w:lineRule="atLeast"/>
              <w:jc w:val="center"/>
              <w:rPr>
                <w:kern w:val="0"/>
                <w:sz w:val="20"/>
                <w:szCs w:val="21"/>
              </w:rPr>
            </w:pPr>
            <w:r>
              <w:rPr>
                <w:kern w:val="0"/>
                <w:sz w:val="20"/>
                <w:szCs w:val="21"/>
              </w:rPr>
              <w:t>14</w:t>
            </w:r>
          </w:p>
        </w:tc>
        <w:tc>
          <w:tcPr>
            <w:tcW w:w="2514" w:type="dxa"/>
            <w:vAlign w:val="center"/>
          </w:tcPr>
          <w:p w14:paraId="55917129">
            <w:pPr>
              <w:widowControl/>
              <w:jc w:val="center"/>
              <w:textAlignment w:val="center"/>
              <w:rPr>
                <w:kern w:val="0"/>
                <w:sz w:val="20"/>
                <w:szCs w:val="21"/>
                <w:lang w:val="zh-CN" w:bidi="ar"/>
              </w:rPr>
            </w:pPr>
          </w:p>
        </w:tc>
        <w:tc>
          <w:tcPr>
            <w:tcW w:w="845" w:type="dxa"/>
            <w:vAlign w:val="center"/>
          </w:tcPr>
          <w:p w14:paraId="47AF21EA">
            <w:pPr>
              <w:widowControl/>
              <w:jc w:val="center"/>
              <w:textAlignment w:val="center"/>
              <w:rPr>
                <w:kern w:val="0"/>
                <w:sz w:val="20"/>
                <w:szCs w:val="21"/>
                <w:lang w:bidi="ar"/>
              </w:rPr>
            </w:pPr>
          </w:p>
        </w:tc>
        <w:tc>
          <w:tcPr>
            <w:tcW w:w="838" w:type="dxa"/>
            <w:vAlign w:val="center"/>
          </w:tcPr>
          <w:p w14:paraId="24B4D6B1">
            <w:pPr>
              <w:widowControl/>
              <w:jc w:val="center"/>
              <w:textAlignment w:val="center"/>
              <w:rPr>
                <w:kern w:val="0"/>
                <w:sz w:val="20"/>
                <w:szCs w:val="21"/>
                <w:lang w:val="zh-CN" w:bidi="ar"/>
              </w:rPr>
            </w:pPr>
          </w:p>
        </w:tc>
        <w:tc>
          <w:tcPr>
            <w:tcW w:w="950" w:type="dxa"/>
            <w:vAlign w:val="center"/>
          </w:tcPr>
          <w:p w14:paraId="489CFF1F">
            <w:pPr>
              <w:widowControl/>
              <w:jc w:val="center"/>
              <w:textAlignment w:val="center"/>
              <w:rPr>
                <w:kern w:val="0"/>
                <w:sz w:val="20"/>
                <w:szCs w:val="21"/>
                <w:lang w:bidi="ar"/>
              </w:rPr>
            </w:pPr>
          </w:p>
        </w:tc>
        <w:tc>
          <w:tcPr>
            <w:tcW w:w="777" w:type="dxa"/>
            <w:vAlign w:val="center"/>
          </w:tcPr>
          <w:p w14:paraId="49F4124A">
            <w:pPr>
              <w:widowControl/>
              <w:jc w:val="center"/>
              <w:textAlignment w:val="center"/>
              <w:rPr>
                <w:kern w:val="0"/>
                <w:sz w:val="20"/>
                <w:szCs w:val="21"/>
                <w:lang w:val="zh-CN" w:bidi="ar"/>
              </w:rPr>
            </w:pPr>
          </w:p>
        </w:tc>
        <w:tc>
          <w:tcPr>
            <w:tcW w:w="1224" w:type="dxa"/>
            <w:vAlign w:val="center"/>
          </w:tcPr>
          <w:p w14:paraId="336E8C68">
            <w:pPr>
              <w:widowControl/>
              <w:jc w:val="center"/>
              <w:textAlignment w:val="center"/>
              <w:rPr>
                <w:kern w:val="0"/>
                <w:sz w:val="20"/>
                <w:szCs w:val="21"/>
                <w:lang w:bidi="ar"/>
              </w:rPr>
            </w:pPr>
          </w:p>
        </w:tc>
        <w:tc>
          <w:tcPr>
            <w:tcW w:w="1166" w:type="dxa"/>
            <w:vAlign w:val="center"/>
          </w:tcPr>
          <w:p w14:paraId="330D3E5C">
            <w:pPr>
              <w:widowControl/>
              <w:jc w:val="center"/>
              <w:textAlignment w:val="center"/>
              <w:rPr>
                <w:kern w:val="0"/>
                <w:sz w:val="20"/>
                <w:szCs w:val="21"/>
                <w:lang w:bidi="ar"/>
              </w:rPr>
            </w:pPr>
          </w:p>
        </w:tc>
      </w:tr>
      <w:tr w14:paraId="60C6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4" w:type="dxa"/>
            <w:vAlign w:val="center"/>
          </w:tcPr>
          <w:p w14:paraId="040B1912">
            <w:pPr>
              <w:spacing w:line="23" w:lineRule="atLeast"/>
              <w:jc w:val="center"/>
              <w:rPr>
                <w:kern w:val="0"/>
                <w:sz w:val="20"/>
                <w:szCs w:val="21"/>
              </w:rPr>
            </w:pPr>
            <w:r>
              <w:rPr>
                <w:kern w:val="0"/>
                <w:sz w:val="20"/>
                <w:szCs w:val="21"/>
              </w:rPr>
              <w:t>15</w:t>
            </w:r>
          </w:p>
        </w:tc>
        <w:tc>
          <w:tcPr>
            <w:tcW w:w="2514" w:type="dxa"/>
            <w:vAlign w:val="center"/>
          </w:tcPr>
          <w:p w14:paraId="38CD79D1">
            <w:pPr>
              <w:widowControl/>
              <w:jc w:val="center"/>
              <w:textAlignment w:val="center"/>
              <w:rPr>
                <w:kern w:val="0"/>
                <w:sz w:val="20"/>
                <w:szCs w:val="21"/>
                <w:lang w:val="zh-CN" w:bidi="ar"/>
              </w:rPr>
            </w:pPr>
          </w:p>
        </w:tc>
        <w:tc>
          <w:tcPr>
            <w:tcW w:w="845" w:type="dxa"/>
            <w:vAlign w:val="center"/>
          </w:tcPr>
          <w:p w14:paraId="3DC71C32">
            <w:pPr>
              <w:widowControl/>
              <w:jc w:val="center"/>
              <w:textAlignment w:val="center"/>
              <w:rPr>
                <w:kern w:val="0"/>
                <w:sz w:val="20"/>
                <w:szCs w:val="21"/>
                <w:lang w:bidi="ar"/>
              </w:rPr>
            </w:pPr>
          </w:p>
        </w:tc>
        <w:tc>
          <w:tcPr>
            <w:tcW w:w="838" w:type="dxa"/>
            <w:vAlign w:val="center"/>
          </w:tcPr>
          <w:p w14:paraId="1A9178C4">
            <w:pPr>
              <w:widowControl/>
              <w:jc w:val="center"/>
              <w:textAlignment w:val="center"/>
              <w:rPr>
                <w:kern w:val="0"/>
                <w:sz w:val="20"/>
                <w:szCs w:val="21"/>
                <w:lang w:val="zh-CN" w:bidi="ar"/>
              </w:rPr>
            </w:pPr>
          </w:p>
        </w:tc>
        <w:tc>
          <w:tcPr>
            <w:tcW w:w="950" w:type="dxa"/>
            <w:vAlign w:val="center"/>
          </w:tcPr>
          <w:p w14:paraId="59D2BF6F">
            <w:pPr>
              <w:widowControl/>
              <w:jc w:val="center"/>
              <w:textAlignment w:val="center"/>
              <w:rPr>
                <w:kern w:val="0"/>
                <w:sz w:val="20"/>
                <w:szCs w:val="21"/>
                <w:lang w:val="zh-CN" w:bidi="ar"/>
              </w:rPr>
            </w:pPr>
          </w:p>
        </w:tc>
        <w:tc>
          <w:tcPr>
            <w:tcW w:w="777" w:type="dxa"/>
            <w:vAlign w:val="center"/>
          </w:tcPr>
          <w:p w14:paraId="0506E310">
            <w:pPr>
              <w:widowControl/>
              <w:jc w:val="center"/>
              <w:textAlignment w:val="center"/>
              <w:rPr>
                <w:kern w:val="0"/>
                <w:sz w:val="20"/>
                <w:szCs w:val="21"/>
                <w:lang w:val="zh-CN" w:bidi="ar"/>
              </w:rPr>
            </w:pPr>
          </w:p>
        </w:tc>
        <w:tc>
          <w:tcPr>
            <w:tcW w:w="1224" w:type="dxa"/>
            <w:vAlign w:val="center"/>
          </w:tcPr>
          <w:p w14:paraId="74419934">
            <w:pPr>
              <w:widowControl/>
              <w:jc w:val="center"/>
              <w:textAlignment w:val="center"/>
              <w:rPr>
                <w:kern w:val="0"/>
                <w:sz w:val="20"/>
                <w:szCs w:val="21"/>
                <w:lang w:bidi="ar"/>
              </w:rPr>
            </w:pPr>
          </w:p>
        </w:tc>
        <w:tc>
          <w:tcPr>
            <w:tcW w:w="1166" w:type="dxa"/>
            <w:vAlign w:val="center"/>
          </w:tcPr>
          <w:p w14:paraId="139F492B">
            <w:pPr>
              <w:widowControl/>
              <w:jc w:val="center"/>
              <w:textAlignment w:val="center"/>
              <w:rPr>
                <w:kern w:val="0"/>
                <w:sz w:val="20"/>
                <w:szCs w:val="21"/>
                <w:lang w:bidi="ar"/>
              </w:rPr>
            </w:pPr>
          </w:p>
        </w:tc>
      </w:tr>
      <w:tr w14:paraId="2FF3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4" w:type="dxa"/>
            <w:vAlign w:val="center"/>
          </w:tcPr>
          <w:p w14:paraId="41A9050C">
            <w:pPr>
              <w:spacing w:line="23" w:lineRule="atLeast"/>
              <w:jc w:val="center"/>
              <w:rPr>
                <w:kern w:val="0"/>
                <w:sz w:val="20"/>
                <w:szCs w:val="21"/>
              </w:rPr>
            </w:pPr>
            <w:r>
              <w:rPr>
                <w:kern w:val="0"/>
                <w:sz w:val="20"/>
                <w:szCs w:val="21"/>
              </w:rPr>
              <w:t>16</w:t>
            </w:r>
          </w:p>
        </w:tc>
        <w:tc>
          <w:tcPr>
            <w:tcW w:w="2514" w:type="dxa"/>
            <w:vAlign w:val="center"/>
          </w:tcPr>
          <w:p w14:paraId="0C3367EB">
            <w:pPr>
              <w:widowControl/>
              <w:jc w:val="center"/>
              <w:textAlignment w:val="center"/>
              <w:rPr>
                <w:kern w:val="0"/>
                <w:sz w:val="20"/>
                <w:szCs w:val="21"/>
                <w:lang w:val="zh-CN" w:bidi="ar"/>
              </w:rPr>
            </w:pPr>
          </w:p>
        </w:tc>
        <w:tc>
          <w:tcPr>
            <w:tcW w:w="845" w:type="dxa"/>
            <w:vAlign w:val="center"/>
          </w:tcPr>
          <w:p w14:paraId="2B264B95">
            <w:pPr>
              <w:widowControl/>
              <w:jc w:val="center"/>
              <w:textAlignment w:val="center"/>
              <w:rPr>
                <w:kern w:val="0"/>
                <w:sz w:val="20"/>
                <w:szCs w:val="21"/>
                <w:lang w:bidi="ar"/>
              </w:rPr>
            </w:pPr>
          </w:p>
        </w:tc>
        <w:tc>
          <w:tcPr>
            <w:tcW w:w="838" w:type="dxa"/>
            <w:vAlign w:val="center"/>
          </w:tcPr>
          <w:p w14:paraId="772E6938">
            <w:pPr>
              <w:widowControl/>
              <w:jc w:val="center"/>
              <w:textAlignment w:val="center"/>
              <w:rPr>
                <w:kern w:val="0"/>
                <w:sz w:val="20"/>
                <w:szCs w:val="21"/>
                <w:lang w:bidi="ar"/>
              </w:rPr>
            </w:pPr>
          </w:p>
        </w:tc>
        <w:tc>
          <w:tcPr>
            <w:tcW w:w="950" w:type="dxa"/>
            <w:vAlign w:val="center"/>
          </w:tcPr>
          <w:p w14:paraId="4A877E3B">
            <w:pPr>
              <w:widowControl/>
              <w:jc w:val="center"/>
              <w:textAlignment w:val="center"/>
              <w:rPr>
                <w:kern w:val="0"/>
                <w:sz w:val="20"/>
                <w:szCs w:val="21"/>
                <w:lang w:bidi="ar"/>
              </w:rPr>
            </w:pPr>
          </w:p>
        </w:tc>
        <w:tc>
          <w:tcPr>
            <w:tcW w:w="777" w:type="dxa"/>
            <w:vAlign w:val="center"/>
          </w:tcPr>
          <w:p w14:paraId="4B02850F">
            <w:pPr>
              <w:widowControl/>
              <w:jc w:val="center"/>
              <w:textAlignment w:val="center"/>
              <w:rPr>
                <w:kern w:val="0"/>
                <w:sz w:val="20"/>
                <w:szCs w:val="21"/>
                <w:lang w:val="zh-CN" w:bidi="ar"/>
              </w:rPr>
            </w:pPr>
          </w:p>
        </w:tc>
        <w:tc>
          <w:tcPr>
            <w:tcW w:w="1224" w:type="dxa"/>
            <w:vAlign w:val="center"/>
          </w:tcPr>
          <w:p w14:paraId="3AB7724E">
            <w:pPr>
              <w:widowControl/>
              <w:jc w:val="center"/>
              <w:textAlignment w:val="center"/>
              <w:rPr>
                <w:kern w:val="0"/>
                <w:sz w:val="20"/>
                <w:szCs w:val="21"/>
                <w:lang w:bidi="ar"/>
              </w:rPr>
            </w:pPr>
          </w:p>
        </w:tc>
        <w:tc>
          <w:tcPr>
            <w:tcW w:w="1166" w:type="dxa"/>
            <w:vAlign w:val="center"/>
          </w:tcPr>
          <w:p w14:paraId="2AA8FCB8">
            <w:pPr>
              <w:widowControl/>
              <w:jc w:val="center"/>
              <w:textAlignment w:val="center"/>
              <w:rPr>
                <w:kern w:val="0"/>
                <w:sz w:val="20"/>
                <w:szCs w:val="21"/>
                <w:lang w:bidi="ar"/>
              </w:rPr>
            </w:pPr>
          </w:p>
        </w:tc>
      </w:tr>
      <w:tr w14:paraId="1EB2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604" w:type="dxa"/>
            <w:vAlign w:val="center"/>
          </w:tcPr>
          <w:p w14:paraId="3AAFA4BE">
            <w:pPr>
              <w:spacing w:line="23" w:lineRule="atLeast"/>
              <w:jc w:val="center"/>
              <w:rPr>
                <w:kern w:val="0"/>
                <w:sz w:val="20"/>
                <w:szCs w:val="21"/>
              </w:rPr>
            </w:pPr>
            <w:r>
              <w:rPr>
                <w:kern w:val="0"/>
                <w:sz w:val="20"/>
                <w:szCs w:val="21"/>
              </w:rPr>
              <w:t>17</w:t>
            </w:r>
          </w:p>
        </w:tc>
        <w:tc>
          <w:tcPr>
            <w:tcW w:w="2514" w:type="dxa"/>
            <w:vAlign w:val="center"/>
          </w:tcPr>
          <w:p w14:paraId="7F4FDF97">
            <w:pPr>
              <w:widowControl/>
              <w:jc w:val="center"/>
              <w:textAlignment w:val="center"/>
              <w:rPr>
                <w:kern w:val="0"/>
                <w:sz w:val="20"/>
                <w:szCs w:val="21"/>
                <w:lang w:val="zh-CN" w:bidi="ar"/>
              </w:rPr>
            </w:pPr>
          </w:p>
        </w:tc>
        <w:tc>
          <w:tcPr>
            <w:tcW w:w="845" w:type="dxa"/>
            <w:vAlign w:val="center"/>
          </w:tcPr>
          <w:p w14:paraId="3641AA81">
            <w:pPr>
              <w:widowControl/>
              <w:jc w:val="center"/>
              <w:textAlignment w:val="center"/>
              <w:rPr>
                <w:kern w:val="0"/>
                <w:sz w:val="20"/>
                <w:szCs w:val="21"/>
                <w:lang w:bidi="ar"/>
              </w:rPr>
            </w:pPr>
          </w:p>
        </w:tc>
        <w:tc>
          <w:tcPr>
            <w:tcW w:w="838" w:type="dxa"/>
            <w:vAlign w:val="center"/>
          </w:tcPr>
          <w:p w14:paraId="1036DA14">
            <w:pPr>
              <w:jc w:val="center"/>
              <w:rPr>
                <w:kern w:val="0"/>
                <w:sz w:val="20"/>
                <w:szCs w:val="21"/>
                <w:lang w:val="zh-CN" w:bidi="ar"/>
              </w:rPr>
            </w:pPr>
          </w:p>
        </w:tc>
        <w:tc>
          <w:tcPr>
            <w:tcW w:w="950" w:type="dxa"/>
            <w:vAlign w:val="center"/>
          </w:tcPr>
          <w:p w14:paraId="2358E21F">
            <w:pPr>
              <w:widowControl/>
              <w:jc w:val="center"/>
              <w:textAlignment w:val="center"/>
              <w:rPr>
                <w:kern w:val="0"/>
                <w:sz w:val="20"/>
                <w:szCs w:val="21"/>
                <w:lang w:val="zh-CN" w:bidi="ar"/>
              </w:rPr>
            </w:pPr>
          </w:p>
        </w:tc>
        <w:tc>
          <w:tcPr>
            <w:tcW w:w="777" w:type="dxa"/>
            <w:vAlign w:val="center"/>
          </w:tcPr>
          <w:p w14:paraId="23E78339">
            <w:pPr>
              <w:widowControl/>
              <w:jc w:val="center"/>
              <w:textAlignment w:val="center"/>
              <w:rPr>
                <w:kern w:val="0"/>
                <w:sz w:val="20"/>
                <w:szCs w:val="21"/>
                <w:lang w:val="zh-CN" w:bidi="ar"/>
              </w:rPr>
            </w:pPr>
          </w:p>
        </w:tc>
        <w:tc>
          <w:tcPr>
            <w:tcW w:w="1224" w:type="dxa"/>
            <w:vAlign w:val="center"/>
          </w:tcPr>
          <w:p w14:paraId="03A1F1E2">
            <w:pPr>
              <w:widowControl/>
              <w:jc w:val="center"/>
              <w:textAlignment w:val="center"/>
              <w:rPr>
                <w:kern w:val="0"/>
                <w:sz w:val="20"/>
                <w:szCs w:val="21"/>
                <w:lang w:bidi="ar"/>
              </w:rPr>
            </w:pPr>
          </w:p>
        </w:tc>
        <w:tc>
          <w:tcPr>
            <w:tcW w:w="1166" w:type="dxa"/>
            <w:vAlign w:val="center"/>
          </w:tcPr>
          <w:p w14:paraId="76C92C36">
            <w:pPr>
              <w:widowControl/>
              <w:jc w:val="center"/>
              <w:textAlignment w:val="center"/>
              <w:rPr>
                <w:kern w:val="0"/>
                <w:sz w:val="20"/>
                <w:szCs w:val="21"/>
                <w:lang w:bidi="ar"/>
              </w:rPr>
            </w:pPr>
          </w:p>
        </w:tc>
      </w:tr>
      <w:tr w14:paraId="52FA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04" w:type="dxa"/>
            <w:vAlign w:val="center"/>
          </w:tcPr>
          <w:p w14:paraId="2FCC1B2E">
            <w:pPr>
              <w:spacing w:line="23" w:lineRule="atLeast"/>
              <w:jc w:val="center"/>
              <w:rPr>
                <w:kern w:val="0"/>
                <w:sz w:val="20"/>
                <w:szCs w:val="21"/>
              </w:rPr>
            </w:pPr>
            <w:r>
              <w:rPr>
                <w:kern w:val="0"/>
                <w:sz w:val="20"/>
                <w:szCs w:val="21"/>
              </w:rPr>
              <w:t>18</w:t>
            </w:r>
          </w:p>
        </w:tc>
        <w:tc>
          <w:tcPr>
            <w:tcW w:w="2514" w:type="dxa"/>
            <w:vAlign w:val="center"/>
          </w:tcPr>
          <w:p w14:paraId="443B7965">
            <w:pPr>
              <w:widowControl/>
              <w:jc w:val="center"/>
              <w:textAlignment w:val="center"/>
              <w:rPr>
                <w:kern w:val="0"/>
                <w:sz w:val="20"/>
                <w:szCs w:val="21"/>
                <w:lang w:bidi="ar"/>
              </w:rPr>
            </w:pPr>
          </w:p>
        </w:tc>
        <w:tc>
          <w:tcPr>
            <w:tcW w:w="845" w:type="dxa"/>
            <w:vAlign w:val="center"/>
          </w:tcPr>
          <w:p w14:paraId="38ACEEAF">
            <w:pPr>
              <w:widowControl/>
              <w:jc w:val="center"/>
              <w:textAlignment w:val="center"/>
              <w:rPr>
                <w:kern w:val="0"/>
                <w:sz w:val="20"/>
                <w:szCs w:val="21"/>
                <w:lang w:bidi="ar"/>
              </w:rPr>
            </w:pPr>
          </w:p>
        </w:tc>
        <w:tc>
          <w:tcPr>
            <w:tcW w:w="838" w:type="dxa"/>
            <w:vAlign w:val="center"/>
          </w:tcPr>
          <w:p w14:paraId="5D4D84FE">
            <w:pPr>
              <w:jc w:val="center"/>
              <w:rPr>
                <w:kern w:val="0"/>
                <w:sz w:val="20"/>
                <w:szCs w:val="21"/>
                <w:lang w:bidi="ar"/>
              </w:rPr>
            </w:pPr>
          </w:p>
        </w:tc>
        <w:tc>
          <w:tcPr>
            <w:tcW w:w="950" w:type="dxa"/>
            <w:vAlign w:val="center"/>
          </w:tcPr>
          <w:p w14:paraId="01F3E0D0">
            <w:pPr>
              <w:widowControl/>
              <w:jc w:val="center"/>
              <w:textAlignment w:val="center"/>
              <w:rPr>
                <w:kern w:val="0"/>
                <w:sz w:val="20"/>
                <w:szCs w:val="21"/>
                <w:lang w:bidi="ar"/>
              </w:rPr>
            </w:pPr>
          </w:p>
        </w:tc>
        <w:tc>
          <w:tcPr>
            <w:tcW w:w="777" w:type="dxa"/>
            <w:vAlign w:val="center"/>
          </w:tcPr>
          <w:p w14:paraId="04044B8E">
            <w:pPr>
              <w:widowControl/>
              <w:jc w:val="center"/>
              <w:textAlignment w:val="center"/>
              <w:rPr>
                <w:kern w:val="0"/>
                <w:sz w:val="20"/>
                <w:szCs w:val="21"/>
                <w:lang w:bidi="ar"/>
              </w:rPr>
            </w:pPr>
          </w:p>
        </w:tc>
        <w:tc>
          <w:tcPr>
            <w:tcW w:w="1224" w:type="dxa"/>
            <w:vAlign w:val="center"/>
          </w:tcPr>
          <w:p w14:paraId="33D33EB6">
            <w:pPr>
              <w:widowControl/>
              <w:jc w:val="center"/>
              <w:textAlignment w:val="center"/>
              <w:rPr>
                <w:kern w:val="0"/>
                <w:sz w:val="20"/>
                <w:szCs w:val="21"/>
                <w:lang w:bidi="ar"/>
              </w:rPr>
            </w:pPr>
          </w:p>
        </w:tc>
        <w:tc>
          <w:tcPr>
            <w:tcW w:w="1166" w:type="dxa"/>
            <w:vAlign w:val="center"/>
          </w:tcPr>
          <w:p w14:paraId="4A199876">
            <w:pPr>
              <w:widowControl/>
              <w:jc w:val="center"/>
              <w:textAlignment w:val="center"/>
              <w:rPr>
                <w:kern w:val="0"/>
                <w:sz w:val="20"/>
                <w:szCs w:val="21"/>
                <w:lang w:bidi="ar"/>
              </w:rPr>
            </w:pPr>
          </w:p>
        </w:tc>
      </w:tr>
      <w:tr w14:paraId="6E0E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04" w:type="dxa"/>
            <w:vAlign w:val="center"/>
          </w:tcPr>
          <w:p w14:paraId="76FDD5B3">
            <w:pPr>
              <w:spacing w:line="23" w:lineRule="atLeast"/>
              <w:jc w:val="center"/>
              <w:rPr>
                <w:kern w:val="0"/>
                <w:sz w:val="20"/>
                <w:szCs w:val="21"/>
              </w:rPr>
            </w:pPr>
            <w:r>
              <w:rPr>
                <w:kern w:val="0"/>
                <w:sz w:val="20"/>
                <w:szCs w:val="21"/>
              </w:rPr>
              <w:t>19</w:t>
            </w:r>
          </w:p>
        </w:tc>
        <w:tc>
          <w:tcPr>
            <w:tcW w:w="2514" w:type="dxa"/>
            <w:vAlign w:val="center"/>
          </w:tcPr>
          <w:p w14:paraId="02FC300A">
            <w:pPr>
              <w:widowControl/>
              <w:jc w:val="center"/>
              <w:textAlignment w:val="center"/>
              <w:rPr>
                <w:kern w:val="0"/>
                <w:sz w:val="20"/>
                <w:szCs w:val="21"/>
                <w:lang w:bidi="ar"/>
              </w:rPr>
            </w:pPr>
            <w:r>
              <w:rPr>
                <w:color w:val="000000"/>
                <w:kern w:val="0"/>
                <w:sz w:val="20"/>
                <w:szCs w:val="21"/>
                <w:lang w:bidi="ar"/>
              </w:rPr>
              <w:t>合计</w:t>
            </w:r>
          </w:p>
        </w:tc>
        <w:tc>
          <w:tcPr>
            <w:tcW w:w="845" w:type="dxa"/>
            <w:vAlign w:val="center"/>
          </w:tcPr>
          <w:p w14:paraId="1FCB946D">
            <w:pPr>
              <w:widowControl/>
              <w:jc w:val="center"/>
              <w:textAlignment w:val="center"/>
              <w:rPr>
                <w:kern w:val="0"/>
                <w:sz w:val="20"/>
                <w:szCs w:val="21"/>
                <w:lang w:bidi="ar"/>
              </w:rPr>
            </w:pPr>
          </w:p>
        </w:tc>
        <w:tc>
          <w:tcPr>
            <w:tcW w:w="838" w:type="dxa"/>
            <w:vAlign w:val="center"/>
          </w:tcPr>
          <w:p w14:paraId="6009D431">
            <w:pPr>
              <w:widowControl/>
              <w:jc w:val="center"/>
              <w:textAlignment w:val="center"/>
              <w:rPr>
                <w:kern w:val="0"/>
                <w:sz w:val="20"/>
                <w:szCs w:val="21"/>
                <w:lang w:bidi="ar"/>
              </w:rPr>
            </w:pPr>
          </w:p>
        </w:tc>
        <w:tc>
          <w:tcPr>
            <w:tcW w:w="950" w:type="dxa"/>
            <w:vAlign w:val="center"/>
          </w:tcPr>
          <w:p w14:paraId="741E4E4A">
            <w:pPr>
              <w:widowControl/>
              <w:jc w:val="center"/>
              <w:textAlignment w:val="center"/>
              <w:rPr>
                <w:kern w:val="0"/>
                <w:sz w:val="20"/>
                <w:szCs w:val="21"/>
                <w:lang w:bidi="ar"/>
              </w:rPr>
            </w:pPr>
          </w:p>
        </w:tc>
        <w:tc>
          <w:tcPr>
            <w:tcW w:w="777" w:type="dxa"/>
            <w:vAlign w:val="center"/>
          </w:tcPr>
          <w:p w14:paraId="49AE5BB4">
            <w:pPr>
              <w:widowControl/>
              <w:jc w:val="center"/>
              <w:textAlignment w:val="center"/>
              <w:rPr>
                <w:kern w:val="0"/>
                <w:sz w:val="20"/>
                <w:szCs w:val="21"/>
                <w:lang w:bidi="ar"/>
              </w:rPr>
            </w:pPr>
          </w:p>
        </w:tc>
        <w:tc>
          <w:tcPr>
            <w:tcW w:w="1224" w:type="dxa"/>
            <w:vAlign w:val="center"/>
          </w:tcPr>
          <w:p w14:paraId="4100D4BE">
            <w:pPr>
              <w:widowControl/>
              <w:jc w:val="center"/>
              <w:textAlignment w:val="center"/>
              <w:rPr>
                <w:kern w:val="0"/>
                <w:sz w:val="20"/>
                <w:szCs w:val="21"/>
                <w:lang w:bidi="ar"/>
              </w:rPr>
            </w:pPr>
          </w:p>
        </w:tc>
        <w:tc>
          <w:tcPr>
            <w:tcW w:w="1166" w:type="dxa"/>
            <w:vAlign w:val="center"/>
          </w:tcPr>
          <w:p w14:paraId="57EE5A62">
            <w:pPr>
              <w:widowControl/>
              <w:jc w:val="center"/>
              <w:textAlignment w:val="center"/>
              <w:rPr>
                <w:b/>
                <w:bCs/>
                <w:kern w:val="0"/>
                <w:sz w:val="20"/>
                <w:szCs w:val="21"/>
                <w:lang w:bidi="ar"/>
              </w:rPr>
            </w:pPr>
          </w:p>
        </w:tc>
      </w:tr>
    </w:tbl>
    <w:p w14:paraId="34E85A41">
      <w:pPr>
        <w:rPr>
          <w:rFonts w:eastAsia="仿宋_GB2312"/>
          <w:sz w:val="24"/>
        </w:rPr>
      </w:pPr>
    </w:p>
    <w:p w14:paraId="50DB4F72">
      <w:pPr>
        <w:rPr>
          <w:rFonts w:eastAsia="仿宋_GB2312"/>
          <w:sz w:val="24"/>
        </w:rPr>
      </w:pPr>
    </w:p>
    <w:p w14:paraId="0883AE78">
      <w:pPr>
        <w:autoSpaceDE w:val="0"/>
        <w:autoSpaceDN w:val="0"/>
        <w:adjustRightInd w:val="0"/>
        <w:ind w:firstLine="420"/>
        <w:jc w:val="left"/>
        <w:rPr>
          <w:rFonts w:ascii="宋体"/>
          <w:sz w:val="24"/>
        </w:rPr>
      </w:pPr>
    </w:p>
    <w:p w14:paraId="3EC8F435">
      <w:pPr>
        <w:rPr>
          <w:rFonts w:eastAsia="仿宋_GB2312"/>
          <w:sz w:val="24"/>
        </w:rPr>
      </w:pPr>
    </w:p>
    <w:p w14:paraId="3E4D5B16">
      <w:pPr>
        <w:rPr>
          <w:rFonts w:eastAsia="仿宋_GB2312"/>
          <w:sz w:val="24"/>
        </w:rPr>
      </w:pPr>
    </w:p>
    <w:p w14:paraId="38AC3FEC">
      <w:pPr>
        <w:rPr>
          <w:b/>
          <w:bCs/>
          <w:color w:val="000000"/>
          <w:sz w:val="24"/>
        </w:rPr>
      </w:pPr>
      <w:r>
        <w:rPr>
          <w:rFonts w:eastAsia="仿宋_GB2312"/>
          <w:b/>
          <w:bCs/>
          <w:sz w:val="24"/>
        </w:rPr>
        <w:br w:type="page"/>
      </w:r>
      <w:r>
        <w:rPr>
          <w:b/>
          <w:bCs/>
          <w:sz w:val="24"/>
        </w:rPr>
        <w:t xml:space="preserve">附件2   </w:t>
      </w:r>
    </w:p>
    <w:p w14:paraId="431D0DE9">
      <w:pPr>
        <w:spacing w:after="120" w:line="480" w:lineRule="exact"/>
        <w:jc w:val="center"/>
        <w:rPr>
          <w:sz w:val="24"/>
          <w:szCs w:val="20"/>
        </w:rPr>
      </w:pPr>
      <w:r>
        <w:rPr>
          <w:b/>
          <w:bCs/>
          <w:color w:val="000000"/>
          <w:sz w:val="24"/>
          <w:szCs w:val="20"/>
        </w:rPr>
        <w:t>监测仪器维修更换费——维修清单</w:t>
      </w:r>
    </w:p>
    <w:tbl>
      <w:tblPr>
        <w:tblStyle w:val="42"/>
        <w:tblW w:w="8772" w:type="dxa"/>
        <w:jc w:val="center"/>
        <w:tblLayout w:type="fixed"/>
        <w:tblCellMar>
          <w:top w:w="15" w:type="dxa"/>
          <w:left w:w="15" w:type="dxa"/>
          <w:bottom w:w="15" w:type="dxa"/>
          <w:right w:w="15" w:type="dxa"/>
        </w:tblCellMar>
      </w:tblPr>
      <w:tblGrid>
        <w:gridCol w:w="685"/>
        <w:gridCol w:w="3210"/>
        <w:gridCol w:w="1170"/>
        <w:gridCol w:w="2034"/>
        <w:gridCol w:w="1673"/>
      </w:tblGrid>
      <w:tr w14:paraId="5B5B3A0C">
        <w:tblPrEx>
          <w:tblCellMar>
            <w:top w:w="15" w:type="dxa"/>
            <w:left w:w="15" w:type="dxa"/>
            <w:bottom w:w="15" w:type="dxa"/>
            <w:right w:w="15" w:type="dxa"/>
          </w:tblCellMar>
        </w:tblPrEx>
        <w:trPr>
          <w:trHeight w:val="89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4CAB80EE">
            <w:pPr>
              <w:widowControl/>
              <w:adjustRightInd w:val="0"/>
              <w:snapToGrid w:val="0"/>
              <w:jc w:val="center"/>
              <w:textAlignment w:val="center"/>
              <w:rPr>
                <w:kern w:val="0"/>
                <w:szCs w:val="21"/>
                <w:lang w:bidi="ar"/>
              </w:rPr>
            </w:pPr>
            <w:r>
              <w:rPr>
                <w:kern w:val="0"/>
                <w:szCs w:val="21"/>
                <w:lang w:bidi="ar"/>
              </w:rPr>
              <w:t>序号</w:t>
            </w:r>
          </w:p>
        </w:tc>
        <w:tc>
          <w:tcPr>
            <w:tcW w:w="3210" w:type="dxa"/>
            <w:tcBorders>
              <w:top w:val="single" w:color="auto" w:sz="4" w:space="0"/>
              <w:left w:val="single" w:color="auto" w:sz="4" w:space="0"/>
              <w:bottom w:val="single" w:color="auto" w:sz="4" w:space="0"/>
              <w:right w:val="single" w:color="auto" w:sz="4" w:space="0"/>
            </w:tcBorders>
            <w:vAlign w:val="center"/>
          </w:tcPr>
          <w:p w14:paraId="6A7E09C4">
            <w:pPr>
              <w:widowControl/>
              <w:adjustRightInd w:val="0"/>
              <w:snapToGrid w:val="0"/>
              <w:jc w:val="center"/>
              <w:textAlignment w:val="center"/>
              <w:rPr>
                <w:kern w:val="0"/>
                <w:szCs w:val="21"/>
                <w:lang w:bidi="ar"/>
              </w:rPr>
            </w:pPr>
            <w:r>
              <w:rPr>
                <w:kern w:val="0"/>
                <w:szCs w:val="21"/>
                <w:lang w:bidi="ar"/>
              </w:rPr>
              <w:t>仪器名称</w:t>
            </w:r>
          </w:p>
        </w:tc>
        <w:tc>
          <w:tcPr>
            <w:tcW w:w="1170" w:type="dxa"/>
            <w:tcBorders>
              <w:top w:val="single" w:color="auto" w:sz="4" w:space="0"/>
              <w:left w:val="single" w:color="auto" w:sz="4" w:space="0"/>
              <w:bottom w:val="single" w:color="auto" w:sz="4" w:space="0"/>
              <w:right w:val="single" w:color="auto" w:sz="4" w:space="0"/>
            </w:tcBorders>
            <w:vAlign w:val="center"/>
          </w:tcPr>
          <w:p w14:paraId="0049A635">
            <w:pPr>
              <w:widowControl/>
              <w:adjustRightInd w:val="0"/>
              <w:snapToGrid w:val="0"/>
              <w:jc w:val="center"/>
              <w:textAlignment w:val="center"/>
              <w:rPr>
                <w:kern w:val="0"/>
                <w:szCs w:val="21"/>
                <w:lang w:bidi="ar"/>
              </w:rPr>
            </w:pPr>
            <w:r>
              <w:rPr>
                <w:kern w:val="0"/>
                <w:szCs w:val="21"/>
                <w:lang w:bidi="ar"/>
              </w:rPr>
              <w:t>数量</w:t>
            </w:r>
          </w:p>
        </w:tc>
        <w:tc>
          <w:tcPr>
            <w:tcW w:w="2034" w:type="dxa"/>
            <w:tcBorders>
              <w:top w:val="single" w:color="auto" w:sz="4" w:space="0"/>
              <w:left w:val="single" w:color="auto" w:sz="4" w:space="0"/>
              <w:bottom w:val="single" w:color="auto" w:sz="4" w:space="0"/>
              <w:right w:val="single" w:color="auto" w:sz="4" w:space="0"/>
            </w:tcBorders>
            <w:vAlign w:val="center"/>
          </w:tcPr>
          <w:p w14:paraId="2479F85A">
            <w:pPr>
              <w:widowControl/>
              <w:adjustRightInd w:val="0"/>
              <w:snapToGrid w:val="0"/>
              <w:jc w:val="center"/>
              <w:textAlignment w:val="center"/>
              <w:rPr>
                <w:kern w:val="0"/>
                <w:szCs w:val="21"/>
                <w:lang w:bidi="ar"/>
              </w:rPr>
            </w:pPr>
            <w:r>
              <w:rPr>
                <w:kern w:val="0"/>
                <w:szCs w:val="21"/>
                <w:lang w:bidi="ar"/>
              </w:rPr>
              <w:t>单价</w:t>
            </w:r>
          </w:p>
          <w:p w14:paraId="763957E8">
            <w:pPr>
              <w:widowControl/>
              <w:adjustRightInd w:val="0"/>
              <w:snapToGrid w:val="0"/>
              <w:jc w:val="center"/>
              <w:textAlignment w:val="center"/>
              <w:rPr>
                <w:kern w:val="0"/>
                <w:szCs w:val="21"/>
                <w:lang w:bidi="ar"/>
              </w:rPr>
            </w:pPr>
            <w:r>
              <w:rPr>
                <w:kern w:val="0"/>
                <w:szCs w:val="21"/>
                <w:lang w:bidi="ar"/>
              </w:rPr>
              <w:t>（单位：元）</w:t>
            </w:r>
          </w:p>
        </w:tc>
        <w:tc>
          <w:tcPr>
            <w:tcW w:w="1673" w:type="dxa"/>
            <w:tcBorders>
              <w:top w:val="single" w:color="auto" w:sz="4" w:space="0"/>
              <w:left w:val="single" w:color="auto" w:sz="4" w:space="0"/>
              <w:bottom w:val="single" w:color="auto" w:sz="4" w:space="0"/>
              <w:right w:val="single" w:color="auto" w:sz="4" w:space="0"/>
            </w:tcBorders>
            <w:vAlign w:val="center"/>
          </w:tcPr>
          <w:p w14:paraId="10EE44E3">
            <w:pPr>
              <w:widowControl/>
              <w:adjustRightInd w:val="0"/>
              <w:snapToGrid w:val="0"/>
              <w:jc w:val="center"/>
              <w:textAlignment w:val="center"/>
              <w:rPr>
                <w:kern w:val="0"/>
                <w:szCs w:val="21"/>
                <w:lang w:bidi="ar"/>
              </w:rPr>
            </w:pPr>
            <w:r>
              <w:rPr>
                <w:kern w:val="0"/>
                <w:szCs w:val="21"/>
                <w:lang w:bidi="ar"/>
              </w:rPr>
              <w:t>总价</w:t>
            </w:r>
          </w:p>
          <w:p w14:paraId="1FD577A2">
            <w:pPr>
              <w:widowControl/>
              <w:adjustRightInd w:val="0"/>
              <w:snapToGrid w:val="0"/>
              <w:jc w:val="center"/>
              <w:textAlignment w:val="center"/>
              <w:rPr>
                <w:kern w:val="0"/>
                <w:szCs w:val="21"/>
                <w:lang w:bidi="ar"/>
              </w:rPr>
            </w:pPr>
            <w:r>
              <w:rPr>
                <w:kern w:val="0"/>
                <w:szCs w:val="21"/>
                <w:lang w:bidi="ar"/>
              </w:rPr>
              <w:t>（单位：元）</w:t>
            </w:r>
          </w:p>
        </w:tc>
      </w:tr>
      <w:tr w14:paraId="10153113">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55CEC10A">
            <w:pPr>
              <w:widowControl/>
              <w:jc w:val="center"/>
              <w:textAlignment w:val="center"/>
              <w:rPr>
                <w:kern w:val="0"/>
                <w:szCs w:val="21"/>
                <w:lang w:bidi="ar"/>
              </w:rPr>
            </w:pPr>
            <w:r>
              <w:rPr>
                <w:kern w:val="0"/>
                <w:szCs w:val="21"/>
                <w:lang w:bidi="ar"/>
              </w:rPr>
              <w:t>1</w:t>
            </w:r>
          </w:p>
        </w:tc>
        <w:tc>
          <w:tcPr>
            <w:tcW w:w="3210" w:type="dxa"/>
            <w:tcBorders>
              <w:top w:val="single" w:color="auto" w:sz="4" w:space="0"/>
              <w:left w:val="single" w:color="auto" w:sz="4" w:space="0"/>
              <w:bottom w:val="single" w:color="auto" w:sz="4" w:space="0"/>
              <w:right w:val="single" w:color="auto" w:sz="4" w:space="0"/>
            </w:tcBorders>
            <w:vAlign w:val="center"/>
          </w:tcPr>
          <w:p w14:paraId="77D07EF0">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14A2A305">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3E54A499">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503B5ABF">
            <w:pPr>
              <w:widowControl/>
              <w:jc w:val="center"/>
              <w:textAlignment w:val="center"/>
              <w:rPr>
                <w:kern w:val="0"/>
                <w:szCs w:val="21"/>
                <w:lang w:bidi="ar"/>
              </w:rPr>
            </w:pPr>
          </w:p>
        </w:tc>
      </w:tr>
      <w:tr w14:paraId="1E77ECF6">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180857A8">
            <w:pPr>
              <w:widowControl/>
              <w:jc w:val="center"/>
              <w:textAlignment w:val="center"/>
              <w:rPr>
                <w:kern w:val="0"/>
                <w:szCs w:val="21"/>
                <w:lang w:bidi="ar"/>
              </w:rPr>
            </w:pPr>
            <w:r>
              <w:rPr>
                <w:kern w:val="0"/>
                <w:szCs w:val="21"/>
                <w:lang w:bidi="ar"/>
              </w:rPr>
              <w:t>2</w:t>
            </w:r>
          </w:p>
        </w:tc>
        <w:tc>
          <w:tcPr>
            <w:tcW w:w="3210" w:type="dxa"/>
            <w:tcBorders>
              <w:top w:val="single" w:color="auto" w:sz="4" w:space="0"/>
              <w:left w:val="single" w:color="auto" w:sz="4" w:space="0"/>
              <w:bottom w:val="single" w:color="auto" w:sz="4" w:space="0"/>
              <w:right w:val="single" w:color="auto" w:sz="4" w:space="0"/>
            </w:tcBorders>
            <w:vAlign w:val="center"/>
          </w:tcPr>
          <w:p w14:paraId="131792E3">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0A6AD38D">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3F428DD5">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7747F466">
            <w:pPr>
              <w:widowControl/>
              <w:jc w:val="center"/>
              <w:textAlignment w:val="center"/>
              <w:rPr>
                <w:kern w:val="0"/>
                <w:szCs w:val="21"/>
                <w:lang w:bidi="ar"/>
              </w:rPr>
            </w:pPr>
          </w:p>
        </w:tc>
      </w:tr>
      <w:tr w14:paraId="5444B662">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79CA4F3D">
            <w:pPr>
              <w:widowControl/>
              <w:jc w:val="center"/>
              <w:textAlignment w:val="center"/>
              <w:rPr>
                <w:kern w:val="0"/>
                <w:szCs w:val="21"/>
                <w:lang w:bidi="ar"/>
              </w:rPr>
            </w:pPr>
            <w:r>
              <w:rPr>
                <w:kern w:val="0"/>
                <w:szCs w:val="21"/>
                <w:lang w:bidi="ar"/>
              </w:rPr>
              <w:t>3</w:t>
            </w:r>
          </w:p>
        </w:tc>
        <w:tc>
          <w:tcPr>
            <w:tcW w:w="3210" w:type="dxa"/>
            <w:tcBorders>
              <w:top w:val="single" w:color="auto" w:sz="4" w:space="0"/>
              <w:left w:val="single" w:color="auto" w:sz="4" w:space="0"/>
              <w:bottom w:val="single" w:color="auto" w:sz="4" w:space="0"/>
              <w:right w:val="single" w:color="auto" w:sz="4" w:space="0"/>
            </w:tcBorders>
            <w:vAlign w:val="center"/>
          </w:tcPr>
          <w:p w14:paraId="614EC800">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265B971F">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22C1420D">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6B0FB2A1">
            <w:pPr>
              <w:widowControl/>
              <w:jc w:val="center"/>
              <w:textAlignment w:val="center"/>
              <w:rPr>
                <w:kern w:val="0"/>
                <w:szCs w:val="21"/>
                <w:lang w:bidi="ar"/>
              </w:rPr>
            </w:pPr>
          </w:p>
        </w:tc>
      </w:tr>
      <w:tr w14:paraId="60D0DA14">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6B15BD05">
            <w:pPr>
              <w:widowControl/>
              <w:jc w:val="center"/>
              <w:textAlignment w:val="center"/>
              <w:rPr>
                <w:kern w:val="0"/>
                <w:szCs w:val="21"/>
                <w:lang w:bidi="ar"/>
              </w:rPr>
            </w:pPr>
            <w:r>
              <w:rPr>
                <w:kern w:val="0"/>
                <w:szCs w:val="21"/>
                <w:lang w:bidi="ar"/>
              </w:rPr>
              <w:t>4</w:t>
            </w:r>
          </w:p>
        </w:tc>
        <w:tc>
          <w:tcPr>
            <w:tcW w:w="3210" w:type="dxa"/>
            <w:tcBorders>
              <w:top w:val="single" w:color="auto" w:sz="4" w:space="0"/>
              <w:left w:val="single" w:color="auto" w:sz="4" w:space="0"/>
              <w:bottom w:val="single" w:color="auto" w:sz="4" w:space="0"/>
              <w:right w:val="single" w:color="auto" w:sz="4" w:space="0"/>
            </w:tcBorders>
            <w:vAlign w:val="center"/>
          </w:tcPr>
          <w:p w14:paraId="3C01467A">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17F99243">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5C6CC2F2">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537F9701">
            <w:pPr>
              <w:widowControl/>
              <w:jc w:val="center"/>
              <w:textAlignment w:val="center"/>
              <w:rPr>
                <w:kern w:val="0"/>
                <w:szCs w:val="21"/>
                <w:lang w:bidi="ar"/>
              </w:rPr>
            </w:pPr>
          </w:p>
        </w:tc>
      </w:tr>
      <w:tr w14:paraId="6E1F6E01">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474B0D81">
            <w:pPr>
              <w:widowControl/>
              <w:jc w:val="center"/>
              <w:textAlignment w:val="center"/>
              <w:rPr>
                <w:kern w:val="0"/>
                <w:szCs w:val="21"/>
                <w:lang w:bidi="ar"/>
              </w:rPr>
            </w:pPr>
            <w:r>
              <w:rPr>
                <w:kern w:val="0"/>
                <w:szCs w:val="21"/>
                <w:lang w:bidi="ar"/>
              </w:rPr>
              <w:t>5</w:t>
            </w:r>
          </w:p>
        </w:tc>
        <w:tc>
          <w:tcPr>
            <w:tcW w:w="3210" w:type="dxa"/>
            <w:tcBorders>
              <w:top w:val="single" w:color="auto" w:sz="4" w:space="0"/>
              <w:left w:val="single" w:color="auto" w:sz="4" w:space="0"/>
              <w:bottom w:val="single" w:color="auto" w:sz="4" w:space="0"/>
              <w:right w:val="single" w:color="auto" w:sz="4" w:space="0"/>
            </w:tcBorders>
            <w:vAlign w:val="center"/>
          </w:tcPr>
          <w:p w14:paraId="2551D858">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4FE57093">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301C919E">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530B288C">
            <w:pPr>
              <w:widowControl/>
              <w:jc w:val="center"/>
              <w:textAlignment w:val="center"/>
              <w:rPr>
                <w:kern w:val="0"/>
                <w:szCs w:val="21"/>
                <w:lang w:bidi="ar"/>
              </w:rPr>
            </w:pPr>
          </w:p>
        </w:tc>
      </w:tr>
      <w:tr w14:paraId="4B8DC0C6">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46CC12D3">
            <w:pPr>
              <w:widowControl/>
              <w:jc w:val="center"/>
              <w:textAlignment w:val="center"/>
              <w:rPr>
                <w:kern w:val="0"/>
                <w:szCs w:val="21"/>
                <w:lang w:bidi="ar"/>
              </w:rPr>
            </w:pPr>
            <w:r>
              <w:rPr>
                <w:kern w:val="0"/>
                <w:szCs w:val="21"/>
                <w:lang w:bidi="ar"/>
              </w:rPr>
              <w:t>6</w:t>
            </w:r>
          </w:p>
        </w:tc>
        <w:tc>
          <w:tcPr>
            <w:tcW w:w="3210" w:type="dxa"/>
            <w:tcBorders>
              <w:top w:val="single" w:color="auto" w:sz="4" w:space="0"/>
              <w:left w:val="single" w:color="auto" w:sz="4" w:space="0"/>
              <w:bottom w:val="single" w:color="auto" w:sz="4" w:space="0"/>
              <w:right w:val="single" w:color="auto" w:sz="4" w:space="0"/>
            </w:tcBorders>
            <w:vAlign w:val="center"/>
          </w:tcPr>
          <w:p w14:paraId="1DFB093D">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429E21CE">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4783C1F7">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24B4EA50">
            <w:pPr>
              <w:widowControl/>
              <w:jc w:val="center"/>
              <w:textAlignment w:val="center"/>
              <w:rPr>
                <w:kern w:val="0"/>
                <w:szCs w:val="21"/>
                <w:lang w:bidi="ar"/>
              </w:rPr>
            </w:pPr>
          </w:p>
        </w:tc>
      </w:tr>
      <w:tr w14:paraId="40D23512">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1829513C">
            <w:pPr>
              <w:widowControl/>
              <w:jc w:val="center"/>
              <w:textAlignment w:val="center"/>
              <w:rPr>
                <w:kern w:val="0"/>
                <w:szCs w:val="21"/>
                <w:lang w:bidi="ar"/>
              </w:rPr>
            </w:pPr>
            <w:r>
              <w:rPr>
                <w:kern w:val="0"/>
                <w:szCs w:val="21"/>
                <w:lang w:bidi="ar"/>
              </w:rPr>
              <w:t>7</w:t>
            </w:r>
          </w:p>
        </w:tc>
        <w:tc>
          <w:tcPr>
            <w:tcW w:w="3210" w:type="dxa"/>
            <w:tcBorders>
              <w:top w:val="single" w:color="auto" w:sz="4" w:space="0"/>
              <w:left w:val="single" w:color="auto" w:sz="4" w:space="0"/>
              <w:bottom w:val="single" w:color="auto" w:sz="4" w:space="0"/>
              <w:right w:val="single" w:color="auto" w:sz="4" w:space="0"/>
            </w:tcBorders>
            <w:vAlign w:val="center"/>
          </w:tcPr>
          <w:p w14:paraId="041E3475">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15CF0ED3">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43786F79">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7E593EFC">
            <w:pPr>
              <w:widowControl/>
              <w:jc w:val="center"/>
              <w:textAlignment w:val="center"/>
              <w:rPr>
                <w:kern w:val="0"/>
                <w:szCs w:val="21"/>
                <w:lang w:bidi="ar"/>
              </w:rPr>
            </w:pPr>
          </w:p>
        </w:tc>
      </w:tr>
      <w:tr w14:paraId="430F5446">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5B4AC030">
            <w:pPr>
              <w:widowControl/>
              <w:jc w:val="center"/>
              <w:textAlignment w:val="center"/>
              <w:rPr>
                <w:kern w:val="0"/>
                <w:szCs w:val="21"/>
                <w:lang w:bidi="ar"/>
              </w:rPr>
            </w:pPr>
            <w:r>
              <w:rPr>
                <w:kern w:val="0"/>
                <w:szCs w:val="21"/>
                <w:lang w:bidi="ar"/>
              </w:rPr>
              <w:t>8</w:t>
            </w:r>
          </w:p>
        </w:tc>
        <w:tc>
          <w:tcPr>
            <w:tcW w:w="3210" w:type="dxa"/>
            <w:tcBorders>
              <w:top w:val="single" w:color="auto" w:sz="4" w:space="0"/>
              <w:left w:val="single" w:color="auto" w:sz="4" w:space="0"/>
              <w:bottom w:val="single" w:color="auto" w:sz="4" w:space="0"/>
              <w:right w:val="single" w:color="auto" w:sz="4" w:space="0"/>
            </w:tcBorders>
            <w:vAlign w:val="center"/>
          </w:tcPr>
          <w:p w14:paraId="5DBBEAAC">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0D269E48">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1D92E2CF">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2713F0F3">
            <w:pPr>
              <w:widowControl/>
              <w:jc w:val="center"/>
              <w:textAlignment w:val="center"/>
              <w:rPr>
                <w:kern w:val="0"/>
                <w:szCs w:val="21"/>
                <w:lang w:bidi="ar"/>
              </w:rPr>
            </w:pPr>
          </w:p>
        </w:tc>
      </w:tr>
      <w:tr w14:paraId="2CD0BD9B">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3E20CB89">
            <w:pPr>
              <w:widowControl/>
              <w:jc w:val="center"/>
              <w:textAlignment w:val="center"/>
              <w:rPr>
                <w:kern w:val="0"/>
                <w:szCs w:val="21"/>
                <w:lang w:bidi="ar"/>
              </w:rPr>
            </w:pPr>
            <w:r>
              <w:rPr>
                <w:kern w:val="0"/>
                <w:szCs w:val="21"/>
                <w:lang w:bidi="ar"/>
              </w:rPr>
              <w:t>9</w:t>
            </w:r>
          </w:p>
        </w:tc>
        <w:tc>
          <w:tcPr>
            <w:tcW w:w="3210" w:type="dxa"/>
            <w:tcBorders>
              <w:top w:val="single" w:color="auto" w:sz="4" w:space="0"/>
              <w:left w:val="single" w:color="auto" w:sz="4" w:space="0"/>
              <w:bottom w:val="single" w:color="auto" w:sz="4" w:space="0"/>
              <w:right w:val="single" w:color="auto" w:sz="4" w:space="0"/>
            </w:tcBorders>
            <w:vAlign w:val="center"/>
          </w:tcPr>
          <w:p w14:paraId="0B2D12E6">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5B3ACA02">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7964A15D">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248F698B">
            <w:pPr>
              <w:widowControl/>
              <w:jc w:val="center"/>
              <w:textAlignment w:val="center"/>
              <w:rPr>
                <w:kern w:val="0"/>
                <w:szCs w:val="21"/>
                <w:lang w:bidi="ar"/>
              </w:rPr>
            </w:pPr>
          </w:p>
        </w:tc>
      </w:tr>
      <w:tr w14:paraId="1E19DEDB">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5F06C16B">
            <w:pPr>
              <w:widowControl/>
              <w:jc w:val="center"/>
              <w:textAlignment w:val="center"/>
              <w:rPr>
                <w:kern w:val="0"/>
                <w:szCs w:val="21"/>
                <w:lang w:bidi="ar"/>
              </w:rPr>
            </w:pPr>
            <w:r>
              <w:rPr>
                <w:kern w:val="0"/>
                <w:szCs w:val="21"/>
                <w:lang w:bidi="ar"/>
              </w:rPr>
              <w:t>10</w:t>
            </w:r>
          </w:p>
        </w:tc>
        <w:tc>
          <w:tcPr>
            <w:tcW w:w="3210" w:type="dxa"/>
            <w:tcBorders>
              <w:top w:val="single" w:color="auto" w:sz="4" w:space="0"/>
              <w:left w:val="single" w:color="auto" w:sz="4" w:space="0"/>
              <w:bottom w:val="single" w:color="auto" w:sz="4" w:space="0"/>
              <w:right w:val="single" w:color="auto" w:sz="4" w:space="0"/>
            </w:tcBorders>
            <w:vAlign w:val="center"/>
          </w:tcPr>
          <w:p w14:paraId="2137051B">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56CBB17A">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5F6478E6">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2C7EF8C1">
            <w:pPr>
              <w:widowControl/>
              <w:jc w:val="center"/>
              <w:textAlignment w:val="center"/>
              <w:rPr>
                <w:kern w:val="0"/>
                <w:szCs w:val="21"/>
                <w:lang w:bidi="ar"/>
              </w:rPr>
            </w:pPr>
          </w:p>
        </w:tc>
      </w:tr>
      <w:tr w14:paraId="256CF6EE">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618729C2">
            <w:pPr>
              <w:widowControl/>
              <w:jc w:val="center"/>
              <w:textAlignment w:val="center"/>
              <w:rPr>
                <w:kern w:val="0"/>
                <w:szCs w:val="21"/>
                <w:lang w:bidi="ar"/>
              </w:rPr>
            </w:pPr>
            <w:r>
              <w:rPr>
                <w:kern w:val="0"/>
                <w:szCs w:val="21"/>
                <w:lang w:bidi="ar"/>
              </w:rPr>
              <w:t>11</w:t>
            </w:r>
          </w:p>
        </w:tc>
        <w:tc>
          <w:tcPr>
            <w:tcW w:w="3210" w:type="dxa"/>
            <w:tcBorders>
              <w:top w:val="single" w:color="auto" w:sz="4" w:space="0"/>
              <w:left w:val="single" w:color="auto" w:sz="4" w:space="0"/>
              <w:bottom w:val="single" w:color="auto" w:sz="4" w:space="0"/>
              <w:right w:val="single" w:color="auto" w:sz="4" w:space="0"/>
            </w:tcBorders>
            <w:vAlign w:val="center"/>
          </w:tcPr>
          <w:p w14:paraId="1959EC25">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29C4F3CD">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03C9C755">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6EF0C2C5">
            <w:pPr>
              <w:widowControl/>
              <w:jc w:val="center"/>
              <w:textAlignment w:val="center"/>
              <w:rPr>
                <w:kern w:val="0"/>
                <w:szCs w:val="21"/>
                <w:lang w:bidi="ar"/>
              </w:rPr>
            </w:pPr>
          </w:p>
        </w:tc>
      </w:tr>
      <w:tr w14:paraId="4D76C32A">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6049C992">
            <w:pPr>
              <w:widowControl/>
              <w:jc w:val="center"/>
              <w:textAlignment w:val="center"/>
              <w:rPr>
                <w:kern w:val="0"/>
                <w:szCs w:val="21"/>
                <w:lang w:bidi="ar"/>
              </w:rPr>
            </w:pPr>
            <w:r>
              <w:rPr>
                <w:kern w:val="0"/>
                <w:szCs w:val="21"/>
                <w:lang w:bidi="ar"/>
              </w:rPr>
              <w:t>12</w:t>
            </w:r>
          </w:p>
        </w:tc>
        <w:tc>
          <w:tcPr>
            <w:tcW w:w="3210" w:type="dxa"/>
            <w:tcBorders>
              <w:top w:val="single" w:color="auto" w:sz="4" w:space="0"/>
              <w:left w:val="single" w:color="auto" w:sz="4" w:space="0"/>
              <w:bottom w:val="single" w:color="auto" w:sz="4" w:space="0"/>
              <w:right w:val="single" w:color="auto" w:sz="4" w:space="0"/>
            </w:tcBorders>
            <w:vAlign w:val="center"/>
          </w:tcPr>
          <w:p w14:paraId="09C6E053">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2D98946A">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51826C31">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137D6ACC">
            <w:pPr>
              <w:widowControl/>
              <w:jc w:val="center"/>
              <w:textAlignment w:val="center"/>
              <w:rPr>
                <w:kern w:val="0"/>
                <w:szCs w:val="21"/>
                <w:lang w:bidi="ar"/>
              </w:rPr>
            </w:pPr>
          </w:p>
        </w:tc>
      </w:tr>
      <w:tr w14:paraId="19BC1CDC">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6029FECB">
            <w:pPr>
              <w:widowControl/>
              <w:jc w:val="center"/>
              <w:textAlignment w:val="center"/>
              <w:rPr>
                <w:kern w:val="0"/>
                <w:szCs w:val="21"/>
                <w:lang w:bidi="ar"/>
              </w:rPr>
            </w:pPr>
            <w:r>
              <w:rPr>
                <w:kern w:val="0"/>
                <w:szCs w:val="21"/>
                <w:lang w:bidi="ar"/>
              </w:rPr>
              <w:t>13</w:t>
            </w:r>
          </w:p>
        </w:tc>
        <w:tc>
          <w:tcPr>
            <w:tcW w:w="3210" w:type="dxa"/>
            <w:tcBorders>
              <w:top w:val="single" w:color="auto" w:sz="4" w:space="0"/>
              <w:left w:val="single" w:color="auto" w:sz="4" w:space="0"/>
              <w:bottom w:val="single" w:color="auto" w:sz="4" w:space="0"/>
              <w:right w:val="single" w:color="auto" w:sz="4" w:space="0"/>
            </w:tcBorders>
            <w:vAlign w:val="center"/>
          </w:tcPr>
          <w:p w14:paraId="46209819">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6B77D590">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6F48F763">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5D477764">
            <w:pPr>
              <w:widowControl/>
              <w:jc w:val="center"/>
              <w:textAlignment w:val="center"/>
              <w:rPr>
                <w:kern w:val="0"/>
                <w:szCs w:val="21"/>
                <w:lang w:bidi="ar"/>
              </w:rPr>
            </w:pPr>
          </w:p>
        </w:tc>
      </w:tr>
      <w:tr w14:paraId="2D229D6A">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60ABDC1E">
            <w:pPr>
              <w:widowControl/>
              <w:jc w:val="center"/>
              <w:textAlignment w:val="center"/>
              <w:rPr>
                <w:kern w:val="0"/>
                <w:szCs w:val="21"/>
                <w:lang w:bidi="ar"/>
              </w:rPr>
            </w:pPr>
            <w:r>
              <w:rPr>
                <w:kern w:val="0"/>
                <w:szCs w:val="21"/>
                <w:lang w:bidi="ar"/>
              </w:rPr>
              <w:t>14</w:t>
            </w:r>
          </w:p>
        </w:tc>
        <w:tc>
          <w:tcPr>
            <w:tcW w:w="3210" w:type="dxa"/>
            <w:tcBorders>
              <w:top w:val="single" w:color="auto" w:sz="4" w:space="0"/>
              <w:left w:val="single" w:color="auto" w:sz="4" w:space="0"/>
              <w:bottom w:val="single" w:color="auto" w:sz="4" w:space="0"/>
              <w:right w:val="single" w:color="auto" w:sz="4" w:space="0"/>
            </w:tcBorders>
            <w:vAlign w:val="center"/>
          </w:tcPr>
          <w:p w14:paraId="3C284D94">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71350912">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1AA9DD5F">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019E334C">
            <w:pPr>
              <w:widowControl/>
              <w:jc w:val="center"/>
              <w:textAlignment w:val="center"/>
              <w:rPr>
                <w:kern w:val="0"/>
                <w:szCs w:val="21"/>
                <w:lang w:bidi="ar"/>
              </w:rPr>
            </w:pPr>
          </w:p>
        </w:tc>
      </w:tr>
      <w:tr w14:paraId="3AEDEF17">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23FDA4D5">
            <w:pPr>
              <w:widowControl/>
              <w:jc w:val="center"/>
              <w:textAlignment w:val="center"/>
              <w:rPr>
                <w:kern w:val="0"/>
                <w:szCs w:val="21"/>
                <w:lang w:bidi="ar"/>
              </w:rPr>
            </w:pPr>
            <w:r>
              <w:rPr>
                <w:kern w:val="0"/>
                <w:szCs w:val="21"/>
                <w:lang w:bidi="ar"/>
              </w:rPr>
              <w:t>15</w:t>
            </w:r>
          </w:p>
        </w:tc>
        <w:tc>
          <w:tcPr>
            <w:tcW w:w="3210" w:type="dxa"/>
            <w:tcBorders>
              <w:top w:val="single" w:color="auto" w:sz="4" w:space="0"/>
              <w:left w:val="single" w:color="auto" w:sz="4" w:space="0"/>
              <w:bottom w:val="single" w:color="auto" w:sz="4" w:space="0"/>
              <w:right w:val="single" w:color="auto" w:sz="4" w:space="0"/>
            </w:tcBorders>
            <w:vAlign w:val="center"/>
          </w:tcPr>
          <w:p w14:paraId="54A93CA2">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7B87EC5A">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28832498">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4A1FA446">
            <w:pPr>
              <w:widowControl/>
              <w:jc w:val="center"/>
              <w:textAlignment w:val="center"/>
              <w:rPr>
                <w:kern w:val="0"/>
                <w:szCs w:val="21"/>
                <w:lang w:bidi="ar"/>
              </w:rPr>
            </w:pPr>
          </w:p>
        </w:tc>
      </w:tr>
      <w:tr w14:paraId="783259DC">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54FA2124">
            <w:pPr>
              <w:widowControl/>
              <w:jc w:val="center"/>
              <w:textAlignment w:val="center"/>
              <w:rPr>
                <w:kern w:val="0"/>
                <w:szCs w:val="21"/>
                <w:lang w:bidi="ar"/>
              </w:rPr>
            </w:pPr>
            <w:r>
              <w:rPr>
                <w:kern w:val="0"/>
                <w:szCs w:val="21"/>
                <w:lang w:bidi="ar"/>
              </w:rPr>
              <w:t>16</w:t>
            </w:r>
          </w:p>
        </w:tc>
        <w:tc>
          <w:tcPr>
            <w:tcW w:w="3210" w:type="dxa"/>
            <w:tcBorders>
              <w:top w:val="single" w:color="auto" w:sz="4" w:space="0"/>
              <w:left w:val="single" w:color="auto" w:sz="4" w:space="0"/>
              <w:bottom w:val="single" w:color="auto" w:sz="4" w:space="0"/>
              <w:right w:val="single" w:color="auto" w:sz="4" w:space="0"/>
            </w:tcBorders>
            <w:vAlign w:val="center"/>
          </w:tcPr>
          <w:p w14:paraId="1AD64F7A">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2AB3B64A">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4B650CD9">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7EAAC41C">
            <w:pPr>
              <w:widowControl/>
              <w:jc w:val="center"/>
              <w:textAlignment w:val="center"/>
              <w:rPr>
                <w:kern w:val="0"/>
                <w:szCs w:val="21"/>
                <w:lang w:bidi="ar"/>
              </w:rPr>
            </w:pPr>
          </w:p>
        </w:tc>
      </w:tr>
      <w:tr w14:paraId="47E48532">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3EAE3825">
            <w:pPr>
              <w:widowControl/>
              <w:jc w:val="center"/>
              <w:textAlignment w:val="center"/>
              <w:rPr>
                <w:kern w:val="0"/>
                <w:szCs w:val="21"/>
                <w:lang w:bidi="ar"/>
              </w:rPr>
            </w:pPr>
            <w:r>
              <w:rPr>
                <w:kern w:val="0"/>
                <w:szCs w:val="21"/>
                <w:lang w:bidi="ar"/>
              </w:rPr>
              <w:t>17</w:t>
            </w:r>
          </w:p>
        </w:tc>
        <w:tc>
          <w:tcPr>
            <w:tcW w:w="3210" w:type="dxa"/>
            <w:tcBorders>
              <w:top w:val="single" w:color="auto" w:sz="4" w:space="0"/>
              <w:left w:val="single" w:color="auto" w:sz="4" w:space="0"/>
              <w:bottom w:val="single" w:color="auto" w:sz="4" w:space="0"/>
              <w:right w:val="single" w:color="auto" w:sz="4" w:space="0"/>
            </w:tcBorders>
            <w:vAlign w:val="center"/>
          </w:tcPr>
          <w:p w14:paraId="3CACBA95">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497EC97C">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20046E58">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6509E6B4">
            <w:pPr>
              <w:widowControl/>
              <w:jc w:val="center"/>
              <w:textAlignment w:val="center"/>
              <w:rPr>
                <w:kern w:val="0"/>
                <w:szCs w:val="21"/>
                <w:lang w:bidi="ar"/>
              </w:rPr>
            </w:pPr>
          </w:p>
        </w:tc>
      </w:tr>
      <w:tr w14:paraId="0EAFC14D">
        <w:tblPrEx>
          <w:tblCellMar>
            <w:top w:w="15" w:type="dxa"/>
            <w:left w:w="15" w:type="dxa"/>
            <w:bottom w:w="15" w:type="dxa"/>
            <w:right w:w="15" w:type="dxa"/>
          </w:tblCellMar>
        </w:tblPrEx>
        <w:trPr>
          <w:trHeight w:val="45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24D6A808">
            <w:pPr>
              <w:widowControl/>
              <w:jc w:val="center"/>
              <w:textAlignment w:val="center"/>
              <w:rPr>
                <w:kern w:val="0"/>
                <w:szCs w:val="21"/>
                <w:lang w:bidi="ar"/>
              </w:rPr>
            </w:pPr>
            <w:r>
              <w:rPr>
                <w:kern w:val="0"/>
                <w:szCs w:val="21"/>
                <w:lang w:bidi="ar"/>
              </w:rPr>
              <w:t>18</w:t>
            </w:r>
          </w:p>
        </w:tc>
        <w:tc>
          <w:tcPr>
            <w:tcW w:w="3210" w:type="dxa"/>
            <w:tcBorders>
              <w:top w:val="single" w:color="auto" w:sz="4" w:space="0"/>
              <w:left w:val="single" w:color="auto" w:sz="4" w:space="0"/>
              <w:bottom w:val="single" w:color="auto" w:sz="4" w:space="0"/>
              <w:right w:val="single" w:color="auto" w:sz="4" w:space="0"/>
            </w:tcBorders>
            <w:vAlign w:val="center"/>
          </w:tcPr>
          <w:p w14:paraId="59F8FEB7">
            <w:pPr>
              <w:widowControl/>
              <w:jc w:val="center"/>
              <w:textAlignment w:val="center"/>
              <w:rPr>
                <w:kern w:val="0"/>
                <w:szCs w:val="21"/>
                <w:lang w:bidi="ar"/>
              </w:rPr>
            </w:pPr>
          </w:p>
        </w:tc>
        <w:tc>
          <w:tcPr>
            <w:tcW w:w="1170" w:type="dxa"/>
            <w:tcBorders>
              <w:top w:val="single" w:color="auto" w:sz="4" w:space="0"/>
              <w:left w:val="single" w:color="auto" w:sz="4" w:space="0"/>
              <w:bottom w:val="single" w:color="auto" w:sz="4" w:space="0"/>
              <w:right w:val="single" w:color="auto" w:sz="4" w:space="0"/>
            </w:tcBorders>
            <w:vAlign w:val="center"/>
          </w:tcPr>
          <w:p w14:paraId="40509B15">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6F5A3DFB">
            <w:pPr>
              <w:widowControl/>
              <w:jc w:val="center"/>
              <w:textAlignment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7408BFB7">
            <w:pPr>
              <w:widowControl/>
              <w:jc w:val="center"/>
              <w:textAlignment w:val="center"/>
              <w:rPr>
                <w:kern w:val="0"/>
                <w:szCs w:val="21"/>
                <w:lang w:bidi="ar"/>
              </w:rPr>
            </w:pPr>
          </w:p>
        </w:tc>
      </w:tr>
      <w:tr w14:paraId="64846759">
        <w:tblPrEx>
          <w:tblCellMar>
            <w:top w:w="15" w:type="dxa"/>
            <w:left w:w="15" w:type="dxa"/>
            <w:bottom w:w="15" w:type="dxa"/>
            <w:right w:w="15" w:type="dxa"/>
          </w:tblCellMar>
        </w:tblPrEx>
        <w:trPr>
          <w:trHeight w:val="454" w:hRule="atLeast"/>
          <w:jc w:val="center"/>
        </w:trPr>
        <w:tc>
          <w:tcPr>
            <w:tcW w:w="3895" w:type="dxa"/>
            <w:gridSpan w:val="2"/>
            <w:tcBorders>
              <w:top w:val="single" w:color="auto" w:sz="4" w:space="0"/>
              <w:left w:val="single" w:color="auto" w:sz="4" w:space="0"/>
              <w:bottom w:val="single" w:color="auto" w:sz="4" w:space="0"/>
              <w:right w:val="single" w:color="auto" w:sz="4" w:space="0"/>
            </w:tcBorders>
            <w:vAlign w:val="center"/>
          </w:tcPr>
          <w:p w14:paraId="07975728">
            <w:pPr>
              <w:widowControl/>
              <w:jc w:val="center"/>
              <w:textAlignment w:val="center"/>
              <w:rPr>
                <w:kern w:val="0"/>
                <w:szCs w:val="21"/>
                <w:lang w:bidi="ar"/>
              </w:rPr>
            </w:pPr>
            <w:r>
              <w:rPr>
                <w:kern w:val="0"/>
                <w:szCs w:val="21"/>
                <w:lang w:bidi="ar"/>
              </w:rPr>
              <w:t>合计</w:t>
            </w:r>
          </w:p>
        </w:tc>
        <w:tc>
          <w:tcPr>
            <w:tcW w:w="1170" w:type="dxa"/>
            <w:tcBorders>
              <w:top w:val="single" w:color="auto" w:sz="4" w:space="0"/>
              <w:left w:val="single" w:color="auto" w:sz="4" w:space="0"/>
              <w:bottom w:val="single" w:color="auto" w:sz="4" w:space="0"/>
              <w:right w:val="single" w:color="auto" w:sz="4" w:space="0"/>
            </w:tcBorders>
            <w:vAlign w:val="center"/>
          </w:tcPr>
          <w:p w14:paraId="53F74523">
            <w:pPr>
              <w:widowControl/>
              <w:jc w:val="center"/>
              <w:textAlignment w:val="center"/>
              <w:rPr>
                <w:kern w:val="0"/>
                <w:szCs w:val="21"/>
                <w:lang w:bidi="ar"/>
              </w:rPr>
            </w:pPr>
          </w:p>
        </w:tc>
        <w:tc>
          <w:tcPr>
            <w:tcW w:w="2034" w:type="dxa"/>
            <w:tcBorders>
              <w:top w:val="single" w:color="auto" w:sz="4" w:space="0"/>
              <w:left w:val="single" w:color="auto" w:sz="4" w:space="0"/>
              <w:bottom w:val="single" w:color="auto" w:sz="4" w:space="0"/>
              <w:right w:val="single" w:color="auto" w:sz="4" w:space="0"/>
            </w:tcBorders>
            <w:vAlign w:val="center"/>
          </w:tcPr>
          <w:p w14:paraId="502444FA">
            <w:pPr>
              <w:jc w:val="center"/>
              <w:rPr>
                <w:kern w:val="0"/>
                <w:szCs w:val="21"/>
                <w:lang w:bidi="ar"/>
              </w:rPr>
            </w:pPr>
          </w:p>
        </w:tc>
        <w:tc>
          <w:tcPr>
            <w:tcW w:w="1673" w:type="dxa"/>
            <w:tcBorders>
              <w:top w:val="single" w:color="auto" w:sz="4" w:space="0"/>
              <w:left w:val="single" w:color="auto" w:sz="4" w:space="0"/>
              <w:bottom w:val="single" w:color="auto" w:sz="4" w:space="0"/>
              <w:right w:val="single" w:color="auto" w:sz="4" w:space="0"/>
            </w:tcBorders>
            <w:vAlign w:val="center"/>
          </w:tcPr>
          <w:p w14:paraId="1A770EED">
            <w:pPr>
              <w:widowControl/>
              <w:jc w:val="center"/>
              <w:textAlignment w:val="center"/>
              <w:rPr>
                <w:kern w:val="0"/>
                <w:szCs w:val="21"/>
                <w:lang w:bidi="ar"/>
              </w:rPr>
            </w:pPr>
          </w:p>
        </w:tc>
      </w:tr>
    </w:tbl>
    <w:p w14:paraId="467DA596">
      <w:pPr>
        <w:rPr>
          <w:rFonts w:eastAsia="仿宋_GB2312"/>
          <w:sz w:val="24"/>
        </w:rPr>
      </w:pPr>
    </w:p>
    <w:p w14:paraId="5D4646AE">
      <w:pPr>
        <w:widowControl/>
      </w:pPr>
    </w:p>
    <w:p w14:paraId="6C125D38">
      <w:pPr>
        <w:spacing w:after="120" w:line="480" w:lineRule="exact"/>
        <w:ind w:left="420" w:leftChars="200" w:firstLine="480" w:firstLineChars="200"/>
        <w:rPr>
          <w:sz w:val="24"/>
          <w:szCs w:val="20"/>
        </w:rPr>
      </w:pPr>
    </w:p>
    <w:p w14:paraId="178F2FA6">
      <w:pPr>
        <w:spacing w:after="120" w:line="480" w:lineRule="exact"/>
        <w:ind w:left="420" w:leftChars="200" w:firstLine="480" w:firstLineChars="200"/>
        <w:rPr>
          <w:sz w:val="24"/>
          <w:szCs w:val="20"/>
        </w:rPr>
      </w:pPr>
    </w:p>
    <w:p w14:paraId="6B23A1FC">
      <w:pPr>
        <w:spacing w:line="320" w:lineRule="exact"/>
        <w:jc w:val="left"/>
        <w:rPr>
          <w:sz w:val="32"/>
          <w:szCs w:val="40"/>
        </w:rPr>
      </w:pPr>
    </w:p>
    <w:p w14:paraId="510A209B">
      <w:pPr>
        <w:rPr>
          <w:b/>
          <w:bCs/>
          <w:sz w:val="24"/>
        </w:rPr>
      </w:pPr>
      <w:r>
        <w:rPr>
          <w:b/>
          <w:bCs/>
          <w:sz w:val="24"/>
        </w:rPr>
        <w:br w:type="page"/>
      </w:r>
    </w:p>
    <w:p w14:paraId="0C91AF0E">
      <w:pPr>
        <w:rPr>
          <w:b/>
          <w:bCs/>
          <w:sz w:val="24"/>
        </w:rPr>
      </w:pPr>
      <w:r>
        <w:rPr>
          <w:b/>
          <w:bCs/>
          <w:sz w:val="24"/>
        </w:rPr>
        <w:t>附件</w:t>
      </w:r>
      <w:r>
        <w:rPr>
          <w:rFonts w:hint="eastAsia"/>
          <w:b/>
          <w:bCs/>
          <w:sz w:val="24"/>
        </w:rPr>
        <w:t>3</w:t>
      </w:r>
      <w:r>
        <w:rPr>
          <w:b/>
          <w:bCs/>
          <w:sz w:val="24"/>
        </w:rPr>
        <w:t>：</w:t>
      </w:r>
    </w:p>
    <w:p w14:paraId="4BF57045">
      <w:pPr>
        <w:jc w:val="center"/>
        <w:rPr>
          <w:b/>
          <w:bCs/>
          <w:sz w:val="32"/>
          <w:szCs w:val="32"/>
        </w:rPr>
      </w:pPr>
      <w:r>
        <w:rPr>
          <w:b/>
          <w:bCs/>
          <w:sz w:val="32"/>
          <w:szCs w:val="32"/>
        </w:rPr>
        <w:t>廉政承诺书</w:t>
      </w:r>
    </w:p>
    <w:p w14:paraId="21E0EC26">
      <w:pPr>
        <w:spacing w:line="460" w:lineRule="exact"/>
        <w:ind w:firstLine="480" w:firstLineChars="200"/>
        <w:rPr>
          <w:sz w:val="24"/>
          <w:u w:val="single"/>
        </w:rPr>
      </w:pPr>
      <w:r>
        <w:rPr>
          <w:sz w:val="24"/>
        </w:rPr>
        <w:t>项目/工程名称</w:t>
      </w:r>
      <w:r>
        <w:rPr>
          <w:rFonts w:hint="eastAsia"/>
          <w:sz w:val="24"/>
        </w:rPr>
        <w:t>：</w:t>
      </w:r>
      <w:r>
        <w:rPr>
          <w:rFonts w:hint="eastAsia"/>
          <w:sz w:val="24"/>
          <w:u w:val="single"/>
        </w:rPr>
        <w:t xml:space="preserve">                   </w:t>
      </w:r>
    </w:p>
    <w:p w14:paraId="4CD0228E">
      <w:pPr>
        <w:autoSpaceDE w:val="0"/>
        <w:autoSpaceDN w:val="0"/>
        <w:spacing w:line="460" w:lineRule="exact"/>
        <w:ind w:firstLine="480" w:firstLineChars="200"/>
        <w:jc w:val="left"/>
        <w:rPr>
          <w:kern w:val="0"/>
          <w:sz w:val="24"/>
          <w:u w:val="single"/>
        </w:rPr>
      </w:pPr>
      <w:r>
        <w:rPr>
          <w:kern w:val="0"/>
          <w:sz w:val="24"/>
        </w:rPr>
        <w:t>甲方：</w:t>
      </w:r>
      <w:r>
        <w:rPr>
          <w:kern w:val="0"/>
          <w:sz w:val="24"/>
          <w:u w:val="single"/>
        </w:rPr>
        <w:t xml:space="preserve">北京市地质灾害防治研究所    </w:t>
      </w:r>
    </w:p>
    <w:p w14:paraId="67CA76A1">
      <w:pPr>
        <w:spacing w:line="460" w:lineRule="exact"/>
        <w:ind w:firstLine="480" w:firstLineChars="200"/>
        <w:rPr>
          <w:kern w:val="0"/>
          <w:sz w:val="24"/>
          <w:u w:val="single"/>
        </w:rPr>
      </w:pPr>
      <w:r>
        <w:rPr>
          <w:kern w:val="0"/>
          <w:sz w:val="24"/>
        </w:rPr>
        <w:t>乙方：</w:t>
      </w:r>
      <w:r>
        <w:rPr>
          <w:rFonts w:hint="eastAsia"/>
          <w:kern w:val="0"/>
          <w:sz w:val="24"/>
          <w:u w:val="single"/>
        </w:rPr>
        <w:t xml:space="preserve">                        </w:t>
      </w:r>
      <w:r>
        <w:rPr>
          <w:kern w:val="0"/>
          <w:sz w:val="24"/>
          <w:u w:val="single"/>
        </w:rPr>
        <w:t xml:space="preserve">    </w:t>
      </w:r>
    </w:p>
    <w:p w14:paraId="5D35DE8B">
      <w:pPr>
        <w:spacing w:line="460" w:lineRule="exact"/>
        <w:ind w:firstLine="480" w:firstLineChars="200"/>
        <w:rPr>
          <w:kern w:val="0"/>
          <w:sz w:val="24"/>
        </w:rPr>
      </w:pPr>
      <w:r>
        <w:rPr>
          <w:kern w:val="0"/>
          <w:sz w:val="24"/>
        </w:rPr>
        <w:t>为加强廉政建设，防止发生谋取不正当利益的违法违纪行为，保护国家、集体和当事人的合法权益，根据国家法律法规和廉洁自律有关规定，特订立本廉政承诺书。</w:t>
      </w:r>
    </w:p>
    <w:p w14:paraId="76A77573">
      <w:pPr>
        <w:autoSpaceDE w:val="0"/>
        <w:autoSpaceDN w:val="0"/>
        <w:spacing w:line="460" w:lineRule="exact"/>
        <w:ind w:firstLine="482" w:firstLineChars="200"/>
        <w:rPr>
          <w:kern w:val="0"/>
          <w:sz w:val="24"/>
        </w:rPr>
      </w:pPr>
      <w:r>
        <w:rPr>
          <w:b/>
          <w:bCs/>
          <w:kern w:val="0"/>
          <w:sz w:val="24"/>
        </w:rPr>
        <w:t>一、双方的责任</w:t>
      </w:r>
    </w:p>
    <w:p w14:paraId="1151BFC1">
      <w:pPr>
        <w:spacing w:line="460" w:lineRule="exact"/>
        <w:ind w:firstLine="480" w:firstLineChars="200"/>
        <w:rPr>
          <w:kern w:val="0"/>
          <w:sz w:val="24"/>
        </w:rPr>
      </w:pPr>
      <w:r>
        <w:rPr>
          <w:kern w:val="0"/>
          <w:sz w:val="24"/>
        </w:rPr>
        <w:t>1.严格遵守党和国家法律法规的有关规定和廉政建设的各项要求。</w:t>
      </w:r>
    </w:p>
    <w:p w14:paraId="08361613">
      <w:pPr>
        <w:spacing w:line="460" w:lineRule="exact"/>
        <w:ind w:firstLine="480" w:firstLineChars="200"/>
        <w:rPr>
          <w:kern w:val="0"/>
          <w:sz w:val="24"/>
        </w:rPr>
      </w:pPr>
      <w:r>
        <w:rPr>
          <w:kern w:val="0"/>
          <w:sz w:val="24"/>
        </w:rPr>
        <w:t>2.严格履行合同约定，自觉按合同办事。</w:t>
      </w:r>
    </w:p>
    <w:p w14:paraId="1DF98AE8">
      <w:pPr>
        <w:autoSpaceDE w:val="0"/>
        <w:autoSpaceDN w:val="0"/>
        <w:spacing w:line="460" w:lineRule="exact"/>
        <w:ind w:firstLine="480" w:firstLineChars="200"/>
        <w:rPr>
          <w:kern w:val="0"/>
          <w:sz w:val="24"/>
        </w:rPr>
      </w:pPr>
      <w:r>
        <w:rPr>
          <w:kern w:val="0"/>
          <w:sz w:val="24"/>
        </w:rPr>
        <w:t>3.坚持公开、公平、公正、诚信、透明的原则（除法律法规另有规定者外），不得为获取不正当的利益损害国家、集体和对方利益，不得违反行业规定、规范和相关法律法规。</w:t>
      </w:r>
    </w:p>
    <w:p w14:paraId="09529C02">
      <w:pPr>
        <w:autoSpaceDE w:val="0"/>
        <w:autoSpaceDN w:val="0"/>
        <w:spacing w:line="460" w:lineRule="exact"/>
        <w:ind w:firstLine="480" w:firstLineChars="200"/>
        <w:rPr>
          <w:kern w:val="0"/>
          <w:sz w:val="24"/>
        </w:rPr>
      </w:pPr>
      <w:r>
        <w:rPr>
          <w:kern w:val="0"/>
          <w:sz w:val="24"/>
        </w:rPr>
        <w:t>4.发现对方在业务活动中有违规、违纪、违法行为的，应及时提醒对方，情节严重的，应向其上级主管部门或纪检监察、司法等有关机关举报。</w:t>
      </w:r>
    </w:p>
    <w:p w14:paraId="4137B545">
      <w:pPr>
        <w:autoSpaceDE w:val="0"/>
        <w:autoSpaceDN w:val="0"/>
        <w:spacing w:line="460" w:lineRule="exact"/>
        <w:ind w:firstLine="482" w:firstLineChars="200"/>
        <w:rPr>
          <w:b/>
          <w:bCs/>
          <w:kern w:val="0"/>
          <w:sz w:val="24"/>
        </w:rPr>
      </w:pPr>
      <w:r>
        <w:rPr>
          <w:b/>
          <w:bCs/>
          <w:kern w:val="0"/>
          <w:sz w:val="24"/>
        </w:rPr>
        <w:t>二、甲方责任</w:t>
      </w:r>
    </w:p>
    <w:p w14:paraId="1131E8EB">
      <w:pPr>
        <w:autoSpaceDE w:val="0"/>
        <w:autoSpaceDN w:val="0"/>
        <w:spacing w:line="460" w:lineRule="exact"/>
        <w:ind w:firstLine="480" w:firstLineChars="200"/>
        <w:rPr>
          <w:kern w:val="0"/>
          <w:sz w:val="24"/>
        </w:rPr>
      </w:pPr>
      <w:r>
        <w:rPr>
          <w:kern w:val="0"/>
          <w:sz w:val="24"/>
        </w:rPr>
        <w:t>甲方的领导和具体工作人员，在事前、事中、事后应遵守以下规定：</w:t>
      </w:r>
    </w:p>
    <w:p w14:paraId="42C13279">
      <w:pPr>
        <w:autoSpaceDE w:val="0"/>
        <w:autoSpaceDN w:val="0"/>
        <w:spacing w:line="460" w:lineRule="exact"/>
        <w:ind w:firstLine="480" w:firstLineChars="200"/>
        <w:rPr>
          <w:kern w:val="0"/>
          <w:sz w:val="24"/>
        </w:rPr>
      </w:pPr>
      <w:r>
        <w:rPr>
          <w:kern w:val="0"/>
          <w:sz w:val="24"/>
        </w:rPr>
        <w:t>1.不得向乙方和相关单位索要或接受回扣、礼金、有价证券、贵重物品和好处费、感谢费等。</w:t>
      </w:r>
    </w:p>
    <w:p w14:paraId="08BA2127">
      <w:pPr>
        <w:autoSpaceDE w:val="0"/>
        <w:autoSpaceDN w:val="0"/>
        <w:spacing w:line="460" w:lineRule="exact"/>
        <w:ind w:firstLine="480" w:firstLineChars="200"/>
        <w:rPr>
          <w:kern w:val="0"/>
          <w:sz w:val="24"/>
        </w:rPr>
      </w:pPr>
      <w:r>
        <w:rPr>
          <w:kern w:val="0"/>
          <w:sz w:val="24"/>
        </w:rPr>
        <w:t>2.不得在乙方和相关单位报销任何应由甲方或个人支付的费用。</w:t>
      </w:r>
    </w:p>
    <w:p w14:paraId="67969CCC">
      <w:pPr>
        <w:autoSpaceDE w:val="0"/>
        <w:autoSpaceDN w:val="0"/>
        <w:spacing w:line="460" w:lineRule="exact"/>
        <w:ind w:firstLine="480" w:firstLineChars="200"/>
        <w:rPr>
          <w:kern w:val="0"/>
          <w:sz w:val="24"/>
        </w:rPr>
      </w:pPr>
      <w:r>
        <w:rPr>
          <w:kern w:val="0"/>
          <w:sz w:val="24"/>
        </w:rPr>
        <w:t>3</w:t>
      </w:r>
      <w:r>
        <w:rPr>
          <w:rFonts w:hint="eastAsia"/>
          <w:kern w:val="0"/>
          <w:sz w:val="24"/>
        </w:rPr>
        <w:t>.</w:t>
      </w:r>
      <w:r>
        <w:rPr>
          <w:kern w:val="0"/>
          <w:sz w:val="24"/>
        </w:rPr>
        <w:t>不得要求、暗示或接受乙方和相关单位为个人装修住房、婚丧嫁娶、配偶子女的工作安排以及出国（境）、旅游等提供方便。</w:t>
      </w:r>
    </w:p>
    <w:p w14:paraId="180A30D4">
      <w:pPr>
        <w:autoSpaceDE w:val="0"/>
        <w:autoSpaceDN w:val="0"/>
        <w:spacing w:line="460" w:lineRule="exact"/>
        <w:ind w:firstLine="480" w:firstLineChars="200"/>
        <w:rPr>
          <w:kern w:val="0"/>
          <w:sz w:val="24"/>
        </w:rPr>
      </w:pPr>
      <w:r>
        <w:rPr>
          <w:kern w:val="0"/>
          <w:sz w:val="24"/>
        </w:rPr>
        <w:t>4.不得以任何理由参加乙方、相关单位或个人组织提供有可能影响公正执行公务的宴请、健身、娱乐等活动。</w:t>
      </w:r>
    </w:p>
    <w:p w14:paraId="59FFEC03">
      <w:pPr>
        <w:autoSpaceDE w:val="0"/>
        <w:autoSpaceDN w:val="0"/>
        <w:spacing w:line="460" w:lineRule="exact"/>
        <w:ind w:firstLine="480" w:firstLineChars="200"/>
        <w:rPr>
          <w:kern w:val="0"/>
          <w:sz w:val="24"/>
        </w:rPr>
      </w:pPr>
      <w:r>
        <w:rPr>
          <w:kern w:val="0"/>
          <w:sz w:val="24"/>
        </w:rPr>
        <w:t>5.不得向乙方和相关单位介绍或为配偶、子女、亲属参与同甲方合同有关的业务活动；不得以任何理由要求乙方和相关单位使用某种产品、材料和设备。</w:t>
      </w:r>
    </w:p>
    <w:p w14:paraId="4A0E155E">
      <w:pPr>
        <w:autoSpaceDE w:val="0"/>
        <w:autoSpaceDN w:val="0"/>
        <w:spacing w:line="460" w:lineRule="exact"/>
        <w:ind w:firstLine="482" w:firstLineChars="200"/>
        <w:rPr>
          <w:kern w:val="0"/>
          <w:sz w:val="24"/>
        </w:rPr>
      </w:pPr>
      <w:r>
        <w:rPr>
          <w:b/>
          <w:bCs/>
          <w:kern w:val="0"/>
          <w:sz w:val="24"/>
        </w:rPr>
        <w:t>三、乙方责任</w:t>
      </w:r>
    </w:p>
    <w:p w14:paraId="19568EAB">
      <w:pPr>
        <w:autoSpaceDE w:val="0"/>
        <w:autoSpaceDN w:val="0"/>
        <w:spacing w:line="460" w:lineRule="exact"/>
        <w:ind w:firstLine="480" w:firstLineChars="200"/>
        <w:rPr>
          <w:kern w:val="0"/>
          <w:sz w:val="24"/>
        </w:rPr>
      </w:pPr>
      <w:r>
        <w:rPr>
          <w:kern w:val="0"/>
          <w:sz w:val="24"/>
        </w:rPr>
        <w:t>应与甲方保持正常的业务交往，按照有关法律法规和程序开展业务工作，严格执行行业规定、规范和相关法律法规，并遵守以下规定：</w:t>
      </w:r>
    </w:p>
    <w:p w14:paraId="28ABEF98">
      <w:pPr>
        <w:autoSpaceDE w:val="0"/>
        <w:autoSpaceDN w:val="0"/>
        <w:spacing w:line="460" w:lineRule="exact"/>
        <w:ind w:firstLine="480" w:firstLineChars="200"/>
        <w:rPr>
          <w:kern w:val="0"/>
          <w:sz w:val="24"/>
        </w:rPr>
      </w:pPr>
      <w:r>
        <w:rPr>
          <w:kern w:val="0"/>
          <w:sz w:val="24"/>
        </w:rPr>
        <w:t>1.不得以任何理由向甲方及其工作人员索要、接受或赠送礼金、有价证券、贵重物品及回扣、好处费、感谢费等。</w:t>
      </w:r>
    </w:p>
    <w:p w14:paraId="671359E8">
      <w:pPr>
        <w:autoSpaceDE w:val="0"/>
        <w:autoSpaceDN w:val="0"/>
        <w:spacing w:line="460" w:lineRule="exact"/>
        <w:ind w:firstLine="480" w:firstLineChars="200"/>
        <w:rPr>
          <w:kern w:val="0"/>
          <w:sz w:val="24"/>
        </w:rPr>
      </w:pPr>
      <w:r>
        <w:rPr>
          <w:kern w:val="0"/>
          <w:sz w:val="24"/>
        </w:rPr>
        <w:t>2.不得以任何理由为甲方和相关单位报销应由对方或个人支付的费用。</w:t>
      </w:r>
    </w:p>
    <w:p w14:paraId="6C6D0241">
      <w:pPr>
        <w:autoSpaceDE w:val="0"/>
        <w:autoSpaceDN w:val="0"/>
        <w:spacing w:line="460" w:lineRule="exact"/>
        <w:ind w:firstLine="480" w:firstLineChars="200"/>
        <w:rPr>
          <w:kern w:val="0"/>
          <w:sz w:val="24"/>
        </w:rPr>
      </w:pPr>
      <w:r>
        <w:rPr>
          <w:kern w:val="0"/>
          <w:sz w:val="24"/>
        </w:rPr>
        <w:t>3.不得接受或暗示为甲方、相关单位或个人装修住房、婚丧嫁娶、配偶子女的工作安排以及出国（境）、旅游等提供方便。</w:t>
      </w:r>
    </w:p>
    <w:p w14:paraId="2CFC63D0">
      <w:pPr>
        <w:autoSpaceDE w:val="0"/>
        <w:autoSpaceDN w:val="0"/>
        <w:spacing w:line="460" w:lineRule="exact"/>
        <w:ind w:firstLine="480" w:firstLineChars="200"/>
        <w:rPr>
          <w:kern w:val="0"/>
          <w:sz w:val="24"/>
        </w:rPr>
      </w:pPr>
      <w:r>
        <w:rPr>
          <w:kern w:val="0"/>
          <w:sz w:val="24"/>
        </w:rPr>
        <w:t>4.不得以任何理由为甲方、相关单位或个人组织提供有可能影响公正执行公务的宴请、健身、娱乐等活动。</w:t>
      </w:r>
    </w:p>
    <w:p w14:paraId="698DE120">
      <w:pPr>
        <w:autoSpaceDE w:val="0"/>
        <w:autoSpaceDN w:val="0"/>
        <w:spacing w:line="460" w:lineRule="exact"/>
        <w:ind w:firstLine="482" w:firstLineChars="200"/>
        <w:rPr>
          <w:b/>
          <w:bCs/>
          <w:kern w:val="0"/>
          <w:sz w:val="24"/>
        </w:rPr>
      </w:pPr>
      <w:r>
        <w:rPr>
          <w:b/>
          <w:bCs/>
          <w:kern w:val="0"/>
          <w:sz w:val="24"/>
        </w:rPr>
        <w:t>四、违约责任</w:t>
      </w:r>
    </w:p>
    <w:p w14:paraId="03027C2B">
      <w:pPr>
        <w:autoSpaceDE w:val="0"/>
        <w:autoSpaceDN w:val="0"/>
        <w:spacing w:line="460" w:lineRule="exact"/>
        <w:ind w:firstLine="480" w:firstLineChars="200"/>
        <w:rPr>
          <w:kern w:val="0"/>
          <w:sz w:val="24"/>
        </w:rPr>
      </w:pPr>
      <w:r>
        <w:rPr>
          <w:kern w:val="0"/>
          <w:sz w:val="24"/>
        </w:rPr>
        <w:t>甲、乙双方相关人员要严格履行本廉政承诺书相关规定。如有违反依据有关法律、法规处理；涉嫌犯罪的，移交司法机关追究刑事责任；造成经济损失的，应予以赔偿。</w:t>
      </w:r>
    </w:p>
    <w:p w14:paraId="1162348C">
      <w:pPr>
        <w:autoSpaceDE w:val="0"/>
        <w:autoSpaceDN w:val="0"/>
        <w:spacing w:line="460" w:lineRule="exact"/>
        <w:ind w:firstLine="482" w:firstLineChars="200"/>
        <w:rPr>
          <w:kern w:val="0"/>
          <w:sz w:val="24"/>
        </w:rPr>
      </w:pPr>
      <w:r>
        <w:rPr>
          <w:b/>
          <w:bCs/>
          <w:kern w:val="0"/>
          <w:sz w:val="24"/>
        </w:rPr>
        <w:t>五、其他约定</w:t>
      </w:r>
    </w:p>
    <w:p w14:paraId="7F8697CE">
      <w:pPr>
        <w:autoSpaceDE w:val="0"/>
        <w:autoSpaceDN w:val="0"/>
        <w:spacing w:line="460" w:lineRule="exact"/>
        <w:ind w:firstLine="480" w:firstLineChars="200"/>
        <w:rPr>
          <w:kern w:val="0"/>
          <w:sz w:val="24"/>
        </w:rPr>
      </w:pPr>
      <w:r>
        <w:rPr>
          <w:kern w:val="0"/>
          <w:sz w:val="24"/>
        </w:rPr>
        <w:t>1.本承诺书由甲乙双方法定代表人或授权的委托代理人签字，并加盖双方公章或合同专用章后生效。</w:t>
      </w:r>
    </w:p>
    <w:p w14:paraId="697AAC79">
      <w:pPr>
        <w:autoSpaceDE w:val="0"/>
        <w:autoSpaceDN w:val="0"/>
        <w:spacing w:line="460" w:lineRule="exact"/>
        <w:ind w:firstLine="480" w:firstLineChars="200"/>
        <w:rPr>
          <w:kern w:val="0"/>
          <w:sz w:val="24"/>
        </w:rPr>
      </w:pPr>
      <w:r>
        <w:rPr>
          <w:kern w:val="0"/>
          <w:sz w:val="24"/>
        </w:rPr>
        <w:t>2.本承诺书总份数及甲乙双方执合同份数与主合同要求一致。</w:t>
      </w:r>
    </w:p>
    <w:p w14:paraId="22379ADD">
      <w:pPr>
        <w:autoSpaceDE w:val="0"/>
        <w:autoSpaceDN w:val="0"/>
        <w:spacing w:line="460" w:lineRule="exact"/>
        <w:ind w:firstLine="480" w:firstLineChars="200"/>
        <w:rPr>
          <w:kern w:val="0"/>
          <w:sz w:val="24"/>
        </w:rPr>
      </w:pPr>
      <w:r>
        <w:rPr>
          <w:kern w:val="0"/>
          <w:sz w:val="24"/>
        </w:rPr>
        <w:t>3.本承诺书作为本合同的组成部分，与本合同具有同等法律效力。</w:t>
      </w:r>
    </w:p>
    <w:tbl>
      <w:tblPr>
        <w:tblStyle w:val="42"/>
        <w:tblW w:w="9147" w:type="dxa"/>
        <w:jc w:val="center"/>
        <w:tblLayout w:type="fixed"/>
        <w:tblCellMar>
          <w:top w:w="0" w:type="dxa"/>
          <w:left w:w="108" w:type="dxa"/>
          <w:bottom w:w="0" w:type="dxa"/>
          <w:right w:w="108" w:type="dxa"/>
        </w:tblCellMar>
      </w:tblPr>
      <w:tblGrid>
        <w:gridCol w:w="1600"/>
        <w:gridCol w:w="2975"/>
        <w:gridCol w:w="1630"/>
        <w:gridCol w:w="2942"/>
      </w:tblGrid>
      <w:tr w14:paraId="1CC0CCE1">
        <w:tblPrEx>
          <w:tblCellMar>
            <w:top w:w="0" w:type="dxa"/>
            <w:left w:w="108" w:type="dxa"/>
            <w:bottom w:w="0" w:type="dxa"/>
            <w:right w:w="108" w:type="dxa"/>
          </w:tblCellMar>
        </w:tblPrEx>
        <w:trPr>
          <w:trHeight w:val="803" w:hRule="atLeast"/>
          <w:jc w:val="center"/>
        </w:trPr>
        <w:tc>
          <w:tcPr>
            <w:tcW w:w="9147" w:type="dxa"/>
            <w:gridSpan w:val="4"/>
            <w:vAlign w:val="center"/>
          </w:tcPr>
          <w:p w14:paraId="4A3CE242">
            <w:pPr>
              <w:spacing w:line="320" w:lineRule="exact"/>
              <w:jc w:val="center"/>
              <w:rPr>
                <w:rFonts w:hint="eastAsia" w:ascii="华文宋体" w:hAnsi="华文宋体" w:eastAsia="华文宋体" w:cs="华文宋体"/>
                <w:b/>
                <w:szCs w:val="21"/>
              </w:rPr>
            </w:pPr>
            <w:r>
              <w:rPr>
                <w:rFonts w:hint="eastAsia" w:ascii="华文宋体" w:hAnsi="华文宋体" w:eastAsia="华文宋体" w:cs="华文宋体"/>
                <w:b/>
                <w:sz w:val="28"/>
                <w:szCs w:val="28"/>
              </w:rPr>
              <w:t>承诺书签订双方</w:t>
            </w:r>
          </w:p>
        </w:tc>
      </w:tr>
      <w:tr w14:paraId="1122D4E6">
        <w:tblPrEx>
          <w:tblCellMar>
            <w:top w:w="0" w:type="dxa"/>
            <w:left w:w="108" w:type="dxa"/>
            <w:bottom w:w="0" w:type="dxa"/>
            <w:right w:w="108" w:type="dxa"/>
          </w:tblCellMar>
        </w:tblPrEx>
        <w:trPr>
          <w:trHeight w:val="997" w:hRule="atLeast"/>
          <w:jc w:val="center"/>
        </w:trPr>
        <w:tc>
          <w:tcPr>
            <w:tcW w:w="1600" w:type="dxa"/>
            <w:vAlign w:val="center"/>
          </w:tcPr>
          <w:p w14:paraId="2B80917B">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甲方（盖章）：</w:t>
            </w:r>
          </w:p>
        </w:tc>
        <w:tc>
          <w:tcPr>
            <w:tcW w:w="2975" w:type="dxa"/>
            <w:vAlign w:val="center"/>
          </w:tcPr>
          <w:p w14:paraId="7E59E8EE">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北京市地质灾害防治研究所</w:t>
            </w:r>
          </w:p>
        </w:tc>
        <w:tc>
          <w:tcPr>
            <w:tcW w:w="1630" w:type="dxa"/>
            <w:vAlign w:val="center"/>
          </w:tcPr>
          <w:p w14:paraId="5A49FD14">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乙方（盖章）：</w:t>
            </w:r>
          </w:p>
        </w:tc>
        <w:tc>
          <w:tcPr>
            <w:tcW w:w="2942" w:type="dxa"/>
            <w:vAlign w:val="center"/>
          </w:tcPr>
          <w:p w14:paraId="637EC39A">
            <w:pPr>
              <w:spacing w:line="320" w:lineRule="exact"/>
              <w:ind w:leftChars="-2" w:hanging="4" w:hangingChars="2"/>
              <w:jc w:val="center"/>
              <w:rPr>
                <w:rFonts w:hint="eastAsia" w:ascii="华文宋体" w:hAnsi="华文宋体" w:eastAsia="华文宋体" w:cs="华文宋体"/>
                <w:szCs w:val="21"/>
              </w:rPr>
            </w:pPr>
            <w:r>
              <w:rPr>
                <w:rFonts w:hint="eastAsia" w:ascii="华文宋体" w:hAnsi="华文宋体" w:eastAsia="华文宋体" w:cs="华文宋体"/>
                <w:szCs w:val="21"/>
              </w:rPr>
              <w:t xml:space="preserve"> </w:t>
            </w:r>
          </w:p>
        </w:tc>
      </w:tr>
      <w:tr w14:paraId="156AC5C2">
        <w:tblPrEx>
          <w:tblCellMar>
            <w:top w:w="0" w:type="dxa"/>
            <w:left w:w="108" w:type="dxa"/>
            <w:bottom w:w="0" w:type="dxa"/>
            <w:right w:w="108" w:type="dxa"/>
          </w:tblCellMar>
        </w:tblPrEx>
        <w:trPr>
          <w:trHeight w:val="1087" w:hRule="atLeast"/>
          <w:jc w:val="center"/>
        </w:trPr>
        <w:tc>
          <w:tcPr>
            <w:tcW w:w="1600" w:type="dxa"/>
            <w:vAlign w:val="center"/>
          </w:tcPr>
          <w:p w14:paraId="004E28E4">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法定代表人</w:t>
            </w:r>
          </w:p>
          <w:p w14:paraId="5183622F">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75" w:type="dxa"/>
            <w:vAlign w:val="center"/>
          </w:tcPr>
          <w:p w14:paraId="385A771F">
            <w:pPr>
              <w:spacing w:line="320" w:lineRule="exact"/>
              <w:rPr>
                <w:rFonts w:hint="eastAsia" w:ascii="华文宋体" w:hAnsi="华文宋体" w:eastAsia="华文宋体" w:cs="华文宋体"/>
                <w:szCs w:val="21"/>
              </w:rPr>
            </w:pPr>
          </w:p>
        </w:tc>
        <w:tc>
          <w:tcPr>
            <w:tcW w:w="1630" w:type="dxa"/>
            <w:vAlign w:val="center"/>
          </w:tcPr>
          <w:p w14:paraId="0198C485">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法定代表人</w:t>
            </w:r>
          </w:p>
          <w:p w14:paraId="5CB7D724">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42" w:type="dxa"/>
            <w:vAlign w:val="center"/>
          </w:tcPr>
          <w:p w14:paraId="13C55C18">
            <w:pPr>
              <w:spacing w:line="320" w:lineRule="exact"/>
              <w:rPr>
                <w:rFonts w:hint="eastAsia" w:ascii="华文宋体" w:hAnsi="华文宋体" w:eastAsia="华文宋体" w:cs="华文宋体"/>
                <w:szCs w:val="21"/>
              </w:rPr>
            </w:pPr>
          </w:p>
        </w:tc>
      </w:tr>
      <w:tr w14:paraId="379DFA97">
        <w:tblPrEx>
          <w:tblCellMar>
            <w:top w:w="0" w:type="dxa"/>
            <w:left w:w="108" w:type="dxa"/>
            <w:bottom w:w="0" w:type="dxa"/>
            <w:right w:w="108" w:type="dxa"/>
          </w:tblCellMar>
        </w:tblPrEx>
        <w:trPr>
          <w:trHeight w:val="1087" w:hRule="atLeast"/>
          <w:jc w:val="center"/>
        </w:trPr>
        <w:tc>
          <w:tcPr>
            <w:tcW w:w="1600" w:type="dxa"/>
            <w:vAlign w:val="center"/>
          </w:tcPr>
          <w:p w14:paraId="3C31706E">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委托代理人</w:t>
            </w:r>
          </w:p>
          <w:p w14:paraId="4FB2F457">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75" w:type="dxa"/>
            <w:vAlign w:val="center"/>
          </w:tcPr>
          <w:p w14:paraId="1F549948">
            <w:pPr>
              <w:spacing w:line="320" w:lineRule="exact"/>
              <w:rPr>
                <w:rFonts w:hint="eastAsia" w:ascii="华文宋体" w:hAnsi="华文宋体" w:eastAsia="华文宋体" w:cs="华文宋体"/>
                <w:szCs w:val="21"/>
              </w:rPr>
            </w:pPr>
          </w:p>
        </w:tc>
        <w:tc>
          <w:tcPr>
            <w:tcW w:w="1630" w:type="dxa"/>
            <w:vAlign w:val="center"/>
          </w:tcPr>
          <w:p w14:paraId="0B89134F">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委托代理人</w:t>
            </w:r>
          </w:p>
          <w:p w14:paraId="24B6815D">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42" w:type="dxa"/>
            <w:vAlign w:val="center"/>
          </w:tcPr>
          <w:p w14:paraId="088D8117">
            <w:pPr>
              <w:spacing w:line="320" w:lineRule="exact"/>
              <w:rPr>
                <w:rFonts w:hint="eastAsia" w:ascii="华文宋体" w:hAnsi="华文宋体" w:eastAsia="华文宋体" w:cs="华文宋体"/>
                <w:szCs w:val="21"/>
              </w:rPr>
            </w:pPr>
          </w:p>
        </w:tc>
      </w:tr>
      <w:tr w14:paraId="4A8E407D">
        <w:tblPrEx>
          <w:tblCellMar>
            <w:top w:w="0" w:type="dxa"/>
            <w:left w:w="108" w:type="dxa"/>
            <w:bottom w:w="0" w:type="dxa"/>
            <w:right w:w="108" w:type="dxa"/>
          </w:tblCellMar>
        </w:tblPrEx>
        <w:trPr>
          <w:trHeight w:val="1087" w:hRule="atLeast"/>
          <w:jc w:val="center"/>
        </w:trPr>
        <w:tc>
          <w:tcPr>
            <w:tcW w:w="1600" w:type="dxa"/>
            <w:vAlign w:val="center"/>
          </w:tcPr>
          <w:p w14:paraId="42A34547">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签订日期：</w:t>
            </w:r>
          </w:p>
        </w:tc>
        <w:tc>
          <w:tcPr>
            <w:tcW w:w="2975" w:type="dxa"/>
            <w:vAlign w:val="center"/>
          </w:tcPr>
          <w:p w14:paraId="0CA58725">
            <w:pPr>
              <w:spacing w:line="320" w:lineRule="exact"/>
              <w:jc w:val="right"/>
              <w:rPr>
                <w:rFonts w:hint="eastAsia" w:ascii="华文宋体" w:hAnsi="华文宋体" w:eastAsia="华文宋体" w:cs="华文宋体"/>
                <w:szCs w:val="21"/>
              </w:rPr>
            </w:pPr>
            <w:r>
              <w:rPr>
                <w:rFonts w:hint="eastAsia" w:ascii="华文宋体" w:hAnsi="华文宋体" w:eastAsia="华文宋体" w:cs="华文宋体"/>
                <w:szCs w:val="21"/>
              </w:rPr>
              <w:t>________年____月____日</w:t>
            </w:r>
          </w:p>
        </w:tc>
        <w:tc>
          <w:tcPr>
            <w:tcW w:w="1630" w:type="dxa"/>
            <w:vAlign w:val="center"/>
          </w:tcPr>
          <w:p w14:paraId="453E3B75">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签订日期：</w:t>
            </w:r>
          </w:p>
        </w:tc>
        <w:tc>
          <w:tcPr>
            <w:tcW w:w="2942" w:type="dxa"/>
            <w:vAlign w:val="center"/>
          </w:tcPr>
          <w:p w14:paraId="7F7BC700">
            <w:pPr>
              <w:spacing w:line="320" w:lineRule="exact"/>
              <w:jc w:val="right"/>
              <w:rPr>
                <w:rFonts w:hint="eastAsia" w:ascii="华文宋体" w:hAnsi="华文宋体" w:eastAsia="华文宋体" w:cs="华文宋体"/>
                <w:szCs w:val="21"/>
              </w:rPr>
            </w:pPr>
            <w:r>
              <w:rPr>
                <w:rFonts w:hint="eastAsia" w:ascii="华文宋体" w:hAnsi="华文宋体" w:eastAsia="华文宋体" w:cs="华文宋体"/>
                <w:szCs w:val="21"/>
              </w:rPr>
              <w:t>________年____月____日</w:t>
            </w:r>
          </w:p>
        </w:tc>
      </w:tr>
    </w:tbl>
    <w:p w14:paraId="4E4CCE0E"/>
    <w:p w14:paraId="7389D656">
      <w:pPr>
        <w:spacing w:after="120" w:line="480" w:lineRule="exact"/>
        <w:rPr>
          <w:sz w:val="24"/>
          <w:szCs w:val="20"/>
        </w:rPr>
      </w:pPr>
    </w:p>
    <w:p w14:paraId="09F086A0">
      <w:pPr>
        <w:rPr>
          <w:b/>
          <w:bCs/>
          <w:sz w:val="24"/>
        </w:rPr>
      </w:pPr>
      <w:r>
        <w:rPr>
          <w:b/>
          <w:bCs/>
          <w:sz w:val="24"/>
        </w:rPr>
        <w:br w:type="page"/>
      </w:r>
    </w:p>
    <w:p w14:paraId="6B695275">
      <w:pPr>
        <w:rPr>
          <w:b/>
          <w:bCs/>
          <w:sz w:val="24"/>
        </w:rPr>
      </w:pPr>
      <w:r>
        <w:rPr>
          <w:b/>
          <w:bCs/>
          <w:sz w:val="24"/>
        </w:rPr>
        <w:t>附件</w:t>
      </w:r>
      <w:r>
        <w:rPr>
          <w:rFonts w:hint="eastAsia"/>
          <w:b/>
          <w:bCs/>
          <w:sz w:val="24"/>
        </w:rPr>
        <w:t>4</w:t>
      </w:r>
      <w:r>
        <w:rPr>
          <w:b/>
          <w:bCs/>
          <w:sz w:val="24"/>
        </w:rPr>
        <w:t>：</w:t>
      </w:r>
    </w:p>
    <w:p w14:paraId="428D4465">
      <w:pPr>
        <w:widowControl/>
        <w:tabs>
          <w:tab w:val="left" w:pos="3480"/>
          <w:tab w:val="center" w:pos="4393"/>
        </w:tabs>
        <w:spacing w:before="100" w:beforeAutospacing="1" w:after="100" w:afterAutospacing="1" w:line="427" w:lineRule="auto"/>
        <w:jc w:val="center"/>
        <w:rPr>
          <w:rFonts w:hint="eastAsia" w:ascii="宋体" w:hAnsi="宋体" w:cs="宋体"/>
          <w:b/>
          <w:color w:val="000000"/>
          <w:kern w:val="0"/>
          <w:sz w:val="36"/>
          <w:szCs w:val="36"/>
        </w:rPr>
      </w:pPr>
      <w:r>
        <w:rPr>
          <w:rFonts w:hint="eastAsia" w:ascii="宋体" w:hAnsi="宋体" w:cs="宋体"/>
          <w:b/>
          <w:color w:val="000000"/>
          <w:kern w:val="0"/>
          <w:sz w:val="32"/>
          <w:szCs w:val="32"/>
        </w:rPr>
        <w:t>安全协议书</w:t>
      </w:r>
    </w:p>
    <w:p w14:paraId="4085B421">
      <w:pPr>
        <w:spacing w:line="440" w:lineRule="exact"/>
        <w:rPr>
          <w:b/>
          <w:color w:val="000000"/>
          <w:kern w:val="0"/>
          <w:sz w:val="24"/>
          <w:u w:val="single"/>
        </w:rPr>
      </w:pPr>
      <w:r>
        <w:rPr>
          <w:b/>
          <w:color w:val="000000"/>
          <w:kern w:val="0"/>
          <w:sz w:val="24"/>
        </w:rPr>
        <w:t>甲方：</w:t>
      </w:r>
      <w:r>
        <w:rPr>
          <w:rFonts w:hint="eastAsia"/>
          <w:bCs/>
          <w:color w:val="000000"/>
          <w:kern w:val="0"/>
          <w:sz w:val="24"/>
          <w:u w:val="single"/>
        </w:rPr>
        <w:t xml:space="preserve">                                               </w:t>
      </w:r>
    </w:p>
    <w:p w14:paraId="645C1CDE">
      <w:pPr>
        <w:spacing w:line="440" w:lineRule="exact"/>
        <w:rPr>
          <w:b/>
          <w:color w:val="000000"/>
          <w:kern w:val="0"/>
          <w:sz w:val="24"/>
        </w:rPr>
      </w:pPr>
      <w:r>
        <w:rPr>
          <w:b/>
          <w:color w:val="000000"/>
          <w:kern w:val="0"/>
          <w:sz w:val="24"/>
        </w:rPr>
        <w:t>乙方：</w:t>
      </w:r>
      <w:r>
        <w:rPr>
          <w:rFonts w:hint="eastAsia"/>
          <w:bCs/>
          <w:color w:val="000000"/>
          <w:kern w:val="0"/>
          <w:sz w:val="24"/>
          <w:u w:val="single"/>
        </w:rPr>
        <w:t xml:space="preserve">                                              </w:t>
      </w:r>
      <w:r>
        <w:rPr>
          <w:rFonts w:hint="eastAsia"/>
          <w:bCs/>
          <w:color w:val="000000"/>
          <w:kern w:val="0"/>
          <w:sz w:val="24"/>
        </w:rPr>
        <w:t xml:space="preserve"> </w:t>
      </w:r>
      <w:r>
        <w:rPr>
          <w:rFonts w:hint="eastAsia"/>
          <w:b/>
          <w:color w:val="000000"/>
          <w:kern w:val="0"/>
          <w:sz w:val="24"/>
        </w:rPr>
        <w:t xml:space="preserve"> </w:t>
      </w:r>
    </w:p>
    <w:p w14:paraId="3CCC6A68">
      <w:pPr>
        <w:spacing w:line="440" w:lineRule="exact"/>
        <w:rPr>
          <w:b/>
          <w:sz w:val="24"/>
        </w:rPr>
      </w:pPr>
    </w:p>
    <w:p w14:paraId="091AF7FE">
      <w:pPr>
        <w:spacing w:line="440" w:lineRule="exact"/>
        <w:rPr>
          <w:b/>
          <w:sz w:val="24"/>
        </w:rPr>
      </w:pPr>
      <w:r>
        <w:rPr>
          <w:b/>
          <w:sz w:val="24"/>
        </w:rPr>
        <w:t>一、目的</w:t>
      </w:r>
    </w:p>
    <w:p w14:paraId="6AA88770">
      <w:pPr>
        <w:spacing w:line="440" w:lineRule="exact"/>
        <w:ind w:firstLine="480" w:firstLineChars="200"/>
        <w:rPr>
          <w:sz w:val="24"/>
        </w:rPr>
      </w:pPr>
      <w:r>
        <w:rPr>
          <w:sz w:val="24"/>
        </w:rPr>
        <w:t>为了维护甲乙双方的共同利益，保证施工安全，保持良好的工作秩序和施工场所的卫生环境，经甲乙双方平等协商，签订本安全协议。</w:t>
      </w:r>
    </w:p>
    <w:p w14:paraId="5E60CE6B">
      <w:pPr>
        <w:spacing w:line="440" w:lineRule="exact"/>
        <w:rPr>
          <w:sz w:val="24"/>
        </w:rPr>
      </w:pPr>
      <w:r>
        <w:rPr>
          <w:b/>
          <w:sz w:val="24"/>
        </w:rPr>
        <w:t>二、施工项目</w:t>
      </w:r>
    </w:p>
    <w:p w14:paraId="42DBCCF1">
      <w:pPr>
        <w:spacing w:line="440" w:lineRule="exact"/>
        <w:rPr>
          <w:b/>
          <w:sz w:val="24"/>
        </w:rPr>
      </w:pPr>
    </w:p>
    <w:p w14:paraId="05520CE0">
      <w:pPr>
        <w:spacing w:line="440" w:lineRule="exact"/>
        <w:rPr>
          <w:b/>
          <w:sz w:val="24"/>
        </w:rPr>
      </w:pPr>
      <w:r>
        <w:rPr>
          <w:b/>
          <w:sz w:val="24"/>
        </w:rPr>
        <w:t>三、施工地点</w:t>
      </w:r>
    </w:p>
    <w:p w14:paraId="37C4A041">
      <w:pPr>
        <w:spacing w:line="440" w:lineRule="exact"/>
        <w:ind w:firstLine="602" w:firstLineChars="250"/>
        <w:rPr>
          <w:b/>
          <w:sz w:val="24"/>
        </w:rPr>
      </w:pPr>
    </w:p>
    <w:p w14:paraId="0D449DE8">
      <w:pPr>
        <w:spacing w:line="440" w:lineRule="exact"/>
        <w:rPr>
          <w:b/>
          <w:sz w:val="24"/>
        </w:rPr>
      </w:pPr>
      <w:r>
        <w:rPr>
          <w:b/>
          <w:sz w:val="24"/>
        </w:rPr>
        <w:t>四、施工时间</w:t>
      </w:r>
    </w:p>
    <w:p w14:paraId="1C6A7AEA">
      <w:pPr>
        <w:spacing w:line="440" w:lineRule="exact"/>
        <w:ind w:firstLine="480" w:firstLineChars="200"/>
        <w:rPr>
          <w:sz w:val="24"/>
        </w:rPr>
      </w:pPr>
      <w:r>
        <w:rPr>
          <w:sz w:val="24"/>
        </w:rPr>
        <w:t>以实际施工日期为准。</w:t>
      </w:r>
    </w:p>
    <w:p w14:paraId="3BFA2E3D">
      <w:pPr>
        <w:spacing w:line="440" w:lineRule="exact"/>
        <w:rPr>
          <w:b/>
          <w:sz w:val="24"/>
        </w:rPr>
      </w:pPr>
      <w:r>
        <w:rPr>
          <w:b/>
          <w:sz w:val="24"/>
        </w:rPr>
        <w:t>五、施工方式</w:t>
      </w:r>
    </w:p>
    <w:p w14:paraId="07CC9BBA">
      <w:pPr>
        <w:spacing w:line="440" w:lineRule="exact"/>
        <w:ind w:firstLine="480" w:firstLineChars="200"/>
        <w:rPr>
          <w:b/>
          <w:sz w:val="24"/>
        </w:rPr>
      </w:pPr>
      <w:r>
        <w:rPr>
          <w:sz w:val="24"/>
        </w:rPr>
        <w:t>按照双方签订合同及技术要求施工（详见合同相关条款）。</w:t>
      </w:r>
    </w:p>
    <w:p w14:paraId="4F7EDF93">
      <w:pPr>
        <w:spacing w:line="440" w:lineRule="exact"/>
        <w:ind w:left="482" w:hanging="482" w:hangingChars="200"/>
        <w:rPr>
          <w:b/>
          <w:sz w:val="24"/>
        </w:rPr>
      </w:pPr>
      <w:r>
        <w:rPr>
          <w:b/>
          <w:sz w:val="24"/>
        </w:rPr>
        <w:t>六、协议内容</w:t>
      </w:r>
    </w:p>
    <w:p w14:paraId="5153DC4C">
      <w:pPr>
        <w:spacing w:line="440" w:lineRule="exact"/>
        <w:ind w:firstLine="482" w:firstLineChars="200"/>
        <w:rPr>
          <w:sz w:val="24"/>
        </w:rPr>
      </w:pPr>
      <w:r>
        <w:rPr>
          <w:b/>
          <w:sz w:val="24"/>
        </w:rPr>
        <w:t>第一条</w:t>
      </w:r>
      <w:r>
        <w:rPr>
          <w:sz w:val="24"/>
        </w:rPr>
        <w:t xml:space="preserve">  乙方在施工期间须指定现场施工负责人，施工现场还需设立安全监督员，便于施工过程中的协调、联系及安全监管等工作。</w:t>
      </w:r>
    </w:p>
    <w:p w14:paraId="19373DE8">
      <w:pPr>
        <w:spacing w:line="440" w:lineRule="exact"/>
        <w:ind w:firstLine="482" w:firstLineChars="200"/>
        <w:rPr>
          <w:sz w:val="24"/>
        </w:rPr>
      </w:pPr>
      <w:r>
        <w:rPr>
          <w:b/>
          <w:sz w:val="24"/>
        </w:rPr>
        <w:t>第二条</w:t>
      </w:r>
      <w:r>
        <w:rPr>
          <w:sz w:val="24"/>
        </w:rPr>
        <w:t xml:space="preserve">  施工人员进行特种作业前必须持有效证件（电气焊操作证、电工操作证、起重操作证等），并由甲方审核作业人员资质，审核通过后方可施工。同时，由乙方负责在施工前将相关证件复印件（加盖公司公章）交至甲方安全保卫科存档。</w:t>
      </w:r>
    </w:p>
    <w:p w14:paraId="774EAF24">
      <w:pPr>
        <w:spacing w:line="440" w:lineRule="exact"/>
        <w:ind w:firstLine="482" w:firstLineChars="200"/>
        <w:rPr>
          <w:sz w:val="24"/>
        </w:rPr>
      </w:pPr>
      <w:r>
        <w:rPr>
          <w:b/>
          <w:sz w:val="24"/>
        </w:rPr>
        <w:t>第三条</w:t>
      </w:r>
      <w:r>
        <w:rPr>
          <w:sz w:val="24"/>
        </w:rPr>
        <w:t xml:space="preserve">  对于由乙方原因造成甲方人员伤害，引起火灾、设备事故的，一切损失由乙方负责。</w:t>
      </w:r>
    </w:p>
    <w:p w14:paraId="20A1EB52">
      <w:pPr>
        <w:spacing w:line="440" w:lineRule="exact"/>
        <w:ind w:firstLine="482" w:firstLineChars="200"/>
        <w:rPr>
          <w:sz w:val="24"/>
        </w:rPr>
      </w:pPr>
      <w:r>
        <w:rPr>
          <w:b/>
          <w:sz w:val="24"/>
        </w:rPr>
        <w:t>第四条</w:t>
      </w:r>
      <w:r>
        <w:rPr>
          <w:sz w:val="24"/>
        </w:rPr>
        <w:t xml:space="preserve">  乙方施工队伍的安全防护器材必须配置到位，安全措施得力，乙方对其所有施工人员及相关联人员的人身安全负全部责任，甲方不承担任何责任。</w:t>
      </w:r>
    </w:p>
    <w:p w14:paraId="7ECD6A59">
      <w:pPr>
        <w:widowControl/>
        <w:spacing w:line="440" w:lineRule="exact"/>
        <w:ind w:firstLine="482" w:firstLineChars="200"/>
        <w:jc w:val="left"/>
        <w:rPr>
          <w:color w:val="000000"/>
          <w:kern w:val="0"/>
          <w:sz w:val="24"/>
        </w:rPr>
      </w:pPr>
      <w:r>
        <w:rPr>
          <w:b/>
          <w:sz w:val="24"/>
        </w:rPr>
        <w:t>第五条</w:t>
      </w:r>
      <w:r>
        <w:rPr>
          <w:sz w:val="24"/>
        </w:rPr>
        <w:t xml:space="preserve">  </w:t>
      </w:r>
      <w:r>
        <w:rPr>
          <w:color w:val="000000"/>
          <w:kern w:val="0"/>
          <w:sz w:val="24"/>
        </w:rPr>
        <w:t>登高观测作业，应检查攀登工具、安全带和观测工具，并保持完好。</w:t>
      </w:r>
    </w:p>
    <w:p w14:paraId="2975D610">
      <w:pPr>
        <w:widowControl/>
        <w:spacing w:line="440" w:lineRule="exact"/>
        <w:ind w:firstLine="482" w:firstLineChars="200"/>
        <w:jc w:val="left"/>
        <w:rPr>
          <w:color w:val="000000"/>
          <w:kern w:val="0"/>
          <w:sz w:val="24"/>
        </w:rPr>
      </w:pPr>
      <w:r>
        <w:rPr>
          <w:b/>
          <w:sz w:val="24"/>
        </w:rPr>
        <w:t>第六条</w:t>
      </w:r>
      <w:r>
        <w:rPr>
          <w:sz w:val="24"/>
        </w:rPr>
        <w:t xml:space="preserve">  </w:t>
      </w:r>
      <w:r>
        <w:rPr>
          <w:color w:val="000000"/>
          <w:kern w:val="0"/>
          <w:sz w:val="24"/>
        </w:rPr>
        <w:t>电网密集地区作业，应避开变压器、高压输电线等危险区，并禁止使用金属标尺。仪器设备架设与输电线路边缘之间的最小距离应该在15m以外，最少不小于10m。</w:t>
      </w:r>
    </w:p>
    <w:p w14:paraId="28A1F5DC">
      <w:pPr>
        <w:widowControl/>
        <w:spacing w:line="440" w:lineRule="exact"/>
        <w:ind w:firstLine="482" w:firstLineChars="200"/>
        <w:jc w:val="left"/>
        <w:rPr>
          <w:color w:val="000000"/>
          <w:kern w:val="0"/>
          <w:sz w:val="24"/>
        </w:rPr>
      </w:pPr>
      <w:r>
        <w:rPr>
          <w:b/>
          <w:sz w:val="24"/>
        </w:rPr>
        <w:t>第七条</w:t>
      </w:r>
      <w:r>
        <w:rPr>
          <w:sz w:val="24"/>
        </w:rPr>
        <w:t xml:space="preserve">  </w:t>
      </w:r>
      <w:r>
        <w:rPr>
          <w:color w:val="000000"/>
          <w:kern w:val="0"/>
          <w:sz w:val="24"/>
        </w:rPr>
        <w:t>野外作业</w:t>
      </w:r>
    </w:p>
    <w:p w14:paraId="6861CECA">
      <w:pPr>
        <w:spacing w:line="440" w:lineRule="exact"/>
        <w:ind w:firstLine="480" w:firstLineChars="200"/>
        <w:rPr>
          <w:sz w:val="24"/>
        </w:rPr>
      </w:pPr>
      <w:r>
        <w:rPr>
          <w:sz w:val="24"/>
        </w:rPr>
        <w:t>1、作业时必须认真对工作场地进行检查，特别要注意是否有毒蛇、毒蜂等危险因素，确认无危险因素后，方可工作。</w:t>
      </w:r>
    </w:p>
    <w:p w14:paraId="0B46FB5F">
      <w:pPr>
        <w:widowControl/>
        <w:spacing w:line="440" w:lineRule="exact"/>
        <w:ind w:firstLine="480" w:firstLineChars="200"/>
        <w:jc w:val="left"/>
        <w:rPr>
          <w:color w:val="000000"/>
          <w:kern w:val="0"/>
          <w:sz w:val="24"/>
        </w:rPr>
      </w:pPr>
      <w:r>
        <w:rPr>
          <w:color w:val="000000"/>
          <w:kern w:val="0"/>
          <w:sz w:val="24"/>
        </w:rPr>
        <w:t>2</w:t>
      </w:r>
      <w:r>
        <w:rPr>
          <w:rFonts w:hint="eastAsia"/>
          <w:color w:val="000000"/>
          <w:kern w:val="0"/>
          <w:sz w:val="24"/>
        </w:rPr>
        <w:t>、</w:t>
      </w:r>
      <w:r>
        <w:rPr>
          <w:color w:val="000000"/>
          <w:kern w:val="0"/>
          <w:sz w:val="24"/>
        </w:rPr>
        <w:t>作业人员配备野外救生卫生包（常备创口贴、中暑、跌打类药物、防过敏、蚊虫叮咬药物）。</w:t>
      </w:r>
    </w:p>
    <w:p w14:paraId="3D2612C6">
      <w:pPr>
        <w:widowControl/>
        <w:spacing w:line="440" w:lineRule="exact"/>
        <w:ind w:firstLine="480" w:firstLineChars="200"/>
        <w:jc w:val="left"/>
        <w:rPr>
          <w:color w:val="000000"/>
          <w:kern w:val="0"/>
          <w:sz w:val="24"/>
        </w:rPr>
      </w:pPr>
      <w:r>
        <w:rPr>
          <w:color w:val="000000"/>
          <w:kern w:val="0"/>
          <w:sz w:val="24"/>
        </w:rPr>
        <w:t>3</w:t>
      </w:r>
      <w:r>
        <w:rPr>
          <w:rFonts w:hint="eastAsia"/>
          <w:color w:val="000000"/>
          <w:kern w:val="0"/>
          <w:sz w:val="24"/>
        </w:rPr>
        <w:t>、</w:t>
      </w:r>
      <w:r>
        <w:rPr>
          <w:color w:val="000000"/>
          <w:kern w:val="0"/>
          <w:sz w:val="24"/>
        </w:rPr>
        <w:t>禁止采、食不识别的野菜、野果。禁止饮用新发现水源水和未经消毒处理水。</w:t>
      </w:r>
    </w:p>
    <w:p w14:paraId="78AB16A9">
      <w:pPr>
        <w:widowControl/>
        <w:spacing w:line="440" w:lineRule="exact"/>
        <w:ind w:firstLine="480" w:firstLineChars="200"/>
        <w:jc w:val="left"/>
        <w:rPr>
          <w:color w:val="000000"/>
          <w:kern w:val="0"/>
          <w:sz w:val="24"/>
        </w:rPr>
      </w:pPr>
      <w:r>
        <w:rPr>
          <w:color w:val="000000"/>
          <w:kern w:val="0"/>
          <w:sz w:val="24"/>
        </w:rPr>
        <w:t>4</w:t>
      </w:r>
      <w:r>
        <w:rPr>
          <w:rFonts w:hint="eastAsia"/>
          <w:color w:val="000000"/>
          <w:kern w:val="0"/>
          <w:sz w:val="24"/>
        </w:rPr>
        <w:t>、</w:t>
      </w:r>
      <w:r>
        <w:rPr>
          <w:color w:val="000000"/>
          <w:kern w:val="0"/>
          <w:sz w:val="24"/>
        </w:rPr>
        <w:t>野外作业人员必须两人以上才能进山，应按约定时间和路线返回约定的营地。</w:t>
      </w:r>
    </w:p>
    <w:p w14:paraId="56913E57">
      <w:pPr>
        <w:widowControl/>
        <w:spacing w:line="440" w:lineRule="exact"/>
        <w:ind w:firstLine="480" w:firstLineChars="200"/>
        <w:jc w:val="left"/>
        <w:rPr>
          <w:color w:val="000000"/>
          <w:kern w:val="0"/>
          <w:sz w:val="24"/>
        </w:rPr>
      </w:pPr>
      <w:r>
        <w:rPr>
          <w:color w:val="000000"/>
          <w:kern w:val="0"/>
          <w:sz w:val="24"/>
        </w:rPr>
        <w:t>5</w:t>
      </w:r>
      <w:r>
        <w:rPr>
          <w:rFonts w:hint="eastAsia"/>
          <w:color w:val="000000"/>
          <w:kern w:val="0"/>
          <w:sz w:val="24"/>
        </w:rPr>
        <w:t>、</w:t>
      </w:r>
      <w:r>
        <w:rPr>
          <w:color w:val="000000"/>
          <w:kern w:val="0"/>
          <w:sz w:val="24"/>
        </w:rPr>
        <w:t>野外设备应注意避雷。雷雨天气，禁止在树木下、山顶避雨。雷雨时候要及时把GPS设备关闭，禁止冒雨作业，雷雨临近或五级以上大风时，应停止作业。</w:t>
      </w:r>
    </w:p>
    <w:p w14:paraId="1D116DA5">
      <w:pPr>
        <w:widowControl/>
        <w:spacing w:line="440" w:lineRule="exact"/>
        <w:ind w:firstLine="480" w:firstLineChars="200"/>
        <w:jc w:val="left"/>
        <w:rPr>
          <w:color w:val="000000"/>
          <w:kern w:val="0"/>
          <w:sz w:val="24"/>
        </w:rPr>
      </w:pPr>
      <w:r>
        <w:rPr>
          <w:color w:val="000000"/>
          <w:kern w:val="0"/>
          <w:sz w:val="24"/>
        </w:rPr>
        <w:t>6</w:t>
      </w:r>
      <w:r>
        <w:rPr>
          <w:rFonts w:hint="eastAsia"/>
          <w:color w:val="000000"/>
          <w:kern w:val="0"/>
          <w:sz w:val="24"/>
        </w:rPr>
        <w:t>、</w:t>
      </w:r>
      <w:r>
        <w:rPr>
          <w:color w:val="000000"/>
          <w:kern w:val="0"/>
          <w:sz w:val="24"/>
        </w:rPr>
        <w:t>可能危及作业人员或他人人身安全的野外作业，应设置安全标志。尤其在公路主干道作业要设置安全防护标志，配备及穿戴反光服。</w:t>
      </w:r>
    </w:p>
    <w:p w14:paraId="40A804D8">
      <w:pPr>
        <w:widowControl/>
        <w:spacing w:line="440" w:lineRule="exact"/>
        <w:ind w:firstLine="480" w:firstLineChars="200"/>
        <w:jc w:val="left"/>
        <w:rPr>
          <w:sz w:val="24"/>
        </w:rPr>
      </w:pPr>
      <w:r>
        <w:rPr>
          <w:sz w:val="24"/>
        </w:rPr>
        <w:t>7、施工后及时清理现场，做好环保工作。</w:t>
      </w:r>
    </w:p>
    <w:p w14:paraId="08CEAB43">
      <w:pPr>
        <w:widowControl/>
        <w:spacing w:line="440" w:lineRule="exact"/>
        <w:ind w:firstLine="480" w:firstLineChars="200"/>
        <w:jc w:val="left"/>
        <w:rPr>
          <w:color w:val="000000"/>
          <w:kern w:val="0"/>
          <w:sz w:val="24"/>
        </w:rPr>
      </w:pPr>
      <w:r>
        <w:rPr>
          <w:color w:val="000000"/>
          <w:kern w:val="0"/>
          <w:sz w:val="24"/>
        </w:rPr>
        <w:t>8</w:t>
      </w:r>
      <w:r>
        <w:rPr>
          <w:rFonts w:hint="eastAsia"/>
          <w:color w:val="000000"/>
          <w:kern w:val="0"/>
          <w:sz w:val="24"/>
        </w:rPr>
        <w:t>、</w:t>
      </w:r>
      <w:r>
        <w:rPr>
          <w:color w:val="000000"/>
          <w:kern w:val="0"/>
          <w:sz w:val="24"/>
        </w:rPr>
        <w:t>野外工作车辆，应该注意交通安全，做到不紧不慢，安全第一。</w:t>
      </w:r>
    </w:p>
    <w:p w14:paraId="7B8CE62E">
      <w:pPr>
        <w:widowControl/>
        <w:spacing w:line="440" w:lineRule="exact"/>
        <w:ind w:firstLine="480" w:firstLineChars="200"/>
        <w:jc w:val="left"/>
        <w:rPr>
          <w:color w:val="000000"/>
          <w:kern w:val="0"/>
          <w:sz w:val="24"/>
        </w:rPr>
      </w:pPr>
      <w:r>
        <w:rPr>
          <w:color w:val="000000"/>
          <w:kern w:val="0"/>
          <w:sz w:val="24"/>
        </w:rPr>
        <w:t>9</w:t>
      </w:r>
      <w:r>
        <w:rPr>
          <w:rFonts w:hint="eastAsia"/>
          <w:color w:val="000000"/>
          <w:kern w:val="0"/>
          <w:sz w:val="24"/>
        </w:rPr>
        <w:t>、</w:t>
      </w:r>
      <w:r>
        <w:rPr>
          <w:color w:val="000000"/>
          <w:kern w:val="0"/>
          <w:sz w:val="24"/>
        </w:rPr>
        <w:t>野外营地选择应遵守下列规定：</w:t>
      </w:r>
    </w:p>
    <w:p w14:paraId="67675F6E">
      <w:pPr>
        <w:widowControl/>
        <w:spacing w:line="440" w:lineRule="exact"/>
        <w:ind w:firstLine="480" w:firstLineChars="200"/>
        <w:jc w:val="left"/>
        <w:rPr>
          <w:color w:val="000000"/>
          <w:kern w:val="0"/>
          <w:sz w:val="24"/>
        </w:rPr>
      </w:pPr>
      <w:r>
        <w:rPr>
          <w:color w:val="000000"/>
          <w:kern w:val="0"/>
          <w:sz w:val="24"/>
        </w:rPr>
        <w:t>a</w:t>
      </w:r>
      <w:r>
        <w:rPr>
          <w:rFonts w:hint="eastAsia"/>
          <w:color w:val="000000"/>
          <w:kern w:val="0"/>
          <w:sz w:val="24"/>
        </w:rPr>
        <w:t>）</w:t>
      </w:r>
      <w:r>
        <w:rPr>
          <w:color w:val="000000"/>
          <w:kern w:val="0"/>
          <w:sz w:val="24"/>
        </w:rPr>
        <w:t>租住民房应检查房屋周边环境、基础和结构。</w:t>
      </w:r>
    </w:p>
    <w:p w14:paraId="03C4EE62">
      <w:pPr>
        <w:widowControl/>
        <w:spacing w:line="440" w:lineRule="exact"/>
        <w:ind w:firstLine="480" w:firstLineChars="200"/>
        <w:jc w:val="left"/>
        <w:rPr>
          <w:color w:val="000000"/>
          <w:kern w:val="0"/>
          <w:sz w:val="24"/>
        </w:rPr>
      </w:pPr>
      <w:r>
        <w:rPr>
          <w:color w:val="000000"/>
          <w:kern w:val="0"/>
          <w:sz w:val="24"/>
        </w:rPr>
        <w:t>b</w:t>
      </w:r>
      <w:r>
        <w:rPr>
          <w:rFonts w:hint="eastAsia"/>
          <w:color w:val="000000"/>
          <w:kern w:val="0"/>
          <w:sz w:val="24"/>
        </w:rPr>
        <w:t>）</w:t>
      </w:r>
      <w:r>
        <w:rPr>
          <w:color w:val="000000"/>
          <w:kern w:val="0"/>
          <w:sz w:val="24"/>
        </w:rPr>
        <w:t xml:space="preserve">提高防盗、防抢意识，遇到盗窃、抢劫要及时报警，不要做过多激怒歹徒的行为。特别强调，安全第一。 </w:t>
      </w:r>
    </w:p>
    <w:p w14:paraId="34F9DCE6">
      <w:pPr>
        <w:widowControl/>
        <w:spacing w:line="440" w:lineRule="exact"/>
        <w:ind w:firstLine="480" w:firstLineChars="200"/>
        <w:jc w:val="left"/>
        <w:rPr>
          <w:color w:val="000000"/>
          <w:kern w:val="0"/>
          <w:sz w:val="24"/>
        </w:rPr>
      </w:pPr>
      <w:r>
        <w:rPr>
          <w:color w:val="000000"/>
          <w:kern w:val="0"/>
          <w:sz w:val="24"/>
        </w:rPr>
        <w:t>c</w:t>
      </w:r>
      <w:r>
        <w:rPr>
          <w:rFonts w:hint="eastAsia"/>
          <w:color w:val="000000"/>
          <w:kern w:val="0"/>
          <w:sz w:val="24"/>
        </w:rPr>
        <w:t>）</w:t>
      </w:r>
      <w:r>
        <w:rPr>
          <w:color w:val="000000"/>
          <w:kern w:val="0"/>
          <w:sz w:val="24"/>
        </w:rPr>
        <w:t>注意设备充电时间，尽量避免超时充用电。</w:t>
      </w:r>
    </w:p>
    <w:p w14:paraId="709C3F57">
      <w:pPr>
        <w:widowControl/>
        <w:spacing w:line="440" w:lineRule="exact"/>
        <w:ind w:firstLine="482" w:firstLineChars="200"/>
        <w:jc w:val="left"/>
        <w:rPr>
          <w:color w:val="000000"/>
          <w:kern w:val="0"/>
          <w:sz w:val="24"/>
        </w:rPr>
      </w:pPr>
      <w:r>
        <w:rPr>
          <w:b/>
          <w:sz w:val="24"/>
        </w:rPr>
        <w:t>第八条</w:t>
      </w:r>
      <w:r>
        <w:rPr>
          <w:sz w:val="24"/>
        </w:rPr>
        <w:t xml:space="preserve">  </w:t>
      </w:r>
      <w:r>
        <w:rPr>
          <w:color w:val="000000"/>
          <w:kern w:val="0"/>
          <w:sz w:val="24"/>
        </w:rPr>
        <w:t>山区、林地作业应遵守下列规定：</w:t>
      </w:r>
    </w:p>
    <w:p w14:paraId="3536DA00">
      <w:pPr>
        <w:widowControl/>
        <w:spacing w:line="440" w:lineRule="exact"/>
        <w:ind w:firstLine="480" w:firstLineChars="200"/>
        <w:jc w:val="left"/>
        <w:rPr>
          <w:color w:val="000000"/>
          <w:kern w:val="0"/>
          <w:sz w:val="24"/>
        </w:rPr>
      </w:pPr>
      <w:r>
        <w:rPr>
          <w:color w:val="000000"/>
          <w:kern w:val="0"/>
          <w:sz w:val="24"/>
        </w:rPr>
        <w:t>a</w:t>
      </w:r>
      <w:r>
        <w:rPr>
          <w:rFonts w:hint="eastAsia"/>
          <w:color w:val="000000"/>
          <w:kern w:val="0"/>
          <w:sz w:val="24"/>
        </w:rPr>
        <w:t>）</w:t>
      </w:r>
      <w:r>
        <w:rPr>
          <w:color w:val="000000"/>
          <w:kern w:val="0"/>
          <w:sz w:val="24"/>
        </w:rPr>
        <w:t>预防动物、植物、微生物伤害源，尤其注意防止村庄养狗伤人，山区丛林应该预防毒蛇叮咬。</w:t>
      </w:r>
    </w:p>
    <w:p w14:paraId="14561356">
      <w:pPr>
        <w:widowControl/>
        <w:spacing w:line="440" w:lineRule="exact"/>
        <w:ind w:firstLine="480" w:firstLineChars="200"/>
        <w:jc w:val="left"/>
        <w:rPr>
          <w:color w:val="000000"/>
          <w:kern w:val="0"/>
          <w:sz w:val="24"/>
        </w:rPr>
      </w:pPr>
      <w:r>
        <w:rPr>
          <w:color w:val="000000"/>
          <w:kern w:val="0"/>
          <w:sz w:val="24"/>
        </w:rPr>
        <w:t>b</w:t>
      </w:r>
      <w:r>
        <w:rPr>
          <w:rFonts w:hint="eastAsia"/>
          <w:color w:val="000000"/>
          <w:kern w:val="0"/>
          <w:sz w:val="24"/>
        </w:rPr>
        <w:t>）</w:t>
      </w:r>
      <w:r>
        <w:rPr>
          <w:color w:val="000000"/>
          <w:kern w:val="0"/>
          <w:sz w:val="24"/>
        </w:rPr>
        <w:t>每日出发前，应了解天气情况、行进路线、路况、作业区地形地貌、地表覆盖等情况。</w:t>
      </w:r>
    </w:p>
    <w:p w14:paraId="45307BD8">
      <w:pPr>
        <w:widowControl/>
        <w:spacing w:line="440" w:lineRule="exact"/>
        <w:ind w:firstLine="480" w:firstLineChars="200"/>
        <w:jc w:val="left"/>
        <w:rPr>
          <w:color w:val="000000"/>
          <w:kern w:val="0"/>
          <w:sz w:val="24"/>
        </w:rPr>
      </w:pPr>
      <w:r>
        <w:rPr>
          <w:color w:val="000000"/>
          <w:kern w:val="0"/>
          <w:sz w:val="24"/>
        </w:rPr>
        <w:t>c</w:t>
      </w:r>
      <w:r>
        <w:rPr>
          <w:rFonts w:hint="eastAsia"/>
          <w:color w:val="000000"/>
          <w:kern w:val="0"/>
          <w:sz w:val="24"/>
        </w:rPr>
        <w:t>）</w:t>
      </w:r>
      <w:r>
        <w:rPr>
          <w:color w:val="000000"/>
          <w:kern w:val="0"/>
          <w:sz w:val="24"/>
        </w:rPr>
        <w:t>在大于30°的陡坡或者垂直的悬崖峭壁上作业，应使用保险绳、安全带。</w:t>
      </w:r>
    </w:p>
    <w:p w14:paraId="700BF0BF">
      <w:pPr>
        <w:widowControl/>
        <w:spacing w:line="440" w:lineRule="exact"/>
        <w:ind w:firstLine="480" w:firstLineChars="200"/>
        <w:jc w:val="left"/>
        <w:rPr>
          <w:color w:val="000000"/>
          <w:kern w:val="0"/>
          <w:sz w:val="24"/>
        </w:rPr>
      </w:pPr>
      <w:r>
        <w:rPr>
          <w:color w:val="000000"/>
          <w:kern w:val="0"/>
          <w:sz w:val="24"/>
        </w:rPr>
        <w:t>d</w:t>
      </w:r>
      <w:r>
        <w:rPr>
          <w:rFonts w:hint="eastAsia"/>
          <w:color w:val="000000"/>
          <w:kern w:val="0"/>
          <w:sz w:val="24"/>
        </w:rPr>
        <w:t>）</w:t>
      </w:r>
      <w:r>
        <w:rPr>
          <w:color w:val="000000"/>
          <w:kern w:val="0"/>
          <w:sz w:val="24"/>
        </w:rPr>
        <w:t>在悬崖、陡坡进行作业，应清除上部浮石。进行两层或多层作业，上下层间应有安全防护设施。2m及以上高处作业，应系安全带。</w:t>
      </w:r>
    </w:p>
    <w:p w14:paraId="151FC314">
      <w:pPr>
        <w:widowControl/>
        <w:spacing w:line="440" w:lineRule="exact"/>
        <w:ind w:firstLine="480" w:firstLineChars="200"/>
        <w:jc w:val="left"/>
        <w:rPr>
          <w:color w:val="000000"/>
          <w:kern w:val="0"/>
          <w:sz w:val="24"/>
        </w:rPr>
      </w:pPr>
      <w:r>
        <w:rPr>
          <w:color w:val="000000"/>
          <w:kern w:val="0"/>
          <w:sz w:val="24"/>
        </w:rPr>
        <w:t>e</w:t>
      </w:r>
      <w:r>
        <w:rPr>
          <w:rFonts w:hint="eastAsia"/>
          <w:color w:val="000000"/>
          <w:kern w:val="0"/>
          <w:sz w:val="24"/>
        </w:rPr>
        <w:t>）</w:t>
      </w:r>
      <w:r>
        <w:rPr>
          <w:color w:val="000000"/>
          <w:kern w:val="0"/>
          <w:sz w:val="24"/>
        </w:rPr>
        <w:t>山区施工，暴雨季节注意防洪、山体滑坡、坍塌措施。</w:t>
      </w:r>
    </w:p>
    <w:p w14:paraId="7E8B9B1F">
      <w:pPr>
        <w:widowControl/>
        <w:spacing w:line="440" w:lineRule="exact"/>
        <w:ind w:firstLine="480" w:firstLineChars="200"/>
        <w:jc w:val="left"/>
        <w:rPr>
          <w:color w:val="000000"/>
          <w:kern w:val="0"/>
          <w:sz w:val="24"/>
        </w:rPr>
      </w:pPr>
      <w:r>
        <w:rPr>
          <w:color w:val="000000"/>
          <w:kern w:val="0"/>
          <w:sz w:val="24"/>
        </w:rPr>
        <w:t>f</w:t>
      </w:r>
      <w:r>
        <w:rPr>
          <w:rFonts w:hint="eastAsia"/>
          <w:color w:val="000000"/>
          <w:kern w:val="0"/>
          <w:sz w:val="24"/>
        </w:rPr>
        <w:t>）</w:t>
      </w:r>
      <w:r>
        <w:rPr>
          <w:color w:val="000000"/>
          <w:kern w:val="0"/>
          <w:sz w:val="24"/>
        </w:rPr>
        <w:t>在森林地区进行作业，应遵守禁区防火规定。</w:t>
      </w:r>
    </w:p>
    <w:p w14:paraId="4CCAF1B1">
      <w:pPr>
        <w:widowControl/>
        <w:spacing w:line="440" w:lineRule="exact"/>
        <w:ind w:firstLine="480" w:firstLineChars="200"/>
        <w:jc w:val="left"/>
        <w:rPr>
          <w:color w:val="000000"/>
          <w:kern w:val="0"/>
          <w:sz w:val="24"/>
        </w:rPr>
      </w:pPr>
      <w:r>
        <w:rPr>
          <w:rFonts w:hint="eastAsia"/>
          <w:color w:val="000000"/>
          <w:kern w:val="0"/>
          <w:sz w:val="24"/>
        </w:rPr>
        <w:t>g）</w:t>
      </w:r>
      <w:r>
        <w:rPr>
          <w:color w:val="000000"/>
          <w:kern w:val="0"/>
          <w:sz w:val="24"/>
        </w:rPr>
        <w:t xml:space="preserve">山区施工现场严禁烟火。 </w:t>
      </w:r>
    </w:p>
    <w:p w14:paraId="20A6EFD7">
      <w:pPr>
        <w:widowControl/>
        <w:spacing w:line="440" w:lineRule="exact"/>
        <w:ind w:firstLine="482" w:firstLineChars="200"/>
        <w:jc w:val="left"/>
        <w:rPr>
          <w:color w:val="000000"/>
          <w:kern w:val="0"/>
          <w:sz w:val="24"/>
        </w:rPr>
      </w:pPr>
      <w:r>
        <w:rPr>
          <w:b/>
          <w:sz w:val="24"/>
        </w:rPr>
        <w:t>第九条</w:t>
      </w:r>
      <w:r>
        <w:rPr>
          <w:sz w:val="24"/>
        </w:rPr>
        <w:t xml:space="preserve">  </w:t>
      </w:r>
      <w:r>
        <w:rPr>
          <w:color w:val="000000"/>
          <w:kern w:val="0"/>
          <w:sz w:val="24"/>
        </w:rPr>
        <w:t>水系、沼泽地区作业应遵守下列规定：</w:t>
      </w:r>
    </w:p>
    <w:p w14:paraId="3F4BCB18">
      <w:pPr>
        <w:widowControl/>
        <w:spacing w:line="440" w:lineRule="exact"/>
        <w:ind w:firstLine="480" w:firstLineChars="200"/>
        <w:jc w:val="left"/>
        <w:rPr>
          <w:color w:val="000000"/>
          <w:kern w:val="0"/>
          <w:sz w:val="24"/>
        </w:rPr>
      </w:pPr>
      <w:r>
        <w:rPr>
          <w:color w:val="000000"/>
          <w:kern w:val="0"/>
          <w:sz w:val="24"/>
        </w:rPr>
        <w:t>a</w:t>
      </w:r>
      <w:r>
        <w:rPr>
          <w:rFonts w:hint="eastAsia"/>
          <w:color w:val="000000"/>
          <w:kern w:val="0"/>
          <w:sz w:val="24"/>
        </w:rPr>
        <w:t>）</w:t>
      </w:r>
      <w:r>
        <w:rPr>
          <w:color w:val="000000"/>
          <w:kern w:val="0"/>
          <w:sz w:val="24"/>
        </w:rPr>
        <w:t>在沼泽地区作业，应佩戴黑绢网、皮手套，扎紧袖口和裤脚。注意防范蚊虫叮咬。</w:t>
      </w:r>
    </w:p>
    <w:p w14:paraId="59BB3634">
      <w:pPr>
        <w:widowControl/>
        <w:spacing w:line="440" w:lineRule="exact"/>
        <w:ind w:firstLine="480" w:firstLineChars="200"/>
        <w:jc w:val="left"/>
        <w:rPr>
          <w:color w:val="000000"/>
          <w:kern w:val="0"/>
          <w:sz w:val="24"/>
        </w:rPr>
      </w:pPr>
      <w:r>
        <w:rPr>
          <w:color w:val="000000"/>
          <w:kern w:val="0"/>
          <w:sz w:val="24"/>
        </w:rPr>
        <w:t>b</w:t>
      </w:r>
      <w:r>
        <w:rPr>
          <w:rFonts w:hint="eastAsia"/>
          <w:color w:val="000000"/>
          <w:kern w:val="0"/>
          <w:sz w:val="24"/>
        </w:rPr>
        <w:t>）</w:t>
      </w:r>
      <w:r>
        <w:rPr>
          <w:color w:val="000000"/>
          <w:kern w:val="0"/>
          <w:sz w:val="24"/>
        </w:rPr>
        <w:t>徒步涉水河流、水域，水深应小于半身高，并采取相应防护措施，超过0.7m水深不得徒手下水渡过河流、沟渠。</w:t>
      </w:r>
    </w:p>
    <w:p w14:paraId="7E1B4499">
      <w:pPr>
        <w:widowControl/>
        <w:spacing w:line="440" w:lineRule="exact"/>
        <w:ind w:firstLine="482" w:firstLineChars="200"/>
        <w:jc w:val="left"/>
        <w:rPr>
          <w:color w:val="000000"/>
          <w:kern w:val="0"/>
          <w:sz w:val="24"/>
        </w:rPr>
      </w:pPr>
      <w:r>
        <w:rPr>
          <w:b/>
          <w:color w:val="000000"/>
          <w:kern w:val="0"/>
          <w:sz w:val="24"/>
        </w:rPr>
        <w:t>第十条</w:t>
      </w:r>
      <w:r>
        <w:rPr>
          <w:color w:val="000000"/>
          <w:kern w:val="0"/>
          <w:sz w:val="24"/>
        </w:rPr>
        <w:t xml:space="preserve">  乙方应严格遵守上述协议内容，如若违规甲方有权责令其停工或进行处罚。</w:t>
      </w:r>
    </w:p>
    <w:p w14:paraId="7723AE5F">
      <w:pPr>
        <w:spacing w:line="440" w:lineRule="exact"/>
        <w:ind w:firstLine="482" w:firstLineChars="200"/>
        <w:rPr>
          <w:sz w:val="24"/>
        </w:rPr>
      </w:pPr>
      <w:r>
        <w:rPr>
          <w:b/>
          <w:sz w:val="24"/>
        </w:rPr>
        <w:t>第十一条</w:t>
      </w:r>
      <w:r>
        <w:rPr>
          <w:sz w:val="24"/>
        </w:rPr>
        <w:t xml:space="preserve">  如因乙方违反相关法律、法规及以上规定，所造成的一切不良后果（人员伤亡、财产损失等）均由乙方全部负责，与甲方无关。</w:t>
      </w:r>
    </w:p>
    <w:p w14:paraId="2EE5580A">
      <w:pPr>
        <w:spacing w:after="120" w:line="480" w:lineRule="exact"/>
        <w:ind w:left="420" w:leftChars="200" w:firstLine="480" w:firstLineChars="200"/>
        <w:rPr>
          <w:sz w:val="24"/>
          <w:szCs w:val="20"/>
        </w:rPr>
      </w:pPr>
    </w:p>
    <w:tbl>
      <w:tblPr>
        <w:tblStyle w:val="42"/>
        <w:tblW w:w="9147" w:type="dxa"/>
        <w:jc w:val="center"/>
        <w:tblLayout w:type="fixed"/>
        <w:tblCellMar>
          <w:top w:w="0" w:type="dxa"/>
          <w:left w:w="108" w:type="dxa"/>
          <w:bottom w:w="0" w:type="dxa"/>
          <w:right w:w="108" w:type="dxa"/>
        </w:tblCellMar>
      </w:tblPr>
      <w:tblGrid>
        <w:gridCol w:w="1600"/>
        <w:gridCol w:w="2975"/>
        <w:gridCol w:w="1630"/>
        <w:gridCol w:w="2942"/>
      </w:tblGrid>
      <w:tr w14:paraId="5D4D585A">
        <w:tblPrEx>
          <w:tblCellMar>
            <w:top w:w="0" w:type="dxa"/>
            <w:left w:w="108" w:type="dxa"/>
            <w:bottom w:w="0" w:type="dxa"/>
            <w:right w:w="108" w:type="dxa"/>
          </w:tblCellMar>
        </w:tblPrEx>
        <w:trPr>
          <w:trHeight w:val="803" w:hRule="atLeast"/>
          <w:jc w:val="center"/>
        </w:trPr>
        <w:tc>
          <w:tcPr>
            <w:tcW w:w="9147" w:type="dxa"/>
            <w:gridSpan w:val="4"/>
            <w:vAlign w:val="center"/>
          </w:tcPr>
          <w:p w14:paraId="2F6F5645">
            <w:pPr>
              <w:spacing w:line="320" w:lineRule="exact"/>
              <w:jc w:val="center"/>
              <w:rPr>
                <w:rFonts w:hint="eastAsia" w:ascii="华文宋体" w:hAnsi="华文宋体" w:eastAsia="华文宋体" w:cs="华文宋体"/>
                <w:b/>
                <w:szCs w:val="21"/>
              </w:rPr>
            </w:pPr>
            <w:r>
              <w:rPr>
                <w:rFonts w:hint="eastAsia" w:ascii="华文宋体" w:hAnsi="华文宋体" w:eastAsia="华文宋体" w:cs="华文宋体"/>
                <w:b/>
                <w:sz w:val="28"/>
                <w:szCs w:val="28"/>
              </w:rPr>
              <w:t>协议签订双方</w:t>
            </w:r>
          </w:p>
        </w:tc>
      </w:tr>
      <w:tr w14:paraId="44F156F2">
        <w:tblPrEx>
          <w:tblCellMar>
            <w:top w:w="0" w:type="dxa"/>
            <w:left w:w="108" w:type="dxa"/>
            <w:bottom w:w="0" w:type="dxa"/>
            <w:right w:w="108" w:type="dxa"/>
          </w:tblCellMar>
        </w:tblPrEx>
        <w:trPr>
          <w:trHeight w:val="997" w:hRule="atLeast"/>
          <w:jc w:val="center"/>
        </w:trPr>
        <w:tc>
          <w:tcPr>
            <w:tcW w:w="1600" w:type="dxa"/>
            <w:vAlign w:val="center"/>
          </w:tcPr>
          <w:p w14:paraId="7B4352E0">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甲方（盖章）：</w:t>
            </w:r>
          </w:p>
        </w:tc>
        <w:tc>
          <w:tcPr>
            <w:tcW w:w="2975" w:type="dxa"/>
            <w:vAlign w:val="center"/>
          </w:tcPr>
          <w:p w14:paraId="60CF67F0">
            <w:pPr>
              <w:spacing w:line="320" w:lineRule="exact"/>
              <w:jc w:val="center"/>
              <w:rPr>
                <w:rFonts w:hint="eastAsia" w:ascii="华文宋体" w:hAnsi="华文宋体" w:eastAsia="华文宋体" w:cs="华文宋体"/>
                <w:szCs w:val="21"/>
              </w:rPr>
            </w:pPr>
          </w:p>
        </w:tc>
        <w:tc>
          <w:tcPr>
            <w:tcW w:w="1630" w:type="dxa"/>
            <w:vAlign w:val="center"/>
          </w:tcPr>
          <w:p w14:paraId="0FD3591A">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乙方（盖章）：</w:t>
            </w:r>
          </w:p>
        </w:tc>
        <w:tc>
          <w:tcPr>
            <w:tcW w:w="2942" w:type="dxa"/>
            <w:vAlign w:val="center"/>
          </w:tcPr>
          <w:p w14:paraId="3A0DF809">
            <w:pPr>
              <w:spacing w:line="320" w:lineRule="exact"/>
              <w:ind w:leftChars="-2" w:hanging="4" w:hangingChars="2"/>
              <w:jc w:val="center"/>
              <w:rPr>
                <w:rFonts w:hint="eastAsia" w:ascii="华文宋体" w:hAnsi="华文宋体" w:eastAsia="华文宋体" w:cs="华文宋体"/>
                <w:szCs w:val="21"/>
              </w:rPr>
            </w:pPr>
          </w:p>
        </w:tc>
      </w:tr>
      <w:tr w14:paraId="38C35FB4">
        <w:tblPrEx>
          <w:tblCellMar>
            <w:top w:w="0" w:type="dxa"/>
            <w:left w:w="108" w:type="dxa"/>
            <w:bottom w:w="0" w:type="dxa"/>
            <w:right w:w="108" w:type="dxa"/>
          </w:tblCellMar>
        </w:tblPrEx>
        <w:trPr>
          <w:trHeight w:val="1087" w:hRule="atLeast"/>
          <w:jc w:val="center"/>
        </w:trPr>
        <w:tc>
          <w:tcPr>
            <w:tcW w:w="1600" w:type="dxa"/>
            <w:vAlign w:val="center"/>
          </w:tcPr>
          <w:p w14:paraId="79A16E68">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法定代表人</w:t>
            </w:r>
          </w:p>
          <w:p w14:paraId="41158C95">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75" w:type="dxa"/>
            <w:vAlign w:val="center"/>
          </w:tcPr>
          <w:p w14:paraId="72BF1342">
            <w:pPr>
              <w:spacing w:line="320" w:lineRule="exact"/>
              <w:rPr>
                <w:rFonts w:hint="eastAsia" w:ascii="华文宋体" w:hAnsi="华文宋体" w:eastAsia="华文宋体" w:cs="华文宋体"/>
                <w:szCs w:val="21"/>
              </w:rPr>
            </w:pPr>
          </w:p>
        </w:tc>
        <w:tc>
          <w:tcPr>
            <w:tcW w:w="1630" w:type="dxa"/>
            <w:vAlign w:val="center"/>
          </w:tcPr>
          <w:p w14:paraId="2752B0BB">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法定代表人</w:t>
            </w:r>
          </w:p>
          <w:p w14:paraId="2A52C330">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42" w:type="dxa"/>
            <w:vAlign w:val="center"/>
          </w:tcPr>
          <w:p w14:paraId="4416C654">
            <w:pPr>
              <w:spacing w:line="320" w:lineRule="exact"/>
              <w:rPr>
                <w:rFonts w:hint="eastAsia" w:ascii="华文宋体" w:hAnsi="华文宋体" w:eastAsia="华文宋体" w:cs="华文宋体"/>
                <w:szCs w:val="21"/>
              </w:rPr>
            </w:pPr>
          </w:p>
        </w:tc>
      </w:tr>
      <w:tr w14:paraId="53AF287C">
        <w:tblPrEx>
          <w:tblCellMar>
            <w:top w:w="0" w:type="dxa"/>
            <w:left w:w="108" w:type="dxa"/>
            <w:bottom w:w="0" w:type="dxa"/>
            <w:right w:w="108" w:type="dxa"/>
          </w:tblCellMar>
        </w:tblPrEx>
        <w:trPr>
          <w:trHeight w:val="1087" w:hRule="atLeast"/>
          <w:jc w:val="center"/>
        </w:trPr>
        <w:tc>
          <w:tcPr>
            <w:tcW w:w="1600" w:type="dxa"/>
            <w:vAlign w:val="center"/>
          </w:tcPr>
          <w:p w14:paraId="3A3B5867">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委托代理人</w:t>
            </w:r>
          </w:p>
          <w:p w14:paraId="11BB435C">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75" w:type="dxa"/>
            <w:vAlign w:val="center"/>
          </w:tcPr>
          <w:p w14:paraId="5813CF07">
            <w:pPr>
              <w:spacing w:line="320" w:lineRule="exact"/>
              <w:rPr>
                <w:rFonts w:hint="eastAsia" w:ascii="华文宋体" w:hAnsi="华文宋体" w:eastAsia="华文宋体" w:cs="华文宋体"/>
                <w:szCs w:val="21"/>
              </w:rPr>
            </w:pPr>
          </w:p>
        </w:tc>
        <w:tc>
          <w:tcPr>
            <w:tcW w:w="1630" w:type="dxa"/>
            <w:vAlign w:val="center"/>
          </w:tcPr>
          <w:p w14:paraId="0AFA18A3">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委托代理人</w:t>
            </w:r>
          </w:p>
          <w:p w14:paraId="378FD791">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42" w:type="dxa"/>
            <w:vAlign w:val="center"/>
          </w:tcPr>
          <w:p w14:paraId="244DB1EA">
            <w:pPr>
              <w:spacing w:line="320" w:lineRule="exact"/>
              <w:rPr>
                <w:rFonts w:hint="eastAsia" w:ascii="华文宋体" w:hAnsi="华文宋体" w:eastAsia="华文宋体" w:cs="华文宋体"/>
                <w:szCs w:val="21"/>
              </w:rPr>
            </w:pPr>
          </w:p>
        </w:tc>
      </w:tr>
      <w:tr w14:paraId="1BA2B2E8">
        <w:tblPrEx>
          <w:tblCellMar>
            <w:top w:w="0" w:type="dxa"/>
            <w:left w:w="108" w:type="dxa"/>
            <w:bottom w:w="0" w:type="dxa"/>
            <w:right w:w="108" w:type="dxa"/>
          </w:tblCellMar>
        </w:tblPrEx>
        <w:trPr>
          <w:trHeight w:val="1087" w:hRule="atLeast"/>
          <w:jc w:val="center"/>
        </w:trPr>
        <w:tc>
          <w:tcPr>
            <w:tcW w:w="1600" w:type="dxa"/>
            <w:vAlign w:val="center"/>
          </w:tcPr>
          <w:p w14:paraId="01B10C05">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签订日期：</w:t>
            </w:r>
          </w:p>
        </w:tc>
        <w:tc>
          <w:tcPr>
            <w:tcW w:w="2975" w:type="dxa"/>
            <w:vAlign w:val="center"/>
          </w:tcPr>
          <w:p w14:paraId="0026CFAC">
            <w:pPr>
              <w:spacing w:line="320" w:lineRule="exact"/>
              <w:jc w:val="right"/>
              <w:rPr>
                <w:rFonts w:hint="eastAsia" w:ascii="华文宋体" w:hAnsi="华文宋体" w:eastAsia="华文宋体" w:cs="华文宋体"/>
                <w:szCs w:val="21"/>
              </w:rPr>
            </w:pPr>
            <w:r>
              <w:rPr>
                <w:rFonts w:hint="eastAsia" w:ascii="华文宋体" w:hAnsi="华文宋体" w:eastAsia="华文宋体" w:cs="华文宋体"/>
                <w:szCs w:val="21"/>
              </w:rPr>
              <w:t>________年____月____日</w:t>
            </w:r>
          </w:p>
        </w:tc>
        <w:tc>
          <w:tcPr>
            <w:tcW w:w="1630" w:type="dxa"/>
            <w:vAlign w:val="center"/>
          </w:tcPr>
          <w:p w14:paraId="6BF9A145">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签订日期：</w:t>
            </w:r>
          </w:p>
        </w:tc>
        <w:tc>
          <w:tcPr>
            <w:tcW w:w="2942" w:type="dxa"/>
            <w:vAlign w:val="center"/>
          </w:tcPr>
          <w:p w14:paraId="62ACD636">
            <w:pPr>
              <w:spacing w:line="320" w:lineRule="exact"/>
              <w:jc w:val="right"/>
              <w:rPr>
                <w:rFonts w:hint="eastAsia" w:ascii="华文宋体" w:hAnsi="华文宋体" w:eastAsia="华文宋体" w:cs="华文宋体"/>
                <w:szCs w:val="21"/>
              </w:rPr>
            </w:pPr>
            <w:r>
              <w:rPr>
                <w:rFonts w:hint="eastAsia" w:ascii="华文宋体" w:hAnsi="华文宋体" w:eastAsia="华文宋体" w:cs="华文宋体"/>
                <w:szCs w:val="21"/>
              </w:rPr>
              <w:t>________年____月____日</w:t>
            </w:r>
          </w:p>
        </w:tc>
      </w:tr>
    </w:tbl>
    <w:p w14:paraId="4BB6273A">
      <w:pPr>
        <w:spacing w:line="360" w:lineRule="auto"/>
        <w:ind w:firstLine="600" w:firstLineChars="250"/>
        <w:contextualSpacing/>
        <w:rPr>
          <w:rFonts w:hint="eastAsia" w:ascii="宋体" w:hAnsi="宋体"/>
          <w:sz w:val="24"/>
        </w:rPr>
      </w:pPr>
    </w:p>
    <w:p w14:paraId="260BB7B6">
      <w:pPr>
        <w:spacing w:line="360" w:lineRule="auto"/>
      </w:pPr>
    </w:p>
    <w:p w14:paraId="2A937A37">
      <w:pPr>
        <w:spacing w:after="120" w:line="480" w:lineRule="exact"/>
        <w:outlineLvl w:val="1"/>
        <w:rPr>
          <w:rFonts w:hint="eastAsia" w:ascii="宋体" w:hAnsi="宋体" w:cs="仿宋_GB2312"/>
          <w:sz w:val="24"/>
          <w:szCs w:val="20"/>
        </w:rPr>
      </w:pPr>
      <w:r>
        <w:rPr>
          <w:rFonts w:ascii="宋体" w:hAnsi="宋体" w:cs="仿宋_GB2312"/>
          <w:sz w:val="24"/>
          <w:szCs w:val="20"/>
        </w:rPr>
        <w:br w:type="page"/>
      </w:r>
      <w:r>
        <w:rPr>
          <w:rFonts w:hint="eastAsia" w:ascii="宋体" w:hAnsi="宋体" w:cs="宋体"/>
          <w:b/>
          <w:color w:val="000000"/>
          <w:sz w:val="28"/>
          <w:szCs w:val="28"/>
        </w:rPr>
        <w:t>第四包：</w:t>
      </w:r>
    </w:p>
    <w:p w14:paraId="76C45330">
      <w:pPr>
        <w:spacing w:after="120" w:line="480" w:lineRule="exact"/>
        <w:jc w:val="center"/>
        <w:rPr>
          <w:rFonts w:hint="eastAsia" w:ascii="宋体" w:hAnsi="宋体" w:cs="仿宋_GB2312"/>
          <w:sz w:val="24"/>
          <w:szCs w:val="20"/>
        </w:rPr>
      </w:pPr>
    </w:p>
    <w:p w14:paraId="64B85604">
      <w:pPr>
        <w:spacing w:after="120" w:line="480" w:lineRule="exact"/>
        <w:jc w:val="center"/>
        <w:rPr>
          <w:rFonts w:hint="eastAsia" w:ascii="宋体" w:hAnsi="宋体" w:cs="仿宋_GB2312"/>
          <w:sz w:val="24"/>
          <w:szCs w:val="20"/>
        </w:rPr>
      </w:pPr>
    </w:p>
    <w:p w14:paraId="0EC8C1C8">
      <w:pPr>
        <w:spacing w:after="120" w:line="480" w:lineRule="exact"/>
        <w:jc w:val="center"/>
        <w:rPr>
          <w:rFonts w:hint="eastAsia" w:hAnsi="宋体" w:cs="宋体"/>
          <w:b/>
          <w:bCs/>
          <w:color w:val="000000"/>
          <w:sz w:val="28"/>
          <w:szCs w:val="28"/>
        </w:rPr>
      </w:pPr>
      <w:r>
        <w:rPr>
          <w:rFonts w:hint="eastAsia" w:hAnsi="宋体" w:cs="宋体"/>
          <w:b/>
          <w:bCs/>
          <w:color w:val="000000"/>
          <w:sz w:val="28"/>
          <w:szCs w:val="28"/>
        </w:rPr>
        <w:t>政 府 采 购 合 同</w:t>
      </w:r>
    </w:p>
    <w:p w14:paraId="46BEBF77">
      <w:pPr>
        <w:rPr>
          <w:rFonts w:hint="eastAsia" w:ascii="宋体" w:hAnsi="宋体" w:cs="宋体"/>
        </w:rPr>
      </w:pPr>
    </w:p>
    <w:p w14:paraId="1EC41FB5">
      <w:pPr>
        <w:ind w:right="960"/>
        <w:jc w:val="center"/>
        <w:rPr>
          <w:rFonts w:hint="eastAsia" w:ascii="宋体" w:hAnsi="宋体" w:cs="宋体"/>
          <w:color w:val="000000"/>
          <w:sz w:val="24"/>
        </w:rPr>
      </w:pPr>
      <w:r>
        <w:rPr>
          <w:rFonts w:hint="eastAsia" w:ascii="宋体" w:hAnsi="宋体" w:cs="宋体"/>
          <w:color w:val="000000"/>
          <w:sz w:val="24"/>
        </w:rPr>
        <w:t xml:space="preserve">                                       合同编号：</w:t>
      </w:r>
    </w:p>
    <w:p w14:paraId="650136AC">
      <w:pPr>
        <w:rPr>
          <w:rFonts w:hint="eastAsia" w:ascii="宋体" w:hAnsi="宋体" w:cs="宋体"/>
          <w:color w:val="000000"/>
          <w:sz w:val="24"/>
        </w:rPr>
      </w:pPr>
    </w:p>
    <w:p w14:paraId="7A9B4F1B">
      <w:pPr>
        <w:rPr>
          <w:rFonts w:hint="eastAsia" w:ascii="宋体" w:hAnsi="宋体" w:cs="宋体"/>
          <w:color w:val="000000"/>
          <w:sz w:val="24"/>
        </w:rPr>
      </w:pPr>
    </w:p>
    <w:p w14:paraId="3336AADB">
      <w:pPr>
        <w:rPr>
          <w:rFonts w:hint="eastAsia" w:ascii="宋体" w:hAnsi="宋体" w:cs="宋体"/>
          <w:color w:val="000000"/>
          <w:sz w:val="24"/>
        </w:rPr>
      </w:pPr>
    </w:p>
    <w:p w14:paraId="53456AB3">
      <w:pPr>
        <w:rPr>
          <w:rFonts w:hint="eastAsia" w:ascii="宋体" w:hAnsi="宋体" w:cs="宋体"/>
          <w:color w:val="000000"/>
          <w:sz w:val="24"/>
        </w:rPr>
      </w:pPr>
    </w:p>
    <w:p w14:paraId="291B3862">
      <w:pPr>
        <w:ind w:firstLine="1680" w:firstLineChars="700"/>
        <w:rPr>
          <w:rFonts w:hint="eastAsia" w:ascii="宋体" w:hAnsi="宋体" w:cs="宋体"/>
          <w:color w:val="000000"/>
          <w:sz w:val="24"/>
          <w:u w:val="single"/>
        </w:rPr>
      </w:pPr>
      <w:r>
        <w:rPr>
          <w:rFonts w:hint="eastAsia" w:ascii="宋体" w:hAnsi="宋体" w:cs="宋体"/>
          <w:color w:val="000000"/>
          <w:sz w:val="24"/>
        </w:rPr>
        <w:t>项目名称：</w:t>
      </w:r>
      <w:r>
        <w:rPr>
          <w:rFonts w:hint="eastAsia" w:ascii="宋体" w:hAnsi="宋体" w:cs="宋体"/>
          <w:color w:val="000000"/>
          <w:sz w:val="24"/>
          <w:u w:val="single"/>
        </w:rPr>
        <w:t xml:space="preserve">                          </w:t>
      </w:r>
    </w:p>
    <w:p w14:paraId="144EDBE6">
      <w:pPr>
        <w:ind w:firstLine="1680" w:firstLineChars="700"/>
        <w:jc w:val="center"/>
        <w:rPr>
          <w:rFonts w:hint="eastAsia" w:ascii="宋体" w:hAnsi="宋体" w:cs="宋体"/>
          <w:color w:val="000000"/>
          <w:sz w:val="24"/>
        </w:rPr>
      </w:pPr>
    </w:p>
    <w:p w14:paraId="3056C74B">
      <w:pPr>
        <w:ind w:firstLine="1680" w:firstLineChars="700"/>
        <w:jc w:val="center"/>
        <w:rPr>
          <w:rFonts w:hint="eastAsia" w:ascii="宋体" w:hAnsi="宋体" w:cs="宋体"/>
          <w:color w:val="000000"/>
          <w:sz w:val="24"/>
        </w:rPr>
      </w:pPr>
    </w:p>
    <w:p w14:paraId="0C285FB1">
      <w:pPr>
        <w:ind w:firstLine="1680" w:firstLineChars="700"/>
        <w:jc w:val="center"/>
        <w:rPr>
          <w:rFonts w:hint="eastAsia" w:ascii="宋体" w:hAnsi="宋体" w:cs="宋体"/>
          <w:color w:val="000000"/>
          <w:sz w:val="24"/>
        </w:rPr>
      </w:pPr>
    </w:p>
    <w:p w14:paraId="03EBBBCE">
      <w:pPr>
        <w:ind w:firstLine="1680" w:firstLineChars="700"/>
        <w:rPr>
          <w:rFonts w:hint="eastAsia" w:ascii="宋体" w:hAnsi="宋体" w:cs="宋体"/>
          <w:color w:val="000000"/>
          <w:sz w:val="24"/>
          <w:u w:val="single"/>
        </w:rPr>
      </w:pPr>
      <w:r>
        <w:rPr>
          <w:rFonts w:hint="eastAsia" w:ascii="宋体" w:hAnsi="宋体" w:cs="宋体"/>
          <w:color w:val="000000"/>
          <w:sz w:val="24"/>
        </w:rPr>
        <w:t>采购人：</w:t>
      </w:r>
      <w:r>
        <w:rPr>
          <w:rFonts w:hint="eastAsia" w:ascii="宋体" w:hAnsi="宋体" w:cs="宋体"/>
          <w:color w:val="000000"/>
          <w:sz w:val="24"/>
          <w:u w:val="single"/>
        </w:rPr>
        <w:t xml:space="preserve">                         </w:t>
      </w:r>
    </w:p>
    <w:p w14:paraId="059091A6">
      <w:pPr>
        <w:ind w:firstLine="1680" w:firstLineChars="700"/>
        <w:jc w:val="center"/>
        <w:rPr>
          <w:rFonts w:hint="eastAsia" w:ascii="宋体" w:hAnsi="宋体" w:cs="宋体"/>
          <w:color w:val="000000"/>
          <w:sz w:val="24"/>
        </w:rPr>
      </w:pPr>
    </w:p>
    <w:p w14:paraId="16304F8B">
      <w:pPr>
        <w:ind w:firstLine="1680" w:firstLineChars="700"/>
        <w:jc w:val="center"/>
        <w:rPr>
          <w:rFonts w:hint="eastAsia" w:ascii="宋体" w:hAnsi="宋体" w:cs="宋体"/>
          <w:color w:val="000000"/>
          <w:sz w:val="24"/>
        </w:rPr>
      </w:pPr>
    </w:p>
    <w:p w14:paraId="566850DA">
      <w:pPr>
        <w:ind w:firstLine="1680" w:firstLineChars="700"/>
        <w:jc w:val="center"/>
        <w:rPr>
          <w:rFonts w:hint="eastAsia" w:ascii="宋体" w:hAnsi="宋体" w:cs="宋体"/>
          <w:color w:val="000000"/>
          <w:sz w:val="24"/>
        </w:rPr>
      </w:pPr>
    </w:p>
    <w:p w14:paraId="7AF28E5D">
      <w:pPr>
        <w:ind w:firstLine="1680" w:firstLineChars="700"/>
        <w:jc w:val="center"/>
        <w:rPr>
          <w:rFonts w:hint="eastAsia" w:ascii="宋体" w:hAnsi="宋体" w:cs="宋体"/>
          <w:color w:val="000000"/>
          <w:sz w:val="24"/>
        </w:rPr>
      </w:pPr>
    </w:p>
    <w:p w14:paraId="464C7774">
      <w:pPr>
        <w:ind w:firstLine="1680" w:firstLineChars="700"/>
        <w:rPr>
          <w:rFonts w:hint="eastAsia" w:ascii="宋体" w:hAnsi="宋体" w:cs="宋体"/>
          <w:color w:val="000000"/>
          <w:sz w:val="24"/>
          <w:u w:val="single"/>
        </w:rPr>
      </w:pPr>
      <w:r>
        <w:rPr>
          <w:rFonts w:hint="eastAsia" w:ascii="宋体" w:hAnsi="宋体" w:cs="宋体"/>
          <w:color w:val="000000"/>
          <w:sz w:val="24"/>
        </w:rPr>
        <w:t>中标供应商：</w:t>
      </w:r>
      <w:r>
        <w:rPr>
          <w:rFonts w:hint="eastAsia" w:ascii="宋体" w:hAnsi="宋体" w:cs="宋体"/>
          <w:color w:val="000000"/>
          <w:sz w:val="24"/>
          <w:u w:val="single"/>
        </w:rPr>
        <w:t xml:space="preserve">                         </w:t>
      </w:r>
    </w:p>
    <w:p w14:paraId="7E8F65BE">
      <w:pPr>
        <w:ind w:firstLine="1680" w:firstLineChars="700"/>
        <w:jc w:val="center"/>
        <w:rPr>
          <w:rFonts w:hint="eastAsia" w:ascii="宋体" w:hAnsi="宋体" w:cs="宋体"/>
          <w:color w:val="000000"/>
          <w:sz w:val="24"/>
        </w:rPr>
      </w:pPr>
    </w:p>
    <w:p w14:paraId="5E3F2A99">
      <w:pPr>
        <w:ind w:firstLine="1680" w:firstLineChars="700"/>
        <w:jc w:val="center"/>
        <w:rPr>
          <w:rFonts w:hint="eastAsia" w:ascii="宋体" w:hAnsi="宋体" w:cs="宋体"/>
          <w:color w:val="000000"/>
          <w:sz w:val="24"/>
        </w:rPr>
      </w:pPr>
    </w:p>
    <w:p w14:paraId="38522419">
      <w:pPr>
        <w:ind w:firstLine="1680" w:firstLineChars="700"/>
        <w:jc w:val="center"/>
        <w:rPr>
          <w:rFonts w:hint="eastAsia" w:ascii="宋体" w:hAnsi="宋体" w:cs="宋体"/>
          <w:color w:val="000000"/>
          <w:sz w:val="24"/>
        </w:rPr>
      </w:pPr>
    </w:p>
    <w:p w14:paraId="423F97DE">
      <w:pPr>
        <w:ind w:firstLine="1680" w:firstLineChars="700"/>
        <w:jc w:val="center"/>
        <w:rPr>
          <w:rFonts w:hint="eastAsia" w:ascii="宋体" w:hAnsi="宋体" w:cs="宋体"/>
          <w:color w:val="000000"/>
          <w:sz w:val="24"/>
        </w:rPr>
      </w:pPr>
    </w:p>
    <w:p w14:paraId="1CB1EFC0">
      <w:pPr>
        <w:ind w:firstLine="1680" w:firstLineChars="700"/>
        <w:rPr>
          <w:rFonts w:hint="eastAsia" w:ascii="宋体" w:hAnsi="宋体" w:cs="宋体"/>
          <w:color w:val="000000"/>
          <w:sz w:val="24"/>
          <w:u w:val="single"/>
        </w:rPr>
      </w:pPr>
      <w:r>
        <w:rPr>
          <w:rFonts w:hint="eastAsia" w:ascii="宋体" w:hAnsi="宋体" w:cs="宋体"/>
          <w:color w:val="000000"/>
          <w:sz w:val="24"/>
        </w:rPr>
        <w:t>签署日期：</w:t>
      </w:r>
      <w:r>
        <w:rPr>
          <w:rFonts w:hint="eastAsia" w:ascii="宋体" w:hAnsi="宋体" w:cs="宋体"/>
          <w:color w:val="000000"/>
          <w:sz w:val="24"/>
          <w:u w:val="single"/>
        </w:rPr>
        <w:t xml:space="preserve">                         </w:t>
      </w:r>
    </w:p>
    <w:p w14:paraId="714752E4">
      <w:pPr>
        <w:rPr>
          <w:rFonts w:hint="eastAsia" w:ascii="宋体" w:hAnsi="宋体" w:cs="宋体"/>
          <w:color w:val="000000"/>
          <w:sz w:val="24"/>
        </w:rPr>
      </w:pPr>
    </w:p>
    <w:p w14:paraId="5843F33B">
      <w:pPr>
        <w:jc w:val="center"/>
        <w:rPr>
          <w:rFonts w:hint="eastAsia" w:ascii="宋体" w:hAnsi="宋体" w:cs="宋体"/>
          <w:color w:val="000000"/>
          <w:sz w:val="24"/>
        </w:rPr>
      </w:pPr>
    </w:p>
    <w:p w14:paraId="41D708C2">
      <w:pPr>
        <w:jc w:val="center"/>
        <w:rPr>
          <w:rFonts w:hint="eastAsia" w:ascii="宋体" w:hAnsi="宋体" w:cs="宋体"/>
          <w:color w:val="000000"/>
          <w:sz w:val="24"/>
        </w:rPr>
      </w:pPr>
    </w:p>
    <w:p w14:paraId="7177CAA6">
      <w:pPr>
        <w:jc w:val="center"/>
        <w:rPr>
          <w:rFonts w:hint="eastAsia" w:ascii="宋体" w:hAnsi="宋体" w:cs="宋体"/>
          <w:color w:val="000000"/>
          <w:sz w:val="24"/>
        </w:rPr>
      </w:pPr>
    </w:p>
    <w:p w14:paraId="1BA629C9">
      <w:pPr>
        <w:jc w:val="center"/>
        <w:rPr>
          <w:rFonts w:hint="eastAsia" w:ascii="宋体" w:hAnsi="宋体" w:cs="宋体"/>
          <w:color w:val="000000"/>
          <w:sz w:val="24"/>
        </w:rPr>
      </w:pPr>
    </w:p>
    <w:p w14:paraId="509DB1A6">
      <w:pPr>
        <w:jc w:val="center"/>
        <w:rPr>
          <w:rFonts w:hint="eastAsia" w:ascii="宋体" w:hAnsi="宋体" w:cs="宋体"/>
          <w:color w:val="000000"/>
          <w:sz w:val="24"/>
        </w:rPr>
      </w:pPr>
    </w:p>
    <w:p w14:paraId="4CB51EE5">
      <w:pPr>
        <w:jc w:val="center"/>
        <w:rPr>
          <w:rFonts w:hint="eastAsia" w:ascii="宋体" w:hAnsi="宋体" w:cs="宋体"/>
          <w:color w:val="000000"/>
          <w:sz w:val="24"/>
        </w:rPr>
      </w:pPr>
      <w:r>
        <w:rPr>
          <w:rFonts w:hint="eastAsia" w:ascii="宋体" w:hAnsi="宋体" w:cs="宋体"/>
          <w:color w:val="000000"/>
          <w:sz w:val="24"/>
        </w:rPr>
        <w:t xml:space="preserve"> </w:t>
      </w:r>
    </w:p>
    <w:p w14:paraId="5B6F1F1E">
      <w:pPr>
        <w:rPr>
          <w:rFonts w:hint="eastAsia" w:ascii="宋体" w:hAnsi="宋体" w:cs="宋体"/>
          <w:color w:val="000000"/>
          <w:sz w:val="24"/>
        </w:rPr>
      </w:pPr>
      <w:r>
        <w:rPr>
          <w:rFonts w:hint="eastAsia" w:ascii="宋体" w:hAnsi="宋体" w:cs="宋体"/>
          <w:color w:val="000000"/>
          <w:sz w:val="24"/>
        </w:rPr>
        <w:br w:type="page"/>
      </w:r>
    </w:p>
    <w:p w14:paraId="51099944">
      <w:pPr>
        <w:jc w:val="center"/>
        <w:rPr>
          <w:rFonts w:hint="eastAsia" w:ascii="宋体" w:hAnsi="宋体" w:cs="宋体"/>
          <w:b/>
          <w:bCs/>
          <w:color w:val="000000"/>
          <w:sz w:val="28"/>
          <w:szCs w:val="28"/>
        </w:rPr>
      </w:pPr>
      <w:r>
        <w:rPr>
          <w:rFonts w:hint="eastAsia" w:ascii="宋体" w:hAnsi="宋体" w:cs="宋体"/>
          <w:b/>
          <w:bCs/>
          <w:color w:val="000000"/>
          <w:sz w:val="28"/>
          <w:szCs w:val="28"/>
        </w:rPr>
        <w:t>合 同 书</w:t>
      </w:r>
    </w:p>
    <w:p w14:paraId="78499799">
      <w:pPr>
        <w:rPr>
          <w:rFonts w:hint="eastAsia" w:ascii="宋体" w:hAnsi="宋体" w:cs="宋体"/>
          <w:b/>
          <w:bCs/>
          <w:color w:val="000000"/>
          <w:sz w:val="28"/>
          <w:szCs w:val="28"/>
        </w:rPr>
      </w:pPr>
    </w:p>
    <w:p w14:paraId="3A49B6E1">
      <w:pPr>
        <w:spacing w:line="360" w:lineRule="auto"/>
        <w:jc w:val="left"/>
        <w:rPr>
          <w:rFonts w:hint="eastAsia" w:ascii="宋体" w:hAnsi="宋体" w:cs="宋体"/>
          <w:sz w:val="24"/>
        </w:rPr>
      </w:pPr>
      <w:r>
        <w:rPr>
          <w:rFonts w:hint="eastAsia" w:ascii="宋体" w:hAnsi="宋体" w:cs="宋体"/>
          <w:sz w:val="24"/>
        </w:rPr>
        <w:t>(采购人)(项目名称)中所需(服务名称)经国信招标集团股份有限公司以（招标 编号）号招标文件公开招标。经评标委员会评定(公司名称)为中标供应商。采购人、 中标供应商同意按照下面的条款和条件，签署本合同。</w:t>
      </w:r>
    </w:p>
    <w:p w14:paraId="38F9979A">
      <w:pPr>
        <w:spacing w:line="360" w:lineRule="auto"/>
        <w:jc w:val="left"/>
        <w:rPr>
          <w:rFonts w:hint="eastAsia" w:ascii="宋体" w:hAnsi="宋体" w:cs="宋体"/>
          <w:sz w:val="24"/>
        </w:rPr>
      </w:pPr>
    </w:p>
    <w:p w14:paraId="5A39BBD2">
      <w:pPr>
        <w:numPr>
          <w:ilvl w:val="0"/>
          <w:numId w:val="29"/>
        </w:numPr>
        <w:spacing w:line="360" w:lineRule="auto"/>
        <w:jc w:val="left"/>
        <w:rPr>
          <w:rFonts w:hint="eastAsia" w:ascii="宋体" w:hAnsi="宋体" w:cs="宋体"/>
          <w:sz w:val="24"/>
        </w:rPr>
      </w:pPr>
      <w:r>
        <w:rPr>
          <w:rFonts w:hint="eastAsia" w:ascii="宋体" w:hAnsi="宋体" w:cs="宋体"/>
          <w:sz w:val="24"/>
        </w:rPr>
        <w:t>合同文件</w:t>
      </w:r>
    </w:p>
    <w:p w14:paraId="73E74F10">
      <w:pPr>
        <w:spacing w:line="360" w:lineRule="auto"/>
        <w:jc w:val="left"/>
        <w:rPr>
          <w:rFonts w:hint="eastAsia" w:ascii="宋体" w:hAnsi="宋体" w:cs="宋体"/>
          <w:sz w:val="24"/>
        </w:rPr>
      </w:pPr>
      <w:r>
        <w:rPr>
          <w:rFonts w:hint="eastAsia" w:ascii="宋体" w:hAnsi="宋体" w:cs="宋体"/>
          <w:sz w:val="24"/>
        </w:rPr>
        <w:t xml:space="preserve">下列文件构成本合同的组成部分，应当认为是一个整体，彼此相互解释，相互补 充。为便于解释，组成合同的多个文件的优先支配地位的次序如下： </w:t>
      </w:r>
    </w:p>
    <w:p w14:paraId="0BD1089C">
      <w:pPr>
        <w:numPr>
          <w:ilvl w:val="0"/>
          <w:numId w:val="30"/>
        </w:numPr>
        <w:spacing w:line="360" w:lineRule="auto"/>
        <w:jc w:val="left"/>
        <w:rPr>
          <w:rFonts w:hint="eastAsia" w:ascii="宋体" w:hAnsi="宋体" w:cs="宋体"/>
          <w:sz w:val="24"/>
        </w:rPr>
      </w:pPr>
      <w:r>
        <w:rPr>
          <w:rFonts w:hint="eastAsia" w:ascii="宋体" w:hAnsi="宋体" w:cs="宋体"/>
          <w:sz w:val="24"/>
        </w:rPr>
        <w:t xml:space="preserve">本合同书 </w:t>
      </w:r>
    </w:p>
    <w:p w14:paraId="6D43FC72">
      <w:pPr>
        <w:numPr>
          <w:ilvl w:val="0"/>
          <w:numId w:val="30"/>
        </w:numPr>
        <w:spacing w:line="360" w:lineRule="auto"/>
        <w:jc w:val="left"/>
        <w:rPr>
          <w:rFonts w:hint="eastAsia" w:ascii="宋体" w:hAnsi="宋体" w:cs="宋体"/>
          <w:sz w:val="24"/>
        </w:rPr>
      </w:pPr>
      <w:r>
        <w:rPr>
          <w:rFonts w:hint="eastAsia" w:ascii="宋体" w:hAnsi="宋体" w:cs="宋体"/>
          <w:sz w:val="24"/>
        </w:rPr>
        <w:t xml:space="preserve">中标通知书 </w:t>
      </w:r>
    </w:p>
    <w:p w14:paraId="64388EF5">
      <w:pPr>
        <w:numPr>
          <w:ilvl w:val="0"/>
          <w:numId w:val="30"/>
        </w:numPr>
        <w:spacing w:line="360" w:lineRule="auto"/>
        <w:jc w:val="left"/>
        <w:rPr>
          <w:rFonts w:hint="eastAsia" w:ascii="宋体" w:hAnsi="宋体" w:cs="宋体"/>
          <w:sz w:val="24"/>
        </w:rPr>
      </w:pPr>
      <w:r>
        <w:rPr>
          <w:rFonts w:hint="eastAsia" w:ascii="宋体" w:hAnsi="宋体" w:cs="宋体"/>
          <w:sz w:val="24"/>
        </w:rPr>
        <w:t xml:space="preserve">合同书条款 </w:t>
      </w:r>
    </w:p>
    <w:p w14:paraId="68D13C6C">
      <w:pPr>
        <w:numPr>
          <w:ilvl w:val="0"/>
          <w:numId w:val="30"/>
        </w:numPr>
        <w:spacing w:line="360" w:lineRule="auto"/>
        <w:jc w:val="left"/>
        <w:rPr>
          <w:rFonts w:hint="eastAsia" w:ascii="宋体" w:hAnsi="宋体" w:cs="宋体"/>
          <w:sz w:val="24"/>
        </w:rPr>
      </w:pPr>
      <w:r>
        <w:rPr>
          <w:rFonts w:hint="eastAsia" w:ascii="宋体" w:hAnsi="宋体" w:cs="宋体"/>
          <w:sz w:val="24"/>
        </w:rPr>
        <w:t xml:space="preserve">合同一般条款 </w:t>
      </w:r>
    </w:p>
    <w:p w14:paraId="3E07D8E5">
      <w:pPr>
        <w:numPr>
          <w:ilvl w:val="0"/>
          <w:numId w:val="30"/>
        </w:numPr>
        <w:spacing w:line="360" w:lineRule="auto"/>
        <w:jc w:val="left"/>
        <w:rPr>
          <w:rFonts w:hint="eastAsia" w:ascii="宋体" w:hAnsi="宋体" w:cs="宋体"/>
          <w:sz w:val="24"/>
        </w:rPr>
      </w:pPr>
      <w:r>
        <w:rPr>
          <w:rFonts w:hint="eastAsia" w:ascii="宋体" w:hAnsi="宋体" w:cs="宋体"/>
          <w:sz w:val="24"/>
        </w:rPr>
        <w:t xml:space="preserve">投标文件(含澄清文件) </w:t>
      </w:r>
    </w:p>
    <w:p w14:paraId="4E18A4FA">
      <w:pPr>
        <w:numPr>
          <w:ilvl w:val="0"/>
          <w:numId w:val="30"/>
        </w:numPr>
        <w:spacing w:line="360" w:lineRule="auto"/>
        <w:jc w:val="left"/>
        <w:rPr>
          <w:rFonts w:hint="eastAsia" w:ascii="宋体" w:hAnsi="宋体" w:cs="宋体"/>
          <w:sz w:val="24"/>
        </w:rPr>
      </w:pPr>
      <w:r>
        <w:rPr>
          <w:rFonts w:hint="eastAsia" w:ascii="宋体" w:hAnsi="宋体" w:cs="宋体"/>
          <w:sz w:val="24"/>
        </w:rPr>
        <w:t>招标文件其他内容（含招标文件补充通知）</w:t>
      </w:r>
    </w:p>
    <w:p w14:paraId="227DF838">
      <w:pPr>
        <w:numPr>
          <w:ilvl w:val="0"/>
          <w:numId w:val="29"/>
        </w:numPr>
        <w:spacing w:line="360" w:lineRule="auto"/>
        <w:jc w:val="left"/>
        <w:rPr>
          <w:rFonts w:hint="eastAsia" w:ascii="宋体" w:hAnsi="宋体" w:cs="宋体"/>
          <w:sz w:val="24"/>
        </w:rPr>
      </w:pPr>
      <w:r>
        <w:rPr>
          <w:rFonts w:hint="eastAsia" w:ascii="宋体" w:hAnsi="宋体" w:cs="宋体"/>
          <w:sz w:val="24"/>
        </w:rPr>
        <w:t xml:space="preserve">合同范围和条件 </w:t>
      </w:r>
    </w:p>
    <w:p w14:paraId="55A83750">
      <w:pPr>
        <w:spacing w:line="360" w:lineRule="auto"/>
        <w:jc w:val="left"/>
        <w:rPr>
          <w:rFonts w:hint="eastAsia" w:ascii="宋体" w:hAnsi="宋体" w:cs="宋体"/>
          <w:sz w:val="24"/>
        </w:rPr>
      </w:pPr>
      <w:r>
        <w:rPr>
          <w:rFonts w:hint="eastAsia" w:ascii="宋体" w:hAnsi="宋体" w:cs="宋体"/>
          <w:sz w:val="24"/>
        </w:rPr>
        <w:t xml:space="preserve">本合同的范围和条件应与上述规定的合同文件内容一致。 </w:t>
      </w:r>
    </w:p>
    <w:p w14:paraId="315ED008">
      <w:pPr>
        <w:numPr>
          <w:ilvl w:val="0"/>
          <w:numId w:val="29"/>
        </w:numPr>
        <w:spacing w:line="360" w:lineRule="auto"/>
        <w:jc w:val="left"/>
        <w:rPr>
          <w:rFonts w:hint="eastAsia" w:ascii="宋体" w:hAnsi="宋体" w:cs="宋体"/>
          <w:sz w:val="24"/>
        </w:rPr>
      </w:pPr>
      <w:r>
        <w:rPr>
          <w:rFonts w:hint="eastAsia" w:ascii="宋体" w:hAnsi="宋体" w:cs="宋体"/>
          <w:sz w:val="24"/>
        </w:rPr>
        <w:t xml:space="preserve">服务内容 </w:t>
      </w:r>
    </w:p>
    <w:p w14:paraId="1D5F7FD3">
      <w:pPr>
        <w:spacing w:line="360" w:lineRule="auto"/>
        <w:ind w:firstLine="482" w:firstLineChars="200"/>
        <w:rPr>
          <w:rFonts w:hint="eastAsia" w:ascii="宋体" w:hAnsi="宋体" w:cs="宋体"/>
          <w:b/>
          <w:sz w:val="24"/>
        </w:rPr>
      </w:pPr>
      <w:r>
        <w:rPr>
          <w:rFonts w:hint="eastAsia" w:ascii="宋体" w:hAnsi="宋体" w:cs="宋体"/>
          <w:b/>
          <w:sz w:val="24"/>
        </w:rPr>
        <w:t>（1）运行维护范围</w:t>
      </w:r>
    </w:p>
    <w:p w14:paraId="73B78EFA">
      <w:pPr>
        <w:spacing w:line="360" w:lineRule="auto"/>
        <w:ind w:firstLine="480" w:firstLineChars="200"/>
        <w:rPr>
          <w:rFonts w:hint="eastAsia" w:ascii="宋体" w:hAnsi="宋体" w:cs="宋体"/>
          <w:sz w:val="24"/>
        </w:rPr>
      </w:pPr>
      <w:r>
        <w:rPr>
          <w:rFonts w:hint="eastAsia" w:ascii="宋体" w:hAnsi="宋体" w:cs="宋体"/>
          <w:sz w:val="24"/>
        </w:rPr>
        <w:t>数据中心运行维护服务包含机房基础设施（机房环境、UPS、空调、消防、新风等设备）运行维护服务、服务器（含磁盘存储）设备运行维护服务、网络设备运行维护服务、安全设备运行维护服务等。</w:t>
      </w:r>
    </w:p>
    <w:p w14:paraId="63F4F80A">
      <w:pPr>
        <w:spacing w:line="360" w:lineRule="auto"/>
        <w:ind w:firstLine="482" w:firstLineChars="200"/>
        <w:rPr>
          <w:rFonts w:hint="eastAsia" w:ascii="宋体" w:hAnsi="宋体" w:cs="宋体"/>
          <w:b/>
          <w:sz w:val="24"/>
        </w:rPr>
      </w:pPr>
      <w:r>
        <w:rPr>
          <w:rFonts w:hint="eastAsia" w:ascii="宋体" w:hAnsi="宋体" w:cs="宋体"/>
          <w:b/>
          <w:sz w:val="24"/>
        </w:rPr>
        <w:t>（2）总体要求</w:t>
      </w:r>
    </w:p>
    <w:p w14:paraId="47DC9523">
      <w:pPr>
        <w:spacing w:line="360" w:lineRule="auto"/>
        <w:ind w:firstLine="480" w:firstLineChars="200"/>
        <w:rPr>
          <w:rFonts w:hint="eastAsia" w:ascii="宋体" w:hAnsi="宋体" w:cs="宋体"/>
          <w:sz w:val="24"/>
        </w:rPr>
      </w:pPr>
      <w:r>
        <w:rPr>
          <w:rFonts w:hint="eastAsia" w:ascii="宋体" w:hAnsi="宋体" w:cs="宋体"/>
          <w:sz w:val="24"/>
        </w:rPr>
        <w:t>1）制定运维方案，包括硬件备件准备方案，日常运维工作内容、日常运维岗位职责、系统日常维护操作手册、网络系统及设备日常运行监控方案等内容，以及应急预案制定。中标人要有标准完善的支持服务流程、问题升级流程、配件管理及递送流程，以保障其服务质量。</w:t>
      </w:r>
    </w:p>
    <w:p w14:paraId="74524311">
      <w:pPr>
        <w:spacing w:line="360" w:lineRule="auto"/>
        <w:ind w:firstLine="480" w:firstLineChars="200"/>
        <w:rPr>
          <w:rFonts w:hint="eastAsia" w:ascii="宋体" w:hAnsi="宋体" w:cs="宋体"/>
          <w:sz w:val="24"/>
        </w:rPr>
      </w:pPr>
      <w:r>
        <w:rPr>
          <w:rFonts w:hint="eastAsia" w:ascii="宋体" w:hAnsi="宋体" w:cs="宋体"/>
          <w:sz w:val="24"/>
        </w:rPr>
        <w:t>2）提交年度、季度运维服务报告，对运维人员管理、服务质量、日常处理、故障排查等情况进行总结和汇总。</w:t>
      </w:r>
    </w:p>
    <w:p w14:paraId="12E3DDD6">
      <w:pPr>
        <w:spacing w:line="360" w:lineRule="auto"/>
        <w:ind w:firstLine="480" w:firstLineChars="200"/>
        <w:rPr>
          <w:rFonts w:hint="eastAsia" w:ascii="宋体" w:hAnsi="宋体" w:cs="宋体"/>
          <w:sz w:val="24"/>
        </w:rPr>
      </w:pPr>
      <w:r>
        <w:rPr>
          <w:rFonts w:hint="eastAsia" w:ascii="宋体" w:hAnsi="宋体" w:cs="宋体"/>
          <w:sz w:val="24"/>
        </w:rPr>
        <w:t>3）运行维护服务期结束时，将项目的全部文件、日志、报告等文档汇集成册交付采购人归档。</w:t>
      </w:r>
    </w:p>
    <w:p w14:paraId="4AC21B8E">
      <w:pPr>
        <w:spacing w:line="360" w:lineRule="auto"/>
        <w:ind w:firstLine="480" w:firstLineChars="200"/>
        <w:rPr>
          <w:rFonts w:hint="eastAsia" w:ascii="宋体" w:hAnsi="宋体" w:cs="宋体"/>
          <w:sz w:val="24"/>
        </w:rPr>
      </w:pPr>
      <w:r>
        <w:rPr>
          <w:rFonts w:hint="eastAsia" w:ascii="宋体" w:hAnsi="宋体" w:cs="宋体"/>
          <w:sz w:val="24"/>
        </w:rPr>
        <w:t>4）报告总结制度：中标人应每季度向采购人提供一份技术支持服务总结报告，总结经验并找出存在问题，分析总结故障及处理情况，分析设备环境运行状况，提出维护服务工作改进意见，对工作情况和服务质量进行总结评价。</w:t>
      </w:r>
    </w:p>
    <w:p w14:paraId="13A7F500">
      <w:pPr>
        <w:spacing w:line="360" w:lineRule="auto"/>
        <w:ind w:firstLine="482" w:firstLineChars="200"/>
        <w:rPr>
          <w:rFonts w:hint="eastAsia" w:ascii="宋体" w:hAnsi="宋体" w:cs="宋体"/>
          <w:b/>
          <w:sz w:val="24"/>
        </w:rPr>
      </w:pPr>
      <w:r>
        <w:rPr>
          <w:rFonts w:hint="eastAsia" w:ascii="宋体" w:hAnsi="宋体" w:cs="宋体"/>
          <w:b/>
          <w:sz w:val="24"/>
        </w:rPr>
        <w:t>（3）服务清单</w:t>
      </w:r>
    </w:p>
    <w:p w14:paraId="2D6EAF62">
      <w:pPr>
        <w:autoSpaceDE w:val="0"/>
        <w:autoSpaceDN w:val="0"/>
        <w:adjustRightInd w:val="0"/>
        <w:spacing w:line="360" w:lineRule="auto"/>
        <w:ind w:firstLine="420"/>
        <w:jc w:val="left"/>
        <w:rPr>
          <w:rFonts w:hint="eastAsia" w:ascii="宋体" w:hAnsi="宋体" w:cs="宋体"/>
          <w:sz w:val="24"/>
        </w:rPr>
      </w:pPr>
      <w:r>
        <w:rPr>
          <w:rFonts w:hint="eastAsia" w:ascii="宋体" w:hAnsi="宋体" w:cs="宋体"/>
          <w:sz w:val="24"/>
        </w:rPr>
        <w:t>1）地质灾害防治所数据中心机房</w:t>
      </w:r>
    </w:p>
    <w:tbl>
      <w:tblPr>
        <w:tblStyle w:val="42"/>
        <w:tblW w:w="9055" w:type="dxa"/>
        <w:tblInd w:w="118" w:type="dxa"/>
        <w:tblLayout w:type="fixed"/>
        <w:tblCellMar>
          <w:top w:w="0" w:type="dxa"/>
          <w:left w:w="108" w:type="dxa"/>
          <w:bottom w:w="0" w:type="dxa"/>
          <w:right w:w="108" w:type="dxa"/>
        </w:tblCellMar>
      </w:tblPr>
      <w:tblGrid>
        <w:gridCol w:w="699"/>
        <w:gridCol w:w="1341"/>
        <w:gridCol w:w="1250"/>
        <w:gridCol w:w="4190"/>
        <w:gridCol w:w="809"/>
        <w:gridCol w:w="766"/>
      </w:tblGrid>
      <w:tr w14:paraId="148CB2A5">
        <w:tblPrEx>
          <w:tblCellMar>
            <w:top w:w="0" w:type="dxa"/>
            <w:left w:w="108" w:type="dxa"/>
            <w:bottom w:w="0" w:type="dxa"/>
            <w:right w:w="108" w:type="dxa"/>
          </w:tblCellMar>
        </w:tblPrEx>
        <w:trPr>
          <w:trHeight w:val="454" w:hRule="atLeast"/>
          <w:tblHeader/>
        </w:trPr>
        <w:tc>
          <w:tcPr>
            <w:tcW w:w="699" w:type="dxa"/>
            <w:vMerge w:val="restart"/>
            <w:tcBorders>
              <w:top w:val="single" w:color="auto" w:sz="8" w:space="0"/>
              <w:left w:val="single" w:color="auto" w:sz="8" w:space="0"/>
              <w:bottom w:val="single" w:color="000000" w:sz="8" w:space="0"/>
              <w:right w:val="single" w:color="auto" w:sz="8" w:space="0"/>
            </w:tcBorders>
            <w:vAlign w:val="center"/>
          </w:tcPr>
          <w:p w14:paraId="0A4B06CA">
            <w:bookmarkStart w:id="875" w:name="OLE_LINK42"/>
            <w:bookmarkStart w:id="876" w:name="OLE_LINK41"/>
            <w:r>
              <w:rPr>
                <w:rFonts w:hint="eastAsia"/>
              </w:rPr>
              <w:t>序号</w:t>
            </w:r>
          </w:p>
        </w:tc>
        <w:tc>
          <w:tcPr>
            <w:tcW w:w="1341" w:type="dxa"/>
            <w:vMerge w:val="restart"/>
            <w:tcBorders>
              <w:top w:val="single" w:color="auto" w:sz="8" w:space="0"/>
              <w:left w:val="single" w:color="auto" w:sz="8" w:space="0"/>
              <w:bottom w:val="single" w:color="000000" w:sz="8" w:space="0"/>
              <w:right w:val="single" w:color="auto" w:sz="8" w:space="0"/>
            </w:tcBorders>
            <w:vAlign w:val="center"/>
          </w:tcPr>
          <w:p w14:paraId="7B503218">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运维类别</w:t>
            </w:r>
          </w:p>
        </w:tc>
        <w:tc>
          <w:tcPr>
            <w:tcW w:w="1250" w:type="dxa"/>
            <w:vMerge w:val="restart"/>
            <w:tcBorders>
              <w:top w:val="single" w:color="auto" w:sz="8" w:space="0"/>
              <w:left w:val="single" w:color="auto" w:sz="8" w:space="0"/>
              <w:bottom w:val="single" w:color="000000" w:sz="8" w:space="0"/>
              <w:right w:val="single" w:color="auto" w:sz="8" w:space="0"/>
            </w:tcBorders>
            <w:vAlign w:val="center"/>
          </w:tcPr>
          <w:p w14:paraId="4E9EC432">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设备类型</w:t>
            </w:r>
          </w:p>
        </w:tc>
        <w:tc>
          <w:tcPr>
            <w:tcW w:w="4190" w:type="dxa"/>
            <w:vMerge w:val="restart"/>
            <w:tcBorders>
              <w:top w:val="single" w:color="auto" w:sz="8" w:space="0"/>
              <w:left w:val="single" w:color="auto" w:sz="8" w:space="0"/>
              <w:bottom w:val="single" w:color="000000" w:sz="8" w:space="0"/>
              <w:right w:val="single" w:color="auto" w:sz="8" w:space="0"/>
            </w:tcBorders>
            <w:vAlign w:val="center"/>
          </w:tcPr>
          <w:p w14:paraId="3BD98735">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运维内容</w:t>
            </w:r>
          </w:p>
        </w:tc>
        <w:tc>
          <w:tcPr>
            <w:tcW w:w="809" w:type="dxa"/>
            <w:vMerge w:val="restart"/>
            <w:tcBorders>
              <w:top w:val="single" w:color="auto" w:sz="8" w:space="0"/>
              <w:left w:val="single" w:color="auto" w:sz="8" w:space="0"/>
              <w:bottom w:val="single" w:color="000000" w:sz="8" w:space="0"/>
              <w:right w:val="single" w:color="auto" w:sz="8" w:space="0"/>
            </w:tcBorders>
            <w:vAlign w:val="center"/>
          </w:tcPr>
          <w:p w14:paraId="2324DC50">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数量</w:t>
            </w:r>
          </w:p>
        </w:tc>
        <w:tc>
          <w:tcPr>
            <w:tcW w:w="766" w:type="dxa"/>
            <w:vMerge w:val="restart"/>
            <w:tcBorders>
              <w:top w:val="single" w:color="auto" w:sz="8" w:space="0"/>
              <w:left w:val="single" w:color="auto" w:sz="8" w:space="0"/>
              <w:bottom w:val="single" w:color="000000" w:sz="8" w:space="0"/>
              <w:right w:val="single" w:color="auto" w:sz="8" w:space="0"/>
            </w:tcBorders>
            <w:vAlign w:val="center"/>
          </w:tcPr>
          <w:p w14:paraId="5824BDA8">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单位</w:t>
            </w:r>
          </w:p>
        </w:tc>
      </w:tr>
      <w:tr w14:paraId="00C61899">
        <w:tblPrEx>
          <w:tblCellMar>
            <w:top w:w="0" w:type="dxa"/>
            <w:left w:w="108" w:type="dxa"/>
            <w:bottom w:w="0" w:type="dxa"/>
            <w:right w:w="108" w:type="dxa"/>
          </w:tblCellMar>
        </w:tblPrEx>
        <w:trPr>
          <w:trHeight w:val="312" w:hRule="atLeast"/>
        </w:trPr>
        <w:tc>
          <w:tcPr>
            <w:tcW w:w="699" w:type="dxa"/>
            <w:vMerge w:val="continue"/>
            <w:tcBorders>
              <w:top w:val="single" w:color="auto" w:sz="8" w:space="0"/>
              <w:left w:val="single" w:color="auto" w:sz="8" w:space="0"/>
              <w:bottom w:val="single" w:color="000000" w:sz="8" w:space="0"/>
              <w:right w:val="single" w:color="auto" w:sz="8" w:space="0"/>
            </w:tcBorders>
            <w:vAlign w:val="center"/>
          </w:tcPr>
          <w:p w14:paraId="74AE2AE5"/>
        </w:tc>
        <w:tc>
          <w:tcPr>
            <w:tcW w:w="1341" w:type="dxa"/>
            <w:vMerge w:val="continue"/>
            <w:tcBorders>
              <w:top w:val="single" w:color="auto" w:sz="8" w:space="0"/>
              <w:left w:val="single" w:color="auto" w:sz="8" w:space="0"/>
              <w:bottom w:val="single" w:color="000000" w:sz="8" w:space="0"/>
              <w:right w:val="single" w:color="auto" w:sz="8" w:space="0"/>
            </w:tcBorders>
            <w:vAlign w:val="center"/>
          </w:tcPr>
          <w:p w14:paraId="58B093EB">
            <w:pPr>
              <w:widowControl/>
              <w:jc w:val="left"/>
              <w:rPr>
                <w:rFonts w:hint="eastAsia" w:ascii="宋体" w:hAnsi="宋体" w:cs="宋体"/>
                <w:b/>
                <w:bCs/>
                <w:color w:val="000000"/>
                <w:kern w:val="0"/>
                <w:szCs w:val="21"/>
              </w:rPr>
            </w:pPr>
          </w:p>
        </w:tc>
        <w:tc>
          <w:tcPr>
            <w:tcW w:w="1250" w:type="dxa"/>
            <w:vMerge w:val="continue"/>
            <w:tcBorders>
              <w:top w:val="single" w:color="auto" w:sz="8" w:space="0"/>
              <w:left w:val="single" w:color="auto" w:sz="8" w:space="0"/>
              <w:bottom w:val="single" w:color="000000" w:sz="8" w:space="0"/>
              <w:right w:val="single" w:color="auto" w:sz="8" w:space="0"/>
            </w:tcBorders>
            <w:vAlign w:val="center"/>
          </w:tcPr>
          <w:p w14:paraId="09277A9D">
            <w:pPr>
              <w:widowControl/>
              <w:jc w:val="left"/>
              <w:rPr>
                <w:rFonts w:hint="eastAsia" w:ascii="宋体" w:hAnsi="宋体" w:cs="宋体"/>
                <w:b/>
                <w:bCs/>
                <w:color w:val="000000"/>
                <w:kern w:val="0"/>
                <w:szCs w:val="21"/>
              </w:rPr>
            </w:pPr>
          </w:p>
        </w:tc>
        <w:tc>
          <w:tcPr>
            <w:tcW w:w="4190" w:type="dxa"/>
            <w:vMerge w:val="continue"/>
            <w:tcBorders>
              <w:top w:val="single" w:color="auto" w:sz="8" w:space="0"/>
              <w:left w:val="single" w:color="auto" w:sz="8" w:space="0"/>
              <w:bottom w:val="single" w:color="000000" w:sz="8" w:space="0"/>
              <w:right w:val="single" w:color="auto" w:sz="8" w:space="0"/>
            </w:tcBorders>
            <w:vAlign w:val="center"/>
          </w:tcPr>
          <w:p w14:paraId="4A977D26">
            <w:pPr>
              <w:widowControl/>
              <w:jc w:val="left"/>
              <w:rPr>
                <w:rFonts w:hint="eastAsia" w:ascii="宋体" w:hAnsi="宋体" w:cs="宋体"/>
                <w:b/>
                <w:bCs/>
                <w:color w:val="000000"/>
                <w:kern w:val="0"/>
                <w:szCs w:val="21"/>
              </w:rPr>
            </w:pPr>
          </w:p>
        </w:tc>
        <w:tc>
          <w:tcPr>
            <w:tcW w:w="809" w:type="dxa"/>
            <w:vMerge w:val="continue"/>
            <w:tcBorders>
              <w:top w:val="single" w:color="auto" w:sz="8" w:space="0"/>
              <w:left w:val="single" w:color="auto" w:sz="8" w:space="0"/>
              <w:bottom w:val="single" w:color="000000" w:sz="8" w:space="0"/>
              <w:right w:val="single" w:color="auto" w:sz="8" w:space="0"/>
            </w:tcBorders>
            <w:vAlign w:val="center"/>
          </w:tcPr>
          <w:p w14:paraId="30A909C6">
            <w:pPr>
              <w:widowControl/>
              <w:jc w:val="left"/>
              <w:rPr>
                <w:rFonts w:hint="eastAsia" w:ascii="宋体" w:hAnsi="宋体" w:cs="宋体"/>
                <w:b/>
                <w:bCs/>
                <w:color w:val="000000"/>
                <w:kern w:val="0"/>
                <w:szCs w:val="21"/>
              </w:rPr>
            </w:pPr>
          </w:p>
        </w:tc>
        <w:tc>
          <w:tcPr>
            <w:tcW w:w="766" w:type="dxa"/>
            <w:vMerge w:val="continue"/>
            <w:tcBorders>
              <w:top w:val="single" w:color="auto" w:sz="8" w:space="0"/>
              <w:left w:val="single" w:color="auto" w:sz="8" w:space="0"/>
              <w:bottom w:val="single" w:color="000000" w:sz="8" w:space="0"/>
              <w:right w:val="single" w:color="auto" w:sz="8" w:space="0"/>
            </w:tcBorders>
            <w:vAlign w:val="center"/>
          </w:tcPr>
          <w:p w14:paraId="5FE8CB24">
            <w:pPr>
              <w:widowControl/>
              <w:jc w:val="left"/>
              <w:rPr>
                <w:rFonts w:hint="eastAsia" w:ascii="宋体" w:hAnsi="宋体" w:cs="宋体"/>
                <w:b/>
                <w:bCs/>
                <w:color w:val="000000"/>
                <w:kern w:val="0"/>
                <w:szCs w:val="21"/>
              </w:rPr>
            </w:pPr>
          </w:p>
        </w:tc>
      </w:tr>
      <w:tr w14:paraId="4A5269ED">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4AAA4401">
            <w:r>
              <w:rPr>
                <w:rFonts w:hint="eastAsia"/>
              </w:rPr>
              <w:t>1</w:t>
            </w:r>
          </w:p>
        </w:tc>
        <w:tc>
          <w:tcPr>
            <w:tcW w:w="1341" w:type="dxa"/>
            <w:vMerge w:val="restart"/>
            <w:tcBorders>
              <w:top w:val="nil"/>
              <w:left w:val="single" w:color="auto" w:sz="8" w:space="0"/>
              <w:right w:val="single" w:color="auto" w:sz="8" w:space="0"/>
            </w:tcBorders>
            <w:vAlign w:val="center"/>
          </w:tcPr>
          <w:p w14:paraId="00FFAA78">
            <w:pPr>
              <w:widowControl/>
              <w:jc w:val="center"/>
              <w:rPr>
                <w:rFonts w:hint="eastAsia" w:ascii="宋体" w:hAnsi="宋体" w:cs="宋体"/>
                <w:color w:val="000000"/>
                <w:kern w:val="0"/>
                <w:szCs w:val="21"/>
              </w:rPr>
            </w:pPr>
            <w:r>
              <w:rPr>
                <w:rFonts w:hint="eastAsia" w:ascii="宋体" w:hAnsi="宋体" w:cs="宋体"/>
                <w:color w:val="000000"/>
                <w:kern w:val="0"/>
                <w:szCs w:val="21"/>
              </w:rPr>
              <w:t>硬件设备维护内容</w:t>
            </w:r>
          </w:p>
        </w:tc>
        <w:tc>
          <w:tcPr>
            <w:tcW w:w="1250" w:type="dxa"/>
            <w:tcBorders>
              <w:top w:val="nil"/>
              <w:left w:val="nil"/>
              <w:bottom w:val="single" w:color="auto" w:sz="8" w:space="0"/>
              <w:right w:val="single" w:color="auto" w:sz="8" w:space="0"/>
            </w:tcBorders>
            <w:vAlign w:val="center"/>
          </w:tcPr>
          <w:p w14:paraId="6B3B5CD6">
            <w:pPr>
              <w:widowControl/>
              <w:jc w:val="center"/>
              <w:rPr>
                <w:rFonts w:hint="eastAsia" w:ascii="宋体" w:hAnsi="宋体" w:cs="宋体"/>
                <w:color w:val="000000"/>
                <w:kern w:val="0"/>
                <w:szCs w:val="21"/>
              </w:rPr>
            </w:pPr>
            <w:r>
              <w:rPr>
                <w:rFonts w:hint="eastAsia" w:ascii="宋体" w:hAnsi="宋体" w:cs="宋体"/>
                <w:color w:val="000000"/>
                <w:kern w:val="0"/>
                <w:szCs w:val="21"/>
              </w:rPr>
              <w:t>服务器</w:t>
            </w:r>
          </w:p>
        </w:tc>
        <w:tc>
          <w:tcPr>
            <w:tcW w:w="4190" w:type="dxa"/>
            <w:tcBorders>
              <w:top w:val="nil"/>
              <w:left w:val="nil"/>
              <w:bottom w:val="single" w:color="auto" w:sz="8" w:space="0"/>
              <w:right w:val="single" w:color="auto" w:sz="8" w:space="0"/>
            </w:tcBorders>
            <w:vAlign w:val="center"/>
          </w:tcPr>
          <w:p w14:paraId="5F657421">
            <w:pPr>
              <w:widowControl/>
              <w:jc w:val="left"/>
              <w:rPr>
                <w:rFonts w:hint="eastAsia" w:ascii="宋体" w:hAnsi="宋体" w:cs="宋体"/>
                <w:color w:val="000000"/>
                <w:kern w:val="0"/>
                <w:szCs w:val="21"/>
              </w:rPr>
            </w:pPr>
            <w:r>
              <w:rPr>
                <w:rFonts w:hint="eastAsia" w:ascii="宋体" w:hAnsi="宋体" w:cs="宋体"/>
                <w:color w:val="000000"/>
                <w:kern w:val="0"/>
                <w:szCs w:val="21"/>
              </w:rPr>
              <w:t>清洁保养，清除机箱、滤清器内的灰尘与异物；系统优化，协助客户对进行系统性能调整和系统优化，提高系统效率。设备合计约＞20台。</w:t>
            </w:r>
          </w:p>
        </w:tc>
        <w:tc>
          <w:tcPr>
            <w:tcW w:w="809" w:type="dxa"/>
            <w:tcBorders>
              <w:top w:val="nil"/>
              <w:left w:val="nil"/>
              <w:bottom w:val="single" w:color="auto" w:sz="8" w:space="0"/>
              <w:right w:val="single" w:color="auto" w:sz="8" w:space="0"/>
            </w:tcBorders>
            <w:vAlign w:val="center"/>
          </w:tcPr>
          <w:p w14:paraId="5224FB11">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766" w:type="dxa"/>
            <w:tcBorders>
              <w:top w:val="nil"/>
              <w:left w:val="nil"/>
              <w:bottom w:val="single" w:color="auto" w:sz="8" w:space="0"/>
              <w:right w:val="single" w:color="auto" w:sz="8" w:space="0"/>
            </w:tcBorders>
            <w:vAlign w:val="center"/>
          </w:tcPr>
          <w:p w14:paraId="6FC09649">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1787DEA9">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56B6893B">
            <w:r>
              <w:rPr>
                <w:rFonts w:hint="eastAsia"/>
              </w:rPr>
              <w:t>2</w:t>
            </w:r>
          </w:p>
        </w:tc>
        <w:tc>
          <w:tcPr>
            <w:tcW w:w="1341" w:type="dxa"/>
            <w:vMerge w:val="continue"/>
            <w:tcBorders>
              <w:left w:val="single" w:color="auto" w:sz="8" w:space="0"/>
              <w:right w:val="single" w:color="auto" w:sz="8" w:space="0"/>
            </w:tcBorders>
            <w:vAlign w:val="center"/>
          </w:tcPr>
          <w:p w14:paraId="33BB77FF">
            <w:pPr>
              <w:widowControl/>
              <w:jc w:val="left"/>
              <w:rPr>
                <w:rFonts w:hint="eastAsia" w:ascii="宋体" w:hAnsi="宋体" w:cs="宋体"/>
                <w:color w:val="000000"/>
                <w:kern w:val="0"/>
                <w:szCs w:val="21"/>
              </w:rPr>
            </w:pPr>
          </w:p>
        </w:tc>
        <w:tc>
          <w:tcPr>
            <w:tcW w:w="1250" w:type="dxa"/>
            <w:vMerge w:val="restart"/>
            <w:tcBorders>
              <w:top w:val="nil"/>
              <w:left w:val="single" w:color="auto" w:sz="8" w:space="0"/>
              <w:bottom w:val="single" w:color="000000" w:sz="8" w:space="0"/>
              <w:right w:val="single" w:color="auto" w:sz="8" w:space="0"/>
            </w:tcBorders>
            <w:vAlign w:val="center"/>
          </w:tcPr>
          <w:p w14:paraId="39F74A21">
            <w:pPr>
              <w:widowControl/>
              <w:jc w:val="center"/>
              <w:rPr>
                <w:rFonts w:hint="eastAsia" w:ascii="宋体" w:hAnsi="宋体" w:cs="宋体"/>
                <w:color w:val="000000"/>
                <w:kern w:val="0"/>
                <w:szCs w:val="21"/>
              </w:rPr>
            </w:pPr>
            <w:r>
              <w:rPr>
                <w:rFonts w:hint="eastAsia" w:ascii="宋体" w:hAnsi="宋体" w:cs="宋体"/>
                <w:color w:val="000000"/>
                <w:kern w:val="0"/>
                <w:szCs w:val="21"/>
              </w:rPr>
              <w:t>磁盘存储</w:t>
            </w:r>
          </w:p>
        </w:tc>
        <w:tc>
          <w:tcPr>
            <w:tcW w:w="4190" w:type="dxa"/>
            <w:tcBorders>
              <w:top w:val="nil"/>
              <w:left w:val="nil"/>
              <w:bottom w:val="single" w:color="auto" w:sz="8" w:space="0"/>
              <w:right w:val="single" w:color="auto" w:sz="8" w:space="0"/>
            </w:tcBorders>
            <w:vAlign w:val="center"/>
          </w:tcPr>
          <w:p w14:paraId="5EE39B52">
            <w:pPr>
              <w:widowControl/>
              <w:jc w:val="left"/>
              <w:rPr>
                <w:rFonts w:hint="eastAsia" w:ascii="宋体" w:hAnsi="宋体" w:cs="宋体"/>
                <w:color w:val="000000"/>
                <w:kern w:val="0"/>
                <w:szCs w:val="21"/>
              </w:rPr>
            </w:pPr>
            <w:r>
              <w:rPr>
                <w:rFonts w:hint="eastAsia" w:ascii="宋体" w:hAnsi="宋体" w:cs="宋体"/>
                <w:color w:val="000000"/>
                <w:kern w:val="0"/>
                <w:szCs w:val="21"/>
              </w:rPr>
              <w:t>清洁保养，清除机箱、滤清器内的灰尘与异物；系统优化，协助客户对进行系统性能调整和系统优化，提高系统效率</w:t>
            </w:r>
          </w:p>
        </w:tc>
        <w:tc>
          <w:tcPr>
            <w:tcW w:w="809" w:type="dxa"/>
            <w:tcBorders>
              <w:top w:val="nil"/>
              <w:left w:val="nil"/>
              <w:bottom w:val="single" w:color="auto" w:sz="8" w:space="0"/>
              <w:right w:val="single" w:color="auto" w:sz="8" w:space="0"/>
            </w:tcBorders>
            <w:vAlign w:val="center"/>
          </w:tcPr>
          <w:p w14:paraId="5CCA6FA1">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66" w:type="dxa"/>
            <w:tcBorders>
              <w:top w:val="nil"/>
              <w:left w:val="nil"/>
              <w:bottom w:val="single" w:color="auto" w:sz="8" w:space="0"/>
              <w:right w:val="single" w:color="auto" w:sz="8" w:space="0"/>
            </w:tcBorders>
            <w:vAlign w:val="center"/>
          </w:tcPr>
          <w:p w14:paraId="5D296155">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43A15C2A">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5275B8A2">
            <w:r>
              <w:rPr>
                <w:rFonts w:hint="eastAsia"/>
              </w:rPr>
              <w:t>3</w:t>
            </w:r>
          </w:p>
        </w:tc>
        <w:tc>
          <w:tcPr>
            <w:tcW w:w="1341" w:type="dxa"/>
            <w:vMerge w:val="continue"/>
            <w:tcBorders>
              <w:left w:val="single" w:color="auto" w:sz="8" w:space="0"/>
              <w:right w:val="single" w:color="auto" w:sz="8" w:space="0"/>
            </w:tcBorders>
            <w:vAlign w:val="center"/>
          </w:tcPr>
          <w:p w14:paraId="09390462">
            <w:pPr>
              <w:widowControl/>
              <w:jc w:val="left"/>
              <w:rPr>
                <w:rFonts w:hint="eastAsia" w:ascii="宋体" w:hAnsi="宋体" w:cs="宋体"/>
                <w:color w:val="000000"/>
                <w:kern w:val="0"/>
                <w:szCs w:val="21"/>
              </w:rPr>
            </w:pPr>
          </w:p>
        </w:tc>
        <w:tc>
          <w:tcPr>
            <w:tcW w:w="1250" w:type="dxa"/>
            <w:vMerge w:val="continue"/>
            <w:tcBorders>
              <w:top w:val="nil"/>
              <w:left w:val="single" w:color="auto" w:sz="8" w:space="0"/>
              <w:bottom w:val="single" w:color="000000" w:sz="8" w:space="0"/>
              <w:right w:val="single" w:color="auto" w:sz="8" w:space="0"/>
            </w:tcBorders>
            <w:vAlign w:val="center"/>
          </w:tcPr>
          <w:p w14:paraId="6B69DBCC">
            <w:pPr>
              <w:widowControl/>
              <w:jc w:val="left"/>
              <w:rPr>
                <w:rFonts w:hint="eastAsia" w:ascii="宋体" w:hAnsi="宋体" w:cs="宋体"/>
                <w:color w:val="000000"/>
                <w:kern w:val="0"/>
                <w:szCs w:val="21"/>
              </w:rPr>
            </w:pPr>
          </w:p>
        </w:tc>
        <w:tc>
          <w:tcPr>
            <w:tcW w:w="4190" w:type="dxa"/>
            <w:tcBorders>
              <w:top w:val="nil"/>
              <w:left w:val="nil"/>
              <w:bottom w:val="single" w:color="auto" w:sz="8" w:space="0"/>
              <w:right w:val="single" w:color="auto" w:sz="8" w:space="0"/>
            </w:tcBorders>
            <w:vAlign w:val="center"/>
          </w:tcPr>
          <w:p w14:paraId="572203CA">
            <w:pPr>
              <w:widowControl/>
              <w:jc w:val="left"/>
              <w:rPr>
                <w:rFonts w:hint="eastAsia" w:ascii="宋体" w:hAnsi="宋体" w:cs="宋体"/>
                <w:color w:val="000000"/>
                <w:kern w:val="0"/>
                <w:szCs w:val="21"/>
              </w:rPr>
            </w:pPr>
            <w:r>
              <w:rPr>
                <w:rFonts w:hint="eastAsia" w:ascii="宋体" w:hAnsi="宋体" w:cs="宋体"/>
                <w:color w:val="000000"/>
                <w:kern w:val="0"/>
                <w:szCs w:val="21"/>
              </w:rPr>
              <w:t xml:space="preserve">磁盘存储的维护、处置、配置、数据的安性全及备份等工作。异常情况处理， </w:t>
            </w:r>
          </w:p>
        </w:tc>
        <w:tc>
          <w:tcPr>
            <w:tcW w:w="809" w:type="dxa"/>
            <w:tcBorders>
              <w:top w:val="nil"/>
              <w:left w:val="nil"/>
              <w:bottom w:val="single" w:color="auto" w:sz="8" w:space="0"/>
              <w:right w:val="single" w:color="auto" w:sz="8" w:space="0"/>
            </w:tcBorders>
            <w:vAlign w:val="center"/>
          </w:tcPr>
          <w:p w14:paraId="4EF83EC3">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66" w:type="dxa"/>
            <w:tcBorders>
              <w:top w:val="nil"/>
              <w:left w:val="nil"/>
              <w:bottom w:val="single" w:color="auto" w:sz="8" w:space="0"/>
              <w:right w:val="single" w:color="auto" w:sz="8" w:space="0"/>
            </w:tcBorders>
            <w:vAlign w:val="center"/>
          </w:tcPr>
          <w:p w14:paraId="248CABA3">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459C7472">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205989D5">
            <w:r>
              <w:rPr>
                <w:rFonts w:hint="eastAsia"/>
              </w:rPr>
              <w:t>4</w:t>
            </w:r>
          </w:p>
        </w:tc>
        <w:tc>
          <w:tcPr>
            <w:tcW w:w="1341" w:type="dxa"/>
            <w:vMerge w:val="continue"/>
            <w:tcBorders>
              <w:left w:val="single" w:color="auto" w:sz="8" w:space="0"/>
              <w:right w:val="single" w:color="auto" w:sz="8" w:space="0"/>
            </w:tcBorders>
            <w:vAlign w:val="center"/>
          </w:tcPr>
          <w:p w14:paraId="26096A4D">
            <w:pPr>
              <w:widowControl/>
              <w:jc w:val="left"/>
              <w:rPr>
                <w:rFonts w:hint="eastAsia" w:ascii="宋体" w:hAnsi="宋体" w:cs="宋体"/>
                <w:color w:val="000000"/>
                <w:kern w:val="0"/>
                <w:szCs w:val="21"/>
              </w:rPr>
            </w:pPr>
          </w:p>
        </w:tc>
        <w:tc>
          <w:tcPr>
            <w:tcW w:w="1250" w:type="dxa"/>
            <w:tcBorders>
              <w:top w:val="nil"/>
              <w:left w:val="nil"/>
              <w:bottom w:val="single" w:color="auto" w:sz="8" w:space="0"/>
              <w:right w:val="single" w:color="auto" w:sz="8" w:space="0"/>
            </w:tcBorders>
            <w:vAlign w:val="center"/>
          </w:tcPr>
          <w:p w14:paraId="523FCF1C">
            <w:pPr>
              <w:widowControl/>
              <w:jc w:val="center"/>
              <w:rPr>
                <w:rFonts w:hint="eastAsia" w:ascii="宋体" w:hAnsi="宋体" w:cs="宋体"/>
                <w:color w:val="000000"/>
                <w:kern w:val="0"/>
                <w:szCs w:val="21"/>
              </w:rPr>
            </w:pPr>
            <w:r>
              <w:rPr>
                <w:rFonts w:hint="eastAsia" w:ascii="宋体" w:hAnsi="宋体" w:cs="宋体"/>
                <w:color w:val="000000"/>
                <w:kern w:val="0"/>
                <w:szCs w:val="21"/>
              </w:rPr>
              <w:t>ATS配电柜</w:t>
            </w:r>
          </w:p>
        </w:tc>
        <w:tc>
          <w:tcPr>
            <w:tcW w:w="4190" w:type="dxa"/>
            <w:tcBorders>
              <w:top w:val="nil"/>
              <w:left w:val="nil"/>
              <w:bottom w:val="single" w:color="auto" w:sz="8" w:space="0"/>
              <w:right w:val="single" w:color="auto" w:sz="8" w:space="0"/>
            </w:tcBorders>
            <w:vAlign w:val="center"/>
          </w:tcPr>
          <w:p w14:paraId="74F9356B">
            <w:pPr>
              <w:widowControl/>
              <w:jc w:val="left"/>
              <w:rPr>
                <w:rFonts w:hint="eastAsia" w:ascii="宋体" w:hAnsi="宋体" w:cs="宋体"/>
                <w:color w:val="000000"/>
                <w:kern w:val="0"/>
                <w:szCs w:val="21"/>
              </w:rPr>
            </w:pPr>
            <w:r>
              <w:rPr>
                <w:rFonts w:hint="eastAsia" w:ascii="宋体" w:hAnsi="宋体" w:cs="宋体"/>
                <w:color w:val="000000"/>
                <w:kern w:val="0"/>
                <w:szCs w:val="21"/>
              </w:rPr>
              <w:t>检测整个系统的运行参数，确保设备正常运行。</w:t>
            </w:r>
          </w:p>
        </w:tc>
        <w:tc>
          <w:tcPr>
            <w:tcW w:w="809" w:type="dxa"/>
            <w:tcBorders>
              <w:top w:val="nil"/>
              <w:left w:val="nil"/>
              <w:bottom w:val="single" w:color="auto" w:sz="8" w:space="0"/>
              <w:right w:val="single" w:color="auto" w:sz="8" w:space="0"/>
            </w:tcBorders>
            <w:vAlign w:val="center"/>
          </w:tcPr>
          <w:p w14:paraId="17833851">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766" w:type="dxa"/>
            <w:tcBorders>
              <w:top w:val="nil"/>
              <w:left w:val="nil"/>
              <w:bottom w:val="single" w:color="auto" w:sz="8" w:space="0"/>
              <w:right w:val="single" w:color="auto" w:sz="8" w:space="0"/>
            </w:tcBorders>
            <w:vAlign w:val="center"/>
          </w:tcPr>
          <w:p w14:paraId="20144B60">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138346E1">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1E2C19B3">
            <w:r>
              <w:rPr>
                <w:rFonts w:hint="eastAsia"/>
              </w:rPr>
              <w:t>5</w:t>
            </w:r>
          </w:p>
        </w:tc>
        <w:tc>
          <w:tcPr>
            <w:tcW w:w="1341" w:type="dxa"/>
            <w:vMerge w:val="continue"/>
            <w:tcBorders>
              <w:left w:val="single" w:color="auto" w:sz="8" w:space="0"/>
              <w:right w:val="single" w:color="auto" w:sz="8" w:space="0"/>
            </w:tcBorders>
            <w:vAlign w:val="center"/>
          </w:tcPr>
          <w:p w14:paraId="1CE2AB2A">
            <w:pPr>
              <w:widowControl/>
              <w:jc w:val="left"/>
              <w:rPr>
                <w:rFonts w:hint="eastAsia" w:ascii="宋体" w:hAnsi="宋体" w:cs="宋体"/>
                <w:color w:val="000000"/>
                <w:kern w:val="0"/>
                <w:szCs w:val="21"/>
              </w:rPr>
            </w:pPr>
          </w:p>
        </w:tc>
        <w:tc>
          <w:tcPr>
            <w:tcW w:w="1250" w:type="dxa"/>
            <w:vMerge w:val="restart"/>
            <w:tcBorders>
              <w:top w:val="nil"/>
              <w:left w:val="single" w:color="auto" w:sz="8" w:space="0"/>
              <w:bottom w:val="single" w:color="000000" w:sz="8" w:space="0"/>
              <w:right w:val="single" w:color="auto" w:sz="8" w:space="0"/>
            </w:tcBorders>
            <w:vAlign w:val="center"/>
          </w:tcPr>
          <w:p w14:paraId="3ECD3A82">
            <w:pPr>
              <w:widowControl/>
              <w:jc w:val="center"/>
              <w:rPr>
                <w:rFonts w:hint="eastAsia" w:ascii="宋体" w:hAnsi="宋体" w:cs="宋体"/>
                <w:color w:val="000000"/>
                <w:kern w:val="0"/>
                <w:szCs w:val="21"/>
              </w:rPr>
            </w:pPr>
            <w:r>
              <w:rPr>
                <w:rFonts w:hint="eastAsia" w:ascii="宋体" w:hAnsi="宋体" w:cs="宋体"/>
                <w:color w:val="000000"/>
                <w:kern w:val="0"/>
                <w:szCs w:val="21"/>
              </w:rPr>
              <w:t>UPS配电柜、UPS电池柜、UPS电池</w:t>
            </w:r>
          </w:p>
        </w:tc>
        <w:tc>
          <w:tcPr>
            <w:tcW w:w="4190" w:type="dxa"/>
            <w:tcBorders>
              <w:top w:val="nil"/>
              <w:left w:val="nil"/>
              <w:bottom w:val="single" w:color="auto" w:sz="8" w:space="0"/>
              <w:right w:val="single" w:color="auto" w:sz="8" w:space="0"/>
            </w:tcBorders>
            <w:vAlign w:val="center"/>
          </w:tcPr>
          <w:p w14:paraId="624A554E">
            <w:pPr>
              <w:widowControl/>
              <w:jc w:val="left"/>
              <w:rPr>
                <w:rFonts w:hint="eastAsia" w:ascii="宋体" w:hAnsi="宋体" w:cs="宋体"/>
                <w:color w:val="000000"/>
                <w:kern w:val="0"/>
                <w:szCs w:val="21"/>
              </w:rPr>
            </w:pPr>
            <w:r>
              <w:rPr>
                <w:rFonts w:hint="eastAsia" w:ascii="宋体" w:hAnsi="宋体" w:cs="宋体"/>
                <w:color w:val="000000"/>
                <w:kern w:val="0"/>
                <w:szCs w:val="21"/>
              </w:rPr>
              <w:t>对机组及电池柜进行内外部的彻底清扫。检测电池组/柜的完整性。测量设备的输入、输出电压及电流。</w:t>
            </w:r>
          </w:p>
        </w:tc>
        <w:tc>
          <w:tcPr>
            <w:tcW w:w="809" w:type="dxa"/>
            <w:tcBorders>
              <w:top w:val="nil"/>
              <w:left w:val="nil"/>
              <w:bottom w:val="single" w:color="auto" w:sz="8" w:space="0"/>
              <w:right w:val="single" w:color="auto" w:sz="8" w:space="0"/>
            </w:tcBorders>
            <w:vAlign w:val="center"/>
          </w:tcPr>
          <w:p w14:paraId="58B7877F">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766" w:type="dxa"/>
            <w:tcBorders>
              <w:top w:val="nil"/>
              <w:left w:val="nil"/>
              <w:bottom w:val="single" w:color="auto" w:sz="8" w:space="0"/>
              <w:right w:val="single" w:color="auto" w:sz="8" w:space="0"/>
            </w:tcBorders>
            <w:vAlign w:val="center"/>
          </w:tcPr>
          <w:p w14:paraId="13D5FE23">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5B8B4D5A">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2E42E820">
            <w:r>
              <w:rPr>
                <w:rFonts w:hint="eastAsia"/>
              </w:rPr>
              <w:t>6</w:t>
            </w:r>
          </w:p>
        </w:tc>
        <w:tc>
          <w:tcPr>
            <w:tcW w:w="1341" w:type="dxa"/>
            <w:vMerge w:val="continue"/>
            <w:tcBorders>
              <w:left w:val="single" w:color="auto" w:sz="8" w:space="0"/>
              <w:right w:val="single" w:color="auto" w:sz="8" w:space="0"/>
            </w:tcBorders>
            <w:vAlign w:val="center"/>
          </w:tcPr>
          <w:p w14:paraId="57CFEAEA">
            <w:pPr>
              <w:widowControl/>
              <w:jc w:val="left"/>
              <w:rPr>
                <w:rFonts w:hint="eastAsia" w:ascii="宋体" w:hAnsi="宋体" w:cs="宋体"/>
                <w:color w:val="000000"/>
                <w:kern w:val="0"/>
                <w:szCs w:val="21"/>
              </w:rPr>
            </w:pPr>
          </w:p>
        </w:tc>
        <w:tc>
          <w:tcPr>
            <w:tcW w:w="1250" w:type="dxa"/>
            <w:vMerge w:val="continue"/>
            <w:tcBorders>
              <w:top w:val="nil"/>
              <w:left w:val="single" w:color="auto" w:sz="8" w:space="0"/>
              <w:bottom w:val="single" w:color="000000" w:sz="8" w:space="0"/>
              <w:right w:val="single" w:color="auto" w:sz="8" w:space="0"/>
            </w:tcBorders>
            <w:vAlign w:val="center"/>
          </w:tcPr>
          <w:p w14:paraId="5E74044C">
            <w:pPr>
              <w:widowControl/>
              <w:jc w:val="left"/>
              <w:rPr>
                <w:rFonts w:hint="eastAsia" w:ascii="宋体" w:hAnsi="宋体" w:cs="宋体"/>
                <w:color w:val="000000"/>
                <w:kern w:val="0"/>
                <w:szCs w:val="21"/>
              </w:rPr>
            </w:pPr>
          </w:p>
        </w:tc>
        <w:tc>
          <w:tcPr>
            <w:tcW w:w="4190" w:type="dxa"/>
            <w:tcBorders>
              <w:top w:val="nil"/>
              <w:left w:val="nil"/>
              <w:bottom w:val="single" w:color="auto" w:sz="8" w:space="0"/>
              <w:right w:val="single" w:color="auto" w:sz="8" w:space="0"/>
            </w:tcBorders>
            <w:vAlign w:val="center"/>
          </w:tcPr>
          <w:p w14:paraId="23D5CA07">
            <w:pPr>
              <w:widowControl/>
              <w:jc w:val="left"/>
              <w:rPr>
                <w:rFonts w:hint="eastAsia" w:ascii="宋体" w:hAnsi="宋体" w:cs="宋体"/>
                <w:color w:val="000000"/>
                <w:kern w:val="0"/>
                <w:szCs w:val="21"/>
              </w:rPr>
            </w:pPr>
            <w:r>
              <w:rPr>
                <w:rFonts w:hint="eastAsia" w:ascii="宋体" w:hAnsi="宋体" w:cs="宋体"/>
                <w:color w:val="000000"/>
                <w:kern w:val="0"/>
                <w:szCs w:val="21"/>
              </w:rPr>
              <w:t>对块电池进行充放电测试，根据UPS开始放电时间与UPS电池低压保护关机时间，算出电池的供电时间，查看是否满足时间的配置需求。出具检测报告。2套UPS设备。</w:t>
            </w:r>
          </w:p>
        </w:tc>
        <w:tc>
          <w:tcPr>
            <w:tcW w:w="809" w:type="dxa"/>
            <w:tcBorders>
              <w:top w:val="nil"/>
              <w:left w:val="nil"/>
              <w:bottom w:val="single" w:color="auto" w:sz="8" w:space="0"/>
              <w:right w:val="single" w:color="auto" w:sz="8" w:space="0"/>
            </w:tcBorders>
            <w:vAlign w:val="center"/>
          </w:tcPr>
          <w:p w14:paraId="5BB43007">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766" w:type="dxa"/>
            <w:tcBorders>
              <w:top w:val="nil"/>
              <w:left w:val="nil"/>
              <w:bottom w:val="single" w:color="auto" w:sz="8" w:space="0"/>
              <w:right w:val="single" w:color="auto" w:sz="8" w:space="0"/>
            </w:tcBorders>
            <w:vAlign w:val="center"/>
          </w:tcPr>
          <w:p w14:paraId="2AA3734E">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31CB4605">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0A23639E">
            <w:r>
              <w:rPr>
                <w:rFonts w:hint="eastAsia"/>
              </w:rPr>
              <w:t>7</w:t>
            </w:r>
          </w:p>
        </w:tc>
        <w:tc>
          <w:tcPr>
            <w:tcW w:w="1341" w:type="dxa"/>
            <w:vMerge w:val="continue"/>
            <w:tcBorders>
              <w:left w:val="single" w:color="auto" w:sz="8" w:space="0"/>
              <w:right w:val="single" w:color="auto" w:sz="8" w:space="0"/>
            </w:tcBorders>
            <w:vAlign w:val="center"/>
          </w:tcPr>
          <w:p w14:paraId="0AB169C9">
            <w:pPr>
              <w:widowControl/>
              <w:jc w:val="left"/>
              <w:rPr>
                <w:rFonts w:hint="eastAsia" w:ascii="宋体" w:hAnsi="宋体" w:cs="宋体"/>
                <w:color w:val="000000"/>
                <w:kern w:val="0"/>
                <w:szCs w:val="21"/>
              </w:rPr>
            </w:pPr>
          </w:p>
        </w:tc>
        <w:tc>
          <w:tcPr>
            <w:tcW w:w="1250" w:type="dxa"/>
            <w:tcBorders>
              <w:top w:val="nil"/>
              <w:left w:val="nil"/>
              <w:bottom w:val="single" w:color="auto" w:sz="8" w:space="0"/>
              <w:right w:val="single" w:color="auto" w:sz="8" w:space="0"/>
            </w:tcBorders>
            <w:vAlign w:val="center"/>
          </w:tcPr>
          <w:p w14:paraId="5333FF23">
            <w:pPr>
              <w:widowControl/>
              <w:jc w:val="center"/>
              <w:rPr>
                <w:rFonts w:hint="eastAsia" w:ascii="宋体" w:hAnsi="宋体" w:cs="宋体"/>
                <w:color w:val="000000"/>
                <w:kern w:val="0"/>
                <w:szCs w:val="21"/>
              </w:rPr>
            </w:pPr>
            <w:r>
              <w:rPr>
                <w:rFonts w:hint="eastAsia" w:ascii="宋体" w:hAnsi="宋体" w:cs="宋体"/>
                <w:color w:val="000000"/>
                <w:kern w:val="0"/>
                <w:szCs w:val="21"/>
              </w:rPr>
              <w:t>精密空调</w:t>
            </w:r>
          </w:p>
        </w:tc>
        <w:tc>
          <w:tcPr>
            <w:tcW w:w="4190" w:type="dxa"/>
            <w:tcBorders>
              <w:top w:val="nil"/>
              <w:left w:val="nil"/>
              <w:bottom w:val="single" w:color="auto" w:sz="8" w:space="0"/>
              <w:right w:val="single" w:color="auto" w:sz="8" w:space="0"/>
            </w:tcBorders>
            <w:vAlign w:val="center"/>
          </w:tcPr>
          <w:p w14:paraId="0CCFC79F">
            <w:pPr>
              <w:widowControl/>
              <w:jc w:val="left"/>
              <w:rPr>
                <w:rFonts w:hint="eastAsia" w:ascii="宋体" w:hAnsi="宋体" w:cs="宋体"/>
                <w:color w:val="000000"/>
                <w:kern w:val="0"/>
                <w:szCs w:val="21"/>
              </w:rPr>
            </w:pPr>
            <w:r>
              <w:rPr>
                <w:rFonts w:hint="eastAsia" w:ascii="宋体" w:hAnsi="宋体" w:cs="宋体"/>
                <w:color w:val="000000"/>
                <w:kern w:val="0"/>
                <w:szCs w:val="21"/>
              </w:rPr>
              <w:t>空调控制系统的显示屏上检查空调系统的各项功能及参数是否正常:对压缩机和加湿器等部件进行检测维护。对室外室内机进行清洗，维护，进出水管道检查清洁。4台精密空调。</w:t>
            </w:r>
          </w:p>
        </w:tc>
        <w:tc>
          <w:tcPr>
            <w:tcW w:w="809" w:type="dxa"/>
            <w:tcBorders>
              <w:top w:val="nil"/>
              <w:left w:val="nil"/>
              <w:bottom w:val="single" w:color="auto" w:sz="8" w:space="0"/>
              <w:right w:val="single" w:color="auto" w:sz="8" w:space="0"/>
            </w:tcBorders>
            <w:vAlign w:val="center"/>
          </w:tcPr>
          <w:p w14:paraId="1A29D370">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766" w:type="dxa"/>
            <w:tcBorders>
              <w:top w:val="nil"/>
              <w:left w:val="nil"/>
              <w:bottom w:val="single" w:color="auto" w:sz="8" w:space="0"/>
              <w:right w:val="single" w:color="auto" w:sz="8" w:space="0"/>
            </w:tcBorders>
            <w:vAlign w:val="center"/>
          </w:tcPr>
          <w:p w14:paraId="51A13DC3">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5279FC24">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5E4A0209">
            <w:r>
              <w:rPr>
                <w:rFonts w:hint="eastAsia"/>
              </w:rPr>
              <w:t>8</w:t>
            </w:r>
          </w:p>
        </w:tc>
        <w:tc>
          <w:tcPr>
            <w:tcW w:w="1341" w:type="dxa"/>
            <w:vMerge w:val="continue"/>
            <w:tcBorders>
              <w:left w:val="single" w:color="auto" w:sz="8" w:space="0"/>
              <w:right w:val="single" w:color="auto" w:sz="8" w:space="0"/>
            </w:tcBorders>
            <w:vAlign w:val="center"/>
          </w:tcPr>
          <w:p w14:paraId="583CF367">
            <w:pPr>
              <w:widowControl/>
              <w:jc w:val="left"/>
              <w:rPr>
                <w:rFonts w:hint="eastAsia" w:ascii="宋体" w:hAnsi="宋体" w:cs="宋体"/>
                <w:color w:val="000000"/>
                <w:kern w:val="0"/>
                <w:szCs w:val="21"/>
              </w:rPr>
            </w:pPr>
          </w:p>
        </w:tc>
        <w:tc>
          <w:tcPr>
            <w:tcW w:w="1250" w:type="dxa"/>
            <w:tcBorders>
              <w:top w:val="nil"/>
              <w:left w:val="nil"/>
              <w:bottom w:val="single" w:color="auto" w:sz="8" w:space="0"/>
              <w:right w:val="single" w:color="auto" w:sz="8" w:space="0"/>
            </w:tcBorders>
            <w:vAlign w:val="center"/>
          </w:tcPr>
          <w:p w14:paraId="355291FB">
            <w:pPr>
              <w:widowControl/>
              <w:jc w:val="center"/>
              <w:rPr>
                <w:rFonts w:hint="eastAsia" w:ascii="宋体" w:hAnsi="宋体" w:cs="宋体"/>
                <w:color w:val="000000"/>
                <w:kern w:val="0"/>
                <w:szCs w:val="21"/>
              </w:rPr>
            </w:pPr>
            <w:r>
              <w:rPr>
                <w:rFonts w:hint="eastAsia" w:ascii="宋体" w:hAnsi="宋体" w:cs="宋体"/>
                <w:color w:val="000000"/>
                <w:kern w:val="0"/>
                <w:szCs w:val="21"/>
              </w:rPr>
              <w:t>网络及安全类设备</w:t>
            </w:r>
          </w:p>
        </w:tc>
        <w:tc>
          <w:tcPr>
            <w:tcW w:w="4190" w:type="dxa"/>
            <w:tcBorders>
              <w:top w:val="nil"/>
              <w:left w:val="nil"/>
              <w:bottom w:val="single" w:color="auto" w:sz="8" w:space="0"/>
              <w:right w:val="single" w:color="auto" w:sz="8" w:space="0"/>
            </w:tcBorders>
            <w:vAlign w:val="center"/>
          </w:tcPr>
          <w:p w14:paraId="3BB722AD">
            <w:pPr>
              <w:widowControl/>
              <w:jc w:val="left"/>
              <w:rPr>
                <w:rFonts w:hint="eastAsia" w:ascii="宋体" w:hAnsi="宋体" w:cs="宋体"/>
                <w:color w:val="000000"/>
                <w:kern w:val="0"/>
                <w:szCs w:val="21"/>
              </w:rPr>
            </w:pPr>
            <w:r>
              <w:rPr>
                <w:rFonts w:hint="eastAsia" w:ascii="宋体" w:hAnsi="宋体" w:cs="宋体"/>
                <w:color w:val="000000"/>
                <w:kern w:val="0"/>
                <w:szCs w:val="21"/>
              </w:rPr>
              <w:t>针对交换机，防火墙，堡垒机，审计等设备的清洁维护。设备合计约＞50台。并对每类设备进行逐一检测，保持防火墙等设备软件的及时更新和升级，以获取最新的漏洞修复和安全补丁。定期审核软件配置和规则，确保配置的正确性和完整性确保系统版本及授权等为最新版本。</w:t>
            </w:r>
          </w:p>
        </w:tc>
        <w:tc>
          <w:tcPr>
            <w:tcW w:w="809" w:type="dxa"/>
            <w:tcBorders>
              <w:top w:val="nil"/>
              <w:left w:val="nil"/>
              <w:bottom w:val="single" w:color="auto" w:sz="8" w:space="0"/>
              <w:right w:val="single" w:color="auto" w:sz="8" w:space="0"/>
            </w:tcBorders>
            <w:vAlign w:val="center"/>
          </w:tcPr>
          <w:p w14:paraId="7BBA0E2D">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766" w:type="dxa"/>
            <w:tcBorders>
              <w:top w:val="nil"/>
              <w:left w:val="nil"/>
              <w:bottom w:val="single" w:color="auto" w:sz="8" w:space="0"/>
              <w:right w:val="single" w:color="auto" w:sz="8" w:space="0"/>
            </w:tcBorders>
            <w:vAlign w:val="center"/>
          </w:tcPr>
          <w:p w14:paraId="2BBED18E">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68FBEDD9">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2CCADCD4">
            <w:r>
              <w:rPr>
                <w:rFonts w:hint="eastAsia"/>
              </w:rPr>
              <w:t>9</w:t>
            </w:r>
          </w:p>
        </w:tc>
        <w:tc>
          <w:tcPr>
            <w:tcW w:w="1341" w:type="dxa"/>
            <w:vMerge w:val="continue"/>
            <w:tcBorders>
              <w:left w:val="single" w:color="auto" w:sz="8" w:space="0"/>
              <w:bottom w:val="single" w:color="000000" w:sz="8" w:space="0"/>
              <w:right w:val="single" w:color="auto" w:sz="8" w:space="0"/>
            </w:tcBorders>
            <w:vAlign w:val="center"/>
          </w:tcPr>
          <w:p w14:paraId="7D866C21">
            <w:pPr>
              <w:widowControl/>
              <w:jc w:val="center"/>
              <w:rPr>
                <w:rFonts w:hint="eastAsia" w:ascii="宋体" w:hAnsi="宋体" w:cs="宋体"/>
                <w:color w:val="000000"/>
                <w:kern w:val="0"/>
                <w:szCs w:val="21"/>
              </w:rPr>
            </w:pPr>
          </w:p>
        </w:tc>
        <w:tc>
          <w:tcPr>
            <w:tcW w:w="1250" w:type="dxa"/>
            <w:tcBorders>
              <w:top w:val="nil"/>
              <w:left w:val="nil"/>
              <w:bottom w:val="single" w:color="auto" w:sz="8" w:space="0"/>
              <w:right w:val="single" w:color="auto" w:sz="8" w:space="0"/>
            </w:tcBorders>
            <w:vAlign w:val="center"/>
          </w:tcPr>
          <w:p w14:paraId="28EF3A41">
            <w:pPr>
              <w:widowControl/>
              <w:jc w:val="center"/>
              <w:rPr>
                <w:rFonts w:hint="eastAsia" w:ascii="宋体" w:hAnsi="宋体" w:cs="宋体"/>
                <w:color w:val="000000"/>
                <w:kern w:val="0"/>
                <w:szCs w:val="21"/>
              </w:rPr>
            </w:pPr>
            <w:r>
              <w:rPr>
                <w:rFonts w:hint="eastAsia" w:ascii="宋体" w:hAnsi="宋体" w:cs="宋体"/>
                <w:color w:val="000000"/>
                <w:kern w:val="0"/>
                <w:szCs w:val="21"/>
              </w:rPr>
              <w:t>视频会议设备</w:t>
            </w:r>
          </w:p>
        </w:tc>
        <w:tc>
          <w:tcPr>
            <w:tcW w:w="4190" w:type="dxa"/>
            <w:tcBorders>
              <w:top w:val="nil"/>
              <w:left w:val="nil"/>
              <w:bottom w:val="single" w:color="auto" w:sz="8" w:space="0"/>
              <w:right w:val="single" w:color="auto" w:sz="8" w:space="0"/>
            </w:tcBorders>
            <w:vAlign w:val="center"/>
          </w:tcPr>
          <w:p w14:paraId="7C9AAAA6">
            <w:pPr>
              <w:widowControl/>
              <w:jc w:val="left"/>
              <w:rPr>
                <w:rFonts w:hint="eastAsia" w:ascii="宋体" w:hAnsi="宋体" w:cs="宋体"/>
                <w:color w:val="000000"/>
                <w:kern w:val="0"/>
                <w:szCs w:val="21"/>
              </w:rPr>
            </w:pPr>
            <w:r>
              <w:rPr>
                <w:rFonts w:hint="eastAsia" w:ascii="宋体" w:hAnsi="宋体" w:cs="宋体"/>
                <w:color w:val="000000"/>
                <w:kern w:val="0"/>
                <w:szCs w:val="21"/>
              </w:rPr>
              <w:t>维护视频会议设备正常运行，保障视频会议正常召开，根据视频会议要求进行联调联试。</w:t>
            </w:r>
          </w:p>
        </w:tc>
        <w:tc>
          <w:tcPr>
            <w:tcW w:w="809" w:type="dxa"/>
            <w:tcBorders>
              <w:top w:val="nil"/>
              <w:left w:val="nil"/>
              <w:bottom w:val="single" w:color="auto" w:sz="8" w:space="0"/>
              <w:right w:val="single" w:color="auto" w:sz="8" w:space="0"/>
            </w:tcBorders>
            <w:vAlign w:val="center"/>
          </w:tcPr>
          <w:p w14:paraId="549196BE">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766" w:type="dxa"/>
            <w:tcBorders>
              <w:top w:val="nil"/>
              <w:left w:val="nil"/>
              <w:bottom w:val="single" w:color="auto" w:sz="8" w:space="0"/>
              <w:right w:val="single" w:color="auto" w:sz="8" w:space="0"/>
            </w:tcBorders>
            <w:vAlign w:val="center"/>
          </w:tcPr>
          <w:p w14:paraId="7050DB5A">
            <w:pPr>
              <w:widowControl/>
              <w:jc w:val="center"/>
              <w:rPr>
                <w:rFonts w:hint="eastAsia" w:ascii="宋体" w:hAnsi="宋体" w:cs="宋体"/>
                <w:color w:val="000000"/>
                <w:kern w:val="0"/>
                <w:szCs w:val="21"/>
              </w:rPr>
            </w:pPr>
            <w:r>
              <w:rPr>
                <w:rFonts w:hint="eastAsia" w:ascii="宋体" w:hAnsi="宋体" w:cs="宋体"/>
                <w:color w:val="000000"/>
                <w:kern w:val="0"/>
                <w:szCs w:val="21"/>
              </w:rPr>
              <w:t>年</w:t>
            </w:r>
          </w:p>
        </w:tc>
      </w:tr>
      <w:tr w14:paraId="6D31139E">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23E09C3D">
            <w:r>
              <w:rPr>
                <w:rFonts w:hint="eastAsia"/>
              </w:rPr>
              <w:t>10</w:t>
            </w:r>
          </w:p>
        </w:tc>
        <w:tc>
          <w:tcPr>
            <w:tcW w:w="1341" w:type="dxa"/>
            <w:vMerge w:val="restart"/>
            <w:tcBorders>
              <w:top w:val="nil"/>
              <w:left w:val="single" w:color="auto" w:sz="8" w:space="0"/>
              <w:bottom w:val="single" w:color="000000" w:sz="8" w:space="0"/>
              <w:right w:val="single" w:color="auto" w:sz="8" w:space="0"/>
            </w:tcBorders>
            <w:vAlign w:val="center"/>
          </w:tcPr>
          <w:p w14:paraId="7AD6940B">
            <w:pPr>
              <w:widowControl/>
              <w:jc w:val="center"/>
              <w:rPr>
                <w:rFonts w:hint="eastAsia" w:ascii="宋体" w:hAnsi="宋体" w:cs="宋体"/>
                <w:color w:val="000000"/>
                <w:kern w:val="0"/>
                <w:szCs w:val="21"/>
              </w:rPr>
            </w:pPr>
            <w:r>
              <w:rPr>
                <w:rFonts w:hint="eastAsia" w:ascii="宋体" w:hAnsi="宋体" w:cs="宋体"/>
                <w:color w:val="000000"/>
                <w:kern w:val="0"/>
                <w:szCs w:val="21"/>
              </w:rPr>
              <w:t>安全运维</w:t>
            </w:r>
          </w:p>
        </w:tc>
        <w:tc>
          <w:tcPr>
            <w:tcW w:w="1250" w:type="dxa"/>
            <w:tcBorders>
              <w:top w:val="nil"/>
              <w:left w:val="nil"/>
              <w:bottom w:val="single" w:color="auto" w:sz="8" w:space="0"/>
              <w:right w:val="single" w:color="auto" w:sz="8" w:space="0"/>
            </w:tcBorders>
            <w:vAlign w:val="center"/>
          </w:tcPr>
          <w:p w14:paraId="14FA5991">
            <w:pPr>
              <w:widowControl/>
              <w:jc w:val="center"/>
              <w:rPr>
                <w:rFonts w:hint="eastAsia" w:ascii="宋体" w:hAnsi="宋体" w:cs="宋体"/>
                <w:color w:val="000000"/>
                <w:kern w:val="0"/>
                <w:szCs w:val="21"/>
              </w:rPr>
            </w:pPr>
            <w:r>
              <w:rPr>
                <w:rFonts w:hint="eastAsia" w:ascii="宋体" w:hAnsi="宋体" w:cs="宋体"/>
                <w:color w:val="000000"/>
                <w:kern w:val="0"/>
                <w:szCs w:val="21"/>
              </w:rPr>
              <w:t>渗透测试</w:t>
            </w:r>
          </w:p>
        </w:tc>
        <w:tc>
          <w:tcPr>
            <w:tcW w:w="4190" w:type="dxa"/>
            <w:tcBorders>
              <w:top w:val="nil"/>
              <w:left w:val="nil"/>
              <w:bottom w:val="single" w:color="auto" w:sz="8" w:space="0"/>
              <w:right w:val="single" w:color="auto" w:sz="8" w:space="0"/>
            </w:tcBorders>
            <w:vAlign w:val="center"/>
          </w:tcPr>
          <w:p w14:paraId="634AD4FC">
            <w:pPr>
              <w:widowControl/>
              <w:jc w:val="left"/>
              <w:rPr>
                <w:rFonts w:hint="eastAsia" w:ascii="宋体" w:hAnsi="宋体" w:cs="宋体"/>
                <w:color w:val="000000"/>
                <w:kern w:val="0"/>
                <w:szCs w:val="21"/>
              </w:rPr>
            </w:pPr>
            <w:r>
              <w:rPr>
                <w:rFonts w:hint="eastAsia" w:ascii="宋体" w:hAnsi="宋体" w:cs="宋体"/>
                <w:color w:val="000000"/>
                <w:kern w:val="0"/>
                <w:szCs w:val="21"/>
              </w:rPr>
              <w:t>通过模拟真实黑客的攻击手法来对应用进行模拟攻击，由高级工程师进行深入的手工测试和分析，识别弱点扫描工具或者脆弱性扫描工具无法发现的问题工具弱点扫描无法发现的问题。主要分析内容包括逻辑设计缺陷、上传绕过输入输出校验绕过、数据算改、功能绕过、异常错误等以及其他专项内容测试与分析，了解应用系统可能存在的潜在漏洞以及发生漏洞利用时可能造成的危害，渗透结束后生成相关报告并提供修复建议。</w:t>
            </w:r>
          </w:p>
        </w:tc>
        <w:tc>
          <w:tcPr>
            <w:tcW w:w="809" w:type="dxa"/>
            <w:tcBorders>
              <w:top w:val="nil"/>
              <w:left w:val="nil"/>
              <w:bottom w:val="single" w:color="auto" w:sz="8" w:space="0"/>
              <w:right w:val="single" w:color="auto" w:sz="8" w:space="0"/>
            </w:tcBorders>
            <w:vAlign w:val="center"/>
          </w:tcPr>
          <w:p w14:paraId="48D9A20F">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766" w:type="dxa"/>
            <w:tcBorders>
              <w:top w:val="nil"/>
              <w:left w:val="nil"/>
              <w:bottom w:val="single" w:color="auto" w:sz="8" w:space="0"/>
              <w:right w:val="single" w:color="auto" w:sz="8" w:space="0"/>
            </w:tcBorders>
            <w:vAlign w:val="center"/>
          </w:tcPr>
          <w:p w14:paraId="602B0379">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098F995A">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0ECA8C5D">
            <w:r>
              <w:rPr>
                <w:rFonts w:hint="eastAsia"/>
              </w:rPr>
              <w:t>11</w:t>
            </w:r>
          </w:p>
        </w:tc>
        <w:tc>
          <w:tcPr>
            <w:tcW w:w="1341" w:type="dxa"/>
            <w:vMerge w:val="continue"/>
            <w:tcBorders>
              <w:top w:val="nil"/>
              <w:left w:val="single" w:color="auto" w:sz="8" w:space="0"/>
              <w:bottom w:val="single" w:color="000000" w:sz="8" w:space="0"/>
              <w:right w:val="single" w:color="auto" w:sz="8" w:space="0"/>
            </w:tcBorders>
            <w:vAlign w:val="center"/>
          </w:tcPr>
          <w:p w14:paraId="0B7777EC">
            <w:pPr>
              <w:widowControl/>
              <w:jc w:val="left"/>
              <w:rPr>
                <w:rFonts w:hint="eastAsia" w:ascii="宋体" w:hAnsi="宋体" w:cs="宋体"/>
                <w:color w:val="000000"/>
                <w:kern w:val="0"/>
                <w:szCs w:val="21"/>
              </w:rPr>
            </w:pPr>
          </w:p>
        </w:tc>
        <w:tc>
          <w:tcPr>
            <w:tcW w:w="1250" w:type="dxa"/>
            <w:tcBorders>
              <w:top w:val="nil"/>
              <w:left w:val="nil"/>
              <w:bottom w:val="single" w:color="auto" w:sz="8" w:space="0"/>
              <w:right w:val="single" w:color="auto" w:sz="8" w:space="0"/>
            </w:tcBorders>
            <w:vAlign w:val="center"/>
          </w:tcPr>
          <w:p w14:paraId="01404BB1">
            <w:pPr>
              <w:widowControl/>
              <w:jc w:val="center"/>
              <w:rPr>
                <w:rFonts w:hint="eastAsia" w:ascii="宋体" w:hAnsi="宋体" w:cs="宋体"/>
                <w:color w:val="000000"/>
                <w:kern w:val="0"/>
                <w:szCs w:val="21"/>
              </w:rPr>
            </w:pPr>
            <w:r>
              <w:rPr>
                <w:rFonts w:hint="eastAsia" w:ascii="宋体" w:hAnsi="宋体" w:cs="宋体"/>
                <w:color w:val="000000"/>
                <w:kern w:val="0"/>
                <w:szCs w:val="21"/>
              </w:rPr>
              <w:t>漏洞扫描</w:t>
            </w:r>
          </w:p>
        </w:tc>
        <w:tc>
          <w:tcPr>
            <w:tcW w:w="4190" w:type="dxa"/>
            <w:tcBorders>
              <w:top w:val="nil"/>
              <w:left w:val="nil"/>
              <w:bottom w:val="single" w:color="auto" w:sz="8" w:space="0"/>
              <w:right w:val="single" w:color="auto" w:sz="8" w:space="0"/>
            </w:tcBorders>
            <w:vAlign w:val="center"/>
          </w:tcPr>
          <w:p w14:paraId="1AA46632">
            <w:pPr>
              <w:widowControl/>
              <w:jc w:val="left"/>
              <w:rPr>
                <w:rFonts w:hint="eastAsia" w:ascii="宋体" w:hAnsi="宋体" w:cs="宋体"/>
                <w:color w:val="000000"/>
                <w:kern w:val="0"/>
                <w:szCs w:val="21"/>
              </w:rPr>
            </w:pPr>
            <w:r>
              <w:rPr>
                <w:rFonts w:hint="eastAsia" w:ascii="宋体" w:hAnsi="宋体" w:cs="宋体"/>
                <w:color w:val="000000"/>
                <w:kern w:val="0"/>
                <w:szCs w:val="21"/>
              </w:rPr>
              <w:t>漏洞扫描，发现扫描对象存在的web应用漏洞、主机操作系统漏洞、数据库漏洞、逻辑缺陷、弱口令、信息泄露等脆弱性问题，生成相关报告并提供加固建议。</w:t>
            </w:r>
          </w:p>
        </w:tc>
        <w:tc>
          <w:tcPr>
            <w:tcW w:w="809" w:type="dxa"/>
            <w:tcBorders>
              <w:top w:val="nil"/>
              <w:left w:val="nil"/>
              <w:bottom w:val="single" w:color="auto" w:sz="8" w:space="0"/>
              <w:right w:val="single" w:color="auto" w:sz="8" w:space="0"/>
            </w:tcBorders>
            <w:vAlign w:val="center"/>
          </w:tcPr>
          <w:p w14:paraId="2FF15C0A">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766" w:type="dxa"/>
            <w:tcBorders>
              <w:top w:val="nil"/>
              <w:left w:val="nil"/>
              <w:bottom w:val="single" w:color="auto" w:sz="8" w:space="0"/>
              <w:right w:val="single" w:color="auto" w:sz="8" w:space="0"/>
            </w:tcBorders>
            <w:vAlign w:val="center"/>
          </w:tcPr>
          <w:p w14:paraId="5964C2BC">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4450E9D3">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64FAD4D4">
            <w:r>
              <w:rPr>
                <w:rFonts w:hint="eastAsia"/>
              </w:rPr>
              <w:t>12</w:t>
            </w:r>
          </w:p>
        </w:tc>
        <w:tc>
          <w:tcPr>
            <w:tcW w:w="1341" w:type="dxa"/>
            <w:vMerge w:val="continue"/>
            <w:tcBorders>
              <w:top w:val="nil"/>
              <w:left w:val="single" w:color="auto" w:sz="8" w:space="0"/>
              <w:bottom w:val="single" w:color="000000" w:sz="8" w:space="0"/>
              <w:right w:val="single" w:color="auto" w:sz="8" w:space="0"/>
            </w:tcBorders>
            <w:vAlign w:val="center"/>
          </w:tcPr>
          <w:p w14:paraId="05C3BFA2">
            <w:pPr>
              <w:widowControl/>
              <w:jc w:val="left"/>
              <w:rPr>
                <w:rFonts w:hint="eastAsia" w:ascii="宋体" w:hAnsi="宋体" w:cs="宋体"/>
                <w:color w:val="000000"/>
                <w:kern w:val="0"/>
                <w:szCs w:val="21"/>
              </w:rPr>
            </w:pPr>
          </w:p>
        </w:tc>
        <w:tc>
          <w:tcPr>
            <w:tcW w:w="1250" w:type="dxa"/>
            <w:tcBorders>
              <w:top w:val="nil"/>
              <w:left w:val="nil"/>
              <w:bottom w:val="single" w:color="auto" w:sz="8" w:space="0"/>
              <w:right w:val="single" w:color="auto" w:sz="8" w:space="0"/>
            </w:tcBorders>
            <w:vAlign w:val="center"/>
          </w:tcPr>
          <w:p w14:paraId="419B4B92">
            <w:pPr>
              <w:widowControl/>
              <w:jc w:val="center"/>
              <w:rPr>
                <w:rFonts w:hint="eastAsia" w:ascii="宋体" w:hAnsi="宋体" w:cs="宋体"/>
                <w:color w:val="000000"/>
                <w:kern w:val="0"/>
                <w:szCs w:val="21"/>
              </w:rPr>
            </w:pPr>
            <w:r>
              <w:rPr>
                <w:rFonts w:hint="eastAsia" w:ascii="宋体" w:hAnsi="宋体" w:cs="宋体"/>
                <w:color w:val="000000"/>
                <w:kern w:val="0"/>
                <w:szCs w:val="21"/>
              </w:rPr>
              <w:t>应急演练</w:t>
            </w:r>
          </w:p>
        </w:tc>
        <w:tc>
          <w:tcPr>
            <w:tcW w:w="4190" w:type="dxa"/>
            <w:tcBorders>
              <w:top w:val="nil"/>
              <w:left w:val="nil"/>
              <w:bottom w:val="single" w:color="auto" w:sz="8" w:space="0"/>
              <w:right w:val="single" w:color="auto" w:sz="8" w:space="0"/>
            </w:tcBorders>
            <w:vAlign w:val="center"/>
          </w:tcPr>
          <w:p w14:paraId="7DAEEFD6">
            <w:pPr>
              <w:widowControl/>
              <w:jc w:val="left"/>
              <w:rPr>
                <w:rFonts w:hint="eastAsia" w:ascii="宋体" w:hAnsi="宋体" w:cs="宋体"/>
                <w:color w:val="000000"/>
                <w:kern w:val="0"/>
                <w:szCs w:val="21"/>
              </w:rPr>
            </w:pPr>
            <w:r>
              <w:rPr>
                <w:rFonts w:hint="eastAsia" w:ascii="宋体" w:hAnsi="宋体" w:cs="宋体"/>
                <w:color w:val="000000"/>
                <w:kern w:val="0"/>
                <w:szCs w:val="21"/>
              </w:rPr>
              <w:t>建立应急预案，并定期开展应急演练。通过实战演练来提高单位应对网络突发事件的行动力，根据出现的新的网络攻击手段或其他特殊情况，不断进行预案的调整完善。</w:t>
            </w:r>
          </w:p>
        </w:tc>
        <w:tc>
          <w:tcPr>
            <w:tcW w:w="809" w:type="dxa"/>
            <w:tcBorders>
              <w:top w:val="nil"/>
              <w:left w:val="nil"/>
              <w:bottom w:val="single" w:color="auto" w:sz="8" w:space="0"/>
              <w:right w:val="single" w:color="auto" w:sz="8" w:space="0"/>
            </w:tcBorders>
            <w:vAlign w:val="center"/>
          </w:tcPr>
          <w:p w14:paraId="3B33CFBE">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766" w:type="dxa"/>
            <w:tcBorders>
              <w:top w:val="nil"/>
              <w:left w:val="nil"/>
              <w:bottom w:val="single" w:color="auto" w:sz="8" w:space="0"/>
              <w:right w:val="single" w:color="auto" w:sz="8" w:space="0"/>
            </w:tcBorders>
            <w:vAlign w:val="center"/>
          </w:tcPr>
          <w:p w14:paraId="4DB56E2F">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304FC44D">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6F271AF1">
            <w:r>
              <w:rPr>
                <w:rFonts w:hint="eastAsia"/>
              </w:rPr>
              <w:t>13</w:t>
            </w:r>
          </w:p>
        </w:tc>
        <w:tc>
          <w:tcPr>
            <w:tcW w:w="1341" w:type="dxa"/>
            <w:vMerge w:val="continue"/>
            <w:tcBorders>
              <w:top w:val="nil"/>
              <w:left w:val="single" w:color="auto" w:sz="8" w:space="0"/>
              <w:bottom w:val="single" w:color="000000" w:sz="8" w:space="0"/>
              <w:right w:val="single" w:color="auto" w:sz="8" w:space="0"/>
            </w:tcBorders>
            <w:vAlign w:val="center"/>
          </w:tcPr>
          <w:p w14:paraId="4A4180D8">
            <w:pPr>
              <w:widowControl/>
              <w:jc w:val="left"/>
              <w:rPr>
                <w:rFonts w:hint="eastAsia" w:ascii="宋体" w:hAnsi="宋体" w:cs="宋体"/>
                <w:color w:val="000000"/>
                <w:kern w:val="0"/>
                <w:szCs w:val="21"/>
              </w:rPr>
            </w:pPr>
          </w:p>
        </w:tc>
        <w:tc>
          <w:tcPr>
            <w:tcW w:w="1250" w:type="dxa"/>
            <w:tcBorders>
              <w:top w:val="nil"/>
              <w:left w:val="nil"/>
              <w:bottom w:val="single" w:color="auto" w:sz="8" w:space="0"/>
              <w:right w:val="single" w:color="auto" w:sz="8" w:space="0"/>
            </w:tcBorders>
            <w:vAlign w:val="center"/>
          </w:tcPr>
          <w:p w14:paraId="4DF8AA85">
            <w:pPr>
              <w:widowControl/>
              <w:jc w:val="center"/>
              <w:rPr>
                <w:rFonts w:hint="eastAsia" w:ascii="宋体" w:hAnsi="宋体" w:cs="宋体"/>
                <w:color w:val="000000"/>
                <w:kern w:val="0"/>
                <w:szCs w:val="21"/>
              </w:rPr>
            </w:pPr>
            <w:r>
              <w:rPr>
                <w:rFonts w:hint="eastAsia" w:ascii="宋体" w:hAnsi="宋体" w:cs="宋体"/>
                <w:color w:val="000000"/>
                <w:kern w:val="0"/>
                <w:szCs w:val="21"/>
              </w:rPr>
              <w:t>脆弱性测试</w:t>
            </w:r>
          </w:p>
        </w:tc>
        <w:tc>
          <w:tcPr>
            <w:tcW w:w="4190" w:type="dxa"/>
            <w:tcBorders>
              <w:top w:val="nil"/>
              <w:left w:val="nil"/>
              <w:bottom w:val="single" w:color="auto" w:sz="8" w:space="0"/>
              <w:right w:val="single" w:color="auto" w:sz="8" w:space="0"/>
            </w:tcBorders>
            <w:vAlign w:val="center"/>
          </w:tcPr>
          <w:p w14:paraId="57B2982A">
            <w:pPr>
              <w:widowControl/>
              <w:jc w:val="left"/>
              <w:rPr>
                <w:rFonts w:hint="eastAsia" w:ascii="宋体" w:hAnsi="宋体" w:cs="宋体"/>
                <w:color w:val="000000"/>
                <w:kern w:val="0"/>
                <w:szCs w:val="21"/>
              </w:rPr>
            </w:pPr>
            <w:r>
              <w:rPr>
                <w:rFonts w:hint="eastAsia" w:ascii="宋体" w:hAnsi="宋体" w:cs="宋体"/>
                <w:color w:val="000000"/>
                <w:kern w:val="0"/>
                <w:szCs w:val="21"/>
              </w:rPr>
              <w:t>涵盖应用系统、数据库等，进行安全检测，以发现在网络、运维器策略配置等层面存在的安全隐患，为安全优化工作提供建设依据。</w:t>
            </w:r>
          </w:p>
        </w:tc>
        <w:tc>
          <w:tcPr>
            <w:tcW w:w="809" w:type="dxa"/>
            <w:tcBorders>
              <w:top w:val="nil"/>
              <w:left w:val="nil"/>
              <w:bottom w:val="single" w:color="auto" w:sz="8" w:space="0"/>
              <w:right w:val="single" w:color="auto" w:sz="8" w:space="0"/>
            </w:tcBorders>
            <w:vAlign w:val="center"/>
          </w:tcPr>
          <w:p w14:paraId="79847A04">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66" w:type="dxa"/>
            <w:tcBorders>
              <w:top w:val="nil"/>
              <w:left w:val="nil"/>
              <w:bottom w:val="single" w:color="auto" w:sz="8" w:space="0"/>
              <w:right w:val="single" w:color="auto" w:sz="8" w:space="0"/>
            </w:tcBorders>
            <w:vAlign w:val="center"/>
          </w:tcPr>
          <w:p w14:paraId="6A49E7D5">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503D1642">
        <w:tblPrEx>
          <w:tblCellMar>
            <w:top w:w="0" w:type="dxa"/>
            <w:left w:w="108" w:type="dxa"/>
            <w:bottom w:w="0" w:type="dxa"/>
            <w:right w:w="108" w:type="dxa"/>
          </w:tblCellMar>
        </w:tblPrEx>
        <w:trPr>
          <w:trHeight w:val="454" w:hRule="atLeast"/>
        </w:trPr>
        <w:tc>
          <w:tcPr>
            <w:tcW w:w="699" w:type="dxa"/>
            <w:vMerge w:val="restart"/>
            <w:tcBorders>
              <w:top w:val="nil"/>
              <w:left w:val="single" w:color="auto" w:sz="8" w:space="0"/>
              <w:bottom w:val="single" w:color="000000" w:sz="8" w:space="0"/>
              <w:right w:val="single" w:color="auto" w:sz="8" w:space="0"/>
            </w:tcBorders>
            <w:vAlign w:val="center"/>
          </w:tcPr>
          <w:p w14:paraId="7F2A835A"/>
          <w:p w14:paraId="1CFE1B8B">
            <w:r>
              <w:rPr>
                <w:rFonts w:hint="eastAsia"/>
              </w:rPr>
              <w:t>14</w:t>
            </w:r>
          </w:p>
        </w:tc>
        <w:tc>
          <w:tcPr>
            <w:tcW w:w="1341" w:type="dxa"/>
            <w:vMerge w:val="continue"/>
            <w:tcBorders>
              <w:top w:val="nil"/>
              <w:left w:val="single" w:color="auto" w:sz="8" w:space="0"/>
              <w:bottom w:val="single" w:color="000000" w:sz="8" w:space="0"/>
              <w:right w:val="single" w:color="auto" w:sz="8" w:space="0"/>
            </w:tcBorders>
            <w:vAlign w:val="center"/>
          </w:tcPr>
          <w:p w14:paraId="5B73631C">
            <w:pPr>
              <w:widowControl/>
              <w:jc w:val="left"/>
              <w:rPr>
                <w:rFonts w:hint="eastAsia" w:ascii="宋体" w:hAnsi="宋体" w:cs="宋体"/>
                <w:color w:val="000000"/>
                <w:kern w:val="0"/>
                <w:szCs w:val="21"/>
              </w:rPr>
            </w:pPr>
          </w:p>
        </w:tc>
        <w:tc>
          <w:tcPr>
            <w:tcW w:w="1250" w:type="dxa"/>
            <w:vMerge w:val="restart"/>
            <w:tcBorders>
              <w:top w:val="nil"/>
              <w:left w:val="single" w:color="auto" w:sz="8" w:space="0"/>
              <w:bottom w:val="single" w:color="000000" w:sz="8" w:space="0"/>
              <w:right w:val="single" w:color="auto" w:sz="8" w:space="0"/>
            </w:tcBorders>
            <w:vAlign w:val="center"/>
          </w:tcPr>
          <w:p w14:paraId="74AE0B2D">
            <w:pPr>
              <w:widowControl/>
              <w:jc w:val="center"/>
              <w:rPr>
                <w:rFonts w:hint="eastAsia" w:ascii="宋体" w:hAnsi="宋体" w:cs="宋体"/>
                <w:color w:val="000000"/>
                <w:kern w:val="0"/>
                <w:szCs w:val="21"/>
              </w:rPr>
            </w:pPr>
            <w:r>
              <w:rPr>
                <w:rFonts w:hint="eastAsia" w:ascii="宋体" w:hAnsi="宋体" w:cs="宋体"/>
                <w:color w:val="000000"/>
                <w:kern w:val="0"/>
                <w:szCs w:val="21"/>
              </w:rPr>
              <w:t>日志分析</w:t>
            </w:r>
          </w:p>
        </w:tc>
        <w:tc>
          <w:tcPr>
            <w:tcW w:w="4190" w:type="dxa"/>
            <w:vMerge w:val="restart"/>
            <w:tcBorders>
              <w:top w:val="nil"/>
              <w:left w:val="nil"/>
              <w:right w:val="single" w:color="auto" w:sz="8" w:space="0"/>
            </w:tcBorders>
            <w:vAlign w:val="center"/>
          </w:tcPr>
          <w:p w14:paraId="53EFADAA">
            <w:pPr>
              <w:widowControl/>
              <w:jc w:val="left"/>
              <w:rPr>
                <w:rFonts w:hint="eastAsia" w:ascii="宋体" w:hAnsi="宋体" w:cs="宋体"/>
                <w:color w:val="000000"/>
                <w:kern w:val="0"/>
                <w:szCs w:val="21"/>
              </w:rPr>
            </w:pPr>
            <w:r>
              <w:rPr>
                <w:rFonts w:hint="eastAsia" w:ascii="宋体" w:hAnsi="宋体" w:cs="宋体"/>
                <w:color w:val="000000"/>
                <w:kern w:val="0"/>
                <w:szCs w:val="21"/>
              </w:rPr>
              <w:t>通过收集用户网络中的运维器、网络设备、安全设备等的日志信息，进行关联分析，发现潜在的威胁和未知的入侵行为。态势感知日志检索分析日志检索分析运维器日志检索分析。</w:t>
            </w:r>
          </w:p>
        </w:tc>
        <w:tc>
          <w:tcPr>
            <w:tcW w:w="809" w:type="dxa"/>
            <w:vMerge w:val="restart"/>
            <w:tcBorders>
              <w:top w:val="nil"/>
              <w:left w:val="single" w:color="auto" w:sz="8" w:space="0"/>
              <w:bottom w:val="single" w:color="000000" w:sz="8" w:space="0"/>
              <w:right w:val="single" w:color="auto" w:sz="8" w:space="0"/>
            </w:tcBorders>
            <w:vAlign w:val="center"/>
          </w:tcPr>
          <w:p w14:paraId="2CE63763">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66" w:type="dxa"/>
            <w:vMerge w:val="restart"/>
            <w:tcBorders>
              <w:top w:val="nil"/>
              <w:left w:val="single" w:color="auto" w:sz="8" w:space="0"/>
              <w:bottom w:val="single" w:color="000000" w:sz="8" w:space="0"/>
              <w:right w:val="single" w:color="auto" w:sz="8" w:space="0"/>
            </w:tcBorders>
            <w:vAlign w:val="center"/>
          </w:tcPr>
          <w:p w14:paraId="16E7A8A2">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5EF2F7D7">
        <w:tblPrEx>
          <w:tblCellMar>
            <w:top w:w="0" w:type="dxa"/>
            <w:left w:w="108" w:type="dxa"/>
            <w:bottom w:w="0" w:type="dxa"/>
            <w:right w:w="108" w:type="dxa"/>
          </w:tblCellMar>
        </w:tblPrEx>
        <w:trPr>
          <w:trHeight w:val="454" w:hRule="atLeast"/>
        </w:trPr>
        <w:tc>
          <w:tcPr>
            <w:tcW w:w="699" w:type="dxa"/>
            <w:vMerge w:val="continue"/>
            <w:tcBorders>
              <w:top w:val="nil"/>
              <w:left w:val="single" w:color="auto" w:sz="8" w:space="0"/>
              <w:bottom w:val="single" w:color="000000" w:sz="8" w:space="0"/>
              <w:right w:val="single" w:color="auto" w:sz="8" w:space="0"/>
            </w:tcBorders>
            <w:vAlign w:val="center"/>
          </w:tcPr>
          <w:p w14:paraId="528BBFC9"/>
        </w:tc>
        <w:tc>
          <w:tcPr>
            <w:tcW w:w="1341" w:type="dxa"/>
            <w:vMerge w:val="continue"/>
            <w:tcBorders>
              <w:top w:val="nil"/>
              <w:left w:val="single" w:color="auto" w:sz="8" w:space="0"/>
              <w:bottom w:val="single" w:color="000000" w:sz="8" w:space="0"/>
              <w:right w:val="single" w:color="auto" w:sz="8" w:space="0"/>
            </w:tcBorders>
            <w:vAlign w:val="center"/>
          </w:tcPr>
          <w:p w14:paraId="56496BBE">
            <w:pPr>
              <w:widowControl/>
              <w:jc w:val="left"/>
              <w:rPr>
                <w:rFonts w:hint="eastAsia" w:ascii="宋体" w:hAnsi="宋体" w:cs="宋体"/>
                <w:color w:val="000000"/>
                <w:kern w:val="0"/>
                <w:szCs w:val="21"/>
              </w:rPr>
            </w:pPr>
          </w:p>
        </w:tc>
        <w:tc>
          <w:tcPr>
            <w:tcW w:w="1250" w:type="dxa"/>
            <w:vMerge w:val="continue"/>
            <w:tcBorders>
              <w:top w:val="nil"/>
              <w:left w:val="single" w:color="auto" w:sz="8" w:space="0"/>
              <w:bottom w:val="single" w:color="000000" w:sz="8" w:space="0"/>
              <w:right w:val="single" w:color="auto" w:sz="8" w:space="0"/>
            </w:tcBorders>
            <w:vAlign w:val="center"/>
          </w:tcPr>
          <w:p w14:paraId="59B73D2D">
            <w:pPr>
              <w:widowControl/>
              <w:jc w:val="left"/>
              <w:rPr>
                <w:rFonts w:hint="eastAsia" w:ascii="宋体" w:hAnsi="宋体" w:cs="宋体"/>
                <w:color w:val="000000"/>
                <w:kern w:val="0"/>
                <w:szCs w:val="21"/>
              </w:rPr>
            </w:pPr>
          </w:p>
        </w:tc>
        <w:tc>
          <w:tcPr>
            <w:tcW w:w="4190" w:type="dxa"/>
            <w:vMerge w:val="continue"/>
            <w:tcBorders>
              <w:left w:val="nil"/>
              <w:bottom w:val="single" w:color="auto" w:sz="8" w:space="0"/>
              <w:right w:val="single" w:color="auto" w:sz="8" w:space="0"/>
            </w:tcBorders>
            <w:vAlign w:val="center"/>
          </w:tcPr>
          <w:p w14:paraId="65B2C96D">
            <w:pPr>
              <w:widowControl/>
              <w:jc w:val="left"/>
              <w:rPr>
                <w:rFonts w:hint="eastAsia" w:ascii="宋体" w:hAnsi="宋体" w:cs="宋体"/>
                <w:color w:val="000000"/>
                <w:kern w:val="0"/>
                <w:szCs w:val="21"/>
              </w:rPr>
            </w:pPr>
          </w:p>
        </w:tc>
        <w:tc>
          <w:tcPr>
            <w:tcW w:w="809" w:type="dxa"/>
            <w:vMerge w:val="continue"/>
            <w:tcBorders>
              <w:top w:val="nil"/>
              <w:left w:val="single" w:color="auto" w:sz="8" w:space="0"/>
              <w:bottom w:val="single" w:color="000000" w:sz="8" w:space="0"/>
              <w:right w:val="single" w:color="auto" w:sz="8" w:space="0"/>
            </w:tcBorders>
            <w:vAlign w:val="center"/>
          </w:tcPr>
          <w:p w14:paraId="16E651E3">
            <w:pPr>
              <w:widowControl/>
              <w:jc w:val="left"/>
              <w:rPr>
                <w:rFonts w:hint="eastAsia" w:ascii="宋体" w:hAnsi="宋体" w:cs="宋体"/>
                <w:color w:val="000000"/>
                <w:kern w:val="0"/>
                <w:szCs w:val="21"/>
              </w:rPr>
            </w:pPr>
          </w:p>
        </w:tc>
        <w:tc>
          <w:tcPr>
            <w:tcW w:w="766" w:type="dxa"/>
            <w:vMerge w:val="continue"/>
            <w:tcBorders>
              <w:top w:val="nil"/>
              <w:left w:val="single" w:color="auto" w:sz="8" w:space="0"/>
              <w:bottom w:val="single" w:color="000000" w:sz="8" w:space="0"/>
              <w:right w:val="single" w:color="auto" w:sz="8" w:space="0"/>
            </w:tcBorders>
            <w:vAlign w:val="center"/>
          </w:tcPr>
          <w:p w14:paraId="1CE02B89">
            <w:pPr>
              <w:widowControl/>
              <w:jc w:val="left"/>
              <w:rPr>
                <w:rFonts w:hint="eastAsia" w:ascii="宋体" w:hAnsi="宋体" w:cs="宋体"/>
                <w:color w:val="000000"/>
                <w:kern w:val="0"/>
                <w:szCs w:val="21"/>
              </w:rPr>
            </w:pPr>
          </w:p>
        </w:tc>
      </w:tr>
      <w:tr w14:paraId="1CE55634">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2A1AE17A">
            <w:r>
              <w:rPr>
                <w:rFonts w:hint="eastAsia"/>
              </w:rPr>
              <w:t>15</w:t>
            </w:r>
          </w:p>
        </w:tc>
        <w:tc>
          <w:tcPr>
            <w:tcW w:w="1341" w:type="dxa"/>
            <w:vMerge w:val="continue"/>
            <w:tcBorders>
              <w:top w:val="nil"/>
              <w:left w:val="single" w:color="auto" w:sz="8" w:space="0"/>
              <w:bottom w:val="single" w:color="000000" w:sz="8" w:space="0"/>
              <w:right w:val="single" w:color="auto" w:sz="8" w:space="0"/>
            </w:tcBorders>
            <w:vAlign w:val="center"/>
          </w:tcPr>
          <w:p w14:paraId="6448CE26">
            <w:pPr>
              <w:widowControl/>
              <w:jc w:val="left"/>
              <w:rPr>
                <w:rFonts w:hint="eastAsia" w:ascii="宋体" w:hAnsi="宋体" w:cs="宋体"/>
                <w:color w:val="000000"/>
                <w:kern w:val="0"/>
                <w:szCs w:val="21"/>
              </w:rPr>
            </w:pPr>
          </w:p>
        </w:tc>
        <w:tc>
          <w:tcPr>
            <w:tcW w:w="1250" w:type="dxa"/>
            <w:tcBorders>
              <w:top w:val="nil"/>
              <w:left w:val="nil"/>
              <w:bottom w:val="single" w:color="auto" w:sz="8" w:space="0"/>
              <w:right w:val="single" w:color="auto" w:sz="8" w:space="0"/>
            </w:tcBorders>
            <w:vAlign w:val="center"/>
          </w:tcPr>
          <w:p w14:paraId="581976EC">
            <w:pPr>
              <w:widowControl/>
              <w:jc w:val="center"/>
              <w:rPr>
                <w:rFonts w:hint="eastAsia" w:ascii="宋体" w:hAnsi="宋体" w:cs="宋体"/>
                <w:color w:val="000000"/>
                <w:kern w:val="0"/>
                <w:szCs w:val="21"/>
              </w:rPr>
            </w:pPr>
            <w:r>
              <w:rPr>
                <w:rFonts w:hint="eastAsia" w:ascii="宋体" w:hAnsi="宋体" w:cs="宋体"/>
                <w:color w:val="000000"/>
                <w:kern w:val="0"/>
                <w:szCs w:val="21"/>
              </w:rPr>
              <w:t>安全加固</w:t>
            </w:r>
          </w:p>
        </w:tc>
        <w:tc>
          <w:tcPr>
            <w:tcW w:w="4190" w:type="dxa"/>
            <w:tcBorders>
              <w:top w:val="nil"/>
              <w:left w:val="nil"/>
              <w:bottom w:val="single" w:color="auto" w:sz="8" w:space="0"/>
              <w:right w:val="single" w:color="auto" w:sz="8" w:space="0"/>
            </w:tcBorders>
            <w:vAlign w:val="center"/>
          </w:tcPr>
          <w:p w14:paraId="63F423E2">
            <w:pPr>
              <w:widowControl/>
              <w:jc w:val="left"/>
              <w:rPr>
                <w:rFonts w:hint="eastAsia" w:ascii="宋体" w:hAnsi="宋体" w:cs="宋体"/>
                <w:color w:val="000000"/>
                <w:kern w:val="0"/>
                <w:szCs w:val="21"/>
              </w:rPr>
            </w:pPr>
            <w:r>
              <w:rPr>
                <w:rFonts w:hint="eastAsia" w:ascii="宋体" w:hAnsi="宋体" w:cs="宋体"/>
                <w:color w:val="000000"/>
                <w:kern w:val="0"/>
                <w:szCs w:val="21"/>
              </w:rPr>
              <w:t>参考国内国际权威的系统安全配置标准，并结合客户的实际业务需要，对重点运维器的操作系统和应用运维进行适度安全配置加固和系统安全优化。并包括基线安全检查后的安全配置修改。对网站/应用安全检查后的配置修改。对策略的实际情况进行配置修改。对安全风险进行整改。</w:t>
            </w:r>
          </w:p>
        </w:tc>
        <w:tc>
          <w:tcPr>
            <w:tcW w:w="809" w:type="dxa"/>
            <w:tcBorders>
              <w:top w:val="nil"/>
              <w:left w:val="nil"/>
              <w:bottom w:val="single" w:color="auto" w:sz="8" w:space="0"/>
              <w:right w:val="single" w:color="auto" w:sz="8" w:space="0"/>
            </w:tcBorders>
            <w:vAlign w:val="center"/>
          </w:tcPr>
          <w:p w14:paraId="28118160">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66" w:type="dxa"/>
            <w:tcBorders>
              <w:top w:val="nil"/>
              <w:left w:val="nil"/>
              <w:bottom w:val="single" w:color="auto" w:sz="8" w:space="0"/>
              <w:right w:val="single" w:color="auto" w:sz="8" w:space="0"/>
            </w:tcBorders>
            <w:vAlign w:val="center"/>
          </w:tcPr>
          <w:p w14:paraId="429D0569">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1E187F32">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2528C031">
            <w:r>
              <w:rPr>
                <w:rFonts w:hint="eastAsia"/>
              </w:rPr>
              <w:t>16</w:t>
            </w:r>
          </w:p>
        </w:tc>
        <w:tc>
          <w:tcPr>
            <w:tcW w:w="1341" w:type="dxa"/>
            <w:vMerge w:val="continue"/>
            <w:tcBorders>
              <w:top w:val="nil"/>
              <w:left w:val="single" w:color="auto" w:sz="8" w:space="0"/>
              <w:bottom w:val="single" w:color="000000" w:sz="8" w:space="0"/>
              <w:right w:val="single" w:color="auto" w:sz="8" w:space="0"/>
            </w:tcBorders>
            <w:vAlign w:val="center"/>
          </w:tcPr>
          <w:p w14:paraId="2761CD3A">
            <w:pPr>
              <w:widowControl/>
              <w:jc w:val="left"/>
              <w:rPr>
                <w:rFonts w:hint="eastAsia" w:ascii="宋体" w:hAnsi="宋体" w:cs="宋体"/>
                <w:color w:val="000000"/>
                <w:kern w:val="0"/>
                <w:szCs w:val="21"/>
              </w:rPr>
            </w:pPr>
          </w:p>
        </w:tc>
        <w:tc>
          <w:tcPr>
            <w:tcW w:w="1250" w:type="dxa"/>
            <w:tcBorders>
              <w:top w:val="nil"/>
              <w:left w:val="nil"/>
              <w:bottom w:val="single" w:color="auto" w:sz="8" w:space="0"/>
              <w:right w:val="single" w:color="auto" w:sz="8" w:space="0"/>
            </w:tcBorders>
            <w:vAlign w:val="center"/>
          </w:tcPr>
          <w:p w14:paraId="6E0AF11A">
            <w:pPr>
              <w:widowControl/>
              <w:jc w:val="center"/>
              <w:rPr>
                <w:rFonts w:hint="eastAsia" w:ascii="宋体" w:hAnsi="宋体" w:cs="宋体"/>
                <w:color w:val="000000"/>
                <w:kern w:val="0"/>
                <w:szCs w:val="21"/>
              </w:rPr>
            </w:pPr>
            <w:r>
              <w:rPr>
                <w:rFonts w:hint="eastAsia" w:ascii="宋体" w:hAnsi="宋体" w:cs="宋体"/>
                <w:color w:val="000000"/>
                <w:kern w:val="0"/>
                <w:szCs w:val="21"/>
              </w:rPr>
              <w:t>安全培训</w:t>
            </w:r>
          </w:p>
        </w:tc>
        <w:tc>
          <w:tcPr>
            <w:tcW w:w="4190" w:type="dxa"/>
            <w:tcBorders>
              <w:top w:val="nil"/>
              <w:left w:val="nil"/>
              <w:bottom w:val="single" w:color="auto" w:sz="8" w:space="0"/>
              <w:right w:val="single" w:color="auto" w:sz="8" w:space="0"/>
            </w:tcBorders>
            <w:vAlign w:val="center"/>
          </w:tcPr>
          <w:p w14:paraId="34D053C7">
            <w:pPr>
              <w:widowControl/>
              <w:jc w:val="left"/>
              <w:rPr>
                <w:rFonts w:hint="eastAsia" w:ascii="宋体" w:hAnsi="宋体" w:cs="宋体"/>
                <w:color w:val="000000"/>
                <w:kern w:val="0"/>
                <w:szCs w:val="21"/>
              </w:rPr>
            </w:pPr>
            <w:r>
              <w:rPr>
                <w:rFonts w:hint="eastAsia" w:ascii="宋体" w:hAnsi="宋体" w:cs="宋体"/>
                <w:color w:val="000000"/>
                <w:kern w:val="0"/>
                <w:szCs w:val="21"/>
              </w:rPr>
              <w:t>对用户进行安全意识培训，及国家制定的新的政策解读并提供建议方案。举办安全讲座，邮件，文本资料等方式，让员工深入了解网络安全的重要性，并学习实用的安全技能。并不定期邀请技术人员列席专业性的会议，切身感受新技术新产品的安全发展趋势。</w:t>
            </w:r>
          </w:p>
        </w:tc>
        <w:tc>
          <w:tcPr>
            <w:tcW w:w="809" w:type="dxa"/>
            <w:tcBorders>
              <w:top w:val="nil"/>
              <w:left w:val="nil"/>
              <w:bottom w:val="single" w:color="auto" w:sz="8" w:space="0"/>
              <w:right w:val="single" w:color="auto" w:sz="8" w:space="0"/>
            </w:tcBorders>
            <w:vAlign w:val="center"/>
          </w:tcPr>
          <w:p w14:paraId="372AD156">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66" w:type="dxa"/>
            <w:tcBorders>
              <w:top w:val="nil"/>
              <w:left w:val="nil"/>
              <w:bottom w:val="single" w:color="auto" w:sz="8" w:space="0"/>
              <w:right w:val="single" w:color="auto" w:sz="8" w:space="0"/>
            </w:tcBorders>
            <w:vAlign w:val="center"/>
          </w:tcPr>
          <w:p w14:paraId="00AD9422">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57B5B71B">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2CD46667">
            <w:r>
              <w:rPr>
                <w:rFonts w:hint="eastAsia"/>
              </w:rPr>
              <w:t>17</w:t>
            </w:r>
          </w:p>
        </w:tc>
        <w:tc>
          <w:tcPr>
            <w:tcW w:w="1341" w:type="dxa"/>
            <w:vMerge w:val="continue"/>
            <w:tcBorders>
              <w:top w:val="nil"/>
              <w:left w:val="single" w:color="auto" w:sz="8" w:space="0"/>
              <w:bottom w:val="single" w:color="000000" w:sz="8" w:space="0"/>
              <w:right w:val="single" w:color="auto" w:sz="8" w:space="0"/>
            </w:tcBorders>
            <w:vAlign w:val="center"/>
          </w:tcPr>
          <w:p w14:paraId="6B693619">
            <w:pPr>
              <w:widowControl/>
              <w:jc w:val="left"/>
              <w:rPr>
                <w:rFonts w:hint="eastAsia" w:ascii="宋体" w:hAnsi="宋体" w:cs="宋体"/>
                <w:color w:val="000000"/>
                <w:kern w:val="0"/>
                <w:szCs w:val="21"/>
              </w:rPr>
            </w:pPr>
          </w:p>
        </w:tc>
        <w:tc>
          <w:tcPr>
            <w:tcW w:w="1250" w:type="dxa"/>
            <w:tcBorders>
              <w:top w:val="nil"/>
              <w:left w:val="nil"/>
              <w:bottom w:val="single" w:color="auto" w:sz="8" w:space="0"/>
              <w:right w:val="single" w:color="auto" w:sz="8" w:space="0"/>
            </w:tcBorders>
            <w:vAlign w:val="center"/>
          </w:tcPr>
          <w:p w14:paraId="3E4D59E0">
            <w:pPr>
              <w:widowControl/>
              <w:jc w:val="center"/>
              <w:rPr>
                <w:rFonts w:hint="eastAsia" w:ascii="宋体" w:hAnsi="宋体" w:cs="宋体"/>
                <w:color w:val="000000"/>
                <w:kern w:val="0"/>
                <w:szCs w:val="21"/>
              </w:rPr>
            </w:pPr>
            <w:r>
              <w:rPr>
                <w:rFonts w:hint="eastAsia" w:ascii="宋体" w:hAnsi="宋体" w:cs="宋体"/>
                <w:color w:val="000000"/>
                <w:kern w:val="0"/>
                <w:szCs w:val="21"/>
              </w:rPr>
              <w:t>风险评估</w:t>
            </w:r>
          </w:p>
        </w:tc>
        <w:tc>
          <w:tcPr>
            <w:tcW w:w="4190" w:type="dxa"/>
            <w:tcBorders>
              <w:top w:val="nil"/>
              <w:left w:val="nil"/>
              <w:bottom w:val="single" w:color="auto" w:sz="8" w:space="0"/>
              <w:right w:val="single" w:color="auto" w:sz="8" w:space="0"/>
            </w:tcBorders>
            <w:vAlign w:val="center"/>
          </w:tcPr>
          <w:p w14:paraId="387DC11D">
            <w:pPr>
              <w:widowControl/>
              <w:jc w:val="left"/>
              <w:rPr>
                <w:rFonts w:hint="eastAsia" w:ascii="宋体" w:hAnsi="宋体" w:cs="宋体"/>
                <w:color w:val="000000"/>
                <w:kern w:val="0"/>
                <w:szCs w:val="21"/>
              </w:rPr>
            </w:pPr>
            <w:r>
              <w:rPr>
                <w:rFonts w:hint="eastAsia" w:ascii="宋体" w:hAnsi="宋体" w:cs="宋体"/>
                <w:color w:val="000000"/>
                <w:kern w:val="0"/>
                <w:szCs w:val="21"/>
              </w:rPr>
              <w:t>对重要信息系统开展风险评估工作，包括资产、威胁、脆弱性识别、风险分析、风险处置等。平衡安全风险与成本代价，提供有效的安全加固和改进建议，为以后的安全规划建设提供依据和参考，建立信息安全风险管理机制。</w:t>
            </w:r>
          </w:p>
        </w:tc>
        <w:tc>
          <w:tcPr>
            <w:tcW w:w="809" w:type="dxa"/>
            <w:tcBorders>
              <w:top w:val="nil"/>
              <w:left w:val="nil"/>
              <w:bottom w:val="single" w:color="auto" w:sz="8" w:space="0"/>
              <w:right w:val="single" w:color="auto" w:sz="8" w:space="0"/>
            </w:tcBorders>
            <w:vAlign w:val="center"/>
          </w:tcPr>
          <w:p w14:paraId="4B664E1A">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66" w:type="dxa"/>
            <w:tcBorders>
              <w:top w:val="nil"/>
              <w:left w:val="nil"/>
              <w:bottom w:val="single" w:color="auto" w:sz="8" w:space="0"/>
              <w:right w:val="single" w:color="auto" w:sz="8" w:space="0"/>
            </w:tcBorders>
            <w:vAlign w:val="center"/>
          </w:tcPr>
          <w:p w14:paraId="2ECF09BF">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3AFD3135">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713E7507">
            <w:r>
              <w:rPr>
                <w:rFonts w:hint="eastAsia"/>
              </w:rPr>
              <w:t>18</w:t>
            </w:r>
          </w:p>
        </w:tc>
        <w:tc>
          <w:tcPr>
            <w:tcW w:w="1341" w:type="dxa"/>
            <w:vMerge w:val="continue"/>
            <w:tcBorders>
              <w:top w:val="nil"/>
              <w:left w:val="single" w:color="auto" w:sz="8" w:space="0"/>
              <w:bottom w:val="single" w:color="000000" w:sz="8" w:space="0"/>
              <w:right w:val="single" w:color="auto" w:sz="8" w:space="0"/>
            </w:tcBorders>
            <w:vAlign w:val="center"/>
          </w:tcPr>
          <w:p w14:paraId="041C6ECE">
            <w:pPr>
              <w:widowControl/>
              <w:jc w:val="left"/>
              <w:rPr>
                <w:rFonts w:hint="eastAsia" w:ascii="宋体" w:hAnsi="宋体" w:cs="宋体"/>
                <w:color w:val="000000"/>
                <w:kern w:val="0"/>
                <w:szCs w:val="21"/>
              </w:rPr>
            </w:pPr>
          </w:p>
        </w:tc>
        <w:tc>
          <w:tcPr>
            <w:tcW w:w="1250" w:type="dxa"/>
            <w:tcBorders>
              <w:top w:val="nil"/>
              <w:left w:val="nil"/>
              <w:bottom w:val="single" w:color="auto" w:sz="8" w:space="0"/>
              <w:right w:val="single" w:color="auto" w:sz="8" w:space="0"/>
            </w:tcBorders>
            <w:vAlign w:val="center"/>
          </w:tcPr>
          <w:p w14:paraId="51D37F9F">
            <w:pPr>
              <w:widowControl/>
              <w:jc w:val="center"/>
              <w:rPr>
                <w:rFonts w:hint="eastAsia" w:ascii="宋体" w:hAnsi="宋体" w:cs="宋体"/>
                <w:color w:val="000000"/>
                <w:kern w:val="0"/>
                <w:szCs w:val="21"/>
              </w:rPr>
            </w:pPr>
            <w:r>
              <w:rPr>
                <w:rFonts w:hint="eastAsia" w:ascii="宋体" w:hAnsi="宋体" w:cs="宋体"/>
                <w:color w:val="000000"/>
                <w:kern w:val="0"/>
                <w:szCs w:val="21"/>
              </w:rPr>
              <w:t>网站安全监测</w:t>
            </w:r>
          </w:p>
        </w:tc>
        <w:tc>
          <w:tcPr>
            <w:tcW w:w="4190" w:type="dxa"/>
            <w:tcBorders>
              <w:top w:val="nil"/>
              <w:left w:val="nil"/>
              <w:bottom w:val="single" w:color="auto" w:sz="8" w:space="0"/>
              <w:right w:val="single" w:color="auto" w:sz="8" w:space="0"/>
            </w:tcBorders>
            <w:vAlign w:val="center"/>
          </w:tcPr>
          <w:p w14:paraId="39D3C5BD">
            <w:pPr>
              <w:widowControl/>
              <w:jc w:val="left"/>
              <w:rPr>
                <w:rFonts w:hint="eastAsia" w:ascii="宋体" w:hAnsi="宋体" w:cs="宋体"/>
                <w:color w:val="000000"/>
                <w:kern w:val="0"/>
                <w:szCs w:val="21"/>
              </w:rPr>
            </w:pPr>
            <w:r>
              <w:rPr>
                <w:rFonts w:hint="eastAsia" w:ascii="宋体" w:hAnsi="宋体" w:cs="宋体"/>
                <w:color w:val="000000"/>
                <w:kern w:val="0"/>
                <w:szCs w:val="21"/>
              </w:rPr>
              <w:t>设置监测工具，实时监控网站流量和活动。识别异常流量和潜在攻击行为，如SQL注入、跨站脚本等。 一旦发现异常，立即生成警报并采取相应措施。</w:t>
            </w:r>
          </w:p>
        </w:tc>
        <w:tc>
          <w:tcPr>
            <w:tcW w:w="809" w:type="dxa"/>
            <w:tcBorders>
              <w:top w:val="nil"/>
              <w:left w:val="nil"/>
              <w:bottom w:val="single" w:color="auto" w:sz="8" w:space="0"/>
              <w:right w:val="single" w:color="auto" w:sz="8" w:space="0"/>
            </w:tcBorders>
            <w:vAlign w:val="center"/>
          </w:tcPr>
          <w:p w14:paraId="0C55A85F">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766" w:type="dxa"/>
            <w:tcBorders>
              <w:top w:val="nil"/>
              <w:left w:val="nil"/>
              <w:bottom w:val="single" w:color="auto" w:sz="8" w:space="0"/>
              <w:right w:val="single" w:color="auto" w:sz="8" w:space="0"/>
            </w:tcBorders>
            <w:vAlign w:val="center"/>
          </w:tcPr>
          <w:p w14:paraId="4D290DA4">
            <w:pPr>
              <w:widowControl/>
              <w:jc w:val="center"/>
              <w:rPr>
                <w:rFonts w:hint="eastAsia" w:ascii="宋体" w:hAnsi="宋体" w:cs="宋体"/>
                <w:color w:val="000000"/>
                <w:kern w:val="0"/>
                <w:szCs w:val="21"/>
              </w:rPr>
            </w:pPr>
            <w:r>
              <w:rPr>
                <w:rFonts w:hint="eastAsia" w:ascii="宋体" w:hAnsi="宋体" w:cs="宋体"/>
                <w:color w:val="000000"/>
                <w:kern w:val="0"/>
                <w:szCs w:val="21"/>
              </w:rPr>
              <w:t>年</w:t>
            </w:r>
          </w:p>
        </w:tc>
      </w:tr>
      <w:tr w14:paraId="60E09E1C">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1E5595EC">
            <w:r>
              <w:rPr>
                <w:rFonts w:hint="eastAsia"/>
              </w:rPr>
              <w:t>19</w:t>
            </w:r>
          </w:p>
        </w:tc>
        <w:tc>
          <w:tcPr>
            <w:tcW w:w="1341" w:type="dxa"/>
            <w:vMerge w:val="continue"/>
            <w:tcBorders>
              <w:top w:val="nil"/>
              <w:left w:val="single" w:color="auto" w:sz="8" w:space="0"/>
              <w:bottom w:val="single" w:color="000000" w:sz="8" w:space="0"/>
              <w:right w:val="single" w:color="auto" w:sz="8" w:space="0"/>
            </w:tcBorders>
            <w:vAlign w:val="center"/>
          </w:tcPr>
          <w:p w14:paraId="54654624">
            <w:pPr>
              <w:widowControl/>
              <w:jc w:val="left"/>
              <w:rPr>
                <w:rFonts w:hint="eastAsia" w:ascii="宋体" w:hAnsi="宋体" w:cs="宋体"/>
                <w:color w:val="000000"/>
                <w:kern w:val="0"/>
                <w:szCs w:val="21"/>
              </w:rPr>
            </w:pPr>
          </w:p>
        </w:tc>
        <w:tc>
          <w:tcPr>
            <w:tcW w:w="1250" w:type="dxa"/>
            <w:tcBorders>
              <w:top w:val="nil"/>
              <w:left w:val="nil"/>
              <w:bottom w:val="single" w:color="auto" w:sz="8" w:space="0"/>
              <w:right w:val="single" w:color="auto" w:sz="8" w:space="0"/>
            </w:tcBorders>
            <w:vAlign w:val="center"/>
          </w:tcPr>
          <w:p w14:paraId="4C40B0E3">
            <w:pPr>
              <w:widowControl/>
              <w:jc w:val="center"/>
              <w:rPr>
                <w:rFonts w:hint="eastAsia" w:ascii="宋体" w:hAnsi="宋体" w:cs="宋体"/>
                <w:color w:val="000000"/>
                <w:kern w:val="0"/>
                <w:szCs w:val="21"/>
              </w:rPr>
            </w:pPr>
            <w:r>
              <w:rPr>
                <w:rFonts w:hint="eastAsia" w:ascii="宋体" w:hAnsi="宋体" w:cs="宋体"/>
                <w:color w:val="000000"/>
                <w:kern w:val="0"/>
                <w:szCs w:val="21"/>
              </w:rPr>
              <w:t>基线检查</w:t>
            </w:r>
          </w:p>
        </w:tc>
        <w:tc>
          <w:tcPr>
            <w:tcW w:w="4190" w:type="dxa"/>
            <w:tcBorders>
              <w:top w:val="nil"/>
              <w:left w:val="nil"/>
              <w:bottom w:val="single" w:color="auto" w:sz="8" w:space="0"/>
              <w:right w:val="single" w:color="auto" w:sz="8" w:space="0"/>
            </w:tcBorders>
            <w:vAlign w:val="center"/>
          </w:tcPr>
          <w:p w14:paraId="68CEDE30">
            <w:pPr>
              <w:widowControl/>
              <w:jc w:val="left"/>
              <w:rPr>
                <w:rFonts w:hint="eastAsia" w:ascii="宋体" w:hAnsi="宋体" w:cs="宋体"/>
                <w:color w:val="000000"/>
                <w:kern w:val="0"/>
                <w:szCs w:val="21"/>
              </w:rPr>
            </w:pPr>
            <w:r>
              <w:rPr>
                <w:rFonts w:hint="eastAsia" w:ascii="宋体" w:hAnsi="宋体" w:cs="宋体"/>
                <w:color w:val="000000"/>
                <w:kern w:val="0"/>
                <w:szCs w:val="21"/>
              </w:rPr>
              <w:t>结合国家和行业要求，通过工具+人工的方式对客户信息系统的资产进行安全基线核查与分析，并提供相应的安全整改建议。</w:t>
            </w:r>
          </w:p>
        </w:tc>
        <w:tc>
          <w:tcPr>
            <w:tcW w:w="809" w:type="dxa"/>
            <w:tcBorders>
              <w:top w:val="nil"/>
              <w:left w:val="nil"/>
              <w:bottom w:val="single" w:color="auto" w:sz="8" w:space="0"/>
              <w:right w:val="single" w:color="auto" w:sz="8" w:space="0"/>
            </w:tcBorders>
            <w:vAlign w:val="center"/>
          </w:tcPr>
          <w:p w14:paraId="632EBC97">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766" w:type="dxa"/>
            <w:tcBorders>
              <w:top w:val="nil"/>
              <w:left w:val="nil"/>
              <w:bottom w:val="single" w:color="auto" w:sz="8" w:space="0"/>
              <w:right w:val="single" w:color="auto" w:sz="8" w:space="0"/>
            </w:tcBorders>
            <w:vAlign w:val="center"/>
          </w:tcPr>
          <w:p w14:paraId="1305CEF1">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5E1FA821">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241E789B">
            <w:r>
              <w:rPr>
                <w:rFonts w:hint="eastAsia"/>
              </w:rPr>
              <w:t>20</w:t>
            </w:r>
          </w:p>
        </w:tc>
        <w:tc>
          <w:tcPr>
            <w:tcW w:w="1341" w:type="dxa"/>
            <w:vMerge w:val="continue"/>
            <w:tcBorders>
              <w:top w:val="nil"/>
              <w:left w:val="single" w:color="auto" w:sz="8" w:space="0"/>
              <w:bottom w:val="single" w:color="000000" w:sz="8" w:space="0"/>
              <w:right w:val="single" w:color="auto" w:sz="8" w:space="0"/>
            </w:tcBorders>
            <w:vAlign w:val="center"/>
          </w:tcPr>
          <w:p w14:paraId="4005A362">
            <w:pPr>
              <w:widowControl/>
              <w:jc w:val="left"/>
              <w:rPr>
                <w:rFonts w:hint="eastAsia" w:ascii="宋体" w:hAnsi="宋体" w:cs="宋体"/>
                <w:color w:val="000000"/>
                <w:kern w:val="0"/>
                <w:szCs w:val="21"/>
              </w:rPr>
            </w:pPr>
          </w:p>
        </w:tc>
        <w:tc>
          <w:tcPr>
            <w:tcW w:w="1250" w:type="dxa"/>
            <w:tcBorders>
              <w:top w:val="nil"/>
              <w:left w:val="nil"/>
              <w:bottom w:val="single" w:color="auto" w:sz="8" w:space="0"/>
              <w:right w:val="single" w:color="auto" w:sz="8" w:space="0"/>
            </w:tcBorders>
            <w:vAlign w:val="center"/>
          </w:tcPr>
          <w:p w14:paraId="3359AE9C">
            <w:pPr>
              <w:widowControl/>
              <w:jc w:val="center"/>
              <w:rPr>
                <w:rFonts w:hint="eastAsia" w:ascii="宋体" w:hAnsi="宋体" w:cs="宋体"/>
                <w:color w:val="000000"/>
                <w:kern w:val="0"/>
                <w:szCs w:val="21"/>
              </w:rPr>
            </w:pPr>
            <w:r>
              <w:rPr>
                <w:rFonts w:hint="eastAsia" w:ascii="宋体" w:hAnsi="宋体" w:cs="宋体"/>
                <w:color w:val="000000"/>
                <w:kern w:val="0"/>
                <w:szCs w:val="21"/>
              </w:rPr>
              <w:t>弱口令检测</w:t>
            </w:r>
          </w:p>
        </w:tc>
        <w:tc>
          <w:tcPr>
            <w:tcW w:w="4190" w:type="dxa"/>
            <w:tcBorders>
              <w:top w:val="nil"/>
              <w:left w:val="nil"/>
              <w:bottom w:val="single" w:color="auto" w:sz="8" w:space="0"/>
              <w:right w:val="single" w:color="auto" w:sz="8" w:space="0"/>
            </w:tcBorders>
            <w:vAlign w:val="center"/>
          </w:tcPr>
          <w:p w14:paraId="128C5F81">
            <w:pPr>
              <w:widowControl/>
              <w:jc w:val="left"/>
              <w:rPr>
                <w:rFonts w:hint="eastAsia" w:ascii="宋体" w:hAnsi="宋体" w:cs="宋体"/>
                <w:color w:val="000000"/>
                <w:kern w:val="0"/>
                <w:szCs w:val="21"/>
              </w:rPr>
            </w:pPr>
            <w:r>
              <w:rPr>
                <w:rFonts w:hint="eastAsia" w:ascii="宋体" w:hAnsi="宋体" w:cs="宋体"/>
                <w:color w:val="000000"/>
                <w:kern w:val="0"/>
                <w:szCs w:val="21"/>
              </w:rPr>
              <w:t>针对内外网系统进行弱口令检测工作。每3月更换一次。</w:t>
            </w:r>
          </w:p>
        </w:tc>
        <w:tc>
          <w:tcPr>
            <w:tcW w:w="809" w:type="dxa"/>
            <w:tcBorders>
              <w:top w:val="nil"/>
              <w:left w:val="nil"/>
              <w:bottom w:val="single" w:color="auto" w:sz="8" w:space="0"/>
              <w:right w:val="single" w:color="auto" w:sz="8" w:space="0"/>
            </w:tcBorders>
            <w:vAlign w:val="center"/>
          </w:tcPr>
          <w:p w14:paraId="2E38A09F">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766" w:type="dxa"/>
            <w:tcBorders>
              <w:top w:val="nil"/>
              <w:left w:val="nil"/>
              <w:bottom w:val="single" w:color="auto" w:sz="8" w:space="0"/>
              <w:right w:val="single" w:color="auto" w:sz="8" w:space="0"/>
            </w:tcBorders>
            <w:vAlign w:val="center"/>
          </w:tcPr>
          <w:p w14:paraId="4D76B58C">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7DEAB48A">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7F81E5E2">
            <w:r>
              <w:rPr>
                <w:rFonts w:hint="eastAsia"/>
              </w:rPr>
              <w:t>21</w:t>
            </w:r>
          </w:p>
        </w:tc>
        <w:tc>
          <w:tcPr>
            <w:tcW w:w="1341" w:type="dxa"/>
            <w:vMerge w:val="continue"/>
            <w:tcBorders>
              <w:top w:val="nil"/>
              <w:left w:val="single" w:color="auto" w:sz="8" w:space="0"/>
              <w:bottom w:val="single" w:color="000000" w:sz="8" w:space="0"/>
              <w:right w:val="single" w:color="auto" w:sz="8" w:space="0"/>
            </w:tcBorders>
            <w:vAlign w:val="center"/>
          </w:tcPr>
          <w:p w14:paraId="355CFE85">
            <w:pPr>
              <w:widowControl/>
              <w:jc w:val="left"/>
              <w:rPr>
                <w:rFonts w:hint="eastAsia" w:ascii="宋体" w:hAnsi="宋体" w:cs="宋体"/>
                <w:color w:val="000000"/>
                <w:kern w:val="0"/>
                <w:szCs w:val="21"/>
              </w:rPr>
            </w:pPr>
          </w:p>
        </w:tc>
        <w:tc>
          <w:tcPr>
            <w:tcW w:w="1250" w:type="dxa"/>
            <w:tcBorders>
              <w:top w:val="nil"/>
              <w:left w:val="nil"/>
              <w:bottom w:val="single" w:color="auto" w:sz="8" w:space="0"/>
              <w:right w:val="single" w:color="auto" w:sz="8" w:space="0"/>
            </w:tcBorders>
            <w:vAlign w:val="center"/>
          </w:tcPr>
          <w:p w14:paraId="4B9D120D">
            <w:pPr>
              <w:widowControl/>
              <w:jc w:val="center"/>
              <w:rPr>
                <w:rFonts w:hint="eastAsia" w:ascii="宋体" w:hAnsi="宋体" w:cs="宋体"/>
                <w:color w:val="000000"/>
                <w:kern w:val="0"/>
                <w:szCs w:val="21"/>
              </w:rPr>
            </w:pPr>
            <w:r>
              <w:rPr>
                <w:rFonts w:hint="eastAsia" w:ascii="宋体" w:hAnsi="宋体" w:cs="宋体"/>
                <w:color w:val="000000"/>
                <w:kern w:val="0"/>
                <w:szCs w:val="21"/>
              </w:rPr>
              <w:t>代码审计</w:t>
            </w:r>
          </w:p>
        </w:tc>
        <w:tc>
          <w:tcPr>
            <w:tcW w:w="4190" w:type="dxa"/>
            <w:tcBorders>
              <w:top w:val="nil"/>
              <w:left w:val="nil"/>
              <w:bottom w:val="single" w:color="auto" w:sz="8" w:space="0"/>
              <w:right w:val="single" w:color="auto" w:sz="8" w:space="0"/>
            </w:tcBorders>
            <w:vAlign w:val="center"/>
          </w:tcPr>
          <w:p w14:paraId="63CA5F7A">
            <w:pPr>
              <w:widowControl/>
              <w:jc w:val="left"/>
              <w:rPr>
                <w:rFonts w:hint="eastAsia" w:ascii="宋体" w:hAnsi="宋体" w:cs="宋体"/>
                <w:color w:val="000000"/>
                <w:kern w:val="0"/>
                <w:szCs w:val="21"/>
              </w:rPr>
            </w:pPr>
            <w:r>
              <w:rPr>
                <w:rFonts w:hint="eastAsia" w:ascii="宋体" w:hAnsi="宋体" w:cs="宋体"/>
                <w:color w:val="000000"/>
                <w:kern w:val="0"/>
                <w:szCs w:val="21"/>
              </w:rPr>
              <w:t>针对系统各各阶段源代码提供安全审计检测运维。利用数据流分析引擎、语义分析引擎、控制流分析引擎等技术，采用专业的源代码安全审计工具对源代码安全问题进行分析和检测并验证，从而对源代码安全漏洞进行定级，给出安全漏洞分析报告。采取自动化工具识别与人工审计相结合的方式，发现软件源代码的潜在风险。</w:t>
            </w:r>
          </w:p>
        </w:tc>
        <w:tc>
          <w:tcPr>
            <w:tcW w:w="809" w:type="dxa"/>
            <w:tcBorders>
              <w:top w:val="nil"/>
              <w:left w:val="nil"/>
              <w:bottom w:val="single" w:color="auto" w:sz="8" w:space="0"/>
              <w:right w:val="single" w:color="auto" w:sz="8" w:space="0"/>
            </w:tcBorders>
            <w:vAlign w:val="center"/>
          </w:tcPr>
          <w:p w14:paraId="65BDB498">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766" w:type="dxa"/>
            <w:tcBorders>
              <w:top w:val="nil"/>
              <w:left w:val="nil"/>
              <w:bottom w:val="single" w:color="auto" w:sz="8" w:space="0"/>
              <w:right w:val="single" w:color="auto" w:sz="8" w:space="0"/>
            </w:tcBorders>
            <w:vAlign w:val="center"/>
          </w:tcPr>
          <w:p w14:paraId="39C60CED">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79F66171">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301D072C">
            <w:r>
              <w:rPr>
                <w:rFonts w:hint="eastAsia"/>
              </w:rPr>
              <w:t>22</w:t>
            </w:r>
          </w:p>
        </w:tc>
        <w:tc>
          <w:tcPr>
            <w:tcW w:w="1341" w:type="dxa"/>
            <w:vMerge w:val="continue"/>
            <w:tcBorders>
              <w:top w:val="nil"/>
              <w:left w:val="single" w:color="auto" w:sz="8" w:space="0"/>
              <w:bottom w:val="single" w:color="000000" w:sz="8" w:space="0"/>
              <w:right w:val="single" w:color="auto" w:sz="8" w:space="0"/>
            </w:tcBorders>
            <w:vAlign w:val="center"/>
          </w:tcPr>
          <w:p w14:paraId="64A8F255">
            <w:pPr>
              <w:widowControl/>
              <w:jc w:val="left"/>
              <w:rPr>
                <w:rFonts w:hint="eastAsia" w:ascii="宋体" w:hAnsi="宋体" w:cs="宋体"/>
                <w:color w:val="000000"/>
                <w:kern w:val="0"/>
                <w:szCs w:val="21"/>
              </w:rPr>
            </w:pPr>
          </w:p>
        </w:tc>
        <w:tc>
          <w:tcPr>
            <w:tcW w:w="1250" w:type="dxa"/>
            <w:tcBorders>
              <w:top w:val="nil"/>
              <w:left w:val="nil"/>
              <w:bottom w:val="single" w:color="auto" w:sz="8" w:space="0"/>
              <w:right w:val="single" w:color="auto" w:sz="8" w:space="0"/>
            </w:tcBorders>
            <w:vAlign w:val="center"/>
          </w:tcPr>
          <w:p w14:paraId="40658E6E">
            <w:pPr>
              <w:widowControl/>
              <w:jc w:val="center"/>
              <w:rPr>
                <w:rFonts w:hint="eastAsia" w:ascii="宋体" w:hAnsi="宋体" w:cs="宋体"/>
                <w:color w:val="000000"/>
                <w:kern w:val="0"/>
                <w:szCs w:val="21"/>
              </w:rPr>
            </w:pPr>
            <w:r>
              <w:rPr>
                <w:rFonts w:hint="eastAsia" w:ascii="宋体" w:hAnsi="宋体" w:cs="宋体"/>
                <w:color w:val="000000"/>
                <w:kern w:val="0"/>
                <w:szCs w:val="21"/>
              </w:rPr>
              <w:t>安全通告</w:t>
            </w:r>
          </w:p>
        </w:tc>
        <w:tc>
          <w:tcPr>
            <w:tcW w:w="4190" w:type="dxa"/>
            <w:tcBorders>
              <w:top w:val="nil"/>
              <w:left w:val="nil"/>
              <w:bottom w:val="single" w:color="auto" w:sz="8" w:space="0"/>
              <w:right w:val="single" w:color="auto" w:sz="8" w:space="0"/>
            </w:tcBorders>
            <w:vAlign w:val="center"/>
          </w:tcPr>
          <w:p w14:paraId="1315ECDA">
            <w:pPr>
              <w:widowControl/>
              <w:jc w:val="left"/>
              <w:rPr>
                <w:rFonts w:hint="eastAsia" w:ascii="宋体" w:hAnsi="宋体" w:cs="宋体"/>
                <w:color w:val="000000"/>
                <w:kern w:val="0"/>
                <w:szCs w:val="21"/>
              </w:rPr>
            </w:pPr>
            <w:r>
              <w:rPr>
                <w:rFonts w:hint="eastAsia" w:ascii="宋体" w:hAnsi="宋体" w:cs="宋体"/>
                <w:color w:val="000000"/>
                <w:kern w:val="0"/>
                <w:szCs w:val="21"/>
              </w:rPr>
              <w:t>以邮件、文件、电话等方式，将安全技术和安全信息及时传递给客户，使客户能保持对信息安全最新动态的认识，提前预知风险，每月末以邮件方式提交安全月报。安全通告内容至少包括：目前主流操作系统的安全漏洞补丁；信息安全业界最新动态与技术；国内外最新信息安全趋势；紧急安全事件通告；最新的国内、外行业安全政策及法律法规。</w:t>
            </w:r>
          </w:p>
        </w:tc>
        <w:tc>
          <w:tcPr>
            <w:tcW w:w="809" w:type="dxa"/>
            <w:tcBorders>
              <w:top w:val="nil"/>
              <w:left w:val="nil"/>
              <w:bottom w:val="single" w:color="auto" w:sz="8" w:space="0"/>
              <w:right w:val="single" w:color="auto" w:sz="8" w:space="0"/>
            </w:tcBorders>
            <w:vAlign w:val="center"/>
          </w:tcPr>
          <w:p w14:paraId="4B2C2755">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766" w:type="dxa"/>
            <w:tcBorders>
              <w:top w:val="nil"/>
              <w:left w:val="nil"/>
              <w:bottom w:val="single" w:color="auto" w:sz="8" w:space="0"/>
              <w:right w:val="single" w:color="auto" w:sz="8" w:space="0"/>
            </w:tcBorders>
            <w:vAlign w:val="center"/>
          </w:tcPr>
          <w:p w14:paraId="77EDD44C">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762EF175">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7C051360">
            <w:r>
              <w:rPr>
                <w:rFonts w:hint="eastAsia"/>
              </w:rPr>
              <w:t>23</w:t>
            </w:r>
          </w:p>
        </w:tc>
        <w:tc>
          <w:tcPr>
            <w:tcW w:w="1341" w:type="dxa"/>
            <w:vMerge w:val="restart"/>
            <w:tcBorders>
              <w:top w:val="nil"/>
              <w:left w:val="single" w:color="auto" w:sz="8" w:space="0"/>
              <w:bottom w:val="single" w:color="000000" w:sz="8" w:space="0"/>
              <w:right w:val="single" w:color="auto" w:sz="8" w:space="0"/>
            </w:tcBorders>
            <w:vAlign w:val="center"/>
          </w:tcPr>
          <w:p w14:paraId="69C5364B">
            <w:pPr>
              <w:widowControl/>
              <w:jc w:val="center"/>
              <w:rPr>
                <w:rFonts w:hint="eastAsia" w:ascii="宋体" w:hAnsi="宋体" w:cs="宋体"/>
                <w:color w:val="000000"/>
                <w:kern w:val="0"/>
                <w:szCs w:val="21"/>
              </w:rPr>
            </w:pPr>
            <w:r>
              <w:rPr>
                <w:rFonts w:hint="eastAsia" w:ascii="宋体" w:hAnsi="宋体" w:cs="宋体"/>
                <w:color w:val="000000"/>
                <w:kern w:val="0"/>
                <w:szCs w:val="21"/>
              </w:rPr>
              <w:t>驻场人员</w:t>
            </w:r>
          </w:p>
        </w:tc>
        <w:tc>
          <w:tcPr>
            <w:tcW w:w="1250" w:type="dxa"/>
            <w:tcBorders>
              <w:top w:val="nil"/>
              <w:left w:val="nil"/>
              <w:bottom w:val="single" w:color="auto" w:sz="8" w:space="0"/>
              <w:right w:val="single" w:color="auto" w:sz="8" w:space="0"/>
            </w:tcBorders>
            <w:vAlign w:val="center"/>
          </w:tcPr>
          <w:p w14:paraId="4DC0D527">
            <w:pPr>
              <w:widowControl/>
              <w:jc w:val="center"/>
              <w:rPr>
                <w:rFonts w:hint="eastAsia" w:ascii="宋体" w:hAnsi="宋体" w:cs="宋体"/>
                <w:color w:val="000000"/>
                <w:kern w:val="0"/>
                <w:szCs w:val="21"/>
              </w:rPr>
            </w:pPr>
            <w:r>
              <w:rPr>
                <w:rFonts w:hint="eastAsia" w:ascii="宋体" w:hAnsi="宋体" w:cs="宋体"/>
                <w:color w:val="000000"/>
                <w:kern w:val="0"/>
                <w:szCs w:val="21"/>
              </w:rPr>
              <w:t>特殊应急</w:t>
            </w:r>
          </w:p>
        </w:tc>
        <w:tc>
          <w:tcPr>
            <w:tcW w:w="4190" w:type="dxa"/>
            <w:tcBorders>
              <w:top w:val="nil"/>
              <w:left w:val="nil"/>
              <w:bottom w:val="single" w:color="auto" w:sz="8" w:space="0"/>
              <w:right w:val="single" w:color="auto" w:sz="8" w:space="0"/>
            </w:tcBorders>
            <w:vAlign w:val="center"/>
          </w:tcPr>
          <w:p w14:paraId="79BE274F">
            <w:pPr>
              <w:widowControl/>
              <w:jc w:val="center"/>
              <w:rPr>
                <w:rFonts w:hint="eastAsia" w:ascii="宋体" w:hAnsi="宋体" w:cs="宋体"/>
                <w:color w:val="000000"/>
                <w:kern w:val="0"/>
                <w:szCs w:val="21"/>
              </w:rPr>
            </w:pPr>
            <w:r>
              <w:rPr>
                <w:rFonts w:hint="eastAsia" w:ascii="宋体" w:hAnsi="宋体" w:cs="宋体"/>
                <w:color w:val="000000"/>
                <w:kern w:val="0"/>
                <w:szCs w:val="21"/>
              </w:rPr>
              <w:t>特殊情况需紧急应急</w:t>
            </w:r>
          </w:p>
        </w:tc>
        <w:tc>
          <w:tcPr>
            <w:tcW w:w="809" w:type="dxa"/>
            <w:tcBorders>
              <w:top w:val="nil"/>
              <w:left w:val="nil"/>
              <w:bottom w:val="single" w:color="auto" w:sz="8" w:space="0"/>
              <w:right w:val="single" w:color="auto" w:sz="8" w:space="0"/>
            </w:tcBorders>
            <w:vAlign w:val="center"/>
          </w:tcPr>
          <w:p w14:paraId="0EF7025B">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66" w:type="dxa"/>
            <w:tcBorders>
              <w:top w:val="nil"/>
              <w:left w:val="nil"/>
              <w:bottom w:val="single" w:color="auto" w:sz="8" w:space="0"/>
              <w:right w:val="single" w:color="auto" w:sz="8" w:space="0"/>
            </w:tcBorders>
            <w:vAlign w:val="center"/>
          </w:tcPr>
          <w:p w14:paraId="35220BE4">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43796C25">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01F20839">
            <w:r>
              <w:rPr>
                <w:rFonts w:hint="eastAsia"/>
              </w:rPr>
              <w:t>24</w:t>
            </w:r>
          </w:p>
        </w:tc>
        <w:tc>
          <w:tcPr>
            <w:tcW w:w="1341" w:type="dxa"/>
            <w:vMerge w:val="continue"/>
            <w:tcBorders>
              <w:top w:val="nil"/>
              <w:left w:val="single" w:color="auto" w:sz="8" w:space="0"/>
              <w:bottom w:val="single" w:color="000000" w:sz="8" w:space="0"/>
              <w:right w:val="single" w:color="auto" w:sz="8" w:space="0"/>
            </w:tcBorders>
            <w:vAlign w:val="center"/>
          </w:tcPr>
          <w:p w14:paraId="3D3229C8">
            <w:pPr>
              <w:widowControl/>
              <w:jc w:val="left"/>
              <w:rPr>
                <w:rFonts w:hint="eastAsia" w:ascii="宋体" w:hAnsi="宋体" w:cs="宋体"/>
                <w:color w:val="000000"/>
                <w:kern w:val="0"/>
                <w:szCs w:val="21"/>
              </w:rPr>
            </w:pPr>
          </w:p>
        </w:tc>
        <w:tc>
          <w:tcPr>
            <w:tcW w:w="1250" w:type="dxa"/>
            <w:tcBorders>
              <w:top w:val="nil"/>
              <w:left w:val="nil"/>
              <w:bottom w:val="single" w:color="auto" w:sz="8" w:space="0"/>
              <w:right w:val="single" w:color="auto" w:sz="8" w:space="0"/>
            </w:tcBorders>
            <w:vAlign w:val="center"/>
          </w:tcPr>
          <w:p w14:paraId="4879A48A">
            <w:pPr>
              <w:widowControl/>
              <w:jc w:val="center"/>
              <w:rPr>
                <w:rFonts w:hint="eastAsia" w:ascii="宋体" w:hAnsi="宋体" w:cs="宋体"/>
                <w:color w:val="000000"/>
                <w:kern w:val="0"/>
                <w:szCs w:val="21"/>
              </w:rPr>
            </w:pPr>
            <w:r>
              <w:rPr>
                <w:rFonts w:hint="eastAsia" w:ascii="宋体" w:hAnsi="宋体" w:cs="宋体"/>
                <w:color w:val="000000"/>
                <w:kern w:val="0"/>
                <w:szCs w:val="21"/>
              </w:rPr>
              <w:t>重要时期安全保障运维</w:t>
            </w:r>
          </w:p>
        </w:tc>
        <w:tc>
          <w:tcPr>
            <w:tcW w:w="4190" w:type="dxa"/>
            <w:tcBorders>
              <w:top w:val="nil"/>
              <w:left w:val="nil"/>
              <w:bottom w:val="single" w:color="auto" w:sz="8" w:space="0"/>
              <w:right w:val="single" w:color="auto" w:sz="8" w:space="0"/>
            </w:tcBorders>
            <w:vAlign w:val="center"/>
          </w:tcPr>
          <w:p w14:paraId="7DAA2C87">
            <w:pPr>
              <w:widowControl/>
              <w:jc w:val="left"/>
              <w:rPr>
                <w:rFonts w:hint="eastAsia" w:ascii="宋体" w:hAnsi="宋体" w:cs="宋体"/>
                <w:color w:val="000000"/>
                <w:kern w:val="0"/>
                <w:szCs w:val="21"/>
              </w:rPr>
            </w:pPr>
            <w:r>
              <w:rPr>
                <w:rFonts w:hint="eastAsia" w:ascii="宋体" w:hAnsi="宋体" w:cs="宋体"/>
                <w:color w:val="000000"/>
                <w:kern w:val="0"/>
                <w:szCs w:val="21"/>
              </w:rPr>
              <w:t>针对国家规定的法定节假日、重大会议、政治活动及其它具有广泛影响的活动，派遣高级安全运维专家，以现场方式提供安全保障工作，协助外理信息安全事件。包括前期重要业务的检查、安全扫描、网络安全加固等准备工作，确保在重要敏感时期的网络安全。初步确定五一和十一等重要时期进行重要时期安全保障运维。</w:t>
            </w:r>
          </w:p>
        </w:tc>
        <w:tc>
          <w:tcPr>
            <w:tcW w:w="809" w:type="dxa"/>
            <w:tcBorders>
              <w:top w:val="nil"/>
              <w:left w:val="nil"/>
              <w:bottom w:val="single" w:color="auto" w:sz="8" w:space="0"/>
              <w:right w:val="single" w:color="auto" w:sz="8" w:space="0"/>
            </w:tcBorders>
            <w:vAlign w:val="center"/>
          </w:tcPr>
          <w:p w14:paraId="047B348D">
            <w:pPr>
              <w:widowControl/>
              <w:jc w:val="center"/>
              <w:rPr>
                <w:rFonts w:hint="eastAsia" w:ascii="宋体" w:hAnsi="宋体" w:cs="宋体"/>
                <w:color w:val="000000"/>
                <w:kern w:val="0"/>
                <w:szCs w:val="21"/>
              </w:rPr>
            </w:pPr>
            <w:r>
              <w:rPr>
                <w:rFonts w:hint="eastAsia" w:ascii="宋体" w:hAnsi="宋体" w:cs="宋体"/>
                <w:color w:val="000000"/>
                <w:kern w:val="0"/>
                <w:szCs w:val="21"/>
              </w:rPr>
              <w:t>21</w:t>
            </w:r>
          </w:p>
        </w:tc>
        <w:tc>
          <w:tcPr>
            <w:tcW w:w="766" w:type="dxa"/>
            <w:tcBorders>
              <w:top w:val="nil"/>
              <w:left w:val="nil"/>
              <w:bottom w:val="single" w:color="auto" w:sz="8" w:space="0"/>
              <w:right w:val="single" w:color="auto" w:sz="8" w:space="0"/>
            </w:tcBorders>
            <w:vAlign w:val="center"/>
          </w:tcPr>
          <w:p w14:paraId="059BC24B">
            <w:pPr>
              <w:widowControl/>
              <w:jc w:val="center"/>
              <w:rPr>
                <w:rFonts w:hint="eastAsia" w:ascii="宋体" w:hAnsi="宋体" w:cs="宋体"/>
                <w:color w:val="000000"/>
                <w:kern w:val="0"/>
                <w:szCs w:val="21"/>
              </w:rPr>
            </w:pPr>
            <w:r>
              <w:rPr>
                <w:rFonts w:hint="eastAsia" w:ascii="宋体" w:hAnsi="宋体" w:cs="宋体"/>
                <w:color w:val="000000"/>
                <w:kern w:val="0"/>
                <w:szCs w:val="21"/>
              </w:rPr>
              <w:t>天</w:t>
            </w:r>
          </w:p>
        </w:tc>
      </w:tr>
      <w:tr w14:paraId="6A7EDB1E">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2436AA6C">
            <w:r>
              <w:rPr>
                <w:rFonts w:hint="eastAsia"/>
              </w:rPr>
              <w:t>25</w:t>
            </w:r>
          </w:p>
        </w:tc>
        <w:tc>
          <w:tcPr>
            <w:tcW w:w="1341" w:type="dxa"/>
            <w:vMerge w:val="continue"/>
            <w:tcBorders>
              <w:top w:val="nil"/>
              <w:left w:val="single" w:color="auto" w:sz="8" w:space="0"/>
              <w:bottom w:val="single" w:color="000000" w:sz="8" w:space="0"/>
              <w:right w:val="single" w:color="auto" w:sz="8" w:space="0"/>
            </w:tcBorders>
            <w:vAlign w:val="center"/>
          </w:tcPr>
          <w:p w14:paraId="6034C90C">
            <w:pPr>
              <w:widowControl/>
              <w:jc w:val="left"/>
              <w:rPr>
                <w:rFonts w:hint="eastAsia" w:ascii="宋体" w:hAnsi="宋体" w:cs="宋体"/>
                <w:color w:val="000000"/>
                <w:kern w:val="0"/>
                <w:szCs w:val="21"/>
              </w:rPr>
            </w:pPr>
          </w:p>
        </w:tc>
        <w:tc>
          <w:tcPr>
            <w:tcW w:w="1250" w:type="dxa"/>
            <w:tcBorders>
              <w:top w:val="nil"/>
              <w:left w:val="nil"/>
              <w:bottom w:val="single" w:color="auto" w:sz="8" w:space="0"/>
              <w:right w:val="single" w:color="auto" w:sz="8" w:space="0"/>
            </w:tcBorders>
            <w:vAlign w:val="center"/>
          </w:tcPr>
          <w:p w14:paraId="6411CD10">
            <w:pPr>
              <w:widowControl/>
              <w:jc w:val="center"/>
              <w:rPr>
                <w:rFonts w:hint="eastAsia" w:ascii="宋体" w:hAnsi="宋体" w:cs="宋体"/>
                <w:color w:val="000000"/>
                <w:kern w:val="0"/>
                <w:szCs w:val="21"/>
              </w:rPr>
            </w:pPr>
            <w:r>
              <w:rPr>
                <w:rFonts w:hint="eastAsia" w:ascii="宋体" w:hAnsi="宋体" w:cs="宋体"/>
                <w:color w:val="000000"/>
                <w:kern w:val="0"/>
                <w:szCs w:val="21"/>
              </w:rPr>
              <w:t>驻场</w:t>
            </w:r>
          </w:p>
        </w:tc>
        <w:tc>
          <w:tcPr>
            <w:tcW w:w="4190" w:type="dxa"/>
            <w:tcBorders>
              <w:top w:val="nil"/>
              <w:left w:val="nil"/>
              <w:bottom w:val="single" w:color="auto" w:sz="8" w:space="0"/>
              <w:right w:val="single" w:color="auto" w:sz="8" w:space="0"/>
            </w:tcBorders>
            <w:vAlign w:val="center"/>
          </w:tcPr>
          <w:p w14:paraId="19F4DABF">
            <w:pPr>
              <w:widowControl/>
              <w:jc w:val="left"/>
              <w:rPr>
                <w:rFonts w:hint="eastAsia" w:ascii="宋体" w:hAnsi="宋体" w:cs="宋体"/>
                <w:color w:val="000000"/>
                <w:kern w:val="0"/>
                <w:szCs w:val="21"/>
              </w:rPr>
            </w:pPr>
            <w:r>
              <w:rPr>
                <w:rFonts w:hint="eastAsia" w:ascii="宋体" w:hAnsi="宋体" w:cs="宋体"/>
                <w:color w:val="000000"/>
                <w:kern w:val="0"/>
                <w:szCs w:val="21"/>
              </w:rPr>
              <w:t>日常硬件设备的巡查工作，运维器，存储，交换机安全设备等；协助客户处理简单设备故障等；配合客户对接机房的其它工作。</w:t>
            </w:r>
          </w:p>
        </w:tc>
        <w:tc>
          <w:tcPr>
            <w:tcW w:w="809" w:type="dxa"/>
            <w:tcBorders>
              <w:top w:val="nil"/>
              <w:left w:val="nil"/>
              <w:bottom w:val="single" w:color="auto" w:sz="8" w:space="0"/>
              <w:right w:val="single" w:color="auto" w:sz="8" w:space="0"/>
            </w:tcBorders>
            <w:vAlign w:val="center"/>
          </w:tcPr>
          <w:p w14:paraId="6178957F">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766" w:type="dxa"/>
            <w:tcBorders>
              <w:top w:val="nil"/>
              <w:left w:val="nil"/>
              <w:bottom w:val="single" w:color="auto" w:sz="8" w:space="0"/>
              <w:right w:val="single" w:color="auto" w:sz="8" w:space="0"/>
            </w:tcBorders>
            <w:vAlign w:val="center"/>
          </w:tcPr>
          <w:p w14:paraId="6A0C073F">
            <w:pPr>
              <w:widowControl/>
              <w:jc w:val="center"/>
              <w:rPr>
                <w:rFonts w:hint="eastAsia" w:ascii="宋体" w:hAnsi="宋体" w:cs="宋体"/>
                <w:color w:val="000000"/>
                <w:kern w:val="0"/>
                <w:szCs w:val="21"/>
              </w:rPr>
            </w:pPr>
            <w:r>
              <w:rPr>
                <w:rFonts w:hint="eastAsia" w:ascii="宋体" w:hAnsi="宋体" w:cs="宋体"/>
                <w:color w:val="000000"/>
                <w:kern w:val="0"/>
                <w:szCs w:val="21"/>
              </w:rPr>
              <w:t>月</w:t>
            </w:r>
          </w:p>
        </w:tc>
      </w:tr>
      <w:bookmarkEnd w:id="875"/>
      <w:bookmarkEnd w:id="876"/>
    </w:tbl>
    <w:p w14:paraId="1FA908EF">
      <w:pPr>
        <w:autoSpaceDE w:val="0"/>
        <w:autoSpaceDN w:val="0"/>
        <w:adjustRightInd w:val="0"/>
        <w:spacing w:line="360" w:lineRule="auto"/>
        <w:ind w:firstLine="420"/>
        <w:jc w:val="left"/>
        <w:rPr>
          <w:rFonts w:hint="eastAsia" w:ascii="宋体" w:hAnsi="宋体" w:cs="宋体"/>
          <w:sz w:val="24"/>
        </w:rPr>
      </w:pPr>
    </w:p>
    <w:p w14:paraId="32C8760B">
      <w:pPr>
        <w:autoSpaceDE w:val="0"/>
        <w:autoSpaceDN w:val="0"/>
        <w:adjustRightInd w:val="0"/>
        <w:ind w:firstLine="482"/>
        <w:jc w:val="left"/>
        <w:rPr>
          <w:rFonts w:ascii="宋体"/>
          <w:sz w:val="24"/>
        </w:rPr>
      </w:pPr>
      <w:r>
        <w:rPr>
          <w:rFonts w:hint="eastAsia" w:ascii="宋体"/>
          <w:sz w:val="24"/>
        </w:rPr>
        <w:t>2）门头沟监测站机房</w:t>
      </w:r>
    </w:p>
    <w:tbl>
      <w:tblPr>
        <w:tblStyle w:val="42"/>
        <w:tblW w:w="9055" w:type="dxa"/>
        <w:tblInd w:w="118" w:type="dxa"/>
        <w:tblLayout w:type="autofit"/>
        <w:tblCellMar>
          <w:top w:w="0" w:type="dxa"/>
          <w:left w:w="108" w:type="dxa"/>
          <w:bottom w:w="0" w:type="dxa"/>
          <w:right w:w="108" w:type="dxa"/>
        </w:tblCellMar>
      </w:tblPr>
      <w:tblGrid>
        <w:gridCol w:w="699"/>
        <w:gridCol w:w="1134"/>
        <w:gridCol w:w="1276"/>
        <w:gridCol w:w="4356"/>
        <w:gridCol w:w="810"/>
        <w:gridCol w:w="780"/>
      </w:tblGrid>
      <w:tr w14:paraId="6C248CF7">
        <w:tblPrEx>
          <w:tblCellMar>
            <w:top w:w="0" w:type="dxa"/>
            <w:left w:w="108" w:type="dxa"/>
            <w:bottom w:w="0" w:type="dxa"/>
            <w:right w:w="108" w:type="dxa"/>
          </w:tblCellMar>
        </w:tblPrEx>
        <w:trPr>
          <w:trHeight w:val="454" w:hRule="atLeast"/>
          <w:tblHeader/>
        </w:trPr>
        <w:tc>
          <w:tcPr>
            <w:tcW w:w="699" w:type="dxa"/>
            <w:vMerge w:val="restart"/>
            <w:tcBorders>
              <w:top w:val="single" w:color="auto" w:sz="8" w:space="0"/>
              <w:left w:val="single" w:color="auto" w:sz="8" w:space="0"/>
              <w:bottom w:val="single" w:color="000000" w:sz="8" w:space="0"/>
              <w:right w:val="single" w:color="auto" w:sz="8" w:space="0"/>
            </w:tcBorders>
            <w:vAlign w:val="center"/>
          </w:tcPr>
          <w:p w14:paraId="4F6546D5">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1134" w:type="dxa"/>
            <w:vMerge w:val="restart"/>
            <w:tcBorders>
              <w:top w:val="single" w:color="auto" w:sz="8" w:space="0"/>
              <w:left w:val="single" w:color="auto" w:sz="8" w:space="0"/>
              <w:bottom w:val="single" w:color="000000" w:sz="8" w:space="0"/>
              <w:right w:val="single" w:color="auto" w:sz="8" w:space="0"/>
            </w:tcBorders>
            <w:vAlign w:val="center"/>
          </w:tcPr>
          <w:p w14:paraId="7B5B341D">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运维类别</w:t>
            </w:r>
          </w:p>
        </w:tc>
        <w:tc>
          <w:tcPr>
            <w:tcW w:w="1276" w:type="dxa"/>
            <w:vMerge w:val="restart"/>
            <w:tcBorders>
              <w:top w:val="single" w:color="auto" w:sz="8" w:space="0"/>
              <w:left w:val="single" w:color="auto" w:sz="8" w:space="0"/>
              <w:bottom w:val="single" w:color="000000" w:sz="8" w:space="0"/>
              <w:right w:val="single" w:color="auto" w:sz="8" w:space="0"/>
            </w:tcBorders>
            <w:vAlign w:val="center"/>
          </w:tcPr>
          <w:p w14:paraId="74EB3B76">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设备类型</w:t>
            </w:r>
          </w:p>
        </w:tc>
        <w:tc>
          <w:tcPr>
            <w:tcW w:w="4356" w:type="dxa"/>
            <w:vMerge w:val="restart"/>
            <w:tcBorders>
              <w:top w:val="single" w:color="auto" w:sz="8" w:space="0"/>
              <w:left w:val="single" w:color="auto" w:sz="8" w:space="0"/>
              <w:bottom w:val="single" w:color="000000" w:sz="8" w:space="0"/>
              <w:right w:val="single" w:color="auto" w:sz="8" w:space="0"/>
            </w:tcBorders>
            <w:vAlign w:val="center"/>
          </w:tcPr>
          <w:p w14:paraId="7F5512AD">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运维内容</w:t>
            </w:r>
          </w:p>
        </w:tc>
        <w:tc>
          <w:tcPr>
            <w:tcW w:w="810" w:type="dxa"/>
            <w:vMerge w:val="restart"/>
            <w:tcBorders>
              <w:top w:val="single" w:color="auto" w:sz="8" w:space="0"/>
              <w:left w:val="single" w:color="auto" w:sz="8" w:space="0"/>
              <w:bottom w:val="single" w:color="000000" w:sz="8" w:space="0"/>
              <w:right w:val="single" w:color="auto" w:sz="8" w:space="0"/>
            </w:tcBorders>
            <w:vAlign w:val="center"/>
          </w:tcPr>
          <w:p w14:paraId="7DBA7DF1">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数量</w:t>
            </w:r>
          </w:p>
        </w:tc>
        <w:tc>
          <w:tcPr>
            <w:tcW w:w="780" w:type="dxa"/>
            <w:vMerge w:val="restart"/>
            <w:tcBorders>
              <w:top w:val="single" w:color="auto" w:sz="8" w:space="0"/>
              <w:left w:val="single" w:color="auto" w:sz="8" w:space="0"/>
              <w:bottom w:val="single" w:color="000000" w:sz="8" w:space="0"/>
              <w:right w:val="single" w:color="auto" w:sz="8" w:space="0"/>
            </w:tcBorders>
            <w:vAlign w:val="center"/>
          </w:tcPr>
          <w:p w14:paraId="767E7392">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单位</w:t>
            </w:r>
          </w:p>
        </w:tc>
      </w:tr>
      <w:tr w14:paraId="1F0E3F8C">
        <w:tblPrEx>
          <w:tblCellMar>
            <w:top w:w="0" w:type="dxa"/>
            <w:left w:w="108" w:type="dxa"/>
            <w:bottom w:w="0" w:type="dxa"/>
            <w:right w:w="108" w:type="dxa"/>
          </w:tblCellMar>
        </w:tblPrEx>
        <w:trPr>
          <w:trHeight w:val="312" w:hRule="atLeast"/>
        </w:trPr>
        <w:tc>
          <w:tcPr>
            <w:tcW w:w="699" w:type="dxa"/>
            <w:vMerge w:val="continue"/>
            <w:tcBorders>
              <w:top w:val="single" w:color="auto" w:sz="8" w:space="0"/>
              <w:left w:val="single" w:color="auto" w:sz="8" w:space="0"/>
              <w:bottom w:val="single" w:color="000000" w:sz="8" w:space="0"/>
              <w:right w:val="single" w:color="auto" w:sz="8" w:space="0"/>
            </w:tcBorders>
            <w:vAlign w:val="center"/>
          </w:tcPr>
          <w:p w14:paraId="5140D358">
            <w:pPr>
              <w:widowControl/>
              <w:jc w:val="left"/>
              <w:rPr>
                <w:rFonts w:hint="eastAsia" w:ascii="宋体" w:hAnsi="宋体" w:cs="宋体"/>
                <w:b/>
                <w:bCs/>
                <w:color w:val="000000"/>
                <w:kern w:val="0"/>
                <w:szCs w:val="21"/>
              </w:rPr>
            </w:pPr>
          </w:p>
        </w:tc>
        <w:tc>
          <w:tcPr>
            <w:tcW w:w="1134" w:type="dxa"/>
            <w:vMerge w:val="continue"/>
            <w:tcBorders>
              <w:top w:val="single" w:color="auto" w:sz="8" w:space="0"/>
              <w:left w:val="single" w:color="auto" w:sz="8" w:space="0"/>
              <w:bottom w:val="single" w:color="000000" w:sz="8" w:space="0"/>
              <w:right w:val="single" w:color="auto" w:sz="8" w:space="0"/>
            </w:tcBorders>
            <w:vAlign w:val="center"/>
          </w:tcPr>
          <w:p w14:paraId="3EF8BB4C">
            <w:pPr>
              <w:widowControl/>
              <w:jc w:val="left"/>
              <w:rPr>
                <w:rFonts w:hint="eastAsia" w:ascii="宋体" w:hAnsi="宋体" w:cs="宋体"/>
                <w:b/>
                <w:bCs/>
                <w:color w:val="000000"/>
                <w:kern w:val="0"/>
                <w:szCs w:val="21"/>
              </w:rPr>
            </w:pPr>
          </w:p>
        </w:tc>
        <w:tc>
          <w:tcPr>
            <w:tcW w:w="1276" w:type="dxa"/>
            <w:vMerge w:val="continue"/>
            <w:tcBorders>
              <w:top w:val="single" w:color="auto" w:sz="8" w:space="0"/>
              <w:left w:val="single" w:color="auto" w:sz="8" w:space="0"/>
              <w:bottom w:val="single" w:color="000000" w:sz="8" w:space="0"/>
              <w:right w:val="single" w:color="auto" w:sz="8" w:space="0"/>
            </w:tcBorders>
            <w:vAlign w:val="center"/>
          </w:tcPr>
          <w:p w14:paraId="673634C3">
            <w:pPr>
              <w:widowControl/>
              <w:jc w:val="left"/>
              <w:rPr>
                <w:rFonts w:hint="eastAsia" w:ascii="宋体" w:hAnsi="宋体" w:cs="宋体"/>
                <w:b/>
                <w:bCs/>
                <w:color w:val="000000"/>
                <w:kern w:val="0"/>
                <w:szCs w:val="21"/>
              </w:rPr>
            </w:pPr>
          </w:p>
        </w:tc>
        <w:tc>
          <w:tcPr>
            <w:tcW w:w="4356" w:type="dxa"/>
            <w:vMerge w:val="continue"/>
            <w:tcBorders>
              <w:top w:val="single" w:color="auto" w:sz="8" w:space="0"/>
              <w:left w:val="single" w:color="auto" w:sz="8" w:space="0"/>
              <w:bottom w:val="single" w:color="000000" w:sz="8" w:space="0"/>
              <w:right w:val="single" w:color="auto" w:sz="8" w:space="0"/>
            </w:tcBorders>
            <w:vAlign w:val="center"/>
          </w:tcPr>
          <w:p w14:paraId="25931B19">
            <w:pPr>
              <w:widowControl/>
              <w:jc w:val="left"/>
              <w:rPr>
                <w:rFonts w:hint="eastAsia" w:ascii="宋体" w:hAnsi="宋体" w:cs="宋体"/>
                <w:b/>
                <w:bCs/>
                <w:color w:val="000000"/>
                <w:kern w:val="0"/>
                <w:szCs w:val="21"/>
              </w:rPr>
            </w:pPr>
          </w:p>
        </w:tc>
        <w:tc>
          <w:tcPr>
            <w:tcW w:w="810" w:type="dxa"/>
            <w:vMerge w:val="continue"/>
            <w:tcBorders>
              <w:top w:val="single" w:color="auto" w:sz="8" w:space="0"/>
              <w:left w:val="single" w:color="auto" w:sz="8" w:space="0"/>
              <w:bottom w:val="single" w:color="000000" w:sz="8" w:space="0"/>
              <w:right w:val="single" w:color="auto" w:sz="8" w:space="0"/>
            </w:tcBorders>
            <w:vAlign w:val="center"/>
          </w:tcPr>
          <w:p w14:paraId="17834408">
            <w:pPr>
              <w:widowControl/>
              <w:jc w:val="left"/>
              <w:rPr>
                <w:rFonts w:hint="eastAsia" w:ascii="宋体" w:hAnsi="宋体" w:cs="宋体"/>
                <w:b/>
                <w:bCs/>
                <w:color w:val="000000"/>
                <w:kern w:val="0"/>
                <w:szCs w:val="21"/>
              </w:rPr>
            </w:pPr>
          </w:p>
        </w:tc>
        <w:tc>
          <w:tcPr>
            <w:tcW w:w="780" w:type="dxa"/>
            <w:vMerge w:val="continue"/>
            <w:tcBorders>
              <w:top w:val="single" w:color="auto" w:sz="8" w:space="0"/>
              <w:left w:val="single" w:color="auto" w:sz="8" w:space="0"/>
              <w:bottom w:val="single" w:color="000000" w:sz="8" w:space="0"/>
              <w:right w:val="single" w:color="auto" w:sz="8" w:space="0"/>
            </w:tcBorders>
            <w:vAlign w:val="center"/>
          </w:tcPr>
          <w:p w14:paraId="21D5B85B">
            <w:pPr>
              <w:widowControl/>
              <w:jc w:val="left"/>
              <w:rPr>
                <w:rFonts w:hint="eastAsia" w:ascii="宋体" w:hAnsi="宋体" w:cs="宋体"/>
                <w:b/>
                <w:bCs/>
                <w:color w:val="000000"/>
                <w:kern w:val="0"/>
                <w:szCs w:val="21"/>
              </w:rPr>
            </w:pPr>
          </w:p>
        </w:tc>
      </w:tr>
      <w:tr w14:paraId="037E49F5">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00A89217">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134" w:type="dxa"/>
            <w:vMerge w:val="restart"/>
            <w:tcBorders>
              <w:top w:val="nil"/>
              <w:left w:val="single" w:color="auto" w:sz="8" w:space="0"/>
              <w:bottom w:val="single" w:color="000000" w:sz="8" w:space="0"/>
              <w:right w:val="single" w:color="auto" w:sz="8" w:space="0"/>
            </w:tcBorders>
            <w:vAlign w:val="center"/>
          </w:tcPr>
          <w:p w14:paraId="5DF9209F">
            <w:pPr>
              <w:widowControl/>
              <w:jc w:val="center"/>
              <w:rPr>
                <w:rFonts w:hint="eastAsia" w:ascii="宋体" w:hAnsi="宋体" w:cs="宋体"/>
                <w:color w:val="000000"/>
                <w:kern w:val="0"/>
                <w:szCs w:val="21"/>
              </w:rPr>
            </w:pPr>
            <w:r>
              <w:rPr>
                <w:rFonts w:hint="eastAsia" w:ascii="宋体" w:hAnsi="宋体" w:cs="宋体"/>
                <w:color w:val="000000"/>
                <w:kern w:val="0"/>
                <w:szCs w:val="21"/>
              </w:rPr>
              <w:t>机房硬件设备维护内容</w:t>
            </w:r>
          </w:p>
        </w:tc>
        <w:tc>
          <w:tcPr>
            <w:tcW w:w="1276" w:type="dxa"/>
            <w:tcBorders>
              <w:top w:val="nil"/>
              <w:left w:val="nil"/>
              <w:bottom w:val="single" w:color="auto" w:sz="8" w:space="0"/>
              <w:right w:val="single" w:color="auto" w:sz="8" w:space="0"/>
            </w:tcBorders>
            <w:vAlign w:val="center"/>
          </w:tcPr>
          <w:p w14:paraId="39654A4E">
            <w:pPr>
              <w:widowControl/>
              <w:jc w:val="center"/>
              <w:rPr>
                <w:rFonts w:hint="eastAsia" w:ascii="宋体" w:hAnsi="宋体" w:cs="宋体"/>
                <w:color w:val="000000"/>
                <w:kern w:val="0"/>
                <w:szCs w:val="21"/>
              </w:rPr>
            </w:pPr>
            <w:r>
              <w:rPr>
                <w:rFonts w:hint="eastAsia" w:ascii="宋体" w:hAnsi="宋体" w:cs="宋体"/>
                <w:color w:val="000000"/>
                <w:kern w:val="0"/>
                <w:szCs w:val="21"/>
              </w:rPr>
              <w:t>服务器</w:t>
            </w:r>
          </w:p>
        </w:tc>
        <w:tc>
          <w:tcPr>
            <w:tcW w:w="4356" w:type="dxa"/>
            <w:tcBorders>
              <w:top w:val="nil"/>
              <w:left w:val="nil"/>
              <w:bottom w:val="single" w:color="auto" w:sz="8" w:space="0"/>
              <w:right w:val="single" w:color="auto" w:sz="8" w:space="0"/>
            </w:tcBorders>
            <w:vAlign w:val="center"/>
          </w:tcPr>
          <w:p w14:paraId="7DE06FC5">
            <w:pPr>
              <w:widowControl/>
              <w:jc w:val="left"/>
              <w:rPr>
                <w:rFonts w:hint="eastAsia" w:ascii="宋体" w:hAnsi="宋体" w:cs="宋体"/>
                <w:color w:val="000000"/>
                <w:kern w:val="0"/>
                <w:szCs w:val="21"/>
              </w:rPr>
            </w:pPr>
            <w:r>
              <w:rPr>
                <w:rFonts w:hint="eastAsia" w:ascii="宋体" w:hAnsi="宋体" w:cs="宋体"/>
                <w:color w:val="000000"/>
                <w:kern w:val="0"/>
                <w:szCs w:val="21"/>
              </w:rPr>
              <w:t>清洁保养，清除机箱、滤清器内的灰尘与异物;系统优化，协助客户进行系统性能调整和系统优化，提高系统效率。</w:t>
            </w:r>
          </w:p>
        </w:tc>
        <w:tc>
          <w:tcPr>
            <w:tcW w:w="810" w:type="dxa"/>
            <w:tcBorders>
              <w:top w:val="nil"/>
              <w:left w:val="nil"/>
              <w:bottom w:val="single" w:color="auto" w:sz="8" w:space="0"/>
              <w:right w:val="single" w:color="auto" w:sz="8" w:space="0"/>
            </w:tcBorders>
            <w:vAlign w:val="center"/>
          </w:tcPr>
          <w:p w14:paraId="262CC5D0">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80" w:type="dxa"/>
            <w:tcBorders>
              <w:top w:val="nil"/>
              <w:left w:val="nil"/>
              <w:bottom w:val="single" w:color="auto" w:sz="8" w:space="0"/>
              <w:right w:val="single" w:color="auto" w:sz="8" w:space="0"/>
            </w:tcBorders>
            <w:vAlign w:val="center"/>
          </w:tcPr>
          <w:p w14:paraId="1EAD901C">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50FDAFF7">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1EE7EFEE">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134" w:type="dxa"/>
            <w:vMerge w:val="continue"/>
            <w:tcBorders>
              <w:top w:val="nil"/>
              <w:left w:val="single" w:color="auto" w:sz="8" w:space="0"/>
              <w:bottom w:val="single" w:color="000000" w:sz="8" w:space="0"/>
              <w:right w:val="single" w:color="auto" w:sz="8" w:space="0"/>
            </w:tcBorders>
            <w:vAlign w:val="center"/>
          </w:tcPr>
          <w:p w14:paraId="42EC5294">
            <w:pPr>
              <w:widowControl/>
              <w:jc w:val="left"/>
              <w:rPr>
                <w:rFonts w:hint="eastAsia" w:ascii="宋体" w:hAnsi="宋体" w:cs="宋体"/>
                <w:color w:val="000000"/>
                <w:kern w:val="0"/>
                <w:szCs w:val="21"/>
              </w:rPr>
            </w:pPr>
          </w:p>
        </w:tc>
        <w:tc>
          <w:tcPr>
            <w:tcW w:w="1276" w:type="dxa"/>
            <w:vMerge w:val="restart"/>
            <w:tcBorders>
              <w:top w:val="nil"/>
              <w:left w:val="single" w:color="auto" w:sz="8" w:space="0"/>
              <w:bottom w:val="single" w:color="000000" w:sz="8" w:space="0"/>
              <w:right w:val="single" w:color="auto" w:sz="8" w:space="0"/>
            </w:tcBorders>
            <w:vAlign w:val="center"/>
          </w:tcPr>
          <w:p w14:paraId="7F28DECA">
            <w:pPr>
              <w:widowControl/>
              <w:jc w:val="center"/>
              <w:rPr>
                <w:rFonts w:hint="eastAsia" w:ascii="宋体" w:hAnsi="宋体" w:cs="宋体"/>
                <w:color w:val="000000"/>
                <w:kern w:val="0"/>
                <w:szCs w:val="21"/>
              </w:rPr>
            </w:pPr>
            <w:r>
              <w:rPr>
                <w:rFonts w:hint="eastAsia" w:ascii="宋体" w:hAnsi="宋体" w:cs="宋体"/>
                <w:color w:val="000000"/>
                <w:kern w:val="0"/>
                <w:szCs w:val="21"/>
              </w:rPr>
              <w:t>磁盘存储</w:t>
            </w:r>
          </w:p>
        </w:tc>
        <w:tc>
          <w:tcPr>
            <w:tcW w:w="4356" w:type="dxa"/>
            <w:tcBorders>
              <w:top w:val="nil"/>
              <w:left w:val="nil"/>
              <w:bottom w:val="single" w:color="auto" w:sz="8" w:space="0"/>
              <w:right w:val="single" w:color="auto" w:sz="8" w:space="0"/>
            </w:tcBorders>
            <w:vAlign w:val="center"/>
          </w:tcPr>
          <w:p w14:paraId="5DF7E238">
            <w:pPr>
              <w:widowControl/>
              <w:jc w:val="left"/>
              <w:rPr>
                <w:rFonts w:hint="eastAsia" w:ascii="宋体" w:hAnsi="宋体" w:cs="宋体"/>
                <w:color w:val="000000"/>
                <w:kern w:val="0"/>
                <w:szCs w:val="21"/>
              </w:rPr>
            </w:pPr>
            <w:r>
              <w:rPr>
                <w:rFonts w:hint="eastAsia" w:ascii="宋体" w:hAnsi="宋体" w:cs="宋体"/>
                <w:color w:val="000000"/>
                <w:kern w:val="0"/>
                <w:szCs w:val="21"/>
              </w:rPr>
              <w:t>清洁保养，清除机箱、滤清器内的灰尘与异物;</w:t>
            </w:r>
          </w:p>
        </w:tc>
        <w:tc>
          <w:tcPr>
            <w:tcW w:w="810" w:type="dxa"/>
            <w:tcBorders>
              <w:top w:val="nil"/>
              <w:left w:val="nil"/>
              <w:bottom w:val="single" w:color="auto" w:sz="8" w:space="0"/>
              <w:right w:val="single" w:color="auto" w:sz="8" w:space="0"/>
            </w:tcBorders>
            <w:vAlign w:val="center"/>
          </w:tcPr>
          <w:p w14:paraId="09AE5B7C">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80" w:type="dxa"/>
            <w:tcBorders>
              <w:top w:val="nil"/>
              <w:left w:val="nil"/>
              <w:bottom w:val="single" w:color="auto" w:sz="8" w:space="0"/>
              <w:right w:val="single" w:color="auto" w:sz="8" w:space="0"/>
            </w:tcBorders>
            <w:vAlign w:val="center"/>
          </w:tcPr>
          <w:p w14:paraId="00F84F0F">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3FC56D3B">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2F547571">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134" w:type="dxa"/>
            <w:vMerge w:val="continue"/>
            <w:tcBorders>
              <w:top w:val="nil"/>
              <w:left w:val="single" w:color="auto" w:sz="8" w:space="0"/>
              <w:bottom w:val="single" w:color="000000" w:sz="8" w:space="0"/>
              <w:right w:val="single" w:color="auto" w:sz="8" w:space="0"/>
            </w:tcBorders>
            <w:vAlign w:val="center"/>
          </w:tcPr>
          <w:p w14:paraId="562A45C5">
            <w:pPr>
              <w:widowControl/>
              <w:jc w:val="left"/>
              <w:rPr>
                <w:rFonts w:hint="eastAsia" w:ascii="宋体" w:hAnsi="宋体" w:cs="宋体"/>
                <w:color w:val="000000"/>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14:paraId="2EC3689D">
            <w:pPr>
              <w:widowControl/>
              <w:jc w:val="left"/>
              <w:rPr>
                <w:rFonts w:hint="eastAsia" w:ascii="宋体" w:hAnsi="宋体" w:cs="宋体"/>
                <w:color w:val="000000"/>
                <w:kern w:val="0"/>
                <w:szCs w:val="21"/>
              </w:rPr>
            </w:pPr>
          </w:p>
        </w:tc>
        <w:tc>
          <w:tcPr>
            <w:tcW w:w="4356" w:type="dxa"/>
            <w:tcBorders>
              <w:top w:val="nil"/>
              <w:left w:val="nil"/>
              <w:bottom w:val="single" w:color="auto" w:sz="8" w:space="0"/>
              <w:right w:val="single" w:color="auto" w:sz="8" w:space="0"/>
            </w:tcBorders>
            <w:vAlign w:val="center"/>
          </w:tcPr>
          <w:p w14:paraId="199124E8">
            <w:pPr>
              <w:widowControl/>
              <w:jc w:val="left"/>
              <w:rPr>
                <w:rFonts w:hint="eastAsia" w:ascii="宋体" w:hAnsi="宋体" w:cs="宋体"/>
                <w:color w:val="000000"/>
                <w:kern w:val="0"/>
                <w:szCs w:val="21"/>
              </w:rPr>
            </w:pPr>
            <w:r>
              <w:rPr>
                <w:rFonts w:hint="eastAsia" w:ascii="宋体" w:hAnsi="宋体" w:cs="宋体"/>
                <w:color w:val="000000"/>
                <w:kern w:val="0"/>
                <w:szCs w:val="21"/>
              </w:rPr>
              <w:t>系统优化，协助客户对 OS 进行系统性能调整和系统优化，提高系统效率"</w:t>
            </w:r>
          </w:p>
        </w:tc>
        <w:tc>
          <w:tcPr>
            <w:tcW w:w="810" w:type="dxa"/>
            <w:tcBorders>
              <w:top w:val="nil"/>
              <w:left w:val="nil"/>
              <w:bottom w:val="single" w:color="auto" w:sz="8" w:space="0"/>
              <w:right w:val="single" w:color="auto" w:sz="8" w:space="0"/>
            </w:tcBorders>
            <w:vAlign w:val="center"/>
          </w:tcPr>
          <w:p w14:paraId="704191E6">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80" w:type="dxa"/>
            <w:tcBorders>
              <w:top w:val="nil"/>
              <w:left w:val="nil"/>
              <w:bottom w:val="single" w:color="auto" w:sz="8" w:space="0"/>
              <w:right w:val="single" w:color="auto" w:sz="8" w:space="0"/>
            </w:tcBorders>
            <w:vAlign w:val="center"/>
          </w:tcPr>
          <w:p w14:paraId="1E87188C">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6A584162">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13FC3705">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134" w:type="dxa"/>
            <w:vMerge w:val="continue"/>
            <w:tcBorders>
              <w:top w:val="nil"/>
              <w:left w:val="single" w:color="auto" w:sz="8" w:space="0"/>
              <w:bottom w:val="single" w:color="000000" w:sz="8" w:space="0"/>
              <w:right w:val="single" w:color="auto" w:sz="8" w:space="0"/>
            </w:tcBorders>
            <w:vAlign w:val="center"/>
          </w:tcPr>
          <w:p w14:paraId="4DD77256">
            <w:pPr>
              <w:widowControl/>
              <w:jc w:val="left"/>
              <w:rPr>
                <w:rFonts w:hint="eastAsia" w:ascii="宋体" w:hAnsi="宋体" w:cs="宋体"/>
                <w:color w:val="000000"/>
                <w:kern w:val="0"/>
                <w:szCs w:val="21"/>
              </w:rPr>
            </w:pPr>
          </w:p>
        </w:tc>
        <w:tc>
          <w:tcPr>
            <w:tcW w:w="1276" w:type="dxa"/>
            <w:tcBorders>
              <w:top w:val="nil"/>
              <w:left w:val="nil"/>
              <w:bottom w:val="single" w:color="auto" w:sz="8" w:space="0"/>
              <w:right w:val="single" w:color="auto" w:sz="8" w:space="0"/>
            </w:tcBorders>
            <w:vAlign w:val="center"/>
          </w:tcPr>
          <w:p w14:paraId="5D4A3DEF">
            <w:pPr>
              <w:widowControl/>
              <w:jc w:val="center"/>
              <w:rPr>
                <w:rFonts w:hint="eastAsia" w:ascii="宋体" w:hAnsi="宋体" w:cs="宋体"/>
                <w:color w:val="000000"/>
                <w:kern w:val="0"/>
                <w:szCs w:val="21"/>
              </w:rPr>
            </w:pPr>
            <w:r>
              <w:rPr>
                <w:rFonts w:hint="eastAsia" w:ascii="宋体" w:hAnsi="宋体" w:cs="宋体"/>
                <w:color w:val="000000"/>
                <w:kern w:val="0"/>
                <w:szCs w:val="21"/>
              </w:rPr>
              <w:t>ATS配电柜</w:t>
            </w:r>
          </w:p>
        </w:tc>
        <w:tc>
          <w:tcPr>
            <w:tcW w:w="4356" w:type="dxa"/>
            <w:tcBorders>
              <w:top w:val="nil"/>
              <w:left w:val="nil"/>
              <w:bottom w:val="single" w:color="auto" w:sz="8" w:space="0"/>
              <w:right w:val="single" w:color="auto" w:sz="8" w:space="0"/>
            </w:tcBorders>
            <w:vAlign w:val="center"/>
          </w:tcPr>
          <w:p w14:paraId="0436DADC">
            <w:pPr>
              <w:widowControl/>
              <w:jc w:val="left"/>
              <w:rPr>
                <w:rFonts w:hint="eastAsia" w:ascii="宋体" w:hAnsi="宋体" w:cs="宋体"/>
                <w:color w:val="000000"/>
                <w:kern w:val="0"/>
                <w:szCs w:val="21"/>
              </w:rPr>
            </w:pPr>
            <w:r>
              <w:rPr>
                <w:rFonts w:hint="eastAsia" w:ascii="宋体" w:hAnsi="宋体" w:cs="宋体"/>
                <w:color w:val="000000"/>
                <w:kern w:val="0"/>
                <w:szCs w:val="21"/>
              </w:rPr>
              <w:t>检测整个系统的运行参数，确保设备正常运行。</w:t>
            </w:r>
          </w:p>
        </w:tc>
        <w:tc>
          <w:tcPr>
            <w:tcW w:w="810" w:type="dxa"/>
            <w:tcBorders>
              <w:top w:val="nil"/>
              <w:left w:val="nil"/>
              <w:bottom w:val="single" w:color="auto" w:sz="8" w:space="0"/>
              <w:right w:val="single" w:color="auto" w:sz="8" w:space="0"/>
            </w:tcBorders>
            <w:vAlign w:val="center"/>
          </w:tcPr>
          <w:p w14:paraId="4776E604">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80" w:type="dxa"/>
            <w:tcBorders>
              <w:top w:val="nil"/>
              <w:left w:val="nil"/>
              <w:bottom w:val="single" w:color="auto" w:sz="8" w:space="0"/>
              <w:right w:val="single" w:color="auto" w:sz="8" w:space="0"/>
            </w:tcBorders>
            <w:vAlign w:val="center"/>
          </w:tcPr>
          <w:p w14:paraId="3762F4DB">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083BDA28">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56D145E9">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134" w:type="dxa"/>
            <w:vMerge w:val="continue"/>
            <w:tcBorders>
              <w:top w:val="nil"/>
              <w:left w:val="single" w:color="auto" w:sz="8" w:space="0"/>
              <w:bottom w:val="single" w:color="000000" w:sz="8" w:space="0"/>
              <w:right w:val="single" w:color="auto" w:sz="8" w:space="0"/>
            </w:tcBorders>
            <w:vAlign w:val="center"/>
          </w:tcPr>
          <w:p w14:paraId="3573D868">
            <w:pPr>
              <w:widowControl/>
              <w:jc w:val="left"/>
              <w:rPr>
                <w:rFonts w:hint="eastAsia" w:ascii="宋体" w:hAnsi="宋体" w:cs="宋体"/>
                <w:color w:val="000000"/>
                <w:kern w:val="0"/>
                <w:szCs w:val="21"/>
              </w:rPr>
            </w:pPr>
          </w:p>
        </w:tc>
        <w:tc>
          <w:tcPr>
            <w:tcW w:w="1276" w:type="dxa"/>
            <w:vMerge w:val="restart"/>
            <w:tcBorders>
              <w:top w:val="nil"/>
              <w:left w:val="single" w:color="auto" w:sz="8" w:space="0"/>
              <w:bottom w:val="single" w:color="000000" w:sz="8" w:space="0"/>
              <w:right w:val="single" w:color="auto" w:sz="8" w:space="0"/>
            </w:tcBorders>
            <w:vAlign w:val="center"/>
          </w:tcPr>
          <w:p w14:paraId="3841E2AD">
            <w:pPr>
              <w:widowControl/>
              <w:jc w:val="center"/>
              <w:rPr>
                <w:rFonts w:hint="eastAsia" w:ascii="宋体" w:hAnsi="宋体" w:cs="宋体"/>
                <w:color w:val="000000"/>
                <w:kern w:val="0"/>
                <w:szCs w:val="21"/>
              </w:rPr>
            </w:pPr>
            <w:r>
              <w:rPr>
                <w:rFonts w:hint="eastAsia" w:ascii="宋体" w:hAnsi="宋体" w:cs="宋体"/>
                <w:color w:val="000000"/>
                <w:kern w:val="0"/>
                <w:szCs w:val="21"/>
              </w:rPr>
              <w:t>UPS配电柜、UPS电池柜、UPS电池</w:t>
            </w:r>
          </w:p>
        </w:tc>
        <w:tc>
          <w:tcPr>
            <w:tcW w:w="4356" w:type="dxa"/>
            <w:tcBorders>
              <w:top w:val="nil"/>
              <w:left w:val="nil"/>
              <w:bottom w:val="single" w:color="auto" w:sz="8" w:space="0"/>
              <w:right w:val="single" w:color="auto" w:sz="8" w:space="0"/>
            </w:tcBorders>
            <w:vAlign w:val="center"/>
          </w:tcPr>
          <w:p w14:paraId="52A1D8F8">
            <w:pPr>
              <w:widowControl/>
              <w:jc w:val="left"/>
              <w:rPr>
                <w:rFonts w:hint="eastAsia" w:ascii="宋体" w:hAnsi="宋体" w:cs="宋体"/>
                <w:color w:val="000000"/>
                <w:kern w:val="0"/>
                <w:szCs w:val="21"/>
              </w:rPr>
            </w:pPr>
            <w:r>
              <w:rPr>
                <w:rFonts w:hint="eastAsia" w:ascii="宋体" w:hAnsi="宋体" w:cs="宋体"/>
                <w:color w:val="000000"/>
                <w:kern w:val="0"/>
                <w:szCs w:val="21"/>
              </w:rPr>
              <w:t>机组及电池柜进行内外部的彻底清扫。检测电池组/柜的完整性。测量设备的输入、输出电压及电流。</w:t>
            </w:r>
          </w:p>
        </w:tc>
        <w:tc>
          <w:tcPr>
            <w:tcW w:w="810" w:type="dxa"/>
            <w:tcBorders>
              <w:top w:val="nil"/>
              <w:left w:val="nil"/>
              <w:bottom w:val="single" w:color="auto" w:sz="8" w:space="0"/>
              <w:right w:val="single" w:color="auto" w:sz="8" w:space="0"/>
            </w:tcBorders>
            <w:vAlign w:val="center"/>
          </w:tcPr>
          <w:p w14:paraId="260D7EEF">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80" w:type="dxa"/>
            <w:tcBorders>
              <w:top w:val="nil"/>
              <w:left w:val="nil"/>
              <w:bottom w:val="single" w:color="auto" w:sz="8" w:space="0"/>
              <w:right w:val="single" w:color="auto" w:sz="8" w:space="0"/>
            </w:tcBorders>
            <w:vAlign w:val="center"/>
          </w:tcPr>
          <w:p w14:paraId="6ECB4C52">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573E536A">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7B2CE773">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134" w:type="dxa"/>
            <w:vMerge w:val="continue"/>
            <w:tcBorders>
              <w:top w:val="nil"/>
              <w:left w:val="single" w:color="auto" w:sz="8" w:space="0"/>
              <w:bottom w:val="single" w:color="000000" w:sz="8" w:space="0"/>
              <w:right w:val="single" w:color="auto" w:sz="8" w:space="0"/>
            </w:tcBorders>
            <w:vAlign w:val="center"/>
          </w:tcPr>
          <w:p w14:paraId="04B82C74">
            <w:pPr>
              <w:widowControl/>
              <w:jc w:val="left"/>
              <w:rPr>
                <w:rFonts w:hint="eastAsia" w:ascii="宋体" w:hAnsi="宋体" w:cs="宋体"/>
                <w:color w:val="000000"/>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14:paraId="288E136B">
            <w:pPr>
              <w:widowControl/>
              <w:jc w:val="left"/>
              <w:rPr>
                <w:rFonts w:hint="eastAsia" w:ascii="宋体" w:hAnsi="宋体" w:cs="宋体"/>
                <w:color w:val="000000"/>
                <w:kern w:val="0"/>
                <w:szCs w:val="21"/>
              </w:rPr>
            </w:pPr>
          </w:p>
        </w:tc>
        <w:tc>
          <w:tcPr>
            <w:tcW w:w="4356" w:type="dxa"/>
            <w:tcBorders>
              <w:top w:val="nil"/>
              <w:left w:val="nil"/>
              <w:bottom w:val="single" w:color="auto" w:sz="8" w:space="0"/>
              <w:right w:val="single" w:color="auto" w:sz="8" w:space="0"/>
            </w:tcBorders>
            <w:vAlign w:val="center"/>
          </w:tcPr>
          <w:p w14:paraId="6D8BA8F7">
            <w:pPr>
              <w:widowControl/>
              <w:jc w:val="left"/>
              <w:rPr>
                <w:rFonts w:hint="eastAsia" w:ascii="宋体" w:hAnsi="宋体" w:cs="宋体"/>
                <w:color w:val="000000"/>
                <w:kern w:val="0"/>
                <w:szCs w:val="21"/>
              </w:rPr>
            </w:pPr>
            <w:r>
              <w:rPr>
                <w:rFonts w:hint="eastAsia" w:ascii="宋体" w:hAnsi="宋体" w:cs="宋体"/>
                <w:color w:val="000000"/>
                <w:kern w:val="0"/>
                <w:szCs w:val="21"/>
              </w:rPr>
              <w:t>对块电池进行充放电测试，根据UPS开始放电时间与UPS电池低压保护关机时间，算出电池的供电时间，查看是否满足时间的配置需求。出具检测报告。</w:t>
            </w:r>
          </w:p>
        </w:tc>
        <w:tc>
          <w:tcPr>
            <w:tcW w:w="810" w:type="dxa"/>
            <w:tcBorders>
              <w:top w:val="nil"/>
              <w:left w:val="nil"/>
              <w:bottom w:val="single" w:color="auto" w:sz="8" w:space="0"/>
              <w:right w:val="single" w:color="auto" w:sz="8" w:space="0"/>
            </w:tcBorders>
            <w:vAlign w:val="center"/>
          </w:tcPr>
          <w:p w14:paraId="21DDF54E">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80" w:type="dxa"/>
            <w:tcBorders>
              <w:top w:val="nil"/>
              <w:left w:val="nil"/>
              <w:bottom w:val="single" w:color="auto" w:sz="8" w:space="0"/>
              <w:right w:val="single" w:color="auto" w:sz="8" w:space="0"/>
            </w:tcBorders>
            <w:vAlign w:val="center"/>
          </w:tcPr>
          <w:p w14:paraId="5B1888A0">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0736BE9A">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0D12FBED">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1134" w:type="dxa"/>
            <w:vMerge w:val="continue"/>
            <w:tcBorders>
              <w:top w:val="nil"/>
              <w:left w:val="single" w:color="auto" w:sz="8" w:space="0"/>
              <w:bottom w:val="single" w:color="000000" w:sz="8" w:space="0"/>
              <w:right w:val="single" w:color="auto" w:sz="8" w:space="0"/>
            </w:tcBorders>
            <w:vAlign w:val="center"/>
          </w:tcPr>
          <w:p w14:paraId="2C577496">
            <w:pPr>
              <w:widowControl/>
              <w:jc w:val="left"/>
              <w:rPr>
                <w:rFonts w:hint="eastAsia" w:ascii="宋体" w:hAnsi="宋体" w:cs="宋体"/>
                <w:color w:val="000000"/>
                <w:kern w:val="0"/>
                <w:szCs w:val="21"/>
              </w:rPr>
            </w:pPr>
          </w:p>
        </w:tc>
        <w:tc>
          <w:tcPr>
            <w:tcW w:w="1276" w:type="dxa"/>
            <w:tcBorders>
              <w:top w:val="nil"/>
              <w:left w:val="nil"/>
              <w:bottom w:val="single" w:color="auto" w:sz="8" w:space="0"/>
              <w:right w:val="single" w:color="auto" w:sz="8" w:space="0"/>
            </w:tcBorders>
            <w:vAlign w:val="center"/>
          </w:tcPr>
          <w:p w14:paraId="32206EE4">
            <w:pPr>
              <w:widowControl/>
              <w:jc w:val="center"/>
              <w:rPr>
                <w:rFonts w:hint="eastAsia" w:ascii="宋体" w:hAnsi="宋体" w:cs="宋体"/>
                <w:color w:val="000000"/>
                <w:kern w:val="0"/>
                <w:szCs w:val="21"/>
              </w:rPr>
            </w:pPr>
            <w:r>
              <w:rPr>
                <w:rFonts w:hint="eastAsia" w:ascii="宋体" w:hAnsi="宋体" w:cs="宋体"/>
                <w:color w:val="000000"/>
                <w:kern w:val="0"/>
                <w:szCs w:val="21"/>
              </w:rPr>
              <w:t>精密空调</w:t>
            </w:r>
          </w:p>
        </w:tc>
        <w:tc>
          <w:tcPr>
            <w:tcW w:w="4356" w:type="dxa"/>
            <w:tcBorders>
              <w:top w:val="nil"/>
              <w:left w:val="nil"/>
              <w:bottom w:val="single" w:color="auto" w:sz="8" w:space="0"/>
              <w:right w:val="single" w:color="auto" w:sz="8" w:space="0"/>
            </w:tcBorders>
            <w:vAlign w:val="center"/>
          </w:tcPr>
          <w:p w14:paraId="214AF6D9">
            <w:pPr>
              <w:widowControl/>
              <w:jc w:val="left"/>
              <w:rPr>
                <w:rFonts w:hint="eastAsia" w:ascii="宋体" w:hAnsi="宋体" w:cs="宋体"/>
                <w:color w:val="000000"/>
                <w:kern w:val="0"/>
                <w:szCs w:val="21"/>
              </w:rPr>
            </w:pPr>
            <w:r>
              <w:rPr>
                <w:rFonts w:hint="eastAsia" w:ascii="宋体" w:hAnsi="宋体" w:cs="宋体"/>
                <w:color w:val="000000"/>
                <w:kern w:val="0"/>
                <w:szCs w:val="21"/>
              </w:rPr>
              <w:t>空调控制系统的显示屏上检查空调系统的各项功能及参数是否正常:对压缩机和加湿器等部件进行检测维护。对室外室内机进行清洗，维护，进出水管道检查清洁。</w:t>
            </w:r>
          </w:p>
        </w:tc>
        <w:tc>
          <w:tcPr>
            <w:tcW w:w="810" w:type="dxa"/>
            <w:tcBorders>
              <w:top w:val="nil"/>
              <w:left w:val="nil"/>
              <w:bottom w:val="single" w:color="auto" w:sz="8" w:space="0"/>
              <w:right w:val="single" w:color="auto" w:sz="8" w:space="0"/>
            </w:tcBorders>
            <w:vAlign w:val="center"/>
          </w:tcPr>
          <w:p w14:paraId="53ECAA63">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80" w:type="dxa"/>
            <w:tcBorders>
              <w:top w:val="nil"/>
              <w:left w:val="nil"/>
              <w:bottom w:val="single" w:color="auto" w:sz="8" w:space="0"/>
              <w:right w:val="single" w:color="auto" w:sz="8" w:space="0"/>
            </w:tcBorders>
            <w:vAlign w:val="center"/>
          </w:tcPr>
          <w:p w14:paraId="395183B6">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73A1B0A8">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5A3AD97C">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1134" w:type="dxa"/>
            <w:vMerge w:val="continue"/>
            <w:tcBorders>
              <w:top w:val="nil"/>
              <w:left w:val="single" w:color="auto" w:sz="8" w:space="0"/>
              <w:bottom w:val="single" w:color="000000" w:sz="8" w:space="0"/>
              <w:right w:val="single" w:color="auto" w:sz="8" w:space="0"/>
            </w:tcBorders>
            <w:vAlign w:val="center"/>
          </w:tcPr>
          <w:p w14:paraId="1EB64516">
            <w:pPr>
              <w:widowControl/>
              <w:jc w:val="left"/>
              <w:rPr>
                <w:rFonts w:hint="eastAsia" w:ascii="宋体" w:hAnsi="宋体" w:cs="宋体"/>
                <w:color w:val="000000"/>
                <w:kern w:val="0"/>
                <w:szCs w:val="21"/>
              </w:rPr>
            </w:pPr>
          </w:p>
        </w:tc>
        <w:tc>
          <w:tcPr>
            <w:tcW w:w="1276" w:type="dxa"/>
            <w:tcBorders>
              <w:top w:val="nil"/>
              <w:left w:val="nil"/>
              <w:bottom w:val="single" w:color="auto" w:sz="8" w:space="0"/>
              <w:right w:val="single" w:color="auto" w:sz="8" w:space="0"/>
            </w:tcBorders>
            <w:vAlign w:val="center"/>
          </w:tcPr>
          <w:p w14:paraId="51852B11">
            <w:pPr>
              <w:widowControl/>
              <w:jc w:val="center"/>
              <w:rPr>
                <w:rFonts w:hint="eastAsia" w:ascii="宋体" w:hAnsi="宋体" w:cs="宋体"/>
                <w:color w:val="000000"/>
                <w:kern w:val="0"/>
                <w:szCs w:val="21"/>
              </w:rPr>
            </w:pPr>
            <w:r>
              <w:rPr>
                <w:rFonts w:hint="eastAsia" w:ascii="宋体" w:hAnsi="宋体" w:cs="宋体"/>
                <w:color w:val="000000"/>
                <w:kern w:val="0"/>
                <w:szCs w:val="21"/>
              </w:rPr>
              <w:t>网络及安全类设备</w:t>
            </w:r>
          </w:p>
        </w:tc>
        <w:tc>
          <w:tcPr>
            <w:tcW w:w="4356" w:type="dxa"/>
            <w:tcBorders>
              <w:top w:val="nil"/>
              <w:left w:val="nil"/>
              <w:bottom w:val="single" w:color="auto" w:sz="8" w:space="0"/>
              <w:right w:val="single" w:color="auto" w:sz="8" w:space="0"/>
            </w:tcBorders>
            <w:vAlign w:val="center"/>
          </w:tcPr>
          <w:p w14:paraId="7CD20F5A">
            <w:pPr>
              <w:widowControl/>
              <w:jc w:val="left"/>
              <w:rPr>
                <w:rFonts w:hint="eastAsia" w:ascii="宋体" w:hAnsi="宋体" w:cs="宋体"/>
                <w:color w:val="000000"/>
                <w:kern w:val="0"/>
                <w:szCs w:val="21"/>
              </w:rPr>
            </w:pPr>
            <w:r>
              <w:rPr>
                <w:rFonts w:hint="eastAsia" w:ascii="宋体" w:hAnsi="宋体" w:cs="宋体"/>
                <w:color w:val="000000"/>
                <w:kern w:val="0"/>
                <w:szCs w:val="21"/>
              </w:rPr>
              <w:t>安全设备的清洁维护。并对每类设备进行逐一检测，保持防火墙等设备软件的及时更新和升级，以获取最新的漏洞修复和安全补丁。定期审核软件配置和规则，确保配置的正确性和完整性确保系统版本及授权等为最新版本。并协助客户进行必要的的升级维护。</w:t>
            </w:r>
          </w:p>
        </w:tc>
        <w:tc>
          <w:tcPr>
            <w:tcW w:w="810" w:type="dxa"/>
            <w:tcBorders>
              <w:top w:val="nil"/>
              <w:left w:val="nil"/>
              <w:bottom w:val="single" w:color="auto" w:sz="8" w:space="0"/>
              <w:right w:val="single" w:color="auto" w:sz="8" w:space="0"/>
            </w:tcBorders>
            <w:vAlign w:val="center"/>
          </w:tcPr>
          <w:p w14:paraId="21A3EA48">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80" w:type="dxa"/>
            <w:tcBorders>
              <w:top w:val="nil"/>
              <w:left w:val="nil"/>
              <w:bottom w:val="single" w:color="auto" w:sz="8" w:space="0"/>
              <w:right w:val="single" w:color="auto" w:sz="8" w:space="0"/>
            </w:tcBorders>
            <w:vAlign w:val="center"/>
          </w:tcPr>
          <w:p w14:paraId="285F85EE">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2A0422FA">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1D031BE3">
            <w:pPr>
              <w:widowControl/>
              <w:jc w:val="center"/>
              <w:rPr>
                <w:rFonts w:hint="eastAsia" w:ascii="宋体" w:hAnsi="宋体" w:cs="宋体"/>
                <w:color w:val="000000"/>
                <w:kern w:val="0"/>
                <w:szCs w:val="21"/>
              </w:rPr>
            </w:pPr>
            <w:r>
              <w:rPr>
                <w:rFonts w:hint="eastAsia" w:ascii="宋体" w:hAnsi="宋体" w:cs="宋体"/>
                <w:color w:val="000000"/>
                <w:kern w:val="0"/>
                <w:szCs w:val="21"/>
              </w:rPr>
              <w:t>9</w:t>
            </w:r>
          </w:p>
        </w:tc>
        <w:tc>
          <w:tcPr>
            <w:tcW w:w="1134" w:type="dxa"/>
            <w:vMerge w:val="restart"/>
            <w:tcBorders>
              <w:top w:val="nil"/>
              <w:left w:val="single" w:color="auto" w:sz="8" w:space="0"/>
              <w:bottom w:val="single" w:color="000000" w:sz="8" w:space="0"/>
              <w:right w:val="single" w:color="auto" w:sz="8" w:space="0"/>
            </w:tcBorders>
            <w:vAlign w:val="center"/>
          </w:tcPr>
          <w:p w14:paraId="1B519AE0">
            <w:pPr>
              <w:widowControl/>
              <w:jc w:val="center"/>
              <w:rPr>
                <w:rFonts w:hint="eastAsia" w:ascii="宋体" w:hAnsi="宋体" w:cs="宋体"/>
                <w:color w:val="000000"/>
                <w:kern w:val="0"/>
                <w:szCs w:val="21"/>
              </w:rPr>
            </w:pPr>
            <w:r>
              <w:rPr>
                <w:rFonts w:hint="eastAsia" w:ascii="宋体" w:hAnsi="宋体" w:cs="宋体"/>
                <w:color w:val="000000"/>
                <w:kern w:val="0"/>
                <w:szCs w:val="21"/>
              </w:rPr>
              <w:t>安全运维</w:t>
            </w:r>
          </w:p>
        </w:tc>
        <w:tc>
          <w:tcPr>
            <w:tcW w:w="1276" w:type="dxa"/>
            <w:tcBorders>
              <w:top w:val="nil"/>
              <w:left w:val="nil"/>
              <w:bottom w:val="single" w:color="auto" w:sz="8" w:space="0"/>
              <w:right w:val="single" w:color="auto" w:sz="8" w:space="0"/>
            </w:tcBorders>
            <w:vAlign w:val="center"/>
          </w:tcPr>
          <w:p w14:paraId="24AF3AD3">
            <w:pPr>
              <w:widowControl/>
              <w:jc w:val="center"/>
              <w:rPr>
                <w:rFonts w:hint="eastAsia" w:ascii="宋体" w:hAnsi="宋体" w:cs="宋体"/>
                <w:color w:val="000000"/>
                <w:kern w:val="0"/>
                <w:szCs w:val="21"/>
              </w:rPr>
            </w:pPr>
            <w:r>
              <w:rPr>
                <w:rFonts w:hint="eastAsia" w:ascii="宋体" w:hAnsi="宋体" w:cs="宋体"/>
                <w:color w:val="000000"/>
                <w:kern w:val="0"/>
                <w:szCs w:val="21"/>
              </w:rPr>
              <w:t>脆弱性测试</w:t>
            </w:r>
          </w:p>
        </w:tc>
        <w:tc>
          <w:tcPr>
            <w:tcW w:w="4356" w:type="dxa"/>
            <w:tcBorders>
              <w:top w:val="nil"/>
              <w:left w:val="nil"/>
              <w:bottom w:val="single" w:color="auto" w:sz="8" w:space="0"/>
              <w:right w:val="single" w:color="auto" w:sz="8" w:space="0"/>
            </w:tcBorders>
            <w:vAlign w:val="center"/>
          </w:tcPr>
          <w:p w14:paraId="71707403">
            <w:pPr>
              <w:widowControl/>
              <w:jc w:val="left"/>
              <w:rPr>
                <w:rFonts w:hint="eastAsia" w:ascii="宋体" w:hAnsi="宋体" w:cs="宋体"/>
                <w:color w:val="000000"/>
                <w:kern w:val="0"/>
                <w:szCs w:val="21"/>
              </w:rPr>
            </w:pPr>
            <w:r>
              <w:rPr>
                <w:rFonts w:hint="eastAsia" w:ascii="宋体" w:hAnsi="宋体" w:cs="宋体"/>
                <w:color w:val="000000"/>
                <w:kern w:val="0"/>
                <w:szCs w:val="21"/>
              </w:rPr>
              <w:t>应用系统、数据库等，进行安全检测，以发现在网络、运维器策略配置等层面存在的安全隐患，为安全优化工作提供建设依据</w:t>
            </w:r>
          </w:p>
        </w:tc>
        <w:tc>
          <w:tcPr>
            <w:tcW w:w="810" w:type="dxa"/>
            <w:tcBorders>
              <w:top w:val="nil"/>
              <w:left w:val="nil"/>
              <w:bottom w:val="single" w:color="auto" w:sz="8" w:space="0"/>
              <w:right w:val="single" w:color="auto" w:sz="8" w:space="0"/>
            </w:tcBorders>
            <w:vAlign w:val="center"/>
          </w:tcPr>
          <w:p w14:paraId="021F7C3F">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80" w:type="dxa"/>
            <w:tcBorders>
              <w:top w:val="nil"/>
              <w:left w:val="nil"/>
              <w:bottom w:val="single" w:color="auto" w:sz="8" w:space="0"/>
              <w:right w:val="single" w:color="auto" w:sz="8" w:space="0"/>
            </w:tcBorders>
            <w:vAlign w:val="center"/>
          </w:tcPr>
          <w:p w14:paraId="0CEE38C2">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3B7C3BB8">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7BBE99A3">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134" w:type="dxa"/>
            <w:vMerge w:val="continue"/>
            <w:tcBorders>
              <w:top w:val="nil"/>
              <w:left w:val="single" w:color="auto" w:sz="8" w:space="0"/>
              <w:bottom w:val="single" w:color="000000" w:sz="8" w:space="0"/>
              <w:right w:val="single" w:color="auto" w:sz="8" w:space="0"/>
            </w:tcBorders>
            <w:vAlign w:val="center"/>
          </w:tcPr>
          <w:p w14:paraId="5A190873">
            <w:pPr>
              <w:widowControl/>
              <w:jc w:val="left"/>
              <w:rPr>
                <w:rFonts w:hint="eastAsia" w:ascii="宋体" w:hAnsi="宋体" w:cs="宋体"/>
                <w:color w:val="000000"/>
                <w:kern w:val="0"/>
                <w:szCs w:val="21"/>
              </w:rPr>
            </w:pPr>
          </w:p>
        </w:tc>
        <w:tc>
          <w:tcPr>
            <w:tcW w:w="1276" w:type="dxa"/>
            <w:tcBorders>
              <w:top w:val="nil"/>
              <w:left w:val="nil"/>
              <w:bottom w:val="single" w:color="auto" w:sz="8" w:space="0"/>
              <w:right w:val="single" w:color="auto" w:sz="8" w:space="0"/>
            </w:tcBorders>
            <w:vAlign w:val="center"/>
          </w:tcPr>
          <w:p w14:paraId="0D65FA2C">
            <w:pPr>
              <w:widowControl/>
              <w:jc w:val="center"/>
              <w:rPr>
                <w:rFonts w:hint="eastAsia" w:ascii="宋体" w:hAnsi="宋体" w:cs="宋体"/>
                <w:color w:val="000000"/>
                <w:kern w:val="0"/>
                <w:szCs w:val="21"/>
              </w:rPr>
            </w:pPr>
            <w:r>
              <w:rPr>
                <w:rFonts w:hint="eastAsia" w:ascii="宋体" w:hAnsi="宋体" w:cs="宋体"/>
                <w:color w:val="000000"/>
                <w:kern w:val="0"/>
                <w:szCs w:val="21"/>
              </w:rPr>
              <w:t>漏洞扫描</w:t>
            </w:r>
          </w:p>
        </w:tc>
        <w:tc>
          <w:tcPr>
            <w:tcW w:w="4356" w:type="dxa"/>
            <w:tcBorders>
              <w:top w:val="nil"/>
              <w:left w:val="nil"/>
              <w:bottom w:val="single" w:color="auto" w:sz="8" w:space="0"/>
              <w:right w:val="single" w:color="auto" w:sz="8" w:space="0"/>
            </w:tcBorders>
            <w:vAlign w:val="center"/>
          </w:tcPr>
          <w:p w14:paraId="1C3B2E06">
            <w:pPr>
              <w:widowControl/>
              <w:jc w:val="left"/>
              <w:rPr>
                <w:rFonts w:hint="eastAsia" w:ascii="宋体" w:hAnsi="宋体" w:cs="宋体"/>
                <w:color w:val="000000"/>
                <w:kern w:val="0"/>
                <w:szCs w:val="21"/>
              </w:rPr>
            </w:pPr>
            <w:r>
              <w:rPr>
                <w:rFonts w:hint="eastAsia" w:ascii="宋体" w:hAnsi="宋体" w:cs="宋体"/>
                <w:color w:val="000000"/>
                <w:kern w:val="0"/>
                <w:szCs w:val="21"/>
              </w:rPr>
              <w:t>漏洞扫描，发现扫描对象存在的web应用漏洞、主机操作系统漏洞、数据库漏洞、逻辑缺陷、弱口令、信息泄露等脆弱性问题，生成相关报告并提供加固建议</w:t>
            </w:r>
          </w:p>
        </w:tc>
        <w:tc>
          <w:tcPr>
            <w:tcW w:w="810" w:type="dxa"/>
            <w:tcBorders>
              <w:top w:val="nil"/>
              <w:left w:val="nil"/>
              <w:bottom w:val="single" w:color="auto" w:sz="8" w:space="0"/>
              <w:right w:val="single" w:color="auto" w:sz="8" w:space="0"/>
            </w:tcBorders>
            <w:vAlign w:val="center"/>
          </w:tcPr>
          <w:p w14:paraId="25614CF6">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80" w:type="dxa"/>
            <w:tcBorders>
              <w:top w:val="nil"/>
              <w:left w:val="nil"/>
              <w:bottom w:val="single" w:color="auto" w:sz="8" w:space="0"/>
              <w:right w:val="single" w:color="auto" w:sz="8" w:space="0"/>
            </w:tcBorders>
            <w:vAlign w:val="center"/>
          </w:tcPr>
          <w:p w14:paraId="20D2365C">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3D3D3898">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280BC295">
            <w:pPr>
              <w:widowControl/>
              <w:jc w:val="center"/>
              <w:rPr>
                <w:rFonts w:hint="eastAsia" w:ascii="宋体" w:hAnsi="宋体" w:cs="宋体"/>
                <w:color w:val="000000"/>
                <w:kern w:val="0"/>
                <w:szCs w:val="21"/>
              </w:rPr>
            </w:pPr>
            <w:r>
              <w:rPr>
                <w:rFonts w:hint="eastAsia" w:ascii="宋体" w:hAnsi="宋体" w:cs="宋体"/>
                <w:color w:val="000000"/>
                <w:kern w:val="0"/>
                <w:szCs w:val="21"/>
              </w:rPr>
              <w:t>11</w:t>
            </w:r>
          </w:p>
        </w:tc>
        <w:tc>
          <w:tcPr>
            <w:tcW w:w="1134" w:type="dxa"/>
            <w:vMerge w:val="continue"/>
            <w:tcBorders>
              <w:top w:val="nil"/>
              <w:left w:val="single" w:color="auto" w:sz="8" w:space="0"/>
              <w:bottom w:val="single" w:color="000000" w:sz="8" w:space="0"/>
              <w:right w:val="single" w:color="auto" w:sz="8" w:space="0"/>
            </w:tcBorders>
            <w:vAlign w:val="center"/>
          </w:tcPr>
          <w:p w14:paraId="6634A591">
            <w:pPr>
              <w:widowControl/>
              <w:jc w:val="left"/>
              <w:rPr>
                <w:rFonts w:hint="eastAsia" w:ascii="宋体" w:hAnsi="宋体" w:cs="宋体"/>
                <w:color w:val="000000"/>
                <w:kern w:val="0"/>
                <w:szCs w:val="21"/>
              </w:rPr>
            </w:pPr>
          </w:p>
        </w:tc>
        <w:tc>
          <w:tcPr>
            <w:tcW w:w="1276" w:type="dxa"/>
            <w:tcBorders>
              <w:top w:val="nil"/>
              <w:left w:val="nil"/>
              <w:bottom w:val="single" w:color="auto" w:sz="8" w:space="0"/>
              <w:right w:val="single" w:color="auto" w:sz="8" w:space="0"/>
            </w:tcBorders>
            <w:vAlign w:val="center"/>
          </w:tcPr>
          <w:p w14:paraId="0CC0AAE8">
            <w:pPr>
              <w:widowControl/>
              <w:jc w:val="center"/>
              <w:rPr>
                <w:rFonts w:hint="eastAsia" w:ascii="宋体" w:hAnsi="宋体" w:cs="宋体"/>
                <w:color w:val="000000"/>
                <w:kern w:val="0"/>
                <w:szCs w:val="21"/>
              </w:rPr>
            </w:pPr>
            <w:r>
              <w:rPr>
                <w:rFonts w:hint="eastAsia" w:ascii="宋体" w:hAnsi="宋体" w:cs="宋体"/>
                <w:color w:val="000000"/>
                <w:kern w:val="0"/>
                <w:szCs w:val="21"/>
              </w:rPr>
              <w:t>日志分析</w:t>
            </w:r>
          </w:p>
        </w:tc>
        <w:tc>
          <w:tcPr>
            <w:tcW w:w="4356" w:type="dxa"/>
            <w:tcBorders>
              <w:top w:val="nil"/>
              <w:left w:val="nil"/>
              <w:bottom w:val="single" w:color="auto" w:sz="8" w:space="0"/>
              <w:right w:val="single" w:color="auto" w:sz="8" w:space="0"/>
            </w:tcBorders>
            <w:vAlign w:val="center"/>
          </w:tcPr>
          <w:p w14:paraId="56694A17">
            <w:pPr>
              <w:widowControl/>
              <w:jc w:val="left"/>
              <w:rPr>
                <w:rFonts w:hint="eastAsia" w:ascii="宋体" w:hAnsi="宋体" w:cs="宋体"/>
                <w:color w:val="000000"/>
                <w:kern w:val="0"/>
                <w:szCs w:val="21"/>
              </w:rPr>
            </w:pPr>
            <w:r>
              <w:rPr>
                <w:rFonts w:hint="eastAsia" w:ascii="宋体" w:hAnsi="宋体" w:cs="宋体"/>
                <w:color w:val="000000"/>
                <w:kern w:val="0"/>
                <w:szCs w:val="21"/>
              </w:rPr>
              <w:t>通过收集用户网络中的运维器、网络设备、安全设备等的日志信息，进行关联分析，发现潜在的威胁和未知的入侵行为。</w:t>
            </w:r>
          </w:p>
        </w:tc>
        <w:tc>
          <w:tcPr>
            <w:tcW w:w="810" w:type="dxa"/>
            <w:tcBorders>
              <w:top w:val="nil"/>
              <w:left w:val="nil"/>
              <w:bottom w:val="single" w:color="auto" w:sz="8" w:space="0"/>
              <w:right w:val="single" w:color="auto" w:sz="8" w:space="0"/>
            </w:tcBorders>
            <w:vAlign w:val="center"/>
          </w:tcPr>
          <w:p w14:paraId="204C3CF5">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80" w:type="dxa"/>
            <w:tcBorders>
              <w:top w:val="nil"/>
              <w:left w:val="nil"/>
              <w:bottom w:val="single" w:color="auto" w:sz="8" w:space="0"/>
              <w:right w:val="single" w:color="auto" w:sz="8" w:space="0"/>
            </w:tcBorders>
            <w:vAlign w:val="center"/>
          </w:tcPr>
          <w:p w14:paraId="27CB4C5C">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0A88ECC0">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70B0EA85">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1134" w:type="dxa"/>
            <w:vMerge w:val="continue"/>
            <w:tcBorders>
              <w:top w:val="nil"/>
              <w:left w:val="single" w:color="auto" w:sz="8" w:space="0"/>
              <w:bottom w:val="single" w:color="000000" w:sz="8" w:space="0"/>
              <w:right w:val="single" w:color="auto" w:sz="8" w:space="0"/>
            </w:tcBorders>
            <w:vAlign w:val="center"/>
          </w:tcPr>
          <w:p w14:paraId="4E21DF36">
            <w:pPr>
              <w:widowControl/>
              <w:jc w:val="left"/>
              <w:rPr>
                <w:rFonts w:hint="eastAsia" w:ascii="宋体" w:hAnsi="宋体" w:cs="宋体"/>
                <w:color w:val="000000"/>
                <w:kern w:val="0"/>
                <w:szCs w:val="21"/>
              </w:rPr>
            </w:pPr>
          </w:p>
        </w:tc>
        <w:tc>
          <w:tcPr>
            <w:tcW w:w="1276" w:type="dxa"/>
            <w:tcBorders>
              <w:top w:val="nil"/>
              <w:left w:val="nil"/>
              <w:bottom w:val="single" w:color="auto" w:sz="8" w:space="0"/>
              <w:right w:val="single" w:color="auto" w:sz="8" w:space="0"/>
            </w:tcBorders>
            <w:vAlign w:val="center"/>
          </w:tcPr>
          <w:p w14:paraId="047CEDDE">
            <w:pPr>
              <w:widowControl/>
              <w:jc w:val="center"/>
              <w:rPr>
                <w:rFonts w:hint="eastAsia" w:ascii="宋体" w:hAnsi="宋体" w:cs="宋体"/>
                <w:color w:val="000000"/>
                <w:kern w:val="0"/>
                <w:szCs w:val="21"/>
              </w:rPr>
            </w:pPr>
            <w:r>
              <w:rPr>
                <w:rFonts w:hint="eastAsia" w:ascii="宋体" w:hAnsi="宋体" w:cs="宋体"/>
                <w:color w:val="000000"/>
                <w:kern w:val="0"/>
                <w:szCs w:val="21"/>
              </w:rPr>
              <w:t>策略调优</w:t>
            </w:r>
          </w:p>
        </w:tc>
        <w:tc>
          <w:tcPr>
            <w:tcW w:w="4356" w:type="dxa"/>
            <w:tcBorders>
              <w:top w:val="nil"/>
              <w:left w:val="nil"/>
              <w:bottom w:val="single" w:color="auto" w:sz="8" w:space="0"/>
              <w:right w:val="single" w:color="auto" w:sz="8" w:space="0"/>
            </w:tcBorders>
            <w:vAlign w:val="center"/>
          </w:tcPr>
          <w:p w14:paraId="47BE098E">
            <w:pPr>
              <w:widowControl/>
              <w:jc w:val="left"/>
              <w:rPr>
                <w:rFonts w:hint="eastAsia" w:ascii="宋体" w:hAnsi="宋体" w:cs="宋体"/>
                <w:color w:val="000000"/>
                <w:kern w:val="0"/>
                <w:szCs w:val="21"/>
              </w:rPr>
            </w:pPr>
            <w:r>
              <w:rPr>
                <w:rFonts w:hint="eastAsia" w:ascii="宋体" w:hAnsi="宋体" w:cs="宋体"/>
                <w:color w:val="000000"/>
                <w:kern w:val="0"/>
                <w:szCs w:val="21"/>
              </w:rPr>
              <w:t>随着数据采集点的增多，业务系统的增加和升级，需从新配置运维器，交换机及安全产品的网络架构及策略，期间需协调各方技术人员到场配合工作。</w:t>
            </w:r>
          </w:p>
        </w:tc>
        <w:tc>
          <w:tcPr>
            <w:tcW w:w="810" w:type="dxa"/>
            <w:tcBorders>
              <w:top w:val="nil"/>
              <w:left w:val="nil"/>
              <w:bottom w:val="single" w:color="auto" w:sz="8" w:space="0"/>
              <w:right w:val="single" w:color="auto" w:sz="8" w:space="0"/>
            </w:tcBorders>
            <w:vAlign w:val="center"/>
          </w:tcPr>
          <w:p w14:paraId="6081775B">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80" w:type="dxa"/>
            <w:tcBorders>
              <w:top w:val="nil"/>
              <w:left w:val="nil"/>
              <w:bottom w:val="single" w:color="auto" w:sz="8" w:space="0"/>
              <w:right w:val="single" w:color="auto" w:sz="8" w:space="0"/>
            </w:tcBorders>
            <w:vAlign w:val="center"/>
          </w:tcPr>
          <w:p w14:paraId="61CCD80A">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35E0DD1A">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41EF318E">
            <w:pPr>
              <w:widowControl/>
              <w:jc w:val="center"/>
              <w:rPr>
                <w:rFonts w:hint="eastAsia" w:ascii="宋体" w:hAnsi="宋体" w:cs="宋体"/>
                <w:color w:val="000000"/>
                <w:kern w:val="0"/>
                <w:szCs w:val="21"/>
              </w:rPr>
            </w:pPr>
            <w:r>
              <w:rPr>
                <w:rFonts w:hint="eastAsia" w:ascii="宋体" w:hAnsi="宋体" w:cs="宋体"/>
                <w:color w:val="000000"/>
                <w:kern w:val="0"/>
                <w:szCs w:val="21"/>
              </w:rPr>
              <w:t>13</w:t>
            </w:r>
          </w:p>
        </w:tc>
        <w:tc>
          <w:tcPr>
            <w:tcW w:w="1134" w:type="dxa"/>
            <w:vMerge w:val="continue"/>
            <w:tcBorders>
              <w:top w:val="nil"/>
              <w:left w:val="single" w:color="auto" w:sz="8" w:space="0"/>
              <w:bottom w:val="single" w:color="000000" w:sz="8" w:space="0"/>
              <w:right w:val="single" w:color="auto" w:sz="8" w:space="0"/>
            </w:tcBorders>
            <w:vAlign w:val="center"/>
          </w:tcPr>
          <w:p w14:paraId="104CEA15">
            <w:pPr>
              <w:widowControl/>
              <w:jc w:val="left"/>
              <w:rPr>
                <w:rFonts w:hint="eastAsia" w:ascii="宋体" w:hAnsi="宋体" w:cs="宋体"/>
                <w:color w:val="000000"/>
                <w:kern w:val="0"/>
                <w:szCs w:val="21"/>
              </w:rPr>
            </w:pPr>
          </w:p>
        </w:tc>
        <w:tc>
          <w:tcPr>
            <w:tcW w:w="1276" w:type="dxa"/>
            <w:tcBorders>
              <w:top w:val="nil"/>
              <w:left w:val="nil"/>
              <w:bottom w:val="single" w:color="auto" w:sz="8" w:space="0"/>
              <w:right w:val="single" w:color="auto" w:sz="8" w:space="0"/>
            </w:tcBorders>
            <w:vAlign w:val="center"/>
          </w:tcPr>
          <w:p w14:paraId="71BCE4C5">
            <w:pPr>
              <w:widowControl/>
              <w:jc w:val="center"/>
              <w:rPr>
                <w:rFonts w:hint="eastAsia" w:ascii="宋体" w:hAnsi="宋体" w:cs="宋体"/>
                <w:color w:val="000000"/>
                <w:kern w:val="0"/>
                <w:szCs w:val="21"/>
              </w:rPr>
            </w:pPr>
            <w:r>
              <w:rPr>
                <w:rFonts w:hint="eastAsia" w:ascii="宋体" w:hAnsi="宋体" w:cs="宋体"/>
                <w:color w:val="000000"/>
                <w:kern w:val="0"/>
                <w:szCs w:val="21"/>
              </w:rPr>
              <w:t>弱口令检测</w:t>
            </w:r>
          </w:p>
        </w:tc>
        <w:tc>
          <w:tcPr>
            <w:tcW w:w="4356" w:type="dxa"/>
            <w:tcBorders>
              <w:top w:val="nil"/>
              <w:left w:val="nil"/>
              <w:bottom w:val="single" w:color="auto" w:sz="8" w:space="0"/>
              <w:right w:val="single" w:color="auto" w:sz="8" w:space="0"/>
            </w:tcBorders>
            <w:vAlign w:val="center"/>
          </w:tcPr>
          <w:p w14:paraId="76A13BCB">
            <w:pPr>
              <w:widowControl/>
              <w:jc w:val="left"/>
              <w:rPr>
                <w:rFonts w:hint="eastAsia" w:ascii="宋体" w:hAnsi="宋体" w:cs="宋体"/>
                <w:color w:val="000000"/>
                <w:kern w:val="0"/>
                <w:szCs w:val="21"/>
              </w:rPr>
            </w:pPr>
            <w:r>
              <w:rPr>
                <w:rFonts w:hint="eastAsia" w:ascii="宋体" w:hAnsi="宋体" w:cs="宋体"/>
                <w:color w:val="000000"/>
                <w:kern w:val="0"/>
                <w:szCs w:val="21"/>
              </w:rPr>
              <w:t>针对内外网系统进行弱口令检测工作。每3月更换一次。</w:t>
            </w:r>
          </w:p>
        </w:tc>
        <w:tc>
          <w:tcPr>
            <w:tcW w:w="810" w:type="dxa"/>
            <w:tcBorders>
              <w:top w:val="nil"/>
              <w:left w:val="nil"/>
              <w:bottom w:val="single" w:color="auto" w:sz="8" w:space="0"/>
              <w:right w:val="single" w:color="auto" w:sz="8" w:space="0"/>
            </w:tcBorders>
            <w:vAlign w:val="center"/>
          </w:tcPr>
          <w:p w14:paraId="227FE00C">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80" w:type="dxa"/>
            <w:tcBorders>
              <w:top w:val="nil"/>
              <w:left w:val="nil"/>
              <w:bottom w:val="single" w:color="auto" w:sz="8" w:space="0"/>
              <w:right w:val="single" w:color="auto" w:sz="8" w:space="0"/>
            </w:tcBorders>
            <w:vAlign w:val="center"/>
          </w:tcPr>
          <w:p w14:paraId="1EC2E53B">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bl>
    <w:p w14:paraId="0E8F1207">
      <w:pPr>
        <w:autoSpaceDE w:val="0"/>
        <w:autoSpaceDN w:val="0"/>
        <w:adjustRightInd w:val="0"/>
        <w:ind w:firstLine="482"/>
        <w:jc w:val="left"/>
        <w:rPr>
          <w:rFonts w:ascii="宋体"/>
          <w:sz w:val="24"/>
        </w:rPr>
      </w:pPr>
    </w:p>
    <w:p w14:paraId="21B35962">
      <w:pPr>
        <w:autoSpaceDE w:val="0"/>
        <w:autoSpaceDN w:val="0"/>
        <w:adjustRightInd w:val="0"/>
        <w:ind w:firstLine="482"/>
        <w:jc w:val="left"/>
        <w:rPr>
          <w:rFonts w:ascii="宋体"/>
          <w:sz w:val="24"/>
        </w:rPr>
      </w:pPr>
      <w:r>
        <w:rPr>
          <w:rFonts w:hint="eastAsia" w:ascii="宋体"/>
          <w:sz w:val="24"/>
        </w:rPr>
        <w:t>3）密云监测站机房</w:t>
      </w:r>
    </w:p>
    <w:tbl>
      <w:tblPr>
        <w:tblStyle w:val="42"/>
        <w:tblW w:w="9055" w:type="dxa"/>
        <w:tblInd w:w="118" w:type="dxa"/>
        <w:tblLayout w:type="autofit"/>
        <w:tblCellMar>
          <w:top w:w="0" w:type="dxa"/>
          <w:left w:w="108" w:type="dxa"/>
          <w:bottom w:w="0" w:type="dxa"/>
          <w:right w:w="108" w:type="dxa"/>
        </w:tblCellMar>
      </w:tblPr>
      <w:tblGrid>
        <w:gridCol w:w="699"/>
        <w:gridCol w:w="1134"/>
        <w:gridCol w:w="1276"/>
        <w:gridCol w:w="4356"/>
        <w:gridCol w:w="810"/>
        <w:gridCol w:w="780"/>
      </w:tblGrid>
      <w:tr w14:paraId="4658C692">
        <w:tblPrEx>
          <w:tblCellMar>
            <w:top w:w="0" w:type="dxa"/>
            <w:left w:w="108" w:type="dxa"/>
            <w:bottom w:w="0" w:type="dxa"/>
            <w:right w:w="108" w:type="dxa"/>
          </w:tblCellMar>
        </w:tblPrEx>
        <w:trPr>
          <w:trHeight w:val="454" w:hRule="atLeast"/>
          <w:tblHeader/>
        </w:trPr>
        <w:tc>
          <w:tcPr>
            <w:tcW w:w="699" w:type="dxa"/>
            <w:vMerge w:val="restart"/>
            <w:tcBorders>
              <w:top w:val="single" w:color="auto" w:sz="8" w:space="0"/>
              <w:left w:val="single" w:color="auto" w:sz="8" w:space="0"/>
              <w:bottom w:val="single" w:color="000000" w:sz="8" w:space="0"/>
              <w:right w:val="single" w:color="auto" w:sz="8" w:space="0"/>
            </w:tcBorders>
            <w:vAlign w:val="center"/>
          </w:tcPr>
          <w:p w14:paraId="7878B8F9">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1134" w:type="dxa"/>
            <w:vMerge w:val="restart"/>
            <w:tcBorders>
              <w:top w:val="single" w:color="auto" w:sz="8" w:space="0"/>
              <w:left w:val="single" w:color="auto" w:sz="8" w:space="0"/>
              <w:bottom w:val="single" w:color="000000" w:sz="8" w:space="0"/>
              <w:right w:val="single" w:color="auto" w:sz="8" w:space="0"/>
            </w:tcBorders>
            <w:vAlign w:val="center"/>
          </w:tcPr>
          <w:p w14:paraId="4A5D2763">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运维类别</w:t>
            </w:r>
          </w:p>
        </w:tc>
        <w:tc>
          <w:tcPr>
            <w:tcW w:w="1276" w:type="dxa"/>
            <w:vMerge w:val="restart"/>
            <w:tcBorders>
              <w:top w:val="single" w:color="auto" w:sz="8" w:space="0"/>
              <w:left w:val="single" w:color="auto" w:sz="8" w:space="0"/>
              <w:bottom w:val="single" w:color="000000" w:sz="8" w:space="0"/>
              <w:right w:val="single" w:color="auto" w:sz="8" w:space="0"/>
            </w:tcBorders>
            <w:vAlign w:val="center"/>
          </w:tcPr>
          <w:p w14:paraId="72BCCF69">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设备类型</w:t>
            </w:r>
          </w:p>
        </w:tc>
        <w:tc>
          <w:tcPr>
            <w:tcW w:w="4356" w:type="dxa"/>
            <w:vMerge w:val="restart"/>
            <w:tcBorders>
              <w:top w:val="single" w:color="auto" w:sz="8" w:space="0"/>
              <w:left w:val="single" w:color="auto" w:sz="8" w:space="0"/>
              <w:bottom w:val="single" w:color="000000" w:sz="8" w:space="0"/>
              <w:right w:val="single" w:color="auto" w:sz="8" w:space="0"/>
            </w:tcBorders>
            <w:vAlign w:val="center"/>
          </w:tcPr>
          <w:p w14:paraId="506DF62A">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运维内容</w:t>
            </w:r>
          </w:p>
        </w:tc>
        <w:tc>
          <w:tcPr>
            <w:tcW w:w="810" w:type="dxa"/>
            <w:vMerge w:val="restart"/>
            <w:tcBorders>
              <w:top w:val="single" w:color="auto" w:sz="8" w:space="0"/>
              <w:left w:val="single" w:color="auto" w:sz="8" w:space="0"/>
              <w:bottom w:val="single" w:color="000000" w:sz="8" w:space="0"/>
              <w:right w:val="single" w:color="auto" w:sz="8" w:space="0"/>
            </w:tcBorders>
            <w:vAlign w:val="center"/>
          </w:tcPr>
          <w:p w14:paraId="25898F63">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数量</w:t>
            </w:r>
          </w:p>
        </w:tc>
        <w:tc>
          <w:tcPr>
            <w:tcW w:w="780" w:type="dxa"/>
            <w:vMerge w:val="restart"/>
            <w:tcBorders>
              <w:top w:val="single" w:color="auto" w:sz="8" w:space="0"/>
              <w:left w:val="single" w:color="auto" w:sz="8" w:space="0"/>
              <w:bottom w:val="single" w:color="000000" w:sz="8" w:space="0"/>
              <w:right w:val="single" w:color="auto" w:sz="8" w:space="0"/>
            </w:tcBorders>
            <w:vAlign w:val="center"/>
          </w:tcPr>
          <w:p w14:paraId="294E928C">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单位</w:t>
            </w:r>
          </w:p>
        </w:tc>
      </w:tr>
      <w:tr w14:paraId="1505779E">
        <w:tblPrEx>
          <w:tblCellMar>
            <w:top w:w="0" w:type="dxa"/>
            <w:left w:w="108" w:type="dxa"/>
            <w:bottom w:w="0" w:type="dxa"/>
            <w:right w:w="108" w:type="dxa"/>
          </w:tblCellMar>
        </w:tblPrEx>
        <w:trPr>
          <w:trHeight w:val="454" w:hRule="atLeast"/>
        </w:trPr>
        <w:tc>
          <w:tcPr>
            <w:tcW w:w="699" w:type="dxa"/>
            <w:vMerge w:val="continue"/>
            <w:tcBorders>
              <w:top w:val="single" w:color="auto" w:sz="8" w:space="0"/>
              <w:left w:val="single" w:color="auto" w:sz="8" w:space="0"/>
              <w:bottom w:val="single" w:color="000000" w:sz="8" w:space="0"/>
              <w:right w:val="single" w:color="auto" w:sz="8" w:space="0"/>
            </w:tcBorders>
            <w:vAlign w:val="center"/>
          </w:tcPr>
          <w:p w14:paraId="56C6B457">
            <w:pPr>
              <w:widowControl/>
              <w:jc w:val="left"/>
              <w:rPr>
                <w:rFonts w:hint="eastAsia" w:ascii="宋体" w:hAnsi="宋体" w:cs="宋体"/>
                <w:b/>
                <w:bCs/>
                <w:color w:val="000000"/>
                <w:kern w:val="0"/>
                <w:szCs w:val="21"/>
              </w:rPr>
            </w:pPr>
          </w:p>
        </w:tc>
        <w:tc>
          <w:tcPr>
            <w:tcW w:w="1134" w:type="dxa"/>
            <w:vMerge w:val="continue"/>
            <w:tcBorders>
              <w:top w:val="single" w:color="auto" w:sz="8" w:space="0"/>
              <w:left w:val="single" w:color="auto" w:sz="8" w:space="0"/>
              <w:bottom w:val="single" w:color="000000" w:sz="8" w:space="0"/>
              <w:right w:val="single" w:color="auto" w:sz="8" w:space="0"/>
            </w:tcBorders>
            <w:vAlign w:val="center"/>
          </w:tcPr>
          <w:p w14:paraId="20015DA0">
            <w:pPr>
              <w:widowControl/>
              <w:jc w:val="left"/>
              <w:rPr>
                <w:rFonts w:hint="eastAsia" w:ascii="宋体" w:hAnsi="宋体" w:cs="宋体"/>
                <w:b/>
                <w:bCs/>
                <w:color w:val="000000"/>
                <w:kern w:val="0"/>
                <w:szCs w:val="21"/>
              </w:rPr>
            </w:pPr>
          </w:p>
        </w:tc>
        <w:tc>
          <w:tcPr>
            <w:tcW w:w="1276" w:type="dxa"/>
            <w:vMerge w:val="continue"/>
            <w:tcBorders>
              <w:top w:val="single" w:color="auto" w:sz="8" w:space="0"/>
              <w:left w:val="single" w:color="auto" w:sz="8" w:space="0"/>
              <w:bottom w:val="single" w:color="000000" w:sz="8" w:space="0"/>
              <w:right w:val="single" w:color="auto" w:sz="8" w:space="0"/>
            </w:tcBorders>
            <w:vAlign w:val="center"/>
          </w:tcPr>
          <w:p w14:paraId="6F718BCE">
            <w:pPr>
              <w:widowControl/>
              <w:jc w:val="left"/>
              <w:rPr>
                <w:rFonts w:hint="eastAsia" w:ascii="宋体" w:hAnsi="宋体" w:cs="宋体"/>
                <w:b/>
                <w:bCs/>
                <w:color w:val="000000"/>
                <w:kern w:val="0"/>
                <w:szCs w:val="21"/>
              </w:rPr>
            </w:pPr>
          </w:p>
        </w:tc>
        <w:tc>
          <w:tcPr>
            <w:tcW w:w="4356" w:type="dxa"/>
            <w:vMerge w:val="continue"/>
            <w:tcBorders>
              <w:top w:val="single" w:color="auto" w:sz="8" w:space="0"/>
              <w:left w:val="single" w:color="auto" w:sz="8" w:space="0"/>
              <w:bottom w:val="single" w:color="000000" w:sz="8" w:space="0"/>
              <w:right w:val="single" w:color="auto" w:sz="8" w:space="0"/>
            </w:tcBorders>
            <w:vAlign w:val="center"/>
          </w:tcPr>
          <w:p w14:paraId="720D3F04">
            <w:pPr>
              <w:widowControl/>
              <w:jc w:val="left"/>
              <w:rPr>
                <w:rFonts w:hint="eastAsia" w:ascii="宋体" w:hAnsi="宋体" w:cs="宋体"/>
                <w:b/>
                <w:bCs/>
                <w:color w:val="000000"/>
                <w:kern w:val="0"/>
                <w:szCs w:val="21"/>
              </w:rPr>
            </w:pPr>
          </w:p>
        </w:tc>
        <w:tc>
          <w:tcPr>
            <w:tcW w:w="810" w:type="dxa"/>
            <w:vMerge w:val="continue"/>
            <w:tcBorders>
              <w:top w:val="single" w:color="auto" w:sz="8" w:space="0"/>
              <w:left w:val="single" w:color="auto" w:sz="8" w:space="0"/>
              <w:bottom w:val="single" w:color="000000" w:sz="8" w:space="0"/>
              <w:right w:val="single" w:color="auto" w:sz="8" w:space="0"/>
            </w:tcBorders>
            <w:vAlign w:val="center"/>
          </w:tcPr>
          <w:p w14:paraId="01376CED">
            <w:pPr>
              <w:widowControl/>
              <w:jc w:val="left"/>
              <w:rPr>
                <w:rFonts w:hint="eastAsia" w:ascii="宋体" w:hAnsi="宋体" w:cs="宋体"/>
                <w:b/>
                <w:bCs/>
                <w:color w:val="000000"/>
                <w:kern w:val="0"/>
                <w:szCs w:val="21"/>
              </w:rPr>
            </w:pPr>
          </w:p>
        </w:tc>
        <w:tc>
          <w:tcPr>
            <w:tcW w:w="780" w:type="dxa"/>
            <w:vMerge w:val="continue"/>
            <w:tcBorders>
              <w:top w:val="single" w:color="auto" w:sz="8" w:space="0"/>
              <w:left w:val="single" w:color="auto" w:sz="8" w:space="0"/>
              <w:bottom w:val="single" w:color="000000" w:sz="8" w:space="0"/>
              <w:right w:val="single" w:color="auto" w:sz="8" w:space="0"/>
            </w:tcBorders>
            <w:vAlign w:val="center"/>
          </w:tcPr>
          <w:p w14:paraId="465A65F0">
            <w:pPr>
              <w:widowControl/>
              <w:jc w:val="left"/>
              <w:rPr>
                <w:rFonts w:hint="eastAsia" w:ascii="宋体" w:hAnsi="宋体" w:cs="宋体"/>
                <w:b/>
                <w:bCs/>
                <w:color w:val="000000"/>
                <w:kern w:val="0"/>
                <w:szCs w:val="21"/>
              </w:rPr>
            </w:pPr>
          </w:p>
        </w:tc>
      </w:tr>
      <w:tr w14:paraId="36E7F44D">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0DCA95A9">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134" w:type="dxa"/>
            <w:vMerge w:val="restart"/>
            <w:tcBorders>
              <w:top w:val="nil"/>
              <w:left w:val="single" w:color="auto" w:sz="8" w:space="0"/>
              <w:bottom w:val="single" w:color="000000" w:sz="8" w:space="0"/>
              <w:right w:val="single" w:color="auto" w:sz="8" w:space="0"/>
            </w:tcBorders>
            <w:vAlign w:val="center"/>
          </w:tcPr>
          <w:p w14:paraId="2FDC1CC8">
            <w:pPr>
              <w:widowControl/>
              <w:jc w:val="center"/>
              <w:rPr>
                <w:rFonts w:hint="eastAsia" w:ascii="宋体" w:hAnsi="宋体" w:cs="宋体"/>
                <w:color w:val="000000"/>
                <w:kern w:val="0"/>
                <w:szCs w:val="21"/>
              </w:rPr>
            </w:pPr>
            <w:r>
              <w:rPr>
                <w:rFonts w:hint="eastAsia" w:ascii="宋体" w:hAnsi="宋体" w:cs="宋体"/>
                <w:color w:val="000000"/>
                <w:kern w:val="0"/>
                <w:szCs w:val="21"/>
              </w:rPr>
              <w:t>机房硬件设备维护内容</w:t>
            </w:r>
          </w:p>
        </w:tc>
        <w:tc>
          <w:tcPr>
            <w:tcW w:w="1276" w:type="dxa"/>
            <w:tcBorders>
              <w:top w:val="nil"/>
              <w:left w:val="nil"/>
              <w:bottom w:val="single" w:color="auto" w:sz="8" w:space="0"/>
              <w:right w:val="single" w:color="auto" w:sz="8" w:space="0"/>
            </w:tcBorders>
            <w:vAlign w:val="center"/>
          </w:tcPr>
          <w:p w14:paraId="2A48FAD3">
            <w:pPr>
              <w:widowControl/>
              <w:jc w:val="center"/>
              <w:rPr>
                <w:rFonts w:hint="eastAsia" w:ascii="宋体" w:hAnsi="宋体" w:cs="宋体"/>
                <w:color w:val="000000"/>
                <w:kern w:val="0"/>
                <w:szCs w:val="21"/>
              </w:rPr>
            </w:pPr>
            <w:r>
              <w:rPr>
                <w:rFonts w:hint="eastAsia" w:ascii="宋体" w:hAnsi="宋体" w:cs="宋体"/>
                <w:color w:val="000000"/>
                <w:kern w:val="0"/>
                <w:szCs w:val="21"/>
              </w:rPr>
              <w:t>服务器</w:t>
            </w:r>
          </w:p>
        </w:tc>
        <w:tc>
          <w:tcPr>
            <w:tcW w:w="4356" w:type="dxa"/>
            <w:tcBorders>
              <w:top w:val="nil"/>
              <w:left w:val="nil"/>
              <w:bottom w:val="single" w:color="auto" w:sz="8" w:space="0"/>
              <w:right w:val="single" w:color="auto" w:sz="8" w:space="0"/>
            </w:tcBorders>
            <w:vAlign w:val="center"/>
          </w:tcPr>
          <w:p w14:paraId="4CCB4625">
            <w:pPr>
              <w:widowControl/>
              <w:jc w:val="left"/>
              <w:rPr>
                <w:rFonts w:hint="eastAsia" w:ascii="宋体" w:hAnsi="宋体" w:cs="宋体"/>
                <w:color w:val="000000"/>
                <w:kern w:val="0"/>
                <w:szCs w:val="21"/>
              </w:rPr>
            </w:pPr>
            <w:r>
              <w:rPr>
                <w:rFonts w:hint="eastAsia" w:ascii="宋体" w:hAnsi="宋体" w:cs="宋体"/>
                <w:color w:val="000000"/>
                <w:kern w:val="0"/>
                <w:szCs w:val="21"/>
              </w:rPr>
              <w:t>清洁保养，清除机箱、滤清器内的灰尘与异物;系统优化，协助客户进行系统性能调整和系统优化，提高系统效率。</w:t>
            </w:r>
          </w:p>
        </w:tc>
        <w:tc>
          <w:tcPr>
            <w:tcW w:w="810" w:type="dxa"/>
            <w:tcBorders>
              <w:top w:val="nil"/>
              <w:left w:val="nil"/>
              <w:bottom w:val="single" w:color="auto" w:sz="8" w:space="0"/>
              <w:right w:val="single" w:color="auto" w:sz="8" w:space="0"/>
            </w:tcBorders>
            <w:vAlign w:val="center"/>
          </w:tcPr>
          <w:p w14:paraId="2D4EDCF3">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80" w:type="dxa"/>
            <w:tcBorders>
              <w:top w:val="nil"/>
              <w:left w:val="nil"/>
              <w:bottom w:val="single" w:color="auto" w:sz="8" w:space="0"/>
              <w:right w:val="single" w:color="auto" w:sz="8" w:space="0"/>
            </w:tcBorders>
            <w:vAlign w:val="center"/>
          </w:tcPr>
          <w:p w14:paraId="457F1225">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4234985D">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7B940629">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134" w:type="dxa"/>
            <w:vMerge w:val="continue"/>
            <w:tcBorders>
              <w:top w:val="nil"/>
              <w:left w:val="single" w:color="auto" w:sz="8" w:space="0"/>
              <w:bottom w:val="single" w:color="000000" w:sz="8" w:space="0"/>
              <w:right w:val="single" w:color="auto" w:sz="8" w:space="0"/>
            </w:tcBorders>
            <w:vAlign w:val="center"/>
          </w:tcPr>
          <w:p w14:paraId="78BD4B14">
            <w:pPr>
              <w:widowControl/>
              <w:jc w:val="left"/>
              <w:rPr>
                <w:rFonts w:hint="eastAsia" w:ascii="宋体" w:hAnsi="宋体" w:cs="宋体"/>
                <w:color w:val="000000"/>
                <w:kern w:val="0"/>
                <w:szCs w:val="21"/>
              </w:rPr>
            </w:pPr>
          </w:p>
        </w:tc>
        <w:tc>
          <w:tcPr>
            <w:tcW w:w="1276" w:type="dxa"/>
            <w:vMerge w:val="restart"/>
            <w:tcBorders>
              <w:top w:val="nil"/>
              <w:left w:val="single" w:color="auto" w:sz="8" w:space="0"/>
              <w:bottom w:val="single" w:color="000000" w:sz="8" w:space="0"/>
              <w:right w:val="single" w:color="auto" w:sz="8" w:space="0"/>
            </w:tcBorders>
            <w:vAlign w:val="center"/>
          </w:tcPr>
          <w:p w14:paraId="10F62598">
            <w:pPr>
              <w:widowControl/>
              <w:jc w:val="center"/>
              <w:rPr>
                <w:rFonts w:hint="eastAsia" w:ascii="宋体" w:hAnsi="宋体" w:cs="宋体"/>
                <w:color w:val="000000"/>
                <w:kern w:val="0"/>
                <w:szCs w:val="21"/>
              </w:rPr>
            </w:pPr>
            <w:r>
              <w:rPr>
                <w:rFonts w:hint="eastAsia" w:ascii="宋体" w:hAnsi="宋体" w:cs="宋体"/>
                <w:color w:val="000000"/>
                <w:kern w:val="0"/>
                <w:szCs w:val="21"/>
              </w:rPr>
              <w:t>磁盘存储</w:t>
            </w:r>
          </w:p>
        </w:tc>
        <w:tc>
          <w:tcPr>
            <w:tcW w:w="4356" w:type="dxa"/>
            <w:tcBorders>
              <w:top w:val="nil"/>
              <w:left w:val="nil"/>
              <w:bottom w:val="single" w:color="auto" w:sz="8" w:space="0"/>
              <w:right w:val="single" w:color="auto" w:sz="8" w:space="0"/>
            </w:tcBorders>
            <w:vAlign w:val="center"/>
          </w:tcPr>
          <w:p w14:paraId="4E0CFE47">
            <w:pPr>
              <w:widowControl/>
              <w:jc w:val="left"/>
              <w:rPr>
                <w:rFonts w:hint="eastAsia" w:ascii="宋体" w:hAnsi="宋体" w:cs="宋体"/>
                <w:color w:val="000000"/>
                <w:kern w:val="0"/>
                <w:szCs w:val="21"/>
              </w:rPr>
            </w:pPr>
            <w:r>
              <w:rPr>
                <w:rFonts w:hint="eastAsia" w:ascii="宋体" w:hAnsi="宋体" w:cs="宋体"/>
                <w:color w:val="000000"/>
                <w:kern w:val="0"/>
                <w:szCs w:val="21"/>
              </w:rPr>
              <w:t>清洁保养，清除机箱、滤清器内的灰尘与异物;</w:t>
            </w:r>
          </w:p>
        </w:tc>
        <w:tc>
          <w:tcPr>
            <w:tcW w:w="810" w:type="dxa"/>
            <w:tcBorders>
              <w:top w:val="nil"/>
              <w:left w:val="nil"/>
              <w:bottom w:val="single" w:color="auto" w:sz="8" w:space="0"/>
              <w:right w:val="single" w:color="auto" w:sz="8" w:space="0"/>
            </w:tcBorders>
            <w:vAlign w:val="center"/>
          </w:tcPr>
          <w:p w14:paraId="6383BD43">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80" w:type="dxa"/>
            <w:tcBorders>
              <w:top w:val="nil"/>
              <w:left w:val="nil"/>
              <w:bottom w:val="single" w:color="auto" w:sz="8" w:space="0"/>
              <w:right w:val="single" w:color="auto" w:sz="8" w:space="0"/>
            </w:tcBorders>
            <w:vAlign w:val="center"/>
          </w:tcPr>
          <w:p w14:paraId="50009A84">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5A59D51B">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76C5FC87">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134" w:type="dxa"/>
            <w:vMerge w:val="continue"/>
            <w:tcBorders>
              <w:top w:val="nil"/>
              <w:left w:val="single" w:color="auto" w:sz="8" w:space="0"/>
              <w:bottom w:val="single" w:color="000000" w:sz="8" w:space="0"/>
              <w:right w:val="single" w:color="auto" w:sz="8" w:space="0"/>
            </w:tcBorders>
            <w:vAlign w:val="center"/>
          </w:tcPr>
          <w:p w14:paraId="2475B198">
            <w:pPr>
              <w:widowControl/>
              <w:jc w:val="left"/>
              <w:rPr>
                <w:rFonts w:hint="eastAsia" w:ascii="宋体" w:hAnsi="宋体" w:cs="宋体"/>
                <w:color w:val="000000"/>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14:paraId="522AD315">
            <w:pPr>
              <w:widowControl/>
              <w:jc w:val="left"/>
              <w:rPr>
                <w:rFonts w:hint="eastAsia" w:ascii="宋体" w:hAnsi="宋体" w:cs="宋体"/>
                <w:color w:val="000000"/>
                <w:kern w:val="0"/>
                <w:szCs w:val="21"/>
              </w:rPr>
            </w:pPr>
          </w:p>
        </w:tc>
        <w:tc>
          <w:tcPr>
            <w:tcW w:w="4356" w:type="dxa"/>
            <w:tcBorders>
              <w:top w:val="nil"/>
              <w:left w:val="nil"/>
              <w:bottom w:val="single" w:color="auto" w:sz="8" w:space="0"/>
              <w:right w:val="single" w:color="auto" w:sz="8" w:space="0"/>
            </w:tcBorders>
            <w:vAlign w:val="center"/>
          </w:tcPr>
          <w:p w14:paraId="4FF0B5AD">
            <w:pPr>
              <w:widowControl/>
              <w:jc w:val="left"/>
              <w:rPr>
                <w:rFonts w:hint="eastAsia" w:ascii="宋体" w:hAnsi="宋体" w:cs="宋体"/>
                <w:color w:val="000000"/>
                <w:kern w:val="0"/>
                <w:szCs w:val="21"/>
              </w:rPr>
            </w:pPr>
            <w:r>
              <w:rPr>
                <w:rFonts w:hint="eastAsia" w:ascii="宋体" w:hAnsi="宋体" w:cs="宋体"/>
                <w:color w:val="000000"/>
                <w:kern w:val="0"/>
                <w:szCs w:val="21"/>
              </w:rPr>
              <w:t>系统优化，协助客户对 OS 进行系统性能调整和系统优化，提高系统效率"</w:t>
            </w:r>
          </w:p>
        </w:tc>
        <w:tc>
          <w:tcPr>
            <w:tcW w:w="810" w:type="dxa"/>
            <w:tcBorders>
              <w:top w:val="nil"/>
              <w:left w:val="nil"/>
              <w:bottom w:val="single" w:color="auto" w:sz="8" w:space="0"/>
              <w:right w:val="single" w:color="auto" w:sz="8" w:space="0"/>
            </w:tcBorders>
            <w:vAlign w:val="center"/>
          </w:tcPr>
          <w:p w14:paraId="6076A103">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80" w:type="dxa"/>
            <w:tcBorders>
              <w:top w:val="nil"/>
              <w:left w:val="nil"/>
              <w:bottom w:val="single" w:color="auto" w:sz="8" w:space="0"/>
              <w:right w:val="single" w:color="auto" w:sz="8" w:space="0"/>
            </w:tcBorders>
            <w:vAlign w:val="center"/>
          </w:tcPr>
          <w:p w14:paraId="420BD0E6">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49530E60">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43514693">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134" w:type="dxa"/>
            <w:vMerge w:val="continue"/>
            <w:tcBorders>
              <w:top w:val="nil"/>
              <w:left w:val="single" w:color="auto" w:sz="8" w:space="0"/>
              <w:bottom w:val="single" w:color="000000" w:sz="8" w:space="0"/>
              <w:right w:val="single" w:color="auto" w:sz="8" w:space="0"/>
            </w:tcBorders>
            <w:vAlign w:val="center"/>
          </w:tcPr>
          <w:p w14:paraId="200D401C">
            <w:pPr>
              <w:widowControl/>
              <w:jc w:val="left"/>
              <w:rPr>
                <w:rFonts w:hint="eastAsia" w:ascii="宋体" w:hAnsi="宋体" w:cs="宋体"/>
                <w:color w:val="000000"/>
                <w:kern w:val="0"/>
                <w:szCs w:val="21"/>
              </w:rPr>
            </w:pPr>
          </w:p>
        </w:tc>
        <w:tc>
          <w:tcPr>
            <w:tcW w:w="1276" w:type="dxa"/>
            <w:tcBorders>
              <w:top w:val="nil"/>
              <w:left w:val="nil"/>
              <w:bottom w:val="single" w:color="auto" w:sz="8" w:space="0"/>
              <w:right w:val="single" w:color="auto" w:sz="8" w:space="0"/>
            </w:tcBorders>
            <w:vAlign w:val="center"/>
          </w:tcPr>
          <w:p w14:paraId="37612952">
            <w:pPr>
              <w:widowControl/>
              <w:jc w:val="center"/>
              <w:rPr>
                <w:rFonts w:hint="eastAsia" w:ascii="宋体" w:hAnsi="宋体" w:cs="宋体"/>
                <w:color w:val="000000"/>
                <w:kern w:val="0"/>
                <w:szCs w:val="21"/>
              </w:rPr>
            </w:pPr>
            <w:r>
              <w:rPr>
                <w:rFonts w:hint="eastAsia" w:ascii="宋体" w:hAnsi="宋体" w:cs="宋体"/>
                <w:color w:val="000000"/>
                <w:kern w:val="0"/>
                <w:szCs w:val="21"/>
              </w:rPr>
              <w:t>ATS配电柜</w:t>
            </w:r>
          </w:p>
        </w:tc>
        <w:tc>
          <w:tcPr>
            <w:tcW w:w="4356" w:type="dxa"/>
            <w:tcBorders>
              <w:top w:val="nil"/>
              <w:left w:val="nil"/>
              <w:bottom w:val="single" w:color="auto" w:sz="8" w:space="0"/>
              <w:right w:val="single" w:color="auto" w:sz="8" w:space="0"/>
            </w:tcBorders>
            <w:vAlign w:val="center"/>
          </w:tcPr>
          <w:p w14:paraId="257AFCA4">
            <w:pPr>
              <w:widowControl/>
              <w:jc w:val="left"/>
              <w:rPr>
                <w:rFonts w:hint="eastAsia" w:ascii="宋体" w:hAnsi="宋体" w:cs="宋体"/>
                <w:color w:val="000000"/>
                <w:kern w:val="0"/>
                <w:szCs w:val="21"/>
              </w:rPr>
            </w:pPr>
            <w:r>
              <w:rPr>
                <w:rFonts w:hint="eastAsia" w:ascii="宋体" w:hAnsi="宋体" w:cs="宋体"/>
                <w:color w:val="000000"/>
                <w:kern w:val="0"/>
                <w:szCs w:val="21"/>
              </w:rPr>
              <w:t>检测整个系统的运行参数，确保设备正常运行。</w:t>
            </w:r>
          </w:p>
        </w:tc>
        <w:tc>
          <w:tcPr>
            <w:tcW w:w="810" w:type="dxa"/>
            <w:tcBorders>
              <w:top w:val="nil"/>
              <w:left w:val="nil"/>
              <w:bottom w:val="single" w:color="auto" w:sz="8" w:space="0"/>
              <w:right w:val="single" w:color="auto" w:sz="8" w:space="0"/>
            </w:tcBorders>
            <w:vAlign w:val="center"/>
          </w:tcPr>
          <w:p w14:paraId="7A3AEED9">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80" w:type="dxa"/>
            <w:tcBorders>
              <w:top w:val="nil"/>
              <w:left w:val="nil"/>
              <w:bottom w:val="single" w:color="auto" w:sz="8" w:space="0"/>
              <w:right w:val="single" w:color="auto" w:sz="8" w:space="0"/>
            </w:tcBorders>
            <w:vAlign w:val="center"/>
          </w:tcPr>
          <w:p w14:paraId="41EA01C7">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06DAB3D1">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125B65F9">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134" w:type="dxa"/>
            <w:vMerge w:val="continue"/>
            <w:tcBorders>
              <w:top w:val="nil"/>
              <w:left w:val="single" w:color="auto" w:sz="8" w:space="0"/>
              <w:bottom w:val="single" w:color="000000" w:sz="8" w:space="0"/>
              <w:right w:val="single" w:color="auto" w:sz="8" w:space="0"/>
            </w:tcBorders>
            <w:vAlign w:val="center"/>
          </w:tcPr>
          <w:p w14:paraId="5763C6EA">
            <w:pPr>
              <w:widowControl/>
              <w:jc w:val="left"/>
              <w:rPr>
                <w:rFonts w:hint="eastAsia" w:ascii="宋体" w:hAnsi="宋体" w:cs="宋体"/>
                <w:color w:val="000000"/>
                <w:kern w:val="0"/>
                <w:szCs w:val="21"/>
              </w:rPr>
            </w:pPr>
          </w:p>
        </w:tc>
        <w:tc>
          <w:tcPr>
            <w:tcW w:w="1276" w:type="dxa"/>
            <w:vMerge w:val="restart"/>
            <w:tcBorders>
              <w:top w:val="nil"/>
              <w:left w:val="single" w:color="auto" w:sz="8" w:space="0"/>
              <w:bottom w:val="single" w:color="000000" w:sz="8" w:space="0"/>
              <w:right w:val="single" w:color="auto" w:sz="8" w:space="0"/>
            </w:tcBorders>
            <w:vAlign w:val="center"/>
          </w:tcPr>
          <w:p w14:paraId="29D2E776">
            <w:pPr>
              <w:widowControl/>
              <w:jc w:val="center"/>
              <w:rPr>
                <w:rFonts w:hint="eastAsia" w:ascii="宋体" w:hAnsi="宋体" w:cs="宋体"/>
                <w:color w:val="000000"/>
                <w:kern w:val="0"/>
                <w:szCs w:val="21"/>
              </w:rPr>
            </w:pPr>
            <w:r>
              <w:rPr>
                <w:rFonts w:hint="eastAsia" w:ascii="宋体" w:hAnsi="宋体" w:cs="宋体"/>
                <w:color w:val="000000"/>
                <w:kern w:val="0"/>
                <w:szCs w:val="21"/>
              </w:rPr>
              <w:t>UPS配电柜、UPS电池柜、UPS电池</w:t>
            </w:r>
          </w:p>
        </w:tc>
        <w:tc>
          <w:tcPr>
            <w:tcW w:w="4356" w:type="dxa"/>
            <w:tcBorders>
              <w:top w:val="nil"/>
              <w:left w:val="nil"/>
              <w:bottom w:val="single" w:color="auto" w:sz="8" w:space="0"/>
              <w:right w:val="single" w:color="auto" w:sz="8" w:space="0"/>
            </w:tcBorders>
            <w:vAlign w:val="center"/>
          </w:tcPr>
          <w:p w14:paraId="1B06554A">
            <w:pPr>
              <w:widowControl/>
              <w:jc w:val="left"/>
              <w:rPr>
                <w:rFonts w:hint="eastAsia" w:ascii="宋体" w:hAnsi="宋体" w:cs="宋体"/>
                <w:color w:val="000000"/>
                <w:kern w:val="0"/>
                <w:szCs w:val="21"/>
              </w:rPr>
            </w:pPr>
            <w:r>
              <w:rPr>
                <w:rFonts w:hint="eastAsia" w:ascii="宋体" w:hAnsi="宋体" w:cs="宋体"/>
                <w:color w:val="000000"/>
                <w:kern w:val="0"/>
                <w:szCs w:val="21"/>
              </w:rPr>
              <w:t>机组及电池柜进行内外部的彻底清扫。检测电池组/柜的完整性。测量设备的输入、输出电压及电流。</w:t>
            </w:r>
          </w:p>
        </w:tc>
        <w:tc>
          <w:tcPr>
            <w:tcW w:w="810" w:type="dxa"/>
            <w:tcBorders>
              <w:top w:val="nil"/>
              <w:left w:val="nil"/>
              <w:bottom w:val="single" w:color="auto" w:sz="8" w:space="0"/>
              <w:right w:val="single" w:color="auto" w:sz="8" w:space="0"/>
            </w:tcBorders>
            <w:vAlign w:val="center"/>
          </w:tcPr>
          <w:p w14:paraId="5D02ACEE">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80" w:type="dxa"/>
            <w:tcBorders>
              <w:top w:val="nil"/>
              <w:left w:val="nil"/>
              <w:bottom w:val="single" w:color="auto" w:sz="8" w:space="0"/>
              <w:right w:val="single" w:color="auto" w:sz="8" w:space="0"/>
            </w:tcBorders>
            <w:vAlign w:val="center"/>
          </w:tcPr>
          <w:p w14:paraId="4AB11761">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7D266694">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0F3108A9">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134" w:type="dxa"/>
            <w:vMerge w:val="continue"/>
            <w:tcBorders>
              <w:top w:val="nil"/>
              <w:left w:val="single" w:color="auto" w:sz="8" w:space="0"/>
              <w:bottom w:val="single" w:color="000000" w:sz="8" w:space="0"/>
              <w:right w:val="single" w:color="auto" w:sz="8" w:space="0"/>
            </w:tcBorders>
            <w:vAlign w:val="center"/>
          </w:tcPr>
          <w:p w14:paraId="6725E38E">
            <w:pPr>
              <w:widowControl/>
              <w:jc w:val="left"/>
              <w:rPr>
                <w:rFonts w:hint="eastAsia" w:ascii="宋体" w:hAnsi="宋体" w:cs="宋体"/>
                <w:color w:val="000000"/>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14:paraId="3397A636">
            <w:pPr>
              <w:widowControl/>
              <w:jc w:val="left"/>
              <w:rPr>
                <w:rFonts w:hint="eastAsia" w:ascii="宋体" w:hAnsi="宋体" w:cs="宋体"/>
                <w:color w:val="000000"/>
                <w:kern w:val="0"/>
                <w:szCs w:val="21"/>
              </w:rPr>
            </w:pPr>
          </w:p>
        </w:tc>
        <w:tc>
          <w:tcPr>
            <w:tcW w:w="4356" w:type="dxa"/>
            <w:tcBorders>
              <w:top w:val="nil"/>
              <w:left w:val="nil"/>
              <w:bottom w:val="single" w:color="auto" w:sz="8" w:space="0"/>
              <w:right w:val="single" w:color="auto" w:sz="8" w:space="0"/>
            </w:tcBorders>
            <w:vAlign w:val="center"/>
          </w:tcPr>
          <w:p w14:paraId="5BD04779">
            <w:pPr>
              <w:widowControl/>
              <w:jc w:val="left"/>
              <w:rPr>
                <w:rFonts w:hint="eastAsia" w:ascii="宋体" w:hAnsi="宋体" w:cs="宋体"/>
                <w:color w:val="000000"/>
                <w:kern w:val="0"/>
                <w:szCs w:val="21"/>
              </w:rPr>
            </w:pPr>
            <w:r>
              <w:rPr>
                <w:rFonts w:hint="eastAsia" w:ascii="宋体" w:hAnsi="宋体" w:cs="宋体"/>
                <w:color w:val="000000"/>
                <w:kern w:val="0"/>
                <w:szCs w:val="21"/>
              </w:rPr>
              <w:t>对块电池进行充放电测试，根据UPS开始放电时间与UPS电池低压保护关机时间，算出电池的供电时间，查看是否满足时间的配置需求。出具检测报告。</w:t>
            </w:r>
          </w:p>
        </w:tc>
        <w:tc>
          <w:tcPr>
            <w:tcW w:w="810" w:type="dxa"/>
            <w:tcBorders>
              <w:top w:val="nil"/>
              <w:left w:val="nil"/>
              <w:bottom w:val="single" w:color="auto" w:sz="8" w:space="0"/>
              <w:right w:val="single" w:color="auto" w:sz="8" w:space="0"/>
            </w:tcBorders>
            <w:vAlign w:val="center"/>
          </w:tcPr>
          <w:p w14:paraId="6052CF56">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80" w:type="dxa"/>
            <w:tcBorders>
              <w:top w:val="nil"/>
              <w:left w:val="nil"/>
              <w:bottom w:val="single" w:color="auto" w:sz="8" w:space="0"/>
              <w:right w:val="single" w:color="auto" w:sz="8" w:space="0"/>
            </w:tcBorders>
            <w:vAlign w:val="center"/>
          </w:tcPr>
          <w:p w14:paraId="63E90309">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634A842F">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453A34B3">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1134" w:type="dxa"/>
            <w:vMerge w:val="continue"/>
            <w:tcBorders>
              <w:top w:val="nil"/>
              <w:left w:val="single" w:color="auto" w:sz="8" w:space="0"/>
              <w:bottom w:val="single" w:color="000000" w:sz="8" w:space="0"/>
              <w:right w:val="single" w:color="auto" w:sz="8" w:space="0"/>
            </w:tcBorders>
            <w:vAlign w:val="center"/>
          </w:tcPr>
          <w:p w14:paraId="65049775">
            <w:pPr>
              <w:widowControl/>
              <w:jc w:val="left"/>
              <w:rPr>
                <w:rFonts w:hint="eastAsia" w:ascii="宋体" w:hAnsi="宋体" w:cs="宋体"/>
                <w:color w:val="000000"/>
                <w:kern w:val="0"/>
                <w:szCs w:val="21"/>
              </w:rPr>
            </w:pPr>
          </w:p>
        </w:tc>
        <w:tc>
          <w:tcPr>
            <w:tcW w:w="1276" w:type="dxa"/>
            <w:tcBorders>
              <w:top w:val="nil"/>
              <w:left w:val="nil"/>
              <w:bottom w:val="single" w:color="auto" w:sz="8" w:space="0"/>
              <w:right w:val="single" w:color="auto" w:sz="8" w:space="0"/>
            </w:tcBorders>
            <w:vAlign w:val="center"/>
          </w:tcPr>
          <w:p w14:paraId="7C335AF0">
            <w:pPr>
              <w:widowControl/>
              <w:jc w:val="center"/>
              <w:rPr>
                <w:rFonts w:hint="eastAsia" w:ascii="宋体" w:hAnsi="宋体" w:cs="宋体"/>
                <w:color w:val="000000"/>
                <w:kern w:val="0"/>
                <w:szCs w:val="21"/>
              </w:rPr>
            </w:pPr>
            <w:r>
              <w:rPr>
                <w:rFonts w:hint="eastAsia" w:ascii="宋体" w:hAnsi="宋体" w:cs="宋体"/>
                <w:color w:val="000000"/>
                <w:kern w:val="0"/>
                <w:szCs w:val="21"/>
              </w:rPr>
              <w:t>精密空调</w:t>
            </w:r>
          </w:p>
        </w:tc>
        <w:tc>
          <w:tcPr>
            <w:tcW w:w="4356" w:type="dxa"/>
            <w:tcBorders>
              <w:top w:val="nil"/>
              <w:left w:val="nil"/>
              <w:bottom w:val="single" w:color="auto" w:sz="8" w:space="0"/>
              <w:right w:val="single" w:color="auto" w:sz="8" w:space="0"/>
            </w:tcBorders>
            <w:vAlign w:val="center"/>
          </w:tcPr>
          <w:p w14:paraId="5934978E">
            <w:pPr>
              <w:widowControl/>
              <w:jc w:val="left"/>
              <w:rPr>
                <w:rFonts w:hint="eastAsia" w:ascii="宋体" w:hAnsi="宋体" w:cs="宋体"/>
                <w:color w:val="000000"/>
                <w:kern w:val="0"/>
                <w:szCs w:val="21"/>
              </w:rPr>
            </w:pPr>
            <w:r>
              <w:rPr>
                <w:rFonts w:hint="eastAsia" w:ascii="宋体" w:hAnsi="宋体" w:cs="宋体"/>
                <w:color w:val="000000"/>
                <w:kern w:val="0"/>
                <w:szCs w:val="21"/>
              </w:rPr>
              <w:t>空调控制系统的显示屏上检查空调系统的各项功能及参数是否正常:对压缩机和加湿器等部件进行检测维护。对室外室内机进行清洗，维护，进出水管道检查清洁。</w:t>
            </w:r>
          </w:p>
        </w:tc>
        <w:tc>
          <w:tcPr>
            <w:tcW w:w="810" w:type="dxa"/>
            <w:tcBorders>
              <w:top w:val="nil"/>
              <w:left w:val="nil"/>
              <w:bottom w:val="single" w:color="auto" w:sz="8" w:space="0"/>
              <w:right w:val="single" w:color="auto" w:sz="8" w:space="0"/>
            </w:tcBorders>
            <w:vAlign w:val="center"/>
          </w:tcPr>
          <w:p w14:paraId="51A711DB">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80" w:type="dxa"/>
            <w:tcBorders>
              <w:top w:val="nil"/>
              <w:left w:val="nil"/>
              <w:bottom w:val="single" w:color="auto" w:sz="8" w:space="0"/>
              <w:right w:val="single" w:color="auto" w:sz="8" w:space="0"/>
            </w:tcBorders>
            <w:vAlign w:val="center"/>
          </w:tcPr>
          <w:p w14:paraId="1164CE49">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3185BDDE">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3CBDEBB9">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1134" w:type="dxa"/>
            <w:vMerge w:val="continue"/>
            <w:tcBorders>
              <w:top w:val="nil"/>
              <w:left w:val="single" w:color="auto" w:sz="8" w:space="0"/>
              <w:bottom w:val="single" w:color="000000" w:sz="8" w:space="0"/>
              <w:right w:val="single" w:color="auto" w:sz="8" w:space="0"/>
            </w:tcBorders>
            <w:vAlign w:val="center"/>
          </w:tcPr>
          <w:p w14:paraId="5D08DA38">
            <w:pPr>
              <w:widowControl/>
              <w:jc w:val="left"/>
              <w:rPr>
                <w:rFonts w:hint="eastAsia" w:ascii="宋体" w:hAnsi="宋体" w:cs="宋体"/>
                <w:color w:val="000000"/>
                <w:kern w:val="0"/>
                <w:szCs w:val="21"/>
              </w:rPr>
            </w:pPr>
          </w:p>
        </w:tc>
        <w:tc>
          <w:tcPr>
            <w:tcW w:w="1276" w:type="dxa"/>
            <w:tcBorders>
              <w:top w:val="nil"/>
              <w:left w:val="nil"/>
              <w:bottom w:val="single" w:color="auto" w:sz="8" w:space="0"/>
              <w:right w:val="single" w:color="auto" w:sz="8" w:space="0"/>
            </w:tcBorders>
            <w:vAlign w:val="center"/>
          </w:tcPr>
          <w:p w14:paraId="37A87128">
            <w:pPr>
              <w:widowControl/>
              <w:jc w:val="center"/>
              <w:rPr>
                <w:rFonts w:hint="eastAsia" w:ascii="宋体" w:hAnsi="宋体" w:cs="宋体"/>
                <w:color w:val="000000"/>
                <w:kern w:val="0"/>
                <w:szCs w:val="21"/>
              </w:rPr>
            </w:pPr>
            <w:r>
              <w:rPr>
                <w:rFonts w:hint="eastAsia" w:ascii="宋体" w:hAnsi="宋体" w:cs="宋体"/>
                <w:color w:val="000000"/>
                <w:kern w:val="0"/>
                <w:szCs w:val="21"/>
              </w:rPr>
              <w:t>网络及安全类设备</w:t>
            </w:r>
          </w:p>
        </w:tc>
        <w:tc>
          <w:tcPr>
            <w:tcW w:w="4356" w:type="dxa"/>
            <w:tcBorders>
              <w:top w:val="nil"/>
              <w:left w:val="nil"/>
              <w:bottom w:val="single" w:color="auto" w:sz="8" w:space="0"/>
              <w:right w:val="single" w:color="auto" w:sz="8" w:space="0"/>
            </w:tcBorders>
            <w:vAlign w:val="center"/>
          </w:tcPr>
          <w:p w14:paraId="5409EB10">
            <w:pPr>
              <w:widowControl/>
              <w:jc w:val="left"/>
              <w:rPr>
                <w:rFonts w:hint="eastAsia" w:ascii="宋体" w:hAnsi="宋体" w:cs="宋体"/>
                <w:color w:val="000000"/>
                <w:kern w:val="0"/>
                <w:szCs w:val="21"/>
              </w:rPr>
            </w:pPr>
            <w:r>
              <w:rPr>
                <w:rFonts w:hint="eastAsia" w:ascii="宋体" w:hAnsi="宋体" w:cs="宋体"/>
                <w:color w:val="000000"/>
                <w:kern w:val="0"/>
                <w:szCs w:val="21"/>
              </w:rPr>
              <w:t>安全设备的清洁维护。并对每类设备进行逐一检测，保持防火墙等设备软件的及时更新和升级，以获取最新的漏洞修复和安全补丁。定期审核软件配置和规则，确保配置的正确性和完整性确保系统版本及授权等为最新版本。并协助客户进行必要的的升级维护。</w:t>
            </w:r>
          </w:p>
        </w:tc>
        <w:tc>
          <w:tcPr>
            <w:tcW w:w="810" w:type="dxa"/>
            <w:tcBorders>
              <w:top w:val="nil"/>
              <w:left w:val="nil"/>
              <w:bottom w:val="single" w:color="auto" w:sz="8" w:space="0"/>
              <w:right w:val="single" w:color="auto" w:sz="8" w:space="0"/>
            </w:tcBorders>
            <w:vAlign w:val="center"/>
          </w:tcPr>
          <w:p w14:paraId="1B8BB55B">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80" w:type="dxa"/>
            <w:tcBorders>
              <w:top w:val="nil"/>
              <w:left w:val="nil"/>
              <w:bottom w:val="single" w:color="auto" w:sz="8" w:space="0"/>
              <w:right w:val="single" w:color="auto" w:sz="8" w:space="0"/>
            </w:tcBorders>
            <w:vAlign w:val="center"/>
          </w:tcPr>
          <w:p w14:paraId="59B93727">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06A5B707">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72D1BA4C">
            <w:pPr>
              <w:widowControl/>
              <w:jc w:val="center"/>
              <w:rPr>
                <w:rFonts w:hint="eastAsia" w:ascii="宋体" w:hAnsi="宋体" w:cs="宋体"/>
                <w:color w:val="000000"/>
                <w:kern w:val="0"/>
                <w:szCs w:val="21"/>
              </w:rPr>
            </w:pPr>
            <w:r>
              <w:rPr>
                <w:rFonts w:hint="eastAsia" w:ascii="宋体" w:hAnsi="宋体" w:cs="宋体"/>
                <w:color w:val="000000"/>
                <w:kern w:val="0"/>
                <w:szCs w:val="21"/>
              </w:rPr>
              <w:t>9</w:t>
            </w:r>
          </w:p>
        </w:tc>
        <w:tc>
          <w:tcPr>
            <w:tcW w:w="1134" w:type="dxa"/>
            <w:vMerge w:val="restart"/>
            <w:tcBorders>
              <w:top w:val="nil"/>
              <w:left w:val="single" w:color="auto" w:sz="8" w:space="0"/>
              <w:bottom w:val="single" w:color="000000" w:sz="8" w:space="0"/>
              <w:right w:val="single" w:color="auto" w:sz="8" w:space="0"/>
            </w:tcBorders>
            <w:vAlign w:val="center"/>
          </w:tcPr>
          <w:p w14:paraId="72E4EED7">
            <w:pPr>
              <w:widowControl/>
              <w:jc w:val="center"/>
              <w:rPr>
                <w:rFonts w:hint="eastAsia" w:ascii="宋体" w:hAnsi="宋体" w:cs="宋体"/>
                <w:color w:val="000000"/>
                <w:kern w:val="0"/>
                <w:szCs w:val="21"/>
              </w:rPr>
            </w:pPr>
            <w:r>
              <w:rPr>
                <w:rFonts w:hint="eastAsia" w:ascii="宋体" w:hAnsi="宋体" w:cs="宋体"/>
                <w:color w:val="000000"/>
                <w:kern w:val="0"/>
                <w:szCs w:val="21"/>
              </w:rPr>
              <w:t>安全运维</w:t>
            </w:r>
          </w:p>
        </w:tc>
        <w:tc>
          <w:tcPr>
            <w:tcW w:w="1276" w:type="dxa"/>
            <w:tcBorders>
              <w:top w:val="nil"/>
              <w:left w:val="nil"/>
              <w:bottom w:val="single" w:color="auto" w:sz="8" w:space="0"/>
              <w:right w:val="single" w:color="auto" w:sz="8" w:space="0"/>
            </w:tcBorders>
            <w:vAlign w:val="center"/>
          </w:tcPr>
          <w:p w14:paraId="53ABAA69">
            <w:pPr>
              <w:widowControl/>
              <w:jc w:val="center"/>
              <w:rPr>
                <w:rFonts w:hint="eastAsia" w:ascii="宋体" w:hAnsi="宋体" w:cs="宋体"/>
                <w:color w:val="000000"/>
                <w:kern w:val="0"/>
                <w:szCs w:val="21"/>
              </w:rPr>
            </w:pPr>
            <w:r>
              <w:rPr>
                <w:rFonts w:hint="eastAsia" w:ascii="宋体" w:hAnsi="宋体" w:cs="宋体"/>
                <w:color w:val="000000"/>
                <w:kern w:val="0"/>
                <w:szCs w:val="21"/>
              </w:rPr>
              <w:t>脆弱性测试</w:t>
            </w:r>
          </w:p>
        </w:tc>
        <w:tc>
          <w:tcPr>
            <w:tcW w:w="4356" w:type="dxa"/>
            <w:tcBorders>
              <w:top w:val="nil"/>
              <w:left w:val="nil"/>
              <w:bottom w:val="single" w:color="auto" w:sz="8" w:space="0"/>
              <w:right w:val="single" w:color="auto" w:sz="8" w:space="0"/>
            </w:tcBorders>
            <w:vAlign w:val="center"/>
          </w:tcPr>
          <w:p w14:paraId="7BB5652B">
            <w:pPr>
              <w:widowControl/>
              <w:jc w:val="left"/>
              <w:rPr>
                <w:rFonts w:hint="eastAsia" w:ascii="宋体" w:hAnsi="宋体" w:cs="宋体"/>
                <w:color w:val="000000"/>
                <w:kern w:val="0"/>
                <w:szCs w:val="21"/>
              </w:rPr>
            </w:pPr>
            <w:r>
              <w:rPr>
                <w:rFonts w:hint="eastAsia" w:ascii="宋体" w:hAnsi="宋体" w:cs="宋体"/>
                <w:color w:val="000000"/>
                <w:kern w:val="0"/>
                <w:szCs w:val="21"/>
              </w:rPr>
              <w:t>应用系统、数据库等，进行安全检测，以发现在网络、运维器策略配置等层面存在的安全隐患，为安全优化工作提供建设依据</w:t>
            </w:r>
          </w:p>
        </w:tc>
        <w:tc>
          <w:tcPr>
            <w:tcW w:w="810" w:type="dxa"/>
            <w:tcBorders>
              <w:top w:val="nil"/>
              <w:left w:val="nil"/>
              <w:bottom w:val="single" w:color="auto" w:sz="8" w:space="0"/>
              <w:right w:val="single" w:color="auto" w:sz="8" w:space="0"/>
            </w:tcBorders>
            <w:vAlign w:val="center"/>
          </w:tcPr>
          <w:p w14:paraId="78F71974">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80" w:type="dxa"/>
            <w:tcBorders>
              <w:top w:val="nil"/>
              <w:left w:val="nil"/>
              <w:bottom w:val="single" w:color="auto" w:sz="8" w:space="0"/>
              <w:right w:val="single" w:color="auto" w:sz="8" w:space="0"/>
            </w:tcBorders>
            <w:vAlign w:val="center"/>
          </w:tcPr>
          <w:p w14:paraId="3A987AA4">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0D3F55CD">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1E6B4C08">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134" w:type="dxa"/>
            <w:vMerge w:val="continue"/>
            <w:tcBorders>
              <w:top w:val="nil"/>
              <w:left w:val="single" w:color="auto" w:sz="8" w:space="0"/>
              <w:bottom w:val="single" w:color="000000" w:sz="8" w:space="0"/>
              <w:right w:val="single" w:color="auto" w:sz="8" w:space="0"/>
            </w:tcBorders>
            <w:vAlign w:val="center"/>
          </w:tcPr>
          <w:p w14:paraId="15508322">
            <w:pPr>
              <w:widowControl/>
              <w:jc w:val="left"/>
              <w:rPr>
                <w:rFonts w:hint="eastAsia" w:ascii="宋体" w:hAnsi="宋体" w:cs="宋体"/>
                <w:color w:val="000000"/>
                <w:kern w:val="0"/>
                <w:szCs w:val="21"/>
              </w:rPr>
            </w:pPr>
          </w:p>
        </w:tc>
        <w:tc>
          <w:tcPr>
            <w:tcW w:w="1276" w:type="dxa"/>
            <w:tcBorders>
              <w:top w:val="nil"/>
              <w:left w:val="nil"/>
              <w:bottom w:val="single" w:color="auto" w:sz="8" w:space="0"/>
              <w:right w:val="single" w:color="auto" w:sz="8" w:space="0"/>
            </w:tcBorders>
            <w:vAlign w:val="center"/>
          </w:tcPr>
          <w:p w14:paraId="4CC379FB">
            <w:pPr>
              <w:widowControl/>
              <w:jc w:val="center"/>
              <w:rPr>
                <w:rFonts w:hint="eastAsia" w:ascii="宋体" w:hAnsi="宋体" w:cs="宋体"/>
                <w:color w:val="000000"/>
                <w:kern w:val="0"/>
                <w:szCs w:val="21"/>
              </w:rPr>
            </w:pPr>
            <w:r>
              <w:rPr>
                <w:rFonts w:hint="eastAsia" w:ascii="宋体" w:hAnsi="宋体" w:cs="宋体"/>
                <w:color w:val="000000"/>
                <w:kern w:val="0"/>
                <w:szCs w:val="21"/>
              </w:rPr>
              <w:t>漏洞扫描</w:t>
            </w:r>
          </w:p>
        </w:tc>
        <w:tc>
          <w:tcPr>
            <w:tcW w:w="4356" w:type="dxa"/>
            <w:tcBorders>
              <w:top w:val="nil"/>
              <w:left w:val="nil"/>
              <w:bottom w:val="single" w:color="auto" w:sz="8" w:space="0"/>
              <w:right w:val="single" w:color="auto" w:sz="8" w:space="0"/>
            </w:tcBorders>
            <w:vAlign w:val="center"/>
          </w:tcPr>
          <w:p w14:paraId="022B68BB">
            <w:pPr>
              <w:widowControl/>
              <w:jc w:val="left"/>
              <w:rPr>
                <w:rFonts w:hint="eastAsia" w:ascii="宋体" w:hAnsi="宋体" w:cs="宋体"/>
                <w:color w:val="000000"/>
                <w:kern w:val="0"/>
                <w:szCs w:val="21"/>
              </w:rPr>
            </w:pPr>
            <w:r>
              <w:rPr>
                <w:rFonts w:hint="eastAsia" w:ascii="宋体" w:hAnsi="宋体" w:cs="宋体"/>
                <w:color w:val="000000"/>
                <w:kern w:val="0"/>
                <w:szCs w:val="21"/>
              </w:rPr>
              <w:t>漏洞扫描，发现扫描对象存在的web应用漏洞、主机操作系统漏洞、数据库漏洞、逻辑缺陷、弱口令、信息泄露等脆弱性问题，生成相关报告并提供加固建议</w:t>
            </w:r>
          </w:p>
        </w:tc>
        <w:tc>
          <w:tcPr>
            <w:tcW w:w="810" w:type="dxa"/>
            <w:tcBorders>
              <w:top w:val="nil"/>
              <w:left w:val="nil"/>
              <w:bottom w:val="single" w:color="auto" w:sz="8" w:space="0"/>
              <w:right w:val="single" w:color="auto" w:sz="8" w:space="0"/>
            </w:tcBorders>
            <w:vAlign w:val="center"/>
          </w:tcPr>
          <w:p w14:paraId="565D798A">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80" w:type="dxa"/>
            <w:tcBorders>
              <w:top w:val="nil"/>
              <w:left w:val="nil"/>
              <w:bottom w:val="single" w:color="auto" w:sz="8" w:space="0"/>
              <w:right w:val="single" w:color="auto" w:sz="8" w:space="0"/>
            </w:tcBorders>
            <w:vAlign w:val="center"/>
          </w:tcPr>
          <w:p w14:paraId="5B0C9866">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6AF93AB9">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51CB5DA8">
            <w:pPr>
              <w:widowControl/>
              <w:jc w:val="center"/>
              <w:rPr>
                <w:rFonts w:hint="eastAsia" w:ascii="宋体" w:hAnsi="宋体" w:cs="宋体"/>
                <w:color w:val="000000"/>
                <w:kern w:val="0"/>
                <w:szCs w:val="21"/>
              </w:rPr>
            </w:pPr>
            <w:r>
              <w:rPr>
                <w:rFonts w:hint="eastAsia" w:ascii="宋体" w:hAnsi="宋体" w:cs="宋体"/>
                <w:color w:val="000000"/>
                <w:kern w:val="0"/>
                <w:szCs w:val="21"/>
              </w:rPr>
              <w:t>11</w:t>
            </w:r>
          </w:p>
        </w:tc>
        <w:tc>
          <w:tcPr>
            <w:tcW w:w="1134" w:type="dxa"/>
            <w:vMerge w:val="continue"/>
            <w:tcBorders>
              <w:top w:val="nil"/>
              <w:left w:val="single" w:color="auto" w:sz="8" w:space="0"/>
              <w:bottom w:val="single" w:color="000000" w:sz="8" w:space="0"/>
              <w:right w:val="single" w:color="auto" w:sz="8" w:space="0"/>
            </w:tcBorders>
            <w:vAlign w:val="center"/>
          </w:tcPr>
          <w:p w14:paraId="01D4DB1D">
            <w:pPr>
              <w:widowControl/>
              <w:jc w:val="left"/>
              <w:rPr>
                <w:rFonts w:hint="eastAsia" w:ascii="宋体" w:hAnsi="宋体" w:cs="宋体"/>
                <w:color w:val="000000"/>
                <w:kern w:val="0"/>
                <w:szCs w:val="21"/>
              </w:rPr>
            </w:pPr>
          </w:p>
        </w:tc>
        <w:tc>
          <w:tcPr>
            <w:tcW w:w="1276" w:type="dxa"/>
            <w:tcBorders>
              <w:top w:val="nil"/>
              <w:left w:val="nil"/>
              <w:bottom w:val="single" w:color="auto" w:sz="8" w:space="0"/>
              <w:right w:val="single" w:color="auto" w:sz="8" w:space="0"/>
            </w:tcBorders>
            <w:vAlign w:val="center"/>
          </w:tcPr>
          <w:p w14:paraId="5DE69C48">
            <w:pPr>
              <w:widowControl/>
              <w:jc w:val="center"/>
              <w:rPr>
                <w:rFonts w:hint="eastAsia" w:ascii="宋体" w:hAnsi="宋体" w:cs="宋体"/>
                <w:color w:val="000000"/>
                <w:kern w:val="0"/>
                <w:szCs w:val="21"/>
              </w:rPr>
            </w:pPr>
            <w:r>
              <w:rPr>
                <w:rFonts w:hint="eastAsia" w:ascii="宋体" w:hAnsi="宋体" w:cs="宋体"/>
                <w:color w:val="000000"/>
                <w:kern w:val="0"/>
                <w:szCs w:val="21"/>
              </w:rPr>
              <w:t>日志分析</w:t>
            </w:r>
          </w:p>
        </w:tc>
        <w:tc>
          <w:tcPr>
            <w:tcW w:w="4356" w:type="dxa"/>
            <w:tcBorders>
              <w:top w:val="nil"/>
              <w:left w:val="nil"/>
              <w:bottom w:val="single" w:color="auto" w:sz="8" w:space="0"/>
              <w:right w:val="single" w:color="auto" w:sz="8" w:space="0"/>
            </w:tcBorders>
            <w:vAlign w:val="center"/>
          </w:tcPr>
          <w:p w14:paraId="73067190">
            <w:pPr>
              <w:widowControl/>
              <w:jc w:val="left"/>
              <w:rPr>
                <w:rFonts w:hint="eastAsia" w:ascii="宋体" w:hAnsi="宋体" w:cs="宋体"/>
                <w:color w:val="000000"/>
                <w:kern w:val="0"/>
                <w:szCs w:val="21"/>
              </w:rPr>
            </w:pPr>
            <w:r>
              <w:rPr>
                <w:rFonts w:hint="eastAsia" w:ascii="宋体" w:hAnsi="宋体" w:cs="宋体"/>
                <w:color w:val="000000"/>
                <w:kern w:val="0"/>
                <w:szCs w:val="21"/>
              </w:rPr>
              <w:t>通过收集用户网络中的运维器、网络设备、安全设备等的日志信息，进行关联分析，发现潜在的威胁和未知的入侵行为。</w:t>
            </w:r>
          </w:p>
        </w:tc>
        <w:tc>
          <w:tcPr>
            <w:tcW w:w="810" w:type="dxa"/>
            <w:tcBorders>
              <w:top w:val="nil"/>
              <w:left w:val="nil"/>
              <w:bottom w:val="single" w:color="auto" w:sz="8" w:space="0"/>
              <w:right w:val="single" w:color="auto" w:sz="8" w:space="0"/>
            </w:tcBorders>
            <w:vAlign w:val="center"/>
          </w:tcPr>
          <w:p w14:paraId="593F985F">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80" w:type="dxa"/>
            <w:tcBorders>
              <w:top w:val="nil"/>
              <w:left w:val="nil"/>
              <w:bottom w:val="single" w:color="auto" w:sz="8" w:space="0"/>
              <w:right w:val="single" w:color="auto" w:sz="8" w:space="0"/>
            </w:tcBorders>
            <w:vAlign w:val="center"/>
          </w:tcPr>
          <w:p w14:paraId="77C56679">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52672034">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764EB454">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1134" w:type="dxa"/>
            <w:vMerge w:val="continue"/>
            <w:tcBorders>
              <w:top w:val="nil"/>
              <w:left w:val="single" w:color="auto" w:sz="8" w:space="0"/>
              <w:bottom w:val="single" w:color="000000" w:sz="8" w:space="0"/>
              <w:right w:val="single" w:color="auto" w:sz="8" w:space="0"/>
            </w:tcBorders>
            <w:vAlign w:val="center"/>
          </w:tcPr>
          <w:p w14:paraId="4468F4B9">
            <w:pPr>
              <w:widowControl/>
              <w:jc w:val="left"/>
              <w:rPr>
                <w:rFonts w:hint="eastAsia" w:ascii="宋体" w:hAnsi="宋体" w:cs="宋体"/>
                <w:color w:val="000000"/>
                <w:kern w:val="0"/>
                <w:szCs w:val="21"/>
              </w:rPr>
            </w:pPr>
          </w:p>
        </w:tc>
        <w:tc>
          <w:tcPr>
            <w:tcW w:w="1276" w:type="dxa"/>
            <w:tcBorders>
              <w:top w:val="nil"/>
              <w:left w:val="nil"/>
              <w:bottom w:val="single" w:color="auto" w:sz="8" w:space="0"/>
              <w:right w:val="single" w:color="auto" w:sz="8" w:space="0"/>
            </w:tcBorders>
            <w:vAlign w:val="center"/>
          </w:tcPr>
          <w:p w14:paraId="098140F1">
            <w:pPr>
              <w:widowControl/>
              <w:jc w:val="center"/>
              <w:rPr>
                <w:rFonts w:hint="eastAsia" w:ascii="宋体" w:hAnsi="宋体" w:cs="宋体"/>
                <w:color w:val="000000"/>
                <w:kern w:val="0"/>
                <w:szCs w:val="21"/>
              </w:rPr>
            </w:pPr>
            <w:r>
              <w:rPr>
                <w:rFonts w:hint="eastAsia" w:ascii="宋体" w:hAnsi="宋体" w:cs="宋体"/>
                <w:color w:val="000000"/>
                <w:kern w:val="0"/>
                <w:szCs w:val="21"/>
              </w:rPr>
              <w:t>策略调优</w:t>
            </w:r>
          </w:p>
        </w:tc>
        <w:tc>
          <w:tcPr>
            <w:tcW w:w="4356" w:type="dxa"/>
            <w:tcBorders>
              <w:top w:val="nil"/>
              <w:left w:val="nil"/>
              <w:bottom w:val="single" w:color="auto" w:sz="8" w:space="0"/>
              <w:right w:val="single" w:color="auto" w:sz="8" w:space="0"/>
            </w:tcBorders>
            <w:vAlign w:val="center"/>
          </w:tcPr>
          <w:p w14:paraId="3EA507F6">
            <w:pPr>
              <w:widowControl/>
              <w:jc w:val="left"/>
              <w:rPr>
                <w:rFonts w:hint="eastAsia" w:ascii="宋体" w:hAnsi="宋体" w:cs="宋体"/>
                <w:color w:val="000000"/>
                <w:kern w:val="0"/>
                <w:szCs w:val="21"/>
              </w:rPr>
            </w:pPr>
            <w:r>
              <w:rPr>
                <w:rFonts w:hint="eastAsia" w:ascii="宋体" w:hAnsi="宋体" w:cs="宋体"/>
                <w:color w:val="000000"/>
                <w:kern w:val="0"/>
                <w:szCs w:val="21"/>
              </w:rPr>
              <w:t>随着数据采集点的增多，业务系统的增加和升级，需从新配置运维器，交换机及安全产品的网络架构及策略，期间需协调各方技术人员到场配合工作。</w:t>
            </w:r>
          </w:p>
        </w:tc>
        <w:tc>
          <w:tcPr>
            <w:tcW w:w="810" w:type="dxa"/>
            <w:tcBorders>
              <w:top w:val="nil"/>
              <w:left w:val="nil"/>
              <w:bottom w:val="single" w:color="auto" w:sz="8" w:space="0"/>
              <w:right w:val="single" w:color="auto" w:sz="8" w:space="0"/>
            </w:tcBorders>
            <w:vAlign w:val="center"/>
          </w:tcPr>
          <w:p w14:paraId="5C2F3ADD">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80" w:type="dxa"/>
            <w:tcBorders>
              <w:top w:val="nil"/>
              <w:left w:val="nil"/>
              <w:bottom w:val="single" w:color="auto" w:sz="8" w:space="0"/>
              <w:right w:val="single" w:color="auto" w:sz="8" w:space="0"/>
            </w:tcBorders>
            <w:vAlign w:val="center"/>
          </w:tcPr>
          <w:p w14:paraId="1AF2099A">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r w14:paraId="5363D9F7">
        <w:tblPrEx>
          <w:tblCellMar>
            <w:top w:w="0" w:type="dxa"/>
            <w:left w:w="108" w:type="dxa"/>
            <w:bottom w:w="0" w:type="dxa"/>
            <w:right w:w="108" w:type="dxa"/>
          </w:tblCellMar>
        </w:tblPrEx>
        <w:trPr>
          <w:trHeight w:val="454" w:hRule="atLeast"/>
        </w:trPr>
        <w:tc>
          <w:tcPr>
            <w:tcW w:w="699" w:type="dxa"/>
            <w:tcBorders>
              <w:top w:val="nil"/>
              <w:left w:val="single" w:color="auto" w:sz="8" w:space="0"/>
              <w:bottom w:val="single" w:color="auto" w:sz="8" w:space="0"/>
              <w:right w:val="single" w:color="auto" w:sz="8" w:space="0"/>
            </w:tcBorders>
            <w:vAlign w:val="center"/>
          </w:tcPr>
          <w:p w14:paraId="594B3AC3">
            <w:pPr>
              <w:widowControl/>
              <w:jc w:val="center"/>
              <w:rPr>
                <w:rFonts w:hint="eastAsia" w:ascii="宋体" w:hAnsi="宋体" w:cs="宋体"/>
                <w:color w:val="000000"/>
                <w:kern w:val="0"/>
                <w:szCs w:val="21"/>
              </w:rPr>
            </w:pPr>
            <w:r>
              <w:rPr>
                <w:rFonts w:hint="eastAsia" w:ascii="宋体" w:hAnsi="宋体" w:cs="宋体"/>
                <w:color w:val="000000"/>
                <w:kern w:val="0"/>
                <w:szCs w:val="21"/>
              </w:rPr>
              <w:t>13</w:t>
            </w:r>
          </w:p>
        </w:tc>
        <w:tc>
          <w:tcPr>
            <w:tcW w:w="1134" w:type="dxa"/>
            <w:vMerge w:val="continue"/>
            <w:tcBorders>
              <w:top w:val="nil"/>
              <w:left w:val="single" w:color="auto" w:sz="8" w:space="0"/>
              <w:bottom w:val="single" w:color="000000" w:sz="8" w:space="0"/>
              <w:right w:val="single" w:color="auto" w:sz="8" w:space="0"/>
            </w:tcBorders>
            <w:vAlign w:val="center"/>
          </w:tcPr>
          <w:p w14:paraId="361A3CCF">
            <w:pPr>
              <w:widowControl/>
              <w:jc w:val="left"/>
              <w:rPr>
                <w:rFonts w:hint="eastAsia" w:ascii="宋体" w:hAnsi="宋体" w:cs="宋体"/>
                <w:color w:val="000000"/>
                <w:kern w:val="0"/>
                <w:szCs w:val="21"/>
              </w:rPr>
            </w:pPr>
          </w:p>
        </w:tc>
        <w:tc>
          <w:tcPr>
            <w:tcW w:w="1276" w:type="dxa"/>
            <w:tcBorders>
              <w:top w:val="nil"/>
              <w:left w:val="nil"/>
              <w:bottom w:val="single" w:color="auto" w:sz="8" w:space="0"/>
              <w:right w:val="single" w:color="auto" w:sz="8" w:space="0"/>
            </w:tcBorders>
            <w:vAlign w:val="center"/>
          </w:tcPr>
          <w:p w14:paraId="279B8F3E">
            <w:pPr>
              <w:widowControl/>
              <w:jc w:val="center"/>
              <w:rPr>
                <w:rFonts w:hint="eastAsia" w:ascii="宋体" w:hAnsi="宋体" w:cs="宋体"/>
                <w:color w:val="000000"/>
                <w:kern w:val="0"/>
                <w:szCs w:val="21"/>
              </w:rPr>
            </w:pPr>
            <w:r>
              <w:rPr>
                <w:rFonts w:hint="eastAsia" w:ascii="宋体" w:hAnsi="宋体" w:cs="宋体"/>
                <w:color w:val="000000"/>
                <w:kern w:val="0"/>
                <w:szCs w:val="21"/>
              </w:rPr>
              <w:t>弱口令检测</w:t>
            </w:r>
          </w:p>
        </w:tc>
        <w:tc>
          <w:tcPr>
            <w:tcW w:w="4356" w:type="dxa"/>
            <w:tcBorders>
              <w:top w:val="nil"/>
              <w:left w:val="nil"/>
              <w:bottom w:val="single" w:color="auto" w:sz="8" w:space="0"/>
              <w:right w:val="single" w:color="auto" w:sz="8" w:space="0"/>
            </w:tcBorders>
            <w:vAlign w:val="center"/>
          </w:tcPr>
          <w:p w14:paraId="15D3004A">
            <w:pPr>
              <w:widowControl/>
              <w:jc w:val="left"/>
              <w:rPr>
                <w:rFonts w:hint="eastAsia" w:ascii="宋体" w:hAnsi="宋体" w:cs="宋体"/>
                <w:color w:val="000000"/>
                <w:kern w:val="0"/>
                <w:szCs w:val="21"/>
              </w:rPr>
            </w:pPr>
            <w:r>
              <w:rPr>
                <w:rFonts w:hint="eastAsia" w:ascii="宋体" w:hAnsi="宋体" w:cs="宋体"/>
                <w:color w:val="000000"/>
                <w:kern w:val="0"/>
                <w:szCs w:val="21"/>
              </w:rPr>
              <w:t>针对内外网系统进行弱口令检测工作。每3月更换一次。</w:t>
            </w:r>
          </w:p>
        </w:tc>
        <w:tc>
          <w:tcPr>
            <w:tcW w:w="810" w:type="dxa"/>
            <w:tcBorders>
              <w:top w:val="nil"/>
              <w:left w:val="nil"/>
              <w:bottom w:val="single" w:color="auto" w:sz="8" w:space="0"/>
              <w:right w:val="single" w:color="auto" w:sz="8" w:space="0"/>
            </w:tcBorders>
            <w:vAlign w:val="center"/>
          </w:tcPr>
          <w:p w14:paraId="5ABEC44A">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780" w:type="dxa"/>
            <w:tcBorders>
              <w:top w:val="nil"/>
              <w:left w:val="nil"/>
              <w:bottom w:val="single" w:color="auto" w:sz="8" w:space="0"/>
              <w:right w:val="single" w:color="auto" w:sz="8" w:space="0"/>
            </w:tcBorders>
            <w:vAlign w:val="center"/>
          </w:tcPr>
          <w:p w14:paraId="637D2791">
            <w:pPr>
              <w:widowControl/>
              <w:jc w:val="center"/>
              <w:rPr>
                <w:rFonts w:hint="eastAsia" w:ascii="宋体" w:hAnsi="宋体" w:cs="宋体"/>
                <w:color w:val="000000"/>
                <w:kern w:val="0"/>
                <w:szCs w:val="21"/>
              </w:rPr>
            </w:pPr>
            <w:r>
              <w:rPr>
                <w:rFonts w:hint="eastAsia" w:ascii="宋体" w:hAnsi="宋体" w:cs="宋体"/>
                <w:color w:val="000000"/>
                <w:kern w:val="0"/>
                <w:szCs w:val="21"/>
              </w:rPr>
              <w:t>次</w:t>
            </w:r>
          </w:p>
        </w:tc>
      </w:tr>
    </w:tbl>
    <w:p w14:paraId="38ADAEF9">
      <w:pPr>
        <w:spacing w:line="360" w:lineRule="auto"/>
        <w:ind w:firstLine="482" w:firstLineChars="200"/>
        <w:rPr>
          <w:rFonts w:hint="eastAsia" w:ascii="宋体" w:hAnsi="宋体" w:cs="宋体"/>
          <w:b/>
          <w:sz w:val="24"/>
        </w:rPr>
      </w:pPr>
      <w:r>
        <w:rPr>
          <w:rFonts w:hint="eastAsia" w:ascii="宋体" w:hAnsi="宋体" w:cs="宋体"/>
          <w:b/>
          <w:sz w:val="24"/>
        </w:rPr>
        <w:t>（4）项目服务内容</w:t>
      </w:r>
    </w:p>
    <w:p w14:paraId="7A1E62EA">
      <w:pPr>
        <w:autoSpaceDE w:val="0"/>
        <w:autoSpaceDN w:val="0"/>
        <w:adjustRightInd w:val="0"/>
        <w:spacing w:line="360" w:lineRule="auto"/>
        <w:ind w:firstLine="420"/>
        <w:jc w:val="left"/>
        <w:rPr>
          <w:rFonts w:hint="eastAsia" w:ascii="宋体" w:hAnsi="宋体" w:cs="宋体"/>
          <w:sz w:val="24"/>
        </w:rPr>
      </w:pPr>
      <w:r>
        <w:rPr>
          <w:rFonts w:hint="eastAsia" w:ascii="宋体" w:hAnsi="宋体" w:cs="宋体"/>
          <w:sz w:val="24"/>
        </w:rPr>
        <w:t>1）硬件设备维护内容</w:t>
      </w:r>
    </w:p>
    <w:p w14:paraId="7AC5B0C0">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a.服务器</w:t>
      </w:r>
    </w:p>
    <w:p w14:paraId="0D1ABECC">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服务内容：清洁保养，清除机箱、滤清器内的灰尘与异物；系统优化，协助客户对进行系统性能调整和系统优化，提高系统效率。设备合计约＞20台。</w:t>
      </w:r>
    </w:p>
    <w:p w14:paraId="56165420">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巡检设备内容包括：设备外观状况，设备状态灯，设备之间链接是否正常。</w:t>
      </w:r>
    </w:p>
    <w:p w14:paraId="31A63C6C">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服务频率：市灾防所信息中心1次/季度，监测站信息中心1次/季度，服务期1年。</w:t>
      </w:r>
    </w:p>
    <w:p w14:paraId="5168CB2F">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服务成果：《市灾防所服务器运维保养报告》。</w:t>
      </w:r>
    </w:p>
    <w:p w14:paraId="3C479CA5">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b.磁盘存储</w:t>
      </w:r>
    </w:p>
    <w:p w14:paraId="2251463A">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服务内容：清洁保养，清除机箱、滤清器内的灰尘与异物；系统优化，协助客户对进行系统性能调整和系统优化，提高系统效率。磁盘存储的维护、处置、配置、数据的安性全及备份等工作。异常情况处理。</w:t>
      </w:r>
    </w:p>
    <w:p w14:paraId="22FFE235">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巡检设备内容包括：设备外观状况，设备状态灯，设备之间链接是否正常。</w:t>
      </w:r>
    </w:p>
    <w:p w14:paraId="4D95DB80">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服务频率：市灾防所信息中心1次/半年，监测站信息中心1次/半年，服务期1年。</w:t>
      </w:r>
    </w:p>
    <w:p w14:paraId="0912ABF3">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服务成果：《市灾防所磁盘存储运维保养报告》。</w:t>
      </w:r>
    </w:p>
    <w:p w14:paraId="2C5B32B7">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c.ATS配电柜</w:t>
      </w:r>
    </w:p>
    <w:p w14:paraId="41B55B1D">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服务内容：检测整个系统的运行参数，确保设备正常运行。</w:t>
      </w:r>
    </w:p>
    <w:p w14:paraId="6575500F">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巡检设备内容包括：设备外观状况，设备状态灯，设备之间链接是否正常。</w:t>
      </w:r>
    </w:p>
    <w:p w14:paraId="608D3833">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服务频率：市灾防所信息中心1次/季度，监测站信息中心1次/季度，服务期1年。</w:t>
      </w:r>
    </w:p>
    <w:p w14:paraId="24B1D3D2">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服务成果：《市灾防所ATS配电柜运维保养报告》。</w:t>
      </w:r>
    </w:p>
    <w:p w14:paraId="5517EA37">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d.UPS配电柜、UPS电池柜、UPS电池</w:t>
      </w:r>
    </w:p>
    <w:p w14:paraId="11813266">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内容：对机组及电池柜进行内外部的彻底清扫。检测电池组/柜的完整性。测量设备的输入、输出电压及电流。对块电池进行充放电测试，根据UPS开始放电时间与UPS电池低压保护关机时间，算出电池的供电时间，查看是否满足时间的配置需求。出具检测报告。2套UPS设备。</w:t>
      </w:r>
    </w:p>
    <w:p w14:paraId="2477348B">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巡检设备内容包括：设备外观状况，设备状态灯，设备之间链接是否正常，蓄电池充放电测试等。</w:t>
      </w:r>
    </w:p>
    <w:p w14:paraId="0C2788E6">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服务频率：市灾防所信息中心1次/季度，监测站信息中心1次/季度，服务期1年。</w:t>
      </w:r>
    </w:p>
    <w:p w14:paraId="63BB8F35">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服务成果：《市灾防所UPS配电柜、UPS电池柜、UPS电池运维保养报告》。</w:t>
      </w:r>
    </w:p>
    <w:p w14:paraId="2D71D22D">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e.精密空调</w:t>
      </w:r>
    </w:p>
    <w:p w14:paraId="0298CDBC">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服务内容：空调控制系统的显示屏上检查空调系统的各项功能及参数是否正常:对压缩机和加湿器等部件进行检测维护。对室外室内机进行清洗，维护，进出水管道检查清洁。4台精密空调。</w:t>
      </w:r>
    </w:p>
    <w:p w14:paraId="3B19606A">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巡检设备内容包括：设备外观状况，设备状态灯，空调运行状态监测等。</w:t>
      </w:r>
    </w:p>
    <w:p w14:paraId="5794A869">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服务频率：市灾防所信息中心1次/月，监测站信息中心1次/月，服务期1年。</w:t>
      </w:r>
    </w:p>
    <w:p w14:paraId="7D0DB62F">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服务成果：《市灾防所精密空调运维保养报告》。</w:t>
      </w:r>
    </w:p>
    <w:p w14:paraId="12131473">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f.网络及安全类设备</w:t>
      </w:r>
    </w:p>
    <w:p w14:paraId="01043E7F">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内容：针对交换机，防火墙，堡垒机，审计等设备的清洁维护。设备合计约＞50台。并对每类设备进行逐一检测，保持防火墙等设备软件的及时更新和升级，以获取最新的漏洞修复和安全补丁。定期审核软件配置和规则，确保配置的正确性和完整性确保系统版本及授权等为最新版本。</w:t>
      </w:r>
    </w:p>
    <w:p w14:paraId="1ADE42E4">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巡检设备内容包括：设备外观状况，设备状态灯，设备之间链接是否正常等。</w:t>
      </w:r>
    </w:p>
    <w:p w14:paraId="5BB8D382">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服务频率：市灾防所信息中心1次/季度，监测站信息中心1次/积极度，服务期1年。</w:t>
      </w:r>
    </w:p>
    <w:p w14:paraId="5C970DC9">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服务成果：《市灾防所网络及安全类设备运维巡检报告》。</w:t>
      </w:r>
    </w:p>
    <w:p w14:paraId="29F8BB3A">
      <w:pPr>
        <w:autoSpaceDE w:val="0"/>
        <w:autoSpaceDN w:val="0"/>
        <w:adjustRightInd w:val="0"/>
        <w:spacing w:line="360" w:lineRule="auto"/>
        <w:ind w:firstLine="420"/>
        <w:jc w:val="left"/>
        <w:rPr>
          <w:rFonts w:hint="eastAsia" w:ascii="宋体" w:hAnsi="宋体" w:cs="宋体"/>
          <w:sz w:val="24"/>
        </w:rPr>
      </w:pPr>
      <w:r>
        <w:rPr>
          <w:rFonts w:hint="eastAsia" w:ascii="宋体" w:hAnsi="宋体" w:cs="宋体"/>
          <w:sz w:val="24"/>
        </w:rPr>
        <w:t>2）安全运维</w:t>
      </w:r>
    </w:p>
    <w:p w14:paraId="4633666E">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a.渗透测试</w:t>
      </w:r>
    </w:p>
    <w:p w14:paraId="3CED52F1">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内容：通过模拟真实黑客的攻击手法来对应用进行模拟攻击，由高级工程师进行深入的手工测试和分析，识别弱点扫描工具或者脆弱性扫描工具无法发现的问题工具弱点扫描无法发现的问题。主要分析内容包括逻辑设计缺陷、上传绕过输入输出校验绕过、数据算改、功能绕过、异常错误等以及其他专项内容测试与分析，了解应用系统可能存在的潜在漏洞以及发生漏洞利用时可能造成的危害，渗透结束后生成相关报告并提供修复建议。</w:t>
      </w:r>
    </w:p>
    <w:p w14:paraId="7793BE3D">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服务范围：市灾防所重要信息系统。</w:t>
      </w:r>
    </w:p>
    <w:p w14:paraId="79F6306E">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服务频率：每2月1次，全年共6次。</w:t>
      </w:r>
    </w:p>
    <w:p w14:paraId="74ACD8FB">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服务成果：《市灾防所信息系统渗透测试报告》。</w:t>
      </w:r>
    </w:p>
    <w:p w14:paraId="260CFA1D">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b.漏洞扫描</w:t>
      </w:r>
    </w:p>
    <w:p w14:paraId="5AE3F7C9">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服务内容：漏洞扫描，发现扫描对象存在的web应用漏洞、主机操作系统漏洞、数据库漏洞、逻辑缺陷、弱口令、信息泄露等脆弱性问题，生成相关报告并提供加固建议。</w:t>
      </w:r>
    </w:p>
    <w:p w14:paraId="76A5BE45">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服务范围：市灾防所信息中心所有设备。</w:t>
      </w:r>
    </w:p>
    <w:p w14:paraId="4F815E9E">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服务频率：每月1次，全年共12次。</w:t>
      </w:r>
    </w:p>
    <w:p w14:paraId="3117AF7D">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服务成果：《市灾防所漏洞扫描报告》。</w:t>
      </w:r>
    </w:p>
    <w:p w14:paraId="74B40AF3">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c.应急演练</w:t>
      </w:r>
    </w:p>
    <w:p w14:paraId="3A15037D">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服务内容：建立应急预案，并定期开展应急演练。通过实战演练来提高单位应对网络突发事件的行动力，根据出现的新的网络攻击手段或其他特殊情况，不断进行预案的调整完善。</w:t>
      </w:r>
    </w:p>
    <w:p w14:paraId="5333ABF3">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服务范围：市灾防所信息系统。</w:t>
      </w:r>
    </w:p>
    <w:p w14:paraId="00586571">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服务频率：每年1次，共1次。</w:t>
      </w:r>
    </w:p>
    <w:p w14:paraId="5A38638F">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服务成果：演练后出具《市灾防所应急演练过程说明》，并更新《市灾防所应急预案》。</w:t>
      </w:r>
    </w:p>
    <w:p w14:paraId="4050580A">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d.脆弱性测试</w:t>
      </w:r>
    </w:p>
    <w:p w14:paraId="654E5FDB">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服务内容：涵盖应用系统、数据库等，进行安全检测，以发现在网络、运维器策略配置等层面存在的安全隐患，为安全优化工作提供建设依据。</w:t>
      </w:r>
    </w:p>
    <w:p w14:paraId="0AC047CD">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服务范围：市灾防所信息系统。</w:t>
      </w:r>
    </w:p>
    <w:p w14:paraId="0D8F44E3">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服务频率：每季度1次，共4次。</w:t>
      </w:r>
    </w:p>
    <w:p w14:paraId="4C5281E5">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服务成果：《脆弱性测试报告》。</w:t>
      </w:r>
    </w:p>
    <w:p w14:paraId="144E0855">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e.日志分析</w:t>
      </w:r>
    </w:p>
    <w:p w14:paraId="10A26C10">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服务内容：通过收集用户网络中的运维器、网络设备、安全设备等的日志信息，进行关联分析，发现潜在的威胁和未知的入侵行为。态势感知日志检索分析。日志检索分析运维器日志检索分析。</w:t>
      </w:r>
    </w:p>
    <w:p w14:paraId="42186AB8">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服务范围：市灾防所信息系统。</w:t>
      </w:r>
    </w:p>
    <w:p w14:paraId="3DC2E491">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服务频率：每季度1次，共4次。</w:t>
      </w:r>
    </w:p>
    <w:p w14:paraId="78C772B4">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服务成果：《日志分析报告》。</w:t>
      </w:r>
    </w:p>
    <w:p w14:paraId="1688500A">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f.安全加固</w:t>
      </w:r>
    </w:p>
    <w:p w14:paraId="067351CC">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内容：参考国内国际权威的系统安全配置标准，并结合客户的实际业务需要，对重点运维器的操作系统和应用运维进行适度安全配置加固和系统安全优化。并包括基线安全检查后的安全配置修改。对网站/应用安全检查后的配置修改。对策略的实际情况进行配置修改。对安全风险进行整改。</w:t>
      </w:r>
    </w:p>
    <w:p w14:paraId="1115C180">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服务范围：市灾防所信息系统。</w:t>
      </w:r>
    </w:p>
    <w:p w14:paraId="0AACFC6F">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服务频率：每季度1次，共4次。</w:t>
      </w:r>
    </w:p>
    <w:p w14:paraId="295CD2E4">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服务成果：《安全加固报告》。</w:t>
      </w:r>
    </w:p>
    <w:p w14:paraId="691340E1">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g.安全培训</w:t>
      </w:r>
    </w:p>
    <w:p w14:paraId="22ACDF97">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内容：对用户进行安全意识培训，及国家制定的新的政策解读并提供建议方案。举办安全讲座，邮件，文本资料等方式，让员工深入了解网络安全的重要性，并学习实用的安全技能。并不定期邀请技术人员列席专业性的会议，切身感受新技术新产品的安全发展趋势。</w:t>
      </w:r>
    </w:p>
    <w:p w14:paraId="5D0A7441">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服务范围：市灾防所人员。</w:t>
      </w:r>
    </w:p>
    <w:p w14:paraId="751AB7A1">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服务频率：2次/年</w:t>
      </w:r>
    </w:p>
    <w:p w14:paraId="1D038969">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服务成果：《市灾防所安全培训总结报告》。</w:t>
      </w:r>
    </w:p>
    <w:p w14:paraId="2BBB469B">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h.风险评估</w:t>
      </w:r>
    </w:p>
    <w:p w14:paraId="4A906A65">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内容：对重要信息系统开展风险评估工作，包括资产、威胁、脆弱性识别、风险分析、风险处置等。平衡安全风险与成本代价，提供有效的安全加固和改进建议，为以后的安全规划建设提供依据和参考，建立信息安全风险管理机制。</w:t>
      </w:r>
    </w:p>
    <w:p w14:paraId="214E867A">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服务范围：市灾防所信息系统</w:t>
      </w:r>
    </w:p>
    <w:p w14:paraId="5C89AB5E">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服务频率：信息系统进行每季度1次，共4次。</w:t>
      </w:r>
    </w:p>
    <w:p w14:paraId="28802611">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服务成果：《市灾防所信息系统风险评估报告》。</w:t>
      </w:r>
    </w:p>
    <w:p w14:paraId="574129C0">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i.网站安全监测</w:t>
      </w:r>
    </w:p>
    <w:p w14:paraId="79EB80D7">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服务内容：设置监测工具，实时监控网站流量和活动。识别异常流量和潜在攻击行为，如SQL注入、跨站脚本等。 一旦发现异常，立即生成警报并采取相应措施。</w:t>
      </w:r>
    </w:p>
    <w:p w14:paraId="5ABAACFE">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服务范围：市灾防所信息系统</w:t>
      </w:r>
    </w:p>
    <w:p w14:paraId="468B73E6">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服务频率：信息系统进行全年服务。</w:t>
      </w:r>
    </w:p>
    <w:p w14:paraId="6EEA2069">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服务成果：《市灾防所信息系统网站安全监测报告》。</w:t>
      </w:r>
    </w:p>
    <w:p w14:paraId="26EA3E87">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j.基线检查</w:t>
      </w:r>
    </w:p>
    <w:p w14:paraId="036D878E">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服务内容：结合国家和行业要求，通过工具+人工的方式对客户信息系统的资产进行安全基线核查与分析，并提供相应的安全整改建议。</w:t>
      </w:r>
    </w:p>
    <w:p w14:paraId="1BF60324">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服务范围：市灾防所信息系统</w:t>
      </w:r>
    </w:p>
    <w:p w14:paraId="47E34A87">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服务频率：每季度1次，共4次。</w:t>
      </w:r>
    </w:p>
    <w:p w14:paraId="75AEFDB3">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服务成果：《市灾防所信息系统基线检查报告》。</w:t>
      </w:r>
    </w:p>
    <w:p w14:paraId="5547A201">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k.弱口令检测</w:t>
      </w:r>
    </w:p>
    <w:p w14:paraId="381EE272">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服务内容：针对内外网系统进行弱口令检测工作。每3月更换一次。</w:t>
      </w:r>
    </w:p>
    <w:p w14:paraId="13E20057">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服务范围：市灾防所信息系统</w:t>
      </w:r>
    </w:p>
    <w:p w14:paraId="6033C3AC">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服务频率：每季度1次，共4次。</w:t>
      </w:r>
    </w:p>
    <w:p w14:paraId="3CE694EC">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服务成果：《市灾防所信息系统弱口令检测报告》。</w:t>
      </w:r>
    </w:p>
    <w:p w14:paraId="74EBE9BD">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l.代码审计</w:t>
      </w:r>
    </w:p>
    <w:p w14:paraId="1972E6DB">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内容：针对系统各各阶段源代码提供安全审计检测运维。利用数据流分析引擎、语义分析引擎、控制流分析引擎等技术，采用专业的源代码安全审计工具对源代码安全问题进行分析和检测并验证，从而对源代码安全漏洞进行定级，给出安全漏洞分析报告。采取自动化工具识别与人工审计相结合的方式，发现软件源代码的潜在风险。</w:t>
      </w:r>
    </w:p>
    <w:p w14:paraId="680F2850">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服务范围：市灾防所信息系统代码</w:t>
      </w:r>
    </w:p>
    <w:p w14:paraId="288A6D37">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服务频率：全年共1次。</w:t>
      </w:r>
    </w:p>
    <w:p w14:paraId="618C9CE3">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服务成果：《市灾防所信息系统代码审计报告》。</w:t>
      </w:r>
    </w:p>
    <w:p w14:paraId="6A6B9C5C">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m.安全通告</w:t>
      </w:r>
    </w:p>
    <w:p w14:paraId="3D5A64D7">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内容：以邮件、文件、电话等方式，将安全技术和安全信息及时传递给客户，使客户能保持对信息安全最新动态的认识，提前预知风险，每月末以邮件方式提交安全月报。安全通告内容至少包括：目前主流操作系统的安全漏洞补丁；信息安全业界最新动态与技术；国内外最新信息安全趋势；紧急安全事件通告；最新的国内、外行业安全政策及法律法规。</w:t>
      </w:r>
    </w:p>
    <w:p w14:paraId="4FDB69C4">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服务频率：每月1次安全通告，全年共12次。</w:t>
      </w:r>
    </w:p>
    <w:p w14:paraId="2F755FFE">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服务成果：《信息安全通告》。</w:t>
      </w:r>
    </w:p>
    <w:p w14:paraId="44F05A4E">
      <w:pPr>
        <w:autoSpaceDE w:val="0"/>
        <w:autoSpaceDN w:val="0"/>
        <w:adjustRightInd w:val="0"/>
        <w:spacing w:line="360" w:lineRule="auto"/>
        <w:ind w:firstLine="420"/>
        <w:jc w:val="left"/>
        <w:rPr>
          <w:rFonts w:hint="eastAsia" w:ascii="宋体" w:hAnsi="宋体" w:cs="宋体"/>
          <w:sz w:val="24"/>
        </w:rPr>
      </w:pPr>
      <w:r>
        <w:rPr>
          <w:rFonts w:hint="eastAsia" w:ascii="宋体" w:hAnsi="宋体" w:cs="宋体"/>
          <w:sz w:val="24"/>
        </w:rPr>
        <w:t>3）驻场人员</w:t>
      </w:r>
    </w:p>
    <w:p w14:paraId="53C543AB">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a.特殊应急</w:t>
      </w:r>
    </w:p>
    <w:p w14:paraId="51C1CF16">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服务内容：特殊情况需紧急应急</w:t>
      </w:r>
    </w:p>
    <w:p w14:paraId="13326246">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服务范围：灾防所信息系统</w:t>
      </w:r>
    </w:p>
    <w:p w14:paraId="0EF0E4C2">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服务频率：每季度1次，共4次。</w:t>
      </w:r>
    </w:p>
    <w:p w14:paraId="4A84AB56">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服务成果：《市灾防所特殊应急服务记录单》。</w:t>
      </w:r>
    </w:p>
    <w:p w14:paraId="5EADD94F">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b.重要时期安全保障运维</w:t>
      </w:r>
    </w:p>
    <w:p w14:paraId="4E768816">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内容：针对国家规定的法定节假日、重大会议、政治活动及其它具有广泛影响的活动，派遣高级安全运维专家，以现场方式提供安全保障工作，协助外理信息安全事件。包括前期重要业务的检查、安全扫描、网络安全加固等准备工作，确保在重要敏感时期的网络安全。初步确定五一和十一等重要时期进行重要时期安全保障运维。</w:t>
      </w:r>
    </w:p>
    <w:p w14:paraId="344F8C69">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服务范围：灾防所信息系统</w:t>
      </w:r>
    </w:p>
    <w:p w14:paraId="6ACA5881">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服务频率：全年共计20人天。</w:t>
      </w:r>
    </w:p>
    <w:p w14:paraId="6FB24E30">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服务成果：《市灾防所重要时期安全保障运维报告》。</w:t>
      </w:r>
    </w:p>
    <w:p w14:paraId="266E750F">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c.驻场</w:t>
      </w:r>
    </w:p>
    <w:p w14:paraId="768D9065">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服务内容：日常硬件设备的巡查工作，运维器，存储，交换机安全设备等；协助客户处理简单设备故障等；配合客户对接机房的其它工作。</w:t>
      </w:r>
    </w:p>
    <w:p w14:paraId="2FE96BA1">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服务频率：全年5*8驻场。</w:t>
      </w:r>
    </w:p>
    <w:p w14:paraId="28D2B98F">
      <w:pPr>
        <w:autoSpaceDE w:val="0"/>
        <w:autoSpaceDN w:val="0"/>
        <w:adjustRightInd w:val="0"/>
        <w:spacing w:line="360" w:lineRule="auto"/>
        <w:ind w:firstLine="560"/>
        <w:jc w:val="left"/>
        <w:rPr>
          <w:rFonts w:hint="eastAsia" w:ascii="宋体" w:hAnsi="宋体" w:cs="宋体"/>
          <w:sz w:val="24"/>
        </w:rPr>
      </w:pPr>
      <w:r>
        <w:rPr>
          <w:rFonts w:hint="eastAsia" w:ascii="宋体" w:hAnsi="宋体" w:cs="宋体"/>
          <w:sz w:val="24"/>
        </w:rPr>
        <w:t>服务成果：《市灾防所信息系统驻场运维报告》。</w:t>
      </w:r>
    </w:p>
    <w:p w14:paraId="37257406">
      <w:pPr>
        <w:spacing w:line="360" w:lineRule="auto"/>
        <w:ind w:firstLine="482" w:firstLineChars="200"/>
        <w:rPr>
          <w:rFonts w:hint="eastAsia" w:ascii="宋体" w:hAnsi="宋体" w:cs="宋体"/>
          <w:b/>
          <w:sz w:val="24"/>
        </w:rPr>
      </w:pPr>
      <w:r>
        <w:rPr>
          <w:rFonts w:hint="eastAsia" w:ascii="宋体" w:hAnsi="宋体" w:cs="宋体"/>
          <w:b/>
          <w:sz w:val="24"/>
        </w:rPr>
        <w:t>（5）设备列表</w:t>
      </w:r>
    </w:p>
    <w:p w14:paraId="32E0D230">
      <w:pPr>
        <w:spacing w:line="360" w:lineRule="auto"/>
        <w:ind w:firstLine="422" w:firstLineChars="200"/>
        <w:jc w:val="center"/>
        <w:rPr>
          <w:rFonts w:hint="eastAsia" w:ascii="宋体" w:hAnsi="宋体" w:cs="宋体"/>
          <w:b/>
          <w:bCs/>
          <w:kern w:val="0"/>
          <w:szCs w:val="21"/>
        </w:rPr>
      </w:pPr>
      <w:r>
        <w:rPr>
          <w:rFonts w:hint="eastAsia" w:ascii="宋体" w:hAnsi="宋体" w:cs="宋体"/>
          <w:b/>
          <w:bCs/>
          <w:kern w:val="0"/>
          <w:szCs w:val="21"/>
        </w:rPr>
        <w:t>地质灾害防治所数据中心机房</w:t>
      </w:r>
    </w:p>
    <w:tbl>
      <w:tblPr>
        <w:tblStyle w:val="42"/>
        <w:tblW w:w="8371" w:type="dxa"/>
        <w:jc w:val="center"/>
        <w:tblLayout w:type="autofit"/>
        <w:tblCellMar>
          <w:top w:w="0" w:type="dxa"/>
          <w:left w:w="108" w:type="dxa"/>
          <w:bottom w:w="0" w:type="dxa"/>
          <w:right w:w="108" w:type="dxa"/>
        </w:tblCellMar>
      </w:tblPr>
      <w:tblGrid>
        <w:gridCol w:w="851"/>
        <w:gridCol w:w="2889"/>
        <w:gridCol w:w="3915"/>
        <w:gridCol w:w="716"/>
      </w:tblGrid>
      <w:tr w14:paraId="7E9CEFCA">
        <w:tblPrEx>
          <w:tblCellMar>
            <w:top w:w="0" w:type="dxa"/>
            <w:left w:w="108" w:type="dxa"/>
            <w:bottom w:w="0" w:type="dxa"/>
            <w:right w:w="108" w:type="dxa"/>
          </w:tblCellMar>
        </w:tblPrEx>
        <w:trPr>
          <w:trHeight w:val="454" w:hRule="atLeast"/>
          <w:tblHeader/>
          <w:jc w:val="center"/>
        </w:trPr>
        <w:tc>
          <w:tcPr>
            <w:tcW w:w="851" w:type="dxa"/>
            <w:tcBorders>
              <w:top w:val="single" w:color="auto" w:sz="4" w:space="0"/>
              <w:left w:val="single" w:color="auto" w:sz="4" w:space="0"/>
              <w:bottom w:val="single" w:color="auto" w:sz="4" w:space="0"/>
              <w:right w:val="single" w:color="auto" w:sz="4" w:space="0"/>
            </w:tcBorders>
            <w:noWrap/>
            <w:vAlign w:val="center"/>
          </w:tcPr>
          <w:p w14:paraId="75EC4444">
            <w:bookmarkStart w:id="877" w:name="OLE_LINK45"/>
            <w:r>
              <w:rPr>
                <w:rFonts w:hint="eastAsia"/>
              </w:rPr>
              <w:t>序号</w:t>
            </w:r>
          </w:p>
        </w:tc>
        <w:tc>
          <w:tcPr>
            <w:tcW w:w="2889" w:type="dxa"/>
            <w:tcBorders>
              <w:top w:val="single" w:color="auto" w:sz="4" w:space="0"/>
              <w:left w:val="nil"/>
              <w:bottom w:val="single" w:color="auto" w:sz="4" w:space="0"/>
              <w:right w:val="single" w:color="auto" w:sz="4" w:space="0"/>
            </w:tcBorders>
            <w:noWrap/>
            <w:vAlign w:val="center"/>
          </w:tcPr>
          <w:p w14:paraId="0403D3D3">
            <w:pPr>
              <w:widowControl/>
              <w:jc w:val="center"/>
              <w:rPr>
                <w:rFonts w:hint="eastAsia" w:ascii="宋体" w:hAnsi="宋体" w:cs="宋体"/>
                <w:b/>
                <w:kern w:val="0"/>
                <w:szCs w:val="21"/>
              </w:rPr>
            </w:pPr>
            <w:r>
              <w:rPr>
                <w:rFonts w:hint="eastAsia" w:ascii="宋体" w:hAnsi="宋体" w:cs="宋体"/>
                <w:b/>
                <w:kern w:val="0"/>
                <w:szCs w:val="21"/>
              </w:rPr>
              <w:t>材料/设备名称</w:t>
            </w:r>
          </w:p>
        </w:tc>
        <w:tc>
          <w:tcPr>
            <w:tcW w:w="3915" w:type="dxa"/>
            <w:tcBorders>
              <w:top w:val="single" w:color="auto" w:sz="4" w:space="0"/>
              <w:left w:val="nil"/>
              <w:bottom w:val="single" w:color="auto" w:sz="4" w:space="0"/>
              <w:right w:val="single" w:color="auto" w:sz="4" w:space="0"/>
            </w:tcBorders>
            <w:noWrap/>
            <w:vAlign w:val="center"/>
          </w:tcPr>
          <w:p w14:paraId="21E20784">
            <w:pPr>
              <w:widowControl/>
              <w:jc w:val="center"/>
              <w:rPr>
                <w:rFonts w:hint="eastAsia" w:ascii="宋体" w:hAnsi="宋体" w:cs="宋体"/>
                <w:b/>
                <w:kern w:val="0"/>
                <w:szCs w:val="21"/>
              </w:rPr>
            </w:pPr>
            <w:r>
              <w:rPr>
                <w:rFonts w:hint="eastAsia" w:ascii="宋体" w:hAnsi="宋体" w:cs="宋体"/>
                <w:b/>
                <w:kern w:val="0"/>
                <w:szCs w:val="21"/>
              </w:rPr>
              <w:t>品牌/型号/产地</w:t>
            </w:r>
          </w:p>
        </w:tc>
        <w:tc>
          <w:tcPr>
            <w:tcW w:w="716" w:type="dxa"/>
            <w:tcBorders>
              <w:top w:val="single" w:color="auto" w:sz="4" w:space="0"/>
              <w:left w:val="nil"/>
              <w:bottom w:val="single" w:color="auto" w:sz="4" w:space="0"/>
              <w:right w:val="single" w:color="auto" w:sz="4" w:space="0"/>
            </w:tcBorders>
            <w:noWrap/>
            <w:vAlign w:val="center"/>
          </w:tcPr>
          <w:p w14:paraId="77471FD4">
            <w:pPr>
              <w:widowControl/>
              <w:jc w:val="center"/>
              <w:rPr>
                <w:rFonts w:hint="eastAsia" w:ascii="宋体" w:hAnsi="宋体" w:cs="宋体"/>
                <w:b/>
                <w:kern w:val="0"/>
                <w:szCs w:val="21"/>
              </w:rPr>
            </w:pPr>
            <w:r>
              <w:rPr>
                <w:rFonts w:hint="eastAsia" w:ascii="宋体" w:hAnsi="宋体" w:cs="宋体"/>
                <w:b/>
                <w:kern w:val="0"/>
                <w:szCs w:val="21"/>
              </w:rPr>
              <w:t>数量</w:t>
            </w:r>
          </w:p>
        </w:tc>
      </w:tr>
      <w:tr w14:paraId="0C89A4ED">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65A80840">
            <w:pPr>
              <w:numPr>
                <w:ilvl w:val="0"/>
                <w:numId w:val="31"/>
              </w:numPr>
            </w:pPr>
          </w:p>
        </w:tc>
        <w:tc>
          <w:tcPr>
            <w:tcW w:w="2889" w:type="dxa"/>
            <w:tcBorders>
              <w:top w:val="nil"/>
              <w:left w:val="nil"/>
              <w:bottom w:val="single" w:color="auto" w:sz="4" w:space="0"/>
              <w:right w:val="single" w:color="auto" w:sz="4" w:space="0"/>
            </w:tcBorders>
            <w:noWrap/>
            <w:vAlign w:val="center"/>
          </w:tcPr>
          <w:p w14:paraId="7A51606E">
            <w:pPr>
              <w:widowControl/>
              <w:jc w:val="center"/>
              <w:rPr>
                <w:rFonts w:hint="eastAsia" w:ascii="宋体" w:hAnsi="宋体" w:cs="宋体"/>
                <w:kern w:val="0"/>
                <w:szCs w:val="21"/>
              </w:rPr>
            </w:pPr>
            <w:r>
              <w:rPr>
                <w:rFonts w:hint="eastAsia" w:ascii="宋体" w:hAnsi="宋体" w:cs="宋体"/>
                <w:kern w:val="0"/>
                <w:szCs w:val="21"/>
              </w:rPr>
              <w:t>电磁屏蔽机柜</w:t>
            </w:r>
          </w:p>
        </w:tc>
        <w:tc>
          <w:tcPr>
            <w:tcW w:w="3915" w:type="dxa"/>
            <w:tcBorders>
              <w:top w:val="nil"/>
              <w:left w:val="nil"/>
              <w:bottom w:val="single" w:color="auto" w:sz="4" w:space="0"/>
              <w:right w:val="single" w:color="auto" w:sz="4" w:space="0"/>
            </w:tcBorders>
            <w:noWrap/>
            <w:vAlign w:val="center"/>
          </w:tcPr>
          <w:p w14:paraId="1EED4C5B">
            <w:pPr>
              <w:widowControl/>
              <w:jc w:val="center"/>
              <w:rPr>
                <w:rFonts w:hint="eastAsia" w:ascii="宋体" w:hAnsi="宋体" w:cs="宋体"/>
                <w:kern w:val="0"/>
                <w:szCs w:val="21"/>
              </w:rPr>
            </w:pPr>
            <w:r>
              <w:rPr>
                <w:rFonts w:hint="eastAsia" w:ascii="宋体" w:hAnsi="宋体" w:cs="宋体"/>
                <w:kern w:val="0"/>
                <w:szCs w:val="21"/>
              </w:rPr>
              <w:t>北京纵横九天/中国</w:t>
            </w:r>
          </w:p>
        </w:tc>
        <w:tc>
          <w:tcPr>
            <w:tcW w:w="716" w:type="dxa"/>
            <w:tcBorders>
              <w:top w:val="nil"/>
              <w:left w:val="nil"/>
              <w:bottom w:val="single" w:color="auto" w:sz="4" w:space="0"/>
              <w:right w:val="single" w:color="auto" w:sz="4" w:space="0"/>
            </w:tcBorders>
            <w:noWrap/>
            <w:vAlign w:val="center"/>
          </w:tcPr>
          <w:p w14:paraId="10970438">
            <w:pPr>
              <w:widowControl/>
              <w:jc w:val="center"/>
              <w:rPr>
                <w:rFonts w:hint="eastAsia" w:ascii="宋体" w:hAnsi="宋体" w:cs="宋体"/>
                <w:kern w:val="0"/>
                <w:szCs w:val="21"/>
              </w:rPr>
            </w:pPr>
            <w:r>
              <w:rPr>
                <w:rFonts w:hint="eastAsia" w:ascii="宋体" w:hAnsi="宋体" w:cs="宋体"/>
                <w:kern w:val="0"/>
                <w:szCs w:val="21"/>
              </w:rPr>
              <w:t>1</w:t>
            </w:r>
          </w:p>
        </w:tc>
      </w:tr>
      <w:tr w14:paraId="13F10C06">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1788BDA4">
            <w:pPr>
              <w:numPr>
                <w:ilvl w:val="0"/>
                <w:numId w:val="31"/>
              </w:numPr>
            </w:pPr>
          </w:p>
        </w:tc>
        <w:tc>
          <w:tcPr>
            <w:tcW w:w="2889" w:type="dxa"/>
            <w:tcBorders>
              <w:top w:val="nil"/>
              <w:left w:val="nil"/>
              <w:bottom w:val="single" w:color="auto" w:sz="4" w:space="0"/>
              <w:right w:val="single" w:color="auto" w:sz="4" w:space="0"/>
            </w:tcBorders>
            <w:noWrap/>
            <w:vAlign w:val="center"/>
          </w:tcPr>
          <w:p w14:paraId="73DFF020">
            <w:pPr>
              <w:widowControl/>
              <w:jc w:val="center"/>
              <w:rPr>
                <w:rFonts w:hint="eastAsia" w:ascii="宋体" w:hAnsi="宋体" w:cs="宋体"/>
                <w:kern w:val="0"/>
                <w:szCs w:val="21"/>
              </w:rPr>
            </w:pPr>
            <w:r>
              <w:rPr>
                <w:rFonts w:hint="eastAsia" w:ascii="宋体" w:hAnsi="宋体" w:cs="宋体"/>
                <w:kern w:val="0"/>
                <w:szCs w:val="21"/>
              </w:rPr>
              <w:t>服务器</w:t>
            </w:r>
          </w:p>
        </w:tc>
        <w:tc>
          <w:tcPr>
            <w:tcW w:w="3915" w:type="dxa"/>
            <w:tcBorders>
              <w:top w:val="nil"/>
              <w:left w:val="nil"/>
              <w:bottom w:val="single" w:color="auto" w:sz="4" w:space="0"/>
              <w:right w:val="single" w:color="auto" w:sz="4" w:space="0"/>
            </w:tcBorders>
            <w:noWrap/>
            <w:vAlign w:val="center"/>
          </w:tcPr>
          <w:p w14:paraId="710BFAA0">
            <w:pPr>
              <w:widowControl/>
              <w:jc w:val="center"/>
              <w:rPr>
                <w:rFonts w:hint="eastAsia" w:ascii="宋体" w:hAnsi="宋体" w:cs="宋体"/>
                <w:kern w:val="0"/>
                <w:szCs w:val="21"/>
              </w:rPr>
            </w:pPr>
            <w:r>
              <w:rPr>
                <w:rFonts w:hint="eastAsia" w:ascii="宋体" w:hAnsi="宋体" w:cs="宋体"/>
                <w:kern w:val="0"/>
                <w:szCs w:val="21"/>
              </w:rPr>
              <w:t>华为/RH5885V3/中国</w:t>
            </w:r>
          </w:p>
        </w:tc>
        <w:tc>
          <w:tcPr>
            <w:tcW w:w="716" w:type="dxa"/>
            <w:tcBorders>
              <w:top w:val="nil"/>
              <w:left w:val="nil"/>
              <w:bottom w:val="single" w:color="auto" w:sz="4" w:space="0"/>
              <w:right w:val="single" w:color="auto" w:sz="4" w:space="0"/>
            </w:tcBorders>
            <w:noWrap/>
            <w:vAlign w:val="center"/>
          </w:tcPr>
          <w:p w14:paraId="739AC7D4">
            <w:pPr>
              <w:widowControl/>
              <w:jc w:val="center"/>
              <w:rPr>
                <w:rFonts w:hint="eastAsia" w:ascii="宋体" w:hAnsi="宋体" w:cs="宋体"/>
                <w:kern w:val="0"/>
                <w:szCs w:val="21"/>
              </w:rPr>
            </w:pPr>
            <w:r>
              <w:rPr>
                <w:rFonts w:hint="eastAsia" w:ascii="宋体" w:hAnsi="宋体" w:cs="宋体"/>
                <w:kern w:val="0"/>
                <w:szCs w:val="21"/>
              </w:rPr>
              <w:t>9</w:t>
            </w:r>
          </w:p>
        </w:tc>
      </w:tr>
      <w:tr w14:paraId="49C34D75">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21670D56">
            <w:pPr>
              <w:numPr>
                <w:ilvl w:val="0"/>
                <w:numId w:val="31"/>
              </w:numPr>
            </w:pPr>
          </w:p>
        </w:tc>
        <w:tc>
          <w:tcPr>
            <w:tcW w:w="2889" w:type="dxa"/>
            <w:tcBorders>
              <w:top w:val="nil"/>
              <w:left w:val="nil"/>
              <w:bottom w:val="single" w:color="auto" w:sz="4" w:space="0"/>
              <w:right w:val="single" w:color="auto" w:sz="4" w:space="0"/>
            </w:tcBorders>
            <w:noWrap/>
            <w:vAlign w:val="center"/>
          </w:tcPr>
          <w:p w14:paraId="097756D7">
            <w:pPr>
              <w:widowControl/>
              <w:jc w:val="center"/>
              <w:rPr>
                <w:rFonts w:hint="eastAsia" w:ascii="宋体" w:hAnsi="宋体" w:cs="宋体"/>
                <w:kern w:val="0"/>
                <w:szCs w:val="21"/>
              </w:rPr>
            </w:pPr>
            <w:r>
              <w:rPr>
                <w:rFonts w:hint="eastAsia" w:ascii="宋体" w:hAnsi="宋体" w:cs="宋体"/>
                <w:kern w:val="0"/>
                <w:szCs w:val="21"/>
              </w:rPr>
              <w:t>服务器</w:t>
            </w:r>
          </w:p>
        </w:tc>
        <w:tc>
          <w:tcPr>
            <w:tcW w:w="3915" w:type="dxa"/>
            <w:tcBorders>
              <w:top w:val="nil"/>
              <w:left w:val="nil"/>
              <w:bottom w:val="single" w:color="auto" w:sz="4" w:space="0"/>
              <w:right w:val="single" w:color="auto" w:sz="4" w:space="0"/>
            </w:tcBorders>
            <w:noWrap/>
            <w:vAlign w:val="center"/>
          </w:tcPr>
          <w:p w14:paraId="424B2B3B">
            <w:pPr>
              <w:widowControl/>
              <w:jc w:val="center"/>
              <w:rPr>
                <w:rFonts w:hint="eastAsia" w:ascii="宋体" w:hAnsi="宋体" w:cs="宋体"/>
                <w:kern w:val="0"/>
                <w:szCs w:val="21"/>
              </w:rPr>
            </w:pPr>
            <w:r>
              <w:rPr>
                <w:rFonts w:hint="eastAsia" w:ascii="宋体" w:hAnsi="宋体" w:cs="宋体"/>
                <w:kern w:val="0"/>
                <w:szCs w:val="21"/>
              </w:rPr>
              <w:t>华为/RH2288HV3/中国</w:t>
            </w:r>
          </w:p>
        </w:tc>
        <w:tc>
          <w:tcPr>
            <w:tcW w:w="716" w:type="dxa"/>
            <w:tcBorders>
              <w:top w:val="nil"/>
              <w:left w:val="nil"/>
              <w:bottom w:val="single" w:color="auto" w:sz="4" w:space="0"/>
              <w:right w:val="single" w:color="auto" w:sz="4" w:space="0"/>
            </w:tcBorders>
            <w:noWrap/>
            <w:vAlign w:val="center"/>
          </w:tcPr>
          <w:p w14:paraId="58C647F4">
            <w:pPr>
              <w:widowControl/>
              <w:jc w:val="center"/>
              <w:rPr>
                <w:rFonts w:hint="eastAsia" w:ascii="宋体" w:hAnsi="宋体" w:cs="宋体"/>
                <w:kern w:val="0"/>
                <w:szCs w:val="21"/>
              </w:rPr>
            </w:pPr>
            <w:r>
              <w:rPr>
                <w:rFonts w:hint="eastAsia" w:ascii="宋体" w:hAnsi="宋体" w:cs="宋体"/>
                <w:kern w:val="0"/>
                <w:szCs w:val="21"/>
              </w:rPr>
              <w:t>1</w:t>
            </w:r>
          </w:p>
        </w:tc>
      </w:tr>
      <w:tr w14:paraId="16C86DF1">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647F57F8">
            <w:pPr>
              <w:numPr>
                <w:ilvl w:val="0"/>
                <w:numId w:val="31"/>
              </w:numPr>
            </w:pPr>
          </w:p>
        </w:tc>
        <w:tc>
          <w:tcPr>
            <w:tcW w:w="2889" w:type="dxa"/>
            <w:tcBorders>
              <w:top w:val="nil"/>
              <w:left w:val="nil"/>
              <w:bottom w:val="single" w:color="auto" w:sz="4" w:space="0"/>
              <w:right w:val="single" w:color="auto" w:sz="4" w:space="0"/>
            </w:tcBorders>
            <w:noWrap/>
            <w:vAlign w:val="center"/>
          </w:tcPr>
          <w:p w14:paraId="045EB677">
            <w:pPr>
              <w:widowControl/>
              <w:jc w:val="center"/>
              <w:rPr>
                <w:rFonts w:hint="eastAsia" w:ascii="宋体" w:hAnsi="宋体" w:cs="宋体"/>
                <w:kern w:val="0"/>
                <w:szCs w:val="21"/>
              </w:rPr>
            </w:pPr>
            <w:r>
              <w:rPr>
                <w:rFonts w:hint="eastAsia" w:ascii="宋体" w:hAnsi="宋体" w:cs="宋体"/>
                <w:kern w:val="0"/>
                <w:szCs w:val="21"/>
              </w:rPr>
              <w:t>服务器</w:t>
            </w:r>
          </w:p>
        </w:tc>
        <w:tc>
          <w:tcPr>
            <w:tcW w:w="3915" w:type="dxa"/>
            <w:tcBorders>
              <w:top w:val="nil"/>
              <w:left w:val="nil"/>
              <w:bottom w:val="single" w:color="auto" w:sz="4" w:space="0"/>
              <w:right w:val="single" w:color="auto" w:sz="4" w:space="0"/>
            </w:tcBorders>
            <w:noWrap/>
            <w:vAlign w:val="center"/>
          </w:tcPr>
          <w:p w14:paraId="408A9FE3">
            <w:pPr>
              <w:widowControl/>
              <w:jc w:val="center"/>
              <w:rPr>
                <w:rFonts w:hint="eastAsia" w:ascii="宋体" w:hAnsi="宋体" w:cs="宋体"/>
                <w:kern w:val="0"/>
                <w:szCs w:val="21"/>
              </w:rPr>
            </w:pPr>
            <w:r>
              <w:rPr>
                <w:rFonts w:hint="eastAsia" w:ascii="宋体" w:hAnsi="宋体" w:cs="宋体"/>
                <w:kern w:val="0"/>
                <w:szCs w:val="21"/>
              </w:rPr>
              <w:t>联想/SR590/中国</w:t>
            </w:r>
          </w:p>
        </w:tc>
        <w:tc>
          <w:tcPr>
            <w:tcW w:w="716" w:type="dxa"/>
            <w:tcBorders>
              <w:top w:val="nil"/>
              <w:left w:val="nil"/>
              <w:bottom w:val="single" w:color="auto" w:sz="4" w:space="0"/>
              <w:right w:val="single" w:color="auto" w:sz="4" w:space="0"/>
            </w:tcBorders>
            <w:noWrap/>
            <w:vAlign w:val="center"/>
          </w:tcPr>
          <w:p w14:paraId="2124AB32">
            <w:pPr>
              <w:widowControl/>
              <w:jc w:val="center"/>
              <w:rPr>
                <w:rFonts w:hint="eastAsia" w:ascii="宋体" w:hAnsi="宋体" w:cs="宋体"/>
                <w:kern w:val="0"/>
                <w:szCs w:val="21"/>
              </w:rPr>
            </w:pPr>
            <w:r>
              <w:rPr>
                <w:rFonts w:hint="eastAsia" w:ascii="宋体" w:hAnsi="宋体" w:cs="宋体"/>
                <w:kern w:val="0"/>
                <w:szCs w:val="21"/>
              </w:rPr>
              <w:t>2</w:t>
            </w:r>
          </w:p>
        </w:tc>
      </w:tr>
      <w:tr w14:paraId="17AF3D67">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222E62B0">
            <w:pPr>
              <w:numPr>
                <w:ilvl w:val="0"/>
                <w:numId w:val="31"/>
              </w:numPr>
            </w:pPr>
          </w:p>
        </w:tc>
        <w:tc>
          <w:tcPr>
            <w:tcW w:w="2889" w:type="dxa"/>
            <w:tcBorders>
              <w:top w:val="nil"/>
              <w:left w:val="nil"/>
              <w:bottom w:val="single" w:color="auto" w:sz="4" w:space="0"/>
              <w:right w:val="single" w:color="auto" w:sz="4" w:space="0"/>
            </w:tcBorders>
            <w:noWrap/>
            <w:vAlign w:val="center"/>
          </w:tcPr>
          <w:p w14:paraId="688CACE3">
            <w:pPr>
              <w:widowControl/>
              <w:jc w:val="center"/>
              <w:rPr>
                <w:rFonts w:hint="eastAsia" w:ascii="宋体" w:hAnsi="宋体" w:cs="宋体"/>
                <w:kern w:val="0"/>
                <w:szCs w:val="21"/>
              </w:rPr>
            </w:pPr>
            <w:r>
              <w:rPr>
                <w:rFonts w:hint="eastAsia" w:ascii="宋体" w:hAnsi="宋体" w:cs="宋体"/>
                <w:kern w:val="0"/>
                <w:szCs w:val="21"/>
              </w:rPr>
              <w:t>路由交换机</w:t>
            </w:r>
          </w:p>
        </w:tc>
        <w:tc>
          <w:tcPr>
            <w:tcW w:w="3915" w:type="dxa"/>
            <w:tcBorders>
              <w:top w:val="nil"/>
              <w:left w:val="nil"/>
              <w:bottom w:val="single" w:color="auto" w:sz="4" w:space="0"/>
              <w:right w:val="single" w:color="auto" w:sz="4" w:space="0"/>
            </w:tcBorders>
            <w:noWrap/>
            <w:vAlign w:val="center"/>
          </w:tcPr>
          <w:p w14:paraId="77D16E15">
            <w:pPr>
              <w:widowControl/>
              <w:jc w:val="center"/>
              <w:rPr>
                <w:rFonts w:hint="eastAsia" w:ascii="宋体" w:hAnsi="宋体" w:cs="宋体"/>
                <w:kern w:val="0"/>
                <w:szCs w:val="21"/>
              </w:rPr>
            </w:pPr>
            <w:r>
              <w:rPr>
                <w:rFonts w:hint="eastAsia" w:ascii="宋体" w:hAnsi="宋体" w:cs="宋体"/>
                <w:kern w:val="0"/>
                <w:szCs w:val="21"/>
              </w:rPr>
              <w:t>中兴/ZXR10 8902/中国</w:t>
            </w:r>
          </w:p>
        </w:tc>
        <w:tc>
          <w:tcPr>
            <w:tcW w:w="716" w:type="dxa"/>
            <w:tcBorders>
              <w:top w:val="nil"/>
              <w:left w:val="nil"/>
              <w:bottom w:val="single" w:color="auto" w:sz="4" w:space="0"/>
              <w:right w:val="single" w:color="auto" w:sz="4" w:space="0"/>
            </w:tcBorders>
            <w:noWrap/>
            <w:vAlign w:val="center"/>
          </w:tcPr>
          <w:p w14:paraId="387911DE">
            <w:pPr>
              <w:widowControl/>
              <w:jc w:val="center"/>
              <w:rPr>
                <w:rFonts w:hint="eastAsia" w:ascii="宋体" w:hAnsi="宋体" w:cs="宋体"/>
                <w:kern w:val="0"/>
                <w:szCs w:val="21"/>
              </w:rPr>
            </w:pPr>
            <w:r>
              <w:rPr>
                <w:rFonts w:hint="eastAsia" w:ascii="宋体" w:hAnsi="宋体" w:cs="宋体"/>
                <w:kern w:val="0"/>
                <w:szCs w:val="21"/>
              </w:rPr>
              <w:t>1</w:t>
            </w:r>
          </w:p>
        </w:tc>
      </w:tr>
      <w:tr w14:paraId="66F18150">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38D36465">
            <w:pPr>
              <w:numPr>
                <w:ilvl w:val="0"/>
                <w:numId w:val="31"/>
              </w:numPr>
            </w:pPr>
          </w:p>
        </w:tc>
        <w:tc>
          <w:tcPr>
            <w:tcW w:w="2889" w:type="dxa"/>
            <w:tcBorders>
              <w:top w:val="nil"/>
              <w:left w:val="nil"/>
              <w:bottom w:val="single" w:color="auto" w:sz="4" w:space="0"/>
              <w:right w:val="single" w:color="auto" w:sz="4" w:space="0"/>
            </w:tcBorders>
            <w:noWrap/>
            <w:vAlign w:val="center"/>
          </w:tcPr>
          <w:p w14:paraId="20BF5793">
            <w:pPr>
              <w:widowControl/>
              <w:jc w:val="center"/>
              <w:rPr>
                <w:rFonts w:hint="eastAsia" w:ascii="宋体" w:hAnsi="宋体" w:cs="宋体"/>
                <w:kern w:val="0"/>
                <w:szCs w:val="21"/>
              </w:rPr>
            </w:pPr>
            <w:r>
              <w:rPr>
                <w:rFonts w:hint="eastAsia" w:ascii="宋体" w:hAnsi="宋体" w:cs="宋体"/>
                <w:kern w:val="0"/>
                <w:szCs w:val="21"/>
              </w:rPr>
              <w:t>路由器</w:t>
            </w:r>
          </w:p>
        </w:tc>
        <w:tc>
          <w:tcPr>
            <w:tcW w:w="3915" w:type="dxa"/>
            <w:tcBorders>
              <w:top w:val="nil"/>
              <w:left w:val="nil"/>
              <w:bottom w:val="single" w:color="auto" w:sz="4" w:space="0"/>
              <w:right w:val="single" w:color="auto" w:sz="4" w:space="0"/>
            </w:tcBorders>
            <w:noWrap/>
            <w:vAlign w:val="center"/>
          </w:tcPr>
          <w:p w14:paraId="678F76EB">
            <w:pPr>
              <w:widowControl/>
              <w:jc w:val="center"/>
              <w:rPr>
                <w:rFonts w:hint="eastAsia" w:ascii="宋体" w:hAnsi="宋体" w:cs="宋体"/>
                <w:kern w:val="0"/>
                <w:szCs w:val="21"/>
              </w:rPr>
            </w:pPr>
            <w:r>
              <w:rPr>
                <w:rFonts w:hint="eastAsia" w:ascii="宋体" w:hAnsi="宋体" w:cs="宋体"/>
                <w:kern w:val="0"/>
                <w:szCs w:val="21"/>
              </w:rPr>
              <w:t>华为/AR2200 Series/中国</w:t>
            </w:r>
          </w:p>
        </w:tc>
        <w:tc>
          <w:tcPr>
            <w:tcW w:w="716" w:type="dxa"/>
            <w:tcBorders>
              <w:top w:val="nil"/>
              <w:left w:val="nil"/>
              <w:bottom w:val="single" w:color="auto" w:sz="4" w:space="0"/>
              <w:right w:val="single" w:color="auto" w:sz="4" w:space="0"/>
            </w:tcBorders>
            <w:noWrap/>
            <w:vAlign w:val="center"/>
          </w:tcPr>
          <w:p w14:paraId="05D21162">
            <w:pPr>
              <w:widowControl/>
              <w:jc w:val="center"/>
              <w:rPr>
                <w:rFonts w:hint="eastAsia" w:ascii="宋体" w:hAnsi="宋体" w:cs="宋体"/>
                <w:kern w:val="0"/>
                <w:szCs w:val="21"/>
              </w:rPr>
            </w:pPr>
            <w:r>
              <w:rPr>
                <w:rFonts w:hint="eastAsia" w:ascii="宋体" w:hAnsi="宋体" w:cs="宋体"/>
                <w:kern w:val="0"/>
                <w:szCs w:val="21"/>
              </w:rPr>
              <w:t>2</w:t>
            </w:r>
          </w:p>
        </w:tc>
      </w:tr>
      <w:tr w14:paraId="5BB38AF3">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59FADA6A">
            <w:pPr>
              <w:numPr>
                <w:ilvl w:val="0"/>
                <w:numId w:val="31"/>
              </w:numPr>
            </w:pPr>
          </w:p>
        </w:tc>
        <w:tc>
          <w:tcPr>
            <w:tcW w:w="2889" w:type="dxa"/>
            <w:tcBorders>
              <w:top w:val="nil"/>
              <w:left w:val="nil"/>
              <w:bottom w:val="single" w:color="auto" w:sz="4" w:space="0"/>
              <w:right w:val="single" w:color="auto" w:sz="4" w:space="0"/>
            </w:tcBorders>
            <w:noWrap/>
            <w:vAlign w:val="center"/>
          </w:tcPr>
          <w:p w14:paraId="0799F41F">
            <w:pPr>
              <w:widowControl/>
              <w:jc w:val="center"/>
              <w:rPr>
                <w:rFonts w:hint="eastAsia" w:ascii="宋体" w:hAnsi="宋体" w:cs="宋体"/>
                <w:kern w:val="0"/>
                <w:szCs w:val="21"/>
              </w:rPr>
            </w:pPr>
            <w:r>
              <w:rPr>
                <w:rFonts w:hint="eastAsia" w:ascii="宋体" w:hAnsi="宋体" w:cs="宋体"/>
                <w:kern w:val="0"/>
                <w:szCs w:val="21"/>
              </w:rPr>
              <w:t>交换机</w:t>
            </w:r>
          </w:p>
        </w:tc>
        <w:tc>
          <w:tcPr>
            <w:tcW w:w="3915" w:type="dxa"/>
            <w:tcBorders>
              <w:top w:val="nil"/>
              <w:left w:val="nil"/>
              <w:bottom w:val="single" w:color="auto" w:sz="4" w:space="0"/>
              <w:right w:val="single" w:color="auto" w:sz="4" w:space="0"/>
            </w:tcBorders>
            <w:noWrap/>
            <w:vAlign w:val="center"/>
          </w:tcPr>
          <w:p w14:paraId="3836F40C">
            <w:pPr>
              <w:widowControl/>
              <w:jc w:val="center"/>
              <w:rPr>
                <w:rFonts w:hint="eastAsia" w:ascii="宋体" w:hAnsi="宋体" w:cs="宋体"/>
                <w:kern w:val="0"/>
                <w:szCs w:val="21"/>
              </w:rPr>
            </w:pPr>
            <w:r>
              <w:rPr>
                <w:rFonts w:hint="eastAsia" w:ascii="宋体" w:hAnsi="宋体" w:cs="宋体"/>
                <w:kern w:val="0"/>
                <w:szCs w:val="21"/>
              </w:rPr>
              <w:t>华为/S5720-28P-LI-AC/中国</w:t>
            </w:r>
          </w:p>
        </w:tc>
        <w:tc>
          <w:tcPr>
            <w:tcW w:w="716" w:type="dxa"/>
            <w:tcBorders>
              <w:top w:val="nil"/>
              <w:left w:val="nil"/>
              <w:bottom w:val="single" w:color="auto" w:sz="4" w:space="0"/>
              <w:right w:val="single" w:color="auto" w:sz="4" w:space="0"/>
            </w:tcBorders>
            <w:noWrap/>
            <w:vAlign w:val="center"/>
          </w:tcPr>
          <w:p w14:paraId="2F3D3F56">
            <w:pPr>
              <w:widowControl/>
              <w:jc w:val="center"/>
              <w:rPr>
                <w:rFonts w:hint="eastAsia" w:ascii="宋体" w:hAnsi="宋体" w:cs="宋体"/>
                <w:kern w:val="0"/>
                <w:szCs w:val="21"/>
              </w:rPr>
            </w:pPr>
            <w:r>
              <w:rPr>
                <w:rFonts w:hint="eastAsia" w:ascii="宋体" w:hAnsi="宋体" w:cs="宋体"/>
                <w:kern w:val="0"/>
                <w:szCs w:val="21"/>
              </w:rPr>
              <w:t>10</w:t>
            </w:r>
          </w:p>
        </w:tc>
      </w:tr>
      <w:tr w14:paraId="0ED6E0D5">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11E67BC6">
            <w:pPr>
              <w:numPr>
                <w:ilvl w:val="0"/>
                <w:numId w:val="31"/>
              </w:numPr>
            </w:pPr>
          </w:p>
        </w:tc>
        <w:tc>
          <w:tcPr>
            <w:tcW w:w="2889" w:type="dxa"/>
            <w:tcBorders>
              <w:top w:val="nil"/>
              <w:left w:val="nil"/>
              <w:bottom w:val="single" w:color="auto" w:sz="4" w:space="0"/>
              <w:right w:val="single" w:color="auto" w:sz="4" w:space="0"/>
            </w:tcBorders>
            <w:noWrap/>
            <w:vAlign w:val="center"/>
          </w:tcPr>
          <w:p w14:paraId="52271932">
            <w:pPr>
              <w:widowControl/>
              <w:jc w:val="center"/>
              <w:rPr>
                <w:rFonts w:hint="eastAsia" w:ascii="宋体" w:hAnsi="宋体" w:cs="宋体"/>
                <w:kern w:val="0"/>
                <w:szCs w:val="21"/>
              </w:rPr>
            </w:pPr>
            <w:r>
              <w:rPr>
                <w:rFonts w:hint="eastAsia" w:ascii="宋体" w:hAnsi="宋体" w:cs="宋体"/>
                <w:kern w:val="0"/>
                <w:szCs w:val="21"/>
              </w:rPr>
              <w:t>交换机</w:t>
            </w:r>
          </w:p>
        </w:tc>
        <w:tc>
          <w:tcPr>
            <w:tcW w:w="3915" w:type="dxa"/>
            <w:tcBorders>
              <w:top w:val="nil"/>
              <w:left w:val="nil"/>
              <w:bottom w:val="single" w:color="auto" w:sz="4" w:space="0"/>
              <w:right w:val="single" w:color="auto" w:sz="4" w:space="0"/>
            </w:tcBorders>
            <w:noWrap/>
            <w:vAlign w:val="center"/>
          </w:tcPr>
          <w:p w14:paraId="40FE6AD5">
            <w:pPr>
              <w:widowControl/>
              <w:jc w:val="center"/>
              <w:rPr>
                <w:rFonts w:hint="eastAsia" w:ascii="宋体" w:hAnsi="宋体" w:cs="宋体"/>
                <w:kern w:val="0"/>
                <w:szCs w:val="21"/>
              </w:rPr>
            </w:pPr>
            <w:r>
              <w:rPr>
                <w:rFonts w:hint="eastAsia" w:ascii="宋体" w:hAnsi="宋体" w:cs="宋体"/>
                <w:kern w:val="0"/>
                <w:szCs w:val="21"/>
              </w:rPr>
              <w:t>华为/QUIDWAY S7703/中国</w:t>
            </w:r>
          </w:p>
        </w:tc>
        <w:tc>
          <w:tcPr>
            <w:tcW w:w="716" w:type="dxa"/>
            <w:tcBorders>
              <w:top w:val="nil"/>
              <w:left w:val="nil"/>
              <w:bottom w:val="single" w:color="auto" w:sz="4" w:space="0"/>
              <w:right w:val="single" w:color="auto" w:sz="4" w:space="0"/>
            </w:tcBorders>
            <w:noWrap/>
            <w:vAlign w:val="center"/>
          </w:tcPr>
          <w:p w14:paraId="7B5534C8">
            <w:pPr>
              <w:widowControl/>
              <w:jc w:val="center"/>
              <w:rPr>
                <w:rFonts w:hint="eastAsia" w:ascii="宋体" w:hAnsi="宋体" w:cs="宋体"/>
                <w:kern w:val="0"/>
                <w:szCs w:val="21"/>
              </w:rPr>
            </w:pPr>
            <w:r>
              <w:rPr>
                <w:rFonts w:hint="eastAsia" w:ascii="宋体" w:hAnsi="宋体" w:cs="宋体"/>
                <w:kern w:val="0"/>
                <w:szCs w:val="21"/>
              </w:rPr>
              <w:t>2</w:t>
            </w:r>
          </w:p>
        </w:tc>
      </w:tr>
      <w:tr w14:paraId="5B2BD6B7">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647C0EBD">
            <w:pPr>
              <w:numPr>
                <w:ilvl w:val="0"/>
                <w:numId w:val="31"/>
              </w:numPr>
            </w:pPr>
          </w:p>
        </w:tc>
        <w:tc>
          <w:tcPr>
            <w:tcW w:w="2889" w:type="dxa"/>
            <w:tcBorders>
              <w:top w:val="nil"/>
              <w:left w:val="nil"/>
              <w:bottom w:val="single" w:color="auto" w:sz="4" w:space="0"/>
              <w:right w:val="single" w:color="auto" w:sz="4" w:space="0"/>
            </w:tcBorders>
            <w:noWrap/>
            <w:vAlign w:val="center"/>
          </w:tcPr>
          <w:p w14:paraId="064E4DD1">
            <w:pPr>
              <w:widowControl/>
              <w:jc w:val="center"/>
              <w:rPr>
                <w:rFonts w:hint="eastAsia" w:ascii="宋体" w:hAnsi="宋体" w:cs="宋体"/>
                <w:kern w:val="0"/>
                <w:szCs w:val="21"/>
              </w:rPr>
            </w:pPr>
            <w:r>
              <w:rPr>
                <w:rFonts w:hint="eastAsia" w:ascii="宋体" w:hAnsi="宋体" w:cs="宋体"/>
                <w:kern w:val="0"/>
                <w:szCs w:val="21"/>
              </w:rPr>
              <w:t>交换机</w:t>
            </w:r>
          </w:p>
        </w:tc>
        <w:tc>
          <w:tcPr>
            <w:tcW w:w="3915" w:type="dxa"/>
            <w:tcBorders>
              <w:top w:val="nil"/>
              <w:left w:val="nil"/>
              <w:bottom w:val="single" w:color="auto" w:sz="4" w:space="0"/>
              <w:right w:val="single" w:color="auto" w:sz="4" w:space="0"/>
            </w:tcBorders>
            <w:noWrap/>
            <w:vAlign w:val="center"/>
          </w:tcPr>
          <w:p w14:paraId="050C06A6">
            <w:pPr>
              <w:widowControl/>
              <w:jc w:val="center"/>
              <w:rPr>
                <w:rFonts w:hint="eastAsia" w:ascii="宋体" w:hAnsi="宋体" w:cs="宋体"/>
                <w:kern w:val="0"/>
                <w:szCs w:val="21"/>
              </w:rPr>
            </w:pPr>
            <w:r>
              <w:rPr>
                <w:rFonts w:hint="eastAsia" w:ascii="宋体" w:hAnsi="宋体" w:cs="宋体"/>
                <w:kern w:val="0"/>
                <w:szCs w:val="21"/>
              </w:rPr>
              <w:t>锐捷/STAR-S2126G/中国</w:t>
            </w:r>
          </w:p>
        </w:tc>
        <w:tc>
          <w:tcPr>
            <w:tcW w:w="716" w:type="dxa"/>
            <w:tcBorders>
              <w:top w:val="nil"/>
              <w:left w:val="nil"/>
              <w:bottom w:val="single" w:color="auto" w:sz="4" w:space="0"/>
              <w:right w:val="single" w:color="auto" w:sz="4" w:space="0"/>
            </w:tcBorders>
            <w:noWrap/>
            <w:vAlign w:val="center"/>
          </w:tcPr>
          <w:p w14:paraId="3967B8DD">
            <w:pPr>
              <w:widowControl/>
              <w:jc w:val="center"/>
              <w:rPr>
                <w:rFonts w:hint="eastAsia" w:ascii="宋体" w:hAnsi="宋体" w:cs="宋体"/>
                <w:kern w:val="0"/>
                <w:szCs w:val="21"/>
              </w:rPr>
            </w:pPr>
            <w:r>
              <w:rPr>
                <w:rFonts w:hint="eastAsia" w:ascii="宋体" w:hAnsi="宋体" w:cs="宋体"/>
                <w:kern w:val="0"/>
                <w:szCs w:val="21"/>
              </w:rPr>
              <w:t>1</w:t>
            </w:r>
          </w:p>
        </w:tc>
      </w:tr>
      <w:tr w14:paraId="6AAA2265">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3BD921EB">
            <w:pPr>
              <w:numPr>
                <w:ilvl w:val="0"/>
                <w:numId w:val="31"/>
              </w:numPr>
            </w:pPr>
          </w:p>
        </w:tc>
        <w:tc>
          <w:tcPr>
            <w:tcW w:w="2889" w:type="dxa"/>
            <w:tcBorders>
              <w:top w:val="nil"/>
              <w:left w:val="nil"/>
              <w:bottom w:val="single" w:color="auto" w:sz="4" w:space="0"/>
              <w:right w:val="single" w:color="auto" w:sz="4" w:space="0"/>
            </w:tcBorders>
            <w:noWrap/>
            <w:vAlign w:val="center"/>
          </w:tcPr>
          <w:p w14:paraId="13F6FC61">
            <w:pPr>
              <w:widowControl/>
              <w:jc w:val="center"/>
              <w:rPr>
                <w:rFonts w:hint="eastAsia" w:ascii="宋体" w:hAnsi="宋体" w:cs="宋体"/>
                <w:kern w:val="0"/>
                <w:szCs w:val="21"/>
              </w:rPr>
            </w:pPr>
            <w:r>
              <w:rPr>
                <w:rFonts w:hint="eastAsia" w:ascii="宋体" w:hAnsi="宋体" w:cs="宋体"/>
                <w:kern w:val="0"/>
                <w:szCs w:val="21"/>
              </w:rPr>
              <w:t>防火墙</w:t>
            </w:r>
          </w:p>
        </w:tc>
        <w:tc>
          <w:tcPr>
            <w:tcW w:w="3915" w:type="dxa"/>
            <w:tcBorders>
              <w:top w:val="nil"/>
              <w:left w:val="nil"/>
              <w:bottom w:val="single" w:color="auto" w:sz="4" w:space="0"/>
              <w:right w:val="single" w:color="auto" w:sz="4" w:space="0"/>
            </w:tcBorders>
            <w:noWrap/>
            <w:vAlign w:val="center"/>
          </w:tcPr>
          <w:p w14:paraId="053CDE13">
            <w:pPr>
              <w:widowControl/>
              <w:jc w:val="center"/>
              <w:rPr>
                <w:rFonts w:hint="eastAsia" w:ascii="宋体" w:hAnsi="宋体" w:cs="宋体"/>
                <w:kern w:val="0"/>
                <w:szCs w:val="21"/>
              </w:rPr>
            </w:pPr>
            <w:r>
              <w:rPr>
                <w:rFonts w:hint="eastAsia" w:ascii="宋体" w:hAnsi="宋体" w:cs="宋体"/>
                <w:kern w:val="0"/>
                <w:szCs w:val="21"/>
              </w:rPr>
              <w:t>山石/SG-6000-1242/中国</w:t>
            </w:r>
          </w:p>
        </w:tc>
        <w:tc>
          <w:tcPr>
            <w:tcW w:w="716" w:type="dxa"/>
            <w:tcBorders>
              <w:top w:val="nil"/>
              <w:left w:val="nil"/>
              <w:bottom w:val="single" w:color="auto" w:sz="4" w:space="0"/>
              <w:right w:val="single" w:color="auto" w:sz="4" w:space="0"/>
            </w:tcBorders>
            <w:noWrap/>
            <w:vAlign w:val="center"/>
          </w:tcPr>
          <w:p w14:paraId="0B20214C">
            <w:pPr>
              <w:widowControl/>
              <w:jc w:val="center"/>
              <w:rPr>
                <w:rFonts w:hint="eastAsia" w:ascii="宋体" w:hAnsi="宋体" w:cs="宋体"/>
                <w:kern w:val="0"/>
                <w:szCs w:val="21"/>
              </w:rPr>
            </w:pPr>
            <w:r>
              <w:rPr>
                <w:rFonts w:hint="eastAsia" w:ascii="宋体" w:hAnsi="宋体" w:cs="宋体"/>
                <w:kern w:val="0"/>
                <w:szCs w:val="21"/>
              </w:rPr>
              <w:t>3</w:t>
            </w:r>
          </w:p>
        </w:tc>
      </w:tr>
      <w:tr w14:paraId="44D0A081">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1BF668F7">
            <w:pPr>
              <w:numPr>
                <w:ilvl w:val="0"/>
                <w:numId w:val="31"/>
              </w:numPr>
            </w:pPr>
          </w:p>
        </w:tc>
        <w:tc>
          <w:tcPr>
            <w:tcW w:w="2889" w:type="dxa"/>
            <w:tcBorders>
              <w:top w:val="nil"/>
              <w:left w:val="nil"/>
              <w:bottom w:val="single" w:color="auto" w:sz="4" w:space="0"/>
              <w:right w:val="single" w:color="auto" w:sz="4" w:space="0"/>
            </w:tcBorders>
            <w:noWrap/>
            <w:vAlign w:val="center"/>
          </w:tcPr>
          <w:p w14:paraId="57259143">
            <w:pPr>
              <w:widowControl/>
              <w:jc w:val="center"/>
              <w:rPr>
                <w:rFonts w:hint="eastAsia" w:ascii="宋体" w:hAnsi="宋体" w:cs="宋体"/>
                <w:kern w:val="0"/>
                <w:szCs w:val="21"/>
              </w:rPr>
            </w:pPr>
            <w:r>
              <w:rPr>
                <w:rFonts w:hint="eastAsia" w:ascii="宋体" w:hAnsi="宋体" w:cs="宋体"/>
                <w:kern w:val="0"/>
                <w:szCs w:val="21"/>
              </w:rPr>
              <w:t>防火墙</w:t>
            </w:r>
          </w:p>
        </w:tc>
        <w:tc>
          <w:tcPr>
            <w:tcW w:w="3915" w:type="dxa"/>
            <w:tcBorders>
              <w:top w:val="nil"/>
              <w:left w:val="nil"/>
              <w:bottom w:val="single" w:color="auto" w:sz="4" w:space="0"/>
              <w:right w:val="single" w:color="auto" w:sz="4" w:space="0"/>
            </w:tcBorders>
            <w:noWrap/>
            <w:vAlign w:val="center"/>
          </w:tcPr>
          <w:p w14:paraId="5742A6C2">
            <w:pPr>
              <w:widowControl/>
              <w:jc w:val="center"/>
              <w:rPr>
                <w:rFonts w:hint="eastAsia" w:ascii="宋体" w:hAnsi="宋体" w:cs="宋体"/>
                <w:kern w:val="0"/>
                <w:szCs w:val="21"/>
              </w:rPr>
            </w:pPr>
            <w:r>
              <w:rPr>
                <w:rFonts w:hint="eastAsia" w:ascii="宋体" w:hAnsi="宋体" w:cs="宋体"/>
                <w:kern w:val="0"/>
                <w:szCs w:val="21"/>
              </w:rPr>
              <w:t>山石/SG-6000-P935/中国</w:t>
            </w:r>
          </w:p>
        </w:tc>
        <w:tc>
          <w:tcPr>
            <w:tcW w:w="716" w:type="dxa"/>
            <w:tcBorders>
              <w:top w:val="nil"/>
              <w:left w:val="nil"/>
              <w:bottom w:val="single" w:color="auto" w:sz="4" w:space="0"/>
              <w:right w:val="single" w:color="auto" w:sz="4" w:space="0"/>
            </w:tcBorders>
            <w:noWrap/>
            <w:vAlign w:val="center"/>
          </w:tcPr>
          <w:p w14:paraId="33043E23">
            <w:pPr>
              <w:widowControl/>
              <w:jc w:val="center"/>
              <w:rPr>
                <w:rFonts w:hint="eastAsia" w:ascii="宋体" w:hAnsi="宋体" w:cs="宋体"/>
                <w:kern w:val="0"/>
                <w:szCs w:val="21"/>
              </w:rPr>
            </w:pPr>
            <w:r>
              <w:rPr>
                <w:rFonts w:hint="eastAsia" w:ascii="宋体" w:hAnsi="宋体" w:cs="宋体"/>
                <w:kern w:val="0"/>
                <w:szCs w:val="21"/>
              </w:rPr>
              <w:t>3</w:t>
            </w:r>
          </w:p>
        </w:tc>
      </w:tr>
      <w:tr w14:paraId="73D5D208">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12AA3BE6">
            <w:pPr>
              <w:numPr>
                <w:ilvl w:val="0"/>
                <w:numId w:val="31"/>
              </w:numPr>
            </w:pPr>
          </w:p>
        </w:tc>
        <w:tc>
          <w:tcPr>
            <w:tcW w:w="2889" w:type="dxa"/>
            <w:tcBorders>
              <w:top w:val="nil"/>
              <w:left w:val="nil"/>
              <w:bottom w:val="single" w:color="auto" w:sz="4" w:space="0"/>
              <w:right w:val="single" w:color="auto" w:sz="4" w:space="0"/>
            </w:tcBorders>
            <w:noWrap/>
            <w:vAlign w:val="center"/>
          </w:tcPr>
          <w:p w14:paraId="27C8A186">
            <w:pPr>
              <w:widowControl/>
              <w:jc w:val="center"/>
              <w:rPr>
                <w:rFonts w:hint="eastAsia" w:ascii="宋体" w:hAnsi="宋体" w:cs="宋体"/>
                <w:kern w:val="0"/>
                <w:szCs w:val="21"/>
              </w:rPr>
            </w:pPr>
            <w:r>
              <w:rPr>
                <w:rFonts w:hint="eastAsia" w:ascii="宋体" w:hAnsi="宋体" w:cs="宋体"/>
                <w:kern w:val="0"/>
                <w:szCs w:val="21"/>
              </w:rPr>
              <w:t>入侵防御设备</w:t>
            </w:r>
          </w:p>
        </w:tc>
        <w:tc>
          <w:tcPr>
            <w:tcW w:w="3915" w:type="dxa"/>
            <w:tcBorders>
              <w:top w:val="nil"/>
              <w:left w:val="nil"/>
              <w:bottom w:val="single" w:color="auto" w:sz="4" w:space="0"/>
              <w:right w:val="single" w:color="auto" w:sz="4" w:space="0"/>
            </w:tcBorders>
            <w:noWrap/>
            <w:vAlign w:val="center"/>
          </w:tcPr>
          <w:p w14:paraId="56E969A5">
            <w:pPr>
              <w:widowControl/>
              <w:jc w:val="center"/>
              <w:rPr>
                <w:rFonts w:hint="eastAsia" w:ascii="宋体" w:hAnsi="宋体" w:cs="宋体"/>
                <w:kern w:val="0"/>
                <w:szCs w:val="21"/>
              </w:rPr>
            </w:pPr>
            <w:r>
              <w:rPr>
                <w:rFonts w:hint="eastAsia" w:ascii="宋体" w:hAnsi="宋体" w:cs="宋体"/>
                <w:kern w:val="0"/>
                <w:szCs w:val="21"/>
              </w:rPr>
              <w:t>山石/SG-6000-D860/中国</w:t>
            </w:r>
          </w:p>
        </w:tc>
        <w:tc>
          <w:tcPr>
            <w:tcW w:w="716" w:type="dxa"/>
            <w:tcBorders>
              <w:top w:val="nil"/>
              <w:left w:val="nil"/>
              <w:bottom w:val="single" w:color="auto" w:sz="4" w:space="0"/>
              <w:right w:val="single" w:color="auto" w:sz="4" w:space="0"/>
            </w:tcBorders>
            <w:noWrap/>
            <w:vAlign w:val="center"/>
          </w:tcPr>
          <w:p w14:paraId="5386C238">
            <w:pPr>
              <w:widowControl/>
              <w:jc w:val="center"/>
              <w:rPr>
                <w:rFonts w:hint="eastAsia" w:ascii="宋体" w:hAnsi="宋体" w:cs="宋体"/>
                <w:kern w:val="0"/>
                <w:szCs w:val="21"/>
              </w:rPr>
            </w:pPr>
            <w:r>
              <w:rPr>
                <w:rFonts w:hint="eastAsia" w:ascii="宋体" w:hAnsi="宋体" w:cs="宋体"/>
                <w:kern w:val="0"/>
                <w:szCs w:val="21"/>
              </w:rPr>
              <w:t>4</w:t>
            </w:r>
          </w:p>
        </w:tc>
      </w:tr>
      <w:tr w14:paraId="2FCEE155">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6CE76820">
            <w:pPr>
              <w:numPr>
                <w:ilvl w:val="0"/>
                <w:numId w:val="31"/>
              </w:numPr>
            </w:pPr>
          </w:p>
        </w:tc>
        <w:tc>
          <w:tcPr>
            <w:tcW w:w="2889" w:type="dxa"/>
            <w:tcBorders>
              <w:top w:val="nil"/>
              <w:left w:val="nil"/>
              <w:bottom w:val="single" w:color="auto" w:sz="4" w:space="0"/>
              <w:right w:val="single" w:color="auto" w:sz="4" w:space="0"/>
            </w:tcBorders>
            <w:noWrap/>
            <w:vAlign w:val="center"/>
          </w:tcPr>
          <w:p w14:paraId="04929122">
            <w:pPr>
              <w:widowControl/>
              <w:jc w:val="center"/>
              <w:rPr>
                <w:rFonts w:hint="eastAsia" w:ascii="宋体" w:hAnsi="宋体" w:cs="宋体"/>
                <w:kern w:val="0"/>
                <w:szCs w:val="21"/>
              </w:rPr>
            </w:pPr>
            <w:r>
              <w:rPr>
                <w:rFonts w:hint="eastAsia" w:ascii="宋体" w:hAnsi="宋体" w:cs="宋体"/>
                <w:kern w:val="0"/>
                <w:szCs w:val="21"/>
              </w:rPr>
              <w:t>防火墙</w:t>
            </w:r>
          </w:p>
        </w:tc>
        <w:tc>
          <w:tcPr>
            <w:tcW w:w="3915" w:type="dxa"/>
            <w:tcBorders>
              <w:top w:val="nil"/>
              <w:left w:val="nil"/>
              <w:bottom w:val="single" w:color="auto" w:sz="4" w:space="0"/>
              <w:right w:val="single" w:color="auto" w:sz="4" w:space="0"/>
            </w:tcBorders>
            <w:noWrap/>
            <w:vAlign w:val="center"/>
          </w:tcPr>
          <w:p w14:paraId="05D6826C">
            <w:pPr>
              <w:widowControl/>
              <w:jc w:val="center"/>
              <w:rPr>
                <w:rFonts w:hint="eastAsia" w:ascii="宋体" w:hAnsi="宋体" w:cs="宋体"/>
                <w:kern w:val="0"/>
                <w:szCs w:val="21"/>
              </w:rPr>
            </w:pPr>
            <w:r>
              <w:rPr>
                <w:rFonts w:hint="eastAsia" w:ascii="宋体" w:hAnsi="宋体" w:cs="宋体"/>
                <w:kern w:val="0"/>
                <w:szCs w:val="21"/>
              </w:rPr>
              <w:t>山石/SG-6000-E2800-AD/中国</w:t>
            </w:r>
          </w:p>
        </w:tc>
        <w:tc>
          <w:tcPr>
            <w:tcW w:w="716" w:type="dxa"/>
            <w:tcBorders>
              <w:top w:val="nil"/>
              <w:left w:val="nil"/>
              <w:bottom w:val="single" w:color="auto" w:sz="4" w:space="0"/>
              <w:right w:val="single" w:color="auto" w:sz="4" w:space="0"/>
            </w:tcBorders>
            <w:noWrap/>
            <w:vAlign w:val="center"/>
          </w:tcPr>
          <w:p w14:paraId="11561E23">
            <w:pPr>
              <w:widowControl/>
              <w:jc w:val="center"/>
              <w:rPr>
                <w:rFonts w:hint="eastAsia" w:ascii="宋体" w:hAnsi="宋体" w:cs="宋体"/>
                <w:kern w:val="0"/>
                <w:szCs w:val="21"/>
              </w:rPr>
            </w:pPr>
            <w:r>
              <w:rPr>
                <w:rFonts w:hint="eastAsia" w:ascii="宋体" w:hAnsi="宋体" w:cs="宋体"/>
                <w:kern w:val="0"/>
                <w:szCs w:val="21"/>
              </w:rPr>
              <w:t>2</w:t>
            </w:r>
          </w:p>
        </w:tc>
      </w:tr>
      <w:tr w14:paraId="69A7F907">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2EA751B2">
            <w:pPr>
              <w:numPr>
                <w:ilvl w:val="0"/>
                <w:numId w:val="31"/>
              </w:numPr>
            </w:pPr>
          </w:p>
        </w:tc>
        <w:tc>
          <w:tcPr>
            <w:tcW w:w="2889" w:type="dxa"/>
            <w:tcBorders>
              <w:top w:val="nil"/>
              <w:left w:val="nil"/>
              <w:bottom w:val="single" w:color="auto" w:sz="4" w:space="0"/>
              <w:right w:val="single" w:color="auto" w:sz="4" w:space="0"/>
            </w:tcBorders>
            <w:noWrap/>
            <w:vAlign w:val="center"/>
          </w:tcPr>
          <w:p w14:paraId="63F5EF01">
            <w:pPr>
              <w:widowControl/>
              <w:jc w:val="center"/>
              <w:rPr>
                <w:rFonts w:hint="eastAsia" w:ascii="宋体" w:hAnsi="宋体" w:cs="宋体"/>
                <w:kern w:val="0"/>
                <w:szCs w:val="21"/>
              </w:rPr>
            </w:pPr>
            <w:r>
              <w:rPr>
                <w:rFonts w:hint="eastAsia" w:ascii="宋体" w:hAnsi="宋体" w:cs="宋体"/>
                <w:kern w:val="0"/>
                <w:szCs w:val="21"/>
              </w:rPr>
              <w:t>防火墙</w:t>
            </w:r>
          </w:p>
        </w:tc>
        <w:tc>
          <w:tcPr>
            <w:tcW w:w="3915" w:type="dxa"/>
            <w:tcBorders>
              <w:top w:val="nil"/>
              <w:left w:val="nil"/>
              <w:bottom w:val="single" w:color="auto" w:sz="4" w:space="0"/>
              <w:right w:val="single" w:color="auto" w:sz="4" w:space="0"/>
            </w:tcBorders>
            <w:noWrap/>
            <w:vAlign w:val="center"/>
          </w:tcPr>
          <w:p w14:paraId="6CDEF54B">
            <w:pPr>
              <w:widowControl/>
              <w:jc w:val="center"/>
              <w:rPr>
                <w:rFonts w:hint="eastAsia" w:ascii="宋体" w:hAnsi="宋体" w:cs="宋体"/>
                <w:kern w:val="0"/>
                <w:szCs w:val="21"/>
              </w:rPr>
            </w:pPr>
            <w:r>
              <w:rPr>
                <w:rFonts w:hint="eastAsia" w:ascii="宋体" w:hAnsi="宋体" w:cs="宋体"/>
                <w:kern w:val="0"/>
                <w:szCs w:val="21"/>
              </w:rPr>
              <w:t>山石/SG-6000-E2300-AD/中国</w:t>
            </w:r>
          </w:p>
        </w:tc>
        <w:tc>
          <w:tcPr>
            <w:tcW w:w="716" w:type="dxa"/>
            <w:tcBorders>
              <w:top w:val="nil"/>
              <w:left w:val="nil"/>
              <w:bottom w:val="single" w:color="auto" w:sz="4" w:space="0"/>
              <w:right w:val="single" w:color="auto" w:sz="4" w:space="0"/>
            </w:tcBorders>
            <w:noWrap/>
            <w:vAlign w:val="center"/>
          </w:tcPr>
          <w:p w14:paraId="407528B8">
            <w:pPr>
              <w:widowControl/>
              <w:jc w:val="center"/>
              <w:rPr>
                <w:rFonts w:hint="eastAsia" w:ascii="宋体" w:hAnsi="宋体" w:cs="宋体"/>
                <w:kern w:val="0"/>
                <w:szCs w:val="21"/>
              </w:rPr>
            </w:pPr>
            <w:r>
              <w:rPr>
                <w:rFonts w:hint="eastAsia" w:ascii="宋体" w:hAnsi="宋体" w:cs="宋体"/>
                <w:kern w:val="0"/>
                <w:szCs w:val="21"/>
              </w:rPr>
              <w:t>2</w:t>
            </w:r>
          </w:p>
        </w:tc>
      </w:tr>
      <w:tr w14:paraId="18ED917C">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6C0967BE">
            <w:pPr>
              <w:numPr>
                <w:ilvl w:val="0"/>
                <w:numId w:val="31"/>
              </w:numPr>
            </w:pPr>
          </w:p>
        </w:tc>
        <w:tc>
          <w:tcPr>
            <w:tcW w:w="2889" w:type="dxa"/>
            <w:tcBorders>
              <w:top w:val="nil"/>
              <w:left w:val="nil"/>
              <w:bottom w:val="single" w:color="auto" w:sz="4" w:space="0"/>
              <w:right w:val="single" w:color="auto" w:sz="4" w:space="0"/>
            </w:tcBorders>
            <w:noWrap/>
            <w:vAlign w:val="center"/>
          </w:tcPr>
          <w:p w14:paraId="3FDDDAEF">
            <w:pPr>
              <w:widowControl/>
              <w:jc w:val="center"/>
              <w:rPr>
                <w:rFonts w:hint="eastAsia" w:ascii="宋体" w:hAnsi="宋体" w:cs="宋体"/>
                <w:kern w:val="0"/>
                <w:szCs w:val="21"/>
              </w:rPr>
            </w:pPr>
            <w:r>
              <w:rPr>
                <w:rFonts w:hint="eastAsia" w:ascii="宋体" w:hAnsi="宋体" w:cs="宋体"/>
                <w:kern w:val="0"/>
                <w:szCs w:val="21"/>
              </w:rPr>
              <w:t>堡垒机</w:t>
            </w:r>
          </w:p>
        </w:tc>
        <w:tc>
          <w:tcPr>
            <w:tcW w:w="3915" w:type="dxa"/>
            <w:tcBorders>
              <w:top w:val="nil"/>
              <w:left w:val="nil"/>
              <w:bottom w:val="single" w:color="auto" w:sz="4" w:space="0"/>
              <w:right w:val="single" w:color="auto" w:sz="4" w:space="0"/>
            </w:tcBorders>
            <w:noWrap/>
            <w:vAlign w:val="center"/>
          </w:tcPr>
          <w:p w14:paraId="3D24E6DB">
            <w:pPr>
              <w:widowControl/>
              <w:jc w:val="center"/>
              <w:rPr>
                <w:rFonts w:hint="eastAsia" w:ascii="宋体" w:hAnsi="宋体" w:cs="宋体"/>
                <w:kern w:val="0"/>
                <w:szCs w:val="21"/>
              </w:rPr>
            </w:pPr>
            <w:r>
              <w:rPr>
                <w:rFonts w:hint="eastAsia" w:ascii="宋体" w:hAnsi="宋体" w:cs="宋体"/>
                <w:kern w:val="0"/>
                <w:szCs w:val="21"/>
              </w:rPr>
              <w:t>思福迪/LogBase B1890/中国</w:t>
            </w:r>
          </w:p>
        </w:tc>
        <w:tc>
          <w:tcPr>
            <w:tcW w:w="716" w:type="dxa"/>
            <w:tcBorders>
              <w:top w:val="nil"/>
              <w:left w:val="nil"/>
              <w:bottom w:val="single" w:color="auto" w:sz="4" w:space="0"/>
              <w:right w:val="single" w:color="auto" w:sz="4" w:space="0"/>
            </w:tcBorders>
            <w:noWrap/>
            <w:vAlign w:val="center"/>
          </w:tcPr>
          <w:p w14:paraId="4BB925D7">
            <w:pPr>
              <w:widowControl/>
              <w:jc w:val="center"/>
              <w:rPr>
                <w:rFonts w:hint="eastAsia" w:ascii="宋体" w:hAnsi="宋体" w:cs="宋体"/>
                <w:kern w:val="0"/>
                <w:szCs w:val="21"/>
              </w:rPr>
            </w:pPr>
            <w:r>
              <w:rPr>
                <w:rFonts w:hint="eastAsia" w:ascii="宋体" w:hAnsi="宋体" w:cs="宋体"/>
                <w:kern w:val="0"/>
                <w:szCs w:val="21"/>
              </w:rPr>
              <w:t>1</w:t>
            </w:r>
          </w:p>
        </w:tc>
      </w:tr>
      <w:tr w14:paraId="1BA904C9">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6CF2F67F">
            <w:pPr>
              <w:numPr>
                <w:ilvl w:val="0"/>
                <w:numId w:val="31"/>
              </w:numPr>
            </w:pPr>
          </w:p>
        </w:tc>
        <w:tc>
          <w:tcPr>
            <w:tcW w:w="2889" w:type="dxa"/>
            <w:tcBorders>
              <w:top w:val="nil"/>
              <w:left w:val="nil"/>
              <w:bottom w:val="single" w:color="auto" w:sz="4" w:space="0"/>
              <w:right w:val="single" w:color="auto" w:sz="4" w:space="0"/>
            </w:tcBorders>
            <w:noWrap/>
            <w:vAlign w:val="center"/>
          </w:tcPr>
          <w:p w14:paraId="3FE745AC">
            <w:pPr>
              <w:widowControl/>
              <w:jc w:val="center"/>
              <w:rPr>
                <w:rFonts w:hint="eastAsia" w:ascii="宋体" w:hAnsi="宋体" w:cs="宋体"/>
                <w:kern w:val="0"/>
                <w:szCs w:val="21"/>
              </w:rPr>
            </w:pPr>
            <w:r>
              <w:rPr>
                <w:rFonts w:hint="eastAsia" w:ascii="宋体" w:hAnsi="宋体" w:cs="宋体"/>
                <w:kern w:val="0"/>
                <w:szCs w:val="21"/>
              </w:rPr>
              <w:t>综合审计系统</w:t>
            </w:r>
          </w:p>
        </w:tc>
        <w:tc>
          <w:tcPr>
            <w:tcW w:w="3915" w:type="dxa"/>
            <w:tcBorders>
              <w:top w:val="nil"/>
              <w:left w:val="nil"/>
              <w:bottom w:val="single" w:color="auto" w:sz="4" w:space="0"/>
              <w:right w:val="single" w:color="auto" w:sz="4" w:space="0"/>
            </w:tcBorders>
            <w:noWrap/>
            <w:vAlign w:val="center"/>
          </w:tcPr>
          <w:p w14:paraId="2668A1BD">
            <w:pPr>
              <w:widowControl/>
              <w:jc w:val="center"/>
              <w:rPr>
                <w:rFonts w:hint="eastAsia" w:ascii="宋体" w:hAnsi="宋体" w:cs="宋体"/>
                <w:kern w:val="0"/>
                <w:szCs w:val="21"/>
              </w:rPr>
            </w:pPr>
            <w:r>
              <w:rPr>
                <w:rFonts w:hint="eastAsia" w:ascii="宋体" w:hAnsi="宋体" w:cs="宋体"/>
                <w:kern w:val="0"/>
                <w:szCs w:val="21"/>
              </w:rPr>
              <w:t>思福迪/LogBase A1890/中国</w:t>
            </w:r>
          </w:p>
        </w:tc>
        <w:tc>
          <w:tcPr>
            <w:tcW w:w="716" w:type="dxa"/>
            <w:tcBorders>
              <w:top w:val="nil"/>
              <w:left w:val="nil"/>
              <w:bottom w:val="single" w:color="auto" w:sz="4" w:space="0"/>
              <w:right w:val="single" w:color="auto" w:sz="4" w:space="0"/>
            </w:tcBorders>
            <w:noWrap/>
            <w:vAlign w:val="center"/>
          </w:tcPr>
          <w:p w14:paraId="1711A9BA">
            <w:pPr>
              <w:widowControl/>
              <w:jc w:val="center"/>
              <w:rPr>
                <w:rFonts w:hint="eastAsia" w:ascii="宋体" w:hAnsi="宋体" w:cs="宋体"/>
                <w:kern w:val="0"/>
                <w:szCs w:val="21"/>
              </w:rPr>
            </w:pPr>
            <w:r>
              <w:rPr>
                <w:rFonts w:hint="eastAsia" w:ascii="宋体" w:hAnsi="宋体" w:cs="宋体"/>
                <w:kern w:val="0"/>
                <w:szCs w:val="21"/>
              </w:rPr>
              <w:t>2</w:t>
            </w:r>
          </w:p>
        </w:tc>
      </w:tr>
      <w:tr w14:paraId="4702D635">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3E29600C">
            <w:pPr>
              <w:numPr>
                <w:ilvl w:val="0"/>
                <w:numId w:val="31"/>
              </w:numPr>
            </w:pPr>
          </w:p>
        </w:tc>
        <w:tc>
          <w:tcPr>
            <w:tcW w:w="2889" w:type="dxa"/>
            <w:tcBorders>
              <w:top w:val="nil"/>
              <w:left w:val="nil"/>
              <w:bottom w:val="single" w:color="auto" w:sz="4" w:space="0"/>
              <w:right w:val="single" w:color="auto" w:sz="4" w:space="0"/>
            </w:tcBorders>
            <w:noWrap/>
            <w:vAlign w:val="center"/>
          </w:tcPr>
          <w:p w14:paraId="54567BB5">
            <w:pPr>
              <w:widowControl/>
              <w:jc w:val="center"/>
              <w:rPr>
                <w:rFonts w:hint="eastAsia" w:ascii="宋体" w:hAnsi="宋体" w:cs="宋体"/>
                <w:kern w:val="0"/>
                <w:szCs w:val="21"/>
              </w:rPr>
            </w:pPr>
            <w:r>
              <w:rPr>
                <w:rFonts w:hint="eastAsia" w:ascii="宋体" w:hAnsi="宋体" w:cs="宋体"/>
                <w:kern w:val="0"/>
                <w:szCs w:val="21"/>
              </w:rPr>
              <w:t>磁盘阵列</w:t>
            </w:r>
          </w:p>
        </w:tc>
        <w:tc>
          <w:tcPr>
            <w:tcW w:w="3915" w:type="dxa"/>
            <w:tcBorders>
              <w:top w:val="nil"/>
              <w:left w:val="nil"/>
              <w:bottom w:val="single" w:color="auto" w:sz="4" w:space="0"/>
              <w:right w:val="single" w:color="auto" w:sz="4" w:space="0"/>
            </w:tcBorders>
            <w:noWrap/>
            <w:vAlign w:val="center"/>
          </w:tcPr>
          <w:p w14:paraId="14D4B64F">
            <w:pPr>
              <w:widowControl/>
              <w:jc w:val="center"/>
              <w:rPr>
                <w:rFonts w:hint="eastAsia" w:ascii="宋体" w:hAnsi="宋体" w:cs="宋体"/>
                <w:kern w:val="0"/>
                <w:szCs w:val="21"/>
              </w:rPr>
            </w:pPr>
            <w:r>
              <w:rPr>
                <w:rFonts w:hint="eastAsia" w:ascii="宋体" w:hAnsi="宋体" w:cs="宋体"/>
                <w:kern w:val="0"/>
                <w:szCs w:val="21"/>
              </w:rPr>
              <w:t>联想/V3700 V2/中国</w:t>
            </w:r>
          </w:p>
        </w:tc>
        <w:tc>
          <w:tcPr>
            <w:tcW w:w="716" w:type="dxa"/>
            <w:tcBorders>
              <w:top w:val="nil"/>
              <w:left w:val="nil"/>
              <w:bottom w:val="single" w:color="auto" w:sz="4" w:space="0"/>
              <w:right w:val="single" w:color="auto" w:sz="4" w:space="0"/>
            </w:tcBorders>
            <w:noWrap/>
            <w:vAlign w:val="center"/>
          </w:tcPr>
          <w:p w14:paraId="3F62A939">
            <w:pPr>
              <w:widowControl/>
              <w:jc w:val="center"/>
              <w:rPr>
                <w:rFonts w:hint="eastAsia" w:ascii="宋体" w:hAnsi="宋体" w:cs="宋体"/>
                <w:kern w:val="0"/>
                <w:szCs w:val="21"/>
              </w:rPr>
            </w:pPr>
            <w:r>
              <w:rPr>
                <w:rFonts w:hint="eastAsia" w:ascii="宋体" w:hAnsi="宋体" w:cs="宋体"/>
                <w:kern w:val="0"/>
                <w:szCs w:val="21"/>
              </w:rPr>
              <w:t>1</w:t>
            </w:r>
          </w:p>
        </w:tc>
      </w:tr>
      <w:tr w14:paraId="7B9D86CD">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52E09BAD">
            <w:pPr>
              <w:numPr>
                <w:ilvl w:val="0"/>
                <w:numId w:val="31"/>
              </w:numPr>
            </w:pPr>
          </w:p>
        </w:tc>
        <w:tc>
          <w:tcPr>
            <w:tcW w:w="2889" w:type="dxa"/>
            <w:tcBorders>
              <w:top w:val="nil"/>
              <w:left w:val="nil"/>
              <w:bottom w:val="single" w:color="auto" w:sz="4" w:space="0"/>
              <w:right w:val="single" w:color="auto" w:sz="4" w:space="0"/>
            </w:tcBorders>
            <w:noWrap/>
            <w:vAlign w:val="center"/>
          </w:tcPr>
          <w:p w14:paraId="0DC10F52">
            <w:pPr>
              <w:widowControl/>
              <w:jc w:val="center"/>
              <w:rPr>
                <w:rFonts w:hint="eastAsia" w:ascii="宋体" w:hAnsi="宋体" w:cs="宋体"/>
                <w:kern w:val="0"/>
                <w:szCs w:val="21"/>
              </w:rPr>
            </w:pPr>
            <w:r>
              <w:rPr>
                <w:rFonts w:hint="eastAsia" w:ascii="宋体" w:hAnsi="宋体" w:cs="宋体"/>
                <w:kern w:val="0"/>
                <w:szCs w:val="21"/>
              </w:rPr>
              <w:t>KVM</w:t>
            </w:r>
          </w:p>
        </w:tc>
        <w:tc>
          <w:tcPr>
            <w:tcW w:w="3915" w:type="dxa"/>
            <w:tcBorders>
              <w:top w:val="nil"/>
              <w:left w:val="nil"/>
              <w:bottom w:val="single" w:color="auto" w:sz="4" w:space="0"/>
              <w:right w:val="single" w:color="auto" w:sz="4" w:space="0"/>
            </w:tcBorders>
            <w:noWrap/>
            <w:vAlign w:val="center"/>
          </w:tcPr>
          <w:p w14:paraId="42757D9A">
            <w:pPr>
              <w:widowControl/>
              <w:jc w:val="center"/>
              <w:rPr>
                <w:rFonts w:hint="eastAsia" w:ascii="宋体" w:hAnsi="宋体" w:cs="宋体"/>
                <w:kern w:val="0"/>
                <w:szCs w:val="21"/>
              </w:rPr>
            </w:pPr>
            <w:r>
              <w:rPr>
                <w:rFonts w:hint="eastAsia" w:ascii="宋体" w:hAnsi="宋体" w:cs="宋体"/>
                <w:kern w:val="0"/>
                <w:szCs w:val="21"/>
              </w:rPr>
              <w:t>迈拓维矩/MT-810UK-L/中国</w:t>
            </w:r>
          </w:p>
        </w:tc>
        <w:tc>
          <w:tcPr>
            <w:tcW w:w="716" w:type="dxa"/>
            <w:tcBorders>
              <w:top w:val="nil"/>
              <w:left w:val="nil"/>
              <w:bottom w:val="single" w:color="auto" w:sz="4" w:space="0"/>
              <w:right w:val="single" w:color="auto" w:sz="4" w:space="0"/>
            </w:tcBorders>
            <w:noWrap/>
            <w:vAlign w:val="center"/>
          </w:tcPr>
          <w:p w14:paraId="30605B5B">
            <w:pPr>
              <w:widowControl/>
              <w:jc w:val="center"/>
              <w:rPr>
                <w:rFonts w:hint="eastAsia" w:ascii="宋体" w:hAnsi="宋体" w:cs="宋体"/>
                <w:kern w:val="0"/>
                <w:szCs w:val="21"/>
              </w:rPr>
            </w:pPr>
            <w:r>
              <w:rPr>
                <w:rFonts w:hint="eastAsia" w:ascii="宋体" w:hAnsi="宋体" w:cs="宋体"/>
                <w:kern w:val="0"/>
                <w:szCs w:val="21"/>
              </w:rPr>
              <w:t>1</w:t>
            </w:r>
          </w:p>
        </w:tc>
      </w:tr>
      <w:tr w14:paraId="48B63BB4">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65495105">
            <w:pPr>
              <w:numPr>
                <w:ilvl w:val="0"/>
                <w:numId w:val="31"/>
              </w:numPr>
            </w:pPr>
          </w:p>
        </w:tc>
        <w:tc>
          <w:tcPr>
            <w:tcW w:w="2889" w:type="dxa"/>
            <w:tcBorders>
              <w:top w:val="nil"/>
              <w:left w:val="nil"/>
              <w:bottom w:val="single" w:color="auto" w:sz="4" w:space="0"/>
              <w:right w:val="single" w:color="auto" w:sz="4" w:space="0"/>
            </w:tcBorders>
            <w:noWrap/>
            <w:vAlign w:val="center"/>
          </w:tcPr>
          <w:p w14:paraId="48B6120B">
            <w:pPr>
              <w:widowControl/>
              <w:jc w:val="center"/>
              <w:rPr>
                <w:rFonts w:hint="eastAsia" w:ascii="宋体" w:hAnsi="宋体" w:cs="宋体"/>
                <w:kern w:val="0"/>
                <w:szCs w:val="21"/>
              </w:rPr>
            </w:pPr>
            <w:r>
              <w:rPr>
                <w:rFonts w:hint="eastAsia" w:ascii="宋体" w:hAnsi="宋体" w:cs="宋体"/>
                <w:kern w:val="0"/>
                <w:szCs w:val="21"/>
              </w:rPr>
              <w:t>北斗卫星专用设备</w:t>
            </w:r>
          </w:p>
        </w:tc>
        <w:tc>
          <w:tcPr>
            <w:tcW w:w="3915" w:type="dxa"/>
            <w:tcBorders>
              <w:top w:val="nil"/>
              <w:left w:val="nil"/>
              <w:bottom w:val="single" w:color="auto" w:sz="4" w:space="0"/>
              <w:right w:val="single" w:color="auto" w:sz="4" w:space="0"/>
            </w:tcBorders>
            <w:noWrap/>
            <w:vAlign w:val="center"/>
          </w:tcPr>
          <w:p w14:paraId="0BDF190D">
            <w:pPr>
              <w:widowControl/>
              <w:jc w:val="center"/>
              <w:rPr>
                <w:rFonts w:hint="eastAsia" w:ascii="宋体" w:hAnsi="宋体" w:cs="宋体"/>
                <w:kern w:val="0"/>
                <w:szCs w:val="21"/>
              </w:rPr>
            </w:pPr>
            <w:r>
              <w:rPr>
                <w:rFonts w:hint="eastAsia" w:ascii="宋体" w:hAnsi="宋体" w:cs="宋体"/>
                <w:kern w:val="0"/>
                <w:szCs w:val="21"/>
              </w:rPr>
              <w:t>华力创通/HWA-RDSS-500/中国</w:t>
            </w:r>
          </w:p>
        </w:tc>
        <w:tc>
          <w:tcPr>
            <w:tcW w:w="716" w:type="dxa"/>
            <w:tcBorders>
              <w:top w:val="nil"/>
              <w:left w:val="nil"/>
              <w:bottom w:val="single" w:color="auto" w:sz="4" w:space="0"/>
              <w:right w:val="single" w:color="auto" w:sz="4" w:space="0"/>
            </w:tcBorders>
            <w:noWrap/>
            <w:vAlign w:val="center"/>
          </w:tcPr>
          <w:p w14:paraId="08D0AE2A">
            <w:pPr>
              <w:widowControl/>
              <w:jc w:val="center"/>
              <w:rPr>
                <w:rFonts w:hint="eastAsia" w:ascii="宋体" w:hAnsi="宋体" w:cs="宋体"/>
                <w:kern w:val="0"/>
                <w:szCs w:val="21"/>
              </w:rPr>
            </w:pPr>
            <w:r>
              <w:rPr>
                <w:rFonts w:hint="eastAsia" w:ascii="宋体" w:hAnsi="宋体" w:cs="宋体"/>
                <w:kern w:val="0"/>
                <w:szCs w:val="21"/>
              </w:rPr>
              <w:t>2</w:t>
            </w:r>
          </w:p>
        </w:tc>
      </w:tr>
      <w:tr w14:paraId="5DB32559">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121D35F2">
            <w:pPr>
              <w:numPr>
                <w:ilvl w:val="0"/>
                <w:numId w:val="31"/>
              </w:numPr>
            </w:pPr>
          </w:p>
        </w:tc>
        <w:tc>
          <w:tcPr>
            <w:tcW w:w="2889" w:type="dxa"/>
            <w:tcBorders>
              <w:top w:val="nil"/>
              <w:left w:val="nil"/>
              <w:bottom w:val="single" w:color="auto" w:sz="4" w:space="0"/>
              <w:right w:val="single" w:color="auto" w:sz="4" w:space="0"/>
            </w:tcBorders>
            <w:noWrap/>
            <w:vAlign w:val="center"/>
          </w:tcPr>
          <w:p w14:paraId="05AB3852">
            <w:pPr>
              <w:widowControl/>
              <w:jc w:val="center"/>
              <w:rPr>
                <w:rFonts w:hint="eastAsia" w:ascii="宋体" w:hAnsi="宋体" w:cs="宋体"/>
                <w:kern w:val="0"/>
                <w:szCs w:val="21"/>
              </w:rPr>
            </w:pPr>
            <w:r>
              <w:rPr>
                <w:rFonts w:hint="eastAsia" w:ascii="宋体" w:hAnsi="宋体" w:cs="宋体"/>
                <w:kern w:val="0"/>
                <w:szCs w:val="21"/>
              </w:rPr>
              <w:t>空调</w:t>
            </w:r>
          </w:p>
        </w:tc>
        <w:tc>
          <w:tcPr>
            <w:tcW w:w="3915" w:type="dxa"/>
            <w:tcBorders>
              <w:top w:val="nil"/>
              <w:left w:val="nil"/>
              <w:bottom w:val="single" w:color="auto" w:sz="4" w:space="0"/>
              <w:right w:val="single" w:color="auto" w:sz="4" w:space="0"/>
            </w:tcBorders>
            <w:noWrap/>
            <w:vAlign w:val="center"/>
          </w:tcPr>
          <w:p w14:paraId="149C4622">
            <w:pPr>
              <w:widowControl/>
              <w:jc w:val="center"/>
              <w:rPr>
                <w:rFonts w:hint="eastAsia" w:ascii="宋体" w:hAnsi="宋体" w:cs="宋体"/>
                <w:kern w:val="0"/>
                <w:szCs w:val="21"/>
              </w:rPr>
            </w:pPr>
            <w:r>
              <w:rPr>
                <w:rFonts w:hint="eastAsia" w:ascii="宋体" w:hAnsi="宋体" w:cs="宋体"/>
                <w:kern w:val="0"/>
                <w:szCs w:val="21"/>
              </w:rPr>
              <w:t>依米康/SDA121U/中国</w:t>
            </w:r>
          </w:p>
        </w:tc>
        <w:tc>
          <w:tcPr>
            <w:tcW w:w="716" w:type="dxa"/>
            <w:tcBorders>
              <w:top w:val="nil"/>
              <w:left w:val="nil"/>
              <w:bottom w:val="single" w:color="auto" w:sz="4" w:space="0"/>
              <w:right w:val="single" w:color="auto" w:sz="4" w:space="0"/>
            </w:tcBorders>
            <w:noWrap/>
            <w:vAlign w:val="center"/>
          </w:tcPr>
          <w:p w14:paraId="4A3B3D80">
            <w:pPr>
              <w:widowControl/>
              <w:jc w:val="center"/>
              <w:rPr>
                <w:rFonts w:hint="eastAsia" w:ascii="宋体" w:hAnsi="宋体" w:cs="宋体"/>
                <w:kern w:val="0"/>
                <w:szCs w:val="21"/>
              </w:rPr>
            </w:pPr>
            <w:r>
              <w:rPr>
                <w:rFonts w:hint="eastAsia" w:ascii="宋体" w:hAnsi="宋体" w:cs="宋体"/>
                <w:kern w:val="0"/>
                <w:szCs w:val="21"/>
              </w:rPr>
              <w:t>2</w:t>
            </w:r>
          </w:p>
        </w:tc>
      </w:tr>
      <w:tr w14:paraId="14B4B585">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3CACBCF8">
            <w:pPr>
              <w:numPr>
                <w:ilvl w:val="0"/>
                <w:numId w:val="31"/>
              </w:numPr>
            </w:pPr>
          </w:p>
        </w:tc>
        <w:tc>
          <w:tcPr>
            <w:tcW w:w="2889" w:type="dxa"/>
            <w:tcBorders>
              <w:top w:val="nil"/>
              <w:left w:val="nil"/>
              <w:bottom w:val="single" w:color="auto" w:sz="4" w:space="0"/>
              <w:right w:val="single" w:color="auto" w:sz="4" w:space="0"/>
            </w:tcBorders>
            <w:noWrap/>
            <w:vAlign w:val="center"/>
          </w:tcPr>
          <w:p w14:paraId="49DA56AD">
            <w:pPr>
              <w:widowControl/>
              <w:jc w:val="center"/>
              <w:rPr>
                <w:rFonts w:hint="eastAsia" w:ascii="宋体" w:hAnsi="宋体" w:cs="宋体"/>
                <w:kern w:val="0"/>
                <w:szCs w:val="21"/>
              </w:rPr>
            </w:pPr>
            <w:r>
              <w:rPr>
                <w:rFonts w:hint="eastAsia" w:ascii="宋体" w:hAnsi="宋体" w:cs="宋体"/>
                <w:kern w:val="0"/>
                <w:szCs w:val="21"/>
              </w:rPr>
              <w:t>ATS 配电</w:t>
            </w:r>
          </w:p>
        </w:tc>
        <w:tc>
          <w:tcPr>
            <w:tcW w:w="3915" w:type="dxa"/>
            <w:tcBorders>
              <w:top w:val="nil"/>
              <w:left w:val="nil"/>
              <w:bottom w:val="single" w:color="auto" w:sz="4" w:space="0"/>
              <w:right w:val="single" w:color="auto" w:sz="4" w:space="0"/>
            </w:tcBorders>
            <w:noWrap/>
            <w:vAlign w:val="center"/>
          </w:tcPr>
          <w:p w14:paraId="583C09DB">
            <w:pPr>
              <w:widowControl/>
              <w:jc w:val="center"/>
              <w:rPr>
                <w:rFonts w:hint="eastAsia" w:ascii="宋体" w:hAnsi="宋体" w:cs="宋体"/>
                <w:kern w:val="0"/>
                <w:szCs w:val="21"/>
              </w:rPr>
            </w:pPr>
            <w:r>
              <w:rPr>
                <w:rFonts w:hint="eastAsia" w:ascii="宋体" w:hAnsi="宋体" w:cs="宋体"/>
                <w:kern w:val="0"/>
                <w:szCs w:val="21"/>
              </w:rPr>
              <w:t>定制</w:t>
            </w:r>
          </w:p>
        </w:tc>
        <w:tc>
          <w:tcPr>
            <w:tcW w:w="716" w:type="dxa"/>
            <w:tcBorders>
              <w:top w:val="nil"/>
              <w:left w:val="nil"/>
              <w:bottom w:val="single" w:color="auto" w:sz="4" w:space="0"/>
              <w:right w:val="single" w:color="auto" w:sz="4" w:space="0"/>
            </w:tcBorders>
            <w:noWrap/>
            <w:vAlign w:val="center"/>
          </w:tcPr>
          <w:p w14:paraId="1252FCB0">
            <w:pPr>
              <w:widowControl/>
              <w:jc w:val="center"/>
              <w:rPr>
                <w:rFonts w:hint="eastAsia" w:ascii="宋体" w:hAnsi="宋体" w:cs="宋体"/>
                <w:kern w:val="0"/>
                <w:szCs w:val="21"/>
              </w:rPr>
            </w:pPr>
            <w:r>
              <w:rPr>
                <w:rFonts w:hint="eastAsia" w:ascii="宋体" w:hAnsi="宋体" w:cs="宋体"/>
                <w:kern w:val="0"/>
                <w:szCs w:val="21"/>
              </w:rPr>
              <w:t>1</w:t>
            </w:r>
          </w:p>
        </w:tc>
      </w:tr>
      <w:tr w14:paraId="5F887B89">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73A47107">
            <w:pPr>
              <w:numPr>
                <w:ilvl w:val="0"/>
                <w:numId w:val="31"/>
              </w:numPr>
            </w:pPr>
          </w:p>
        </w:tc>
        <w:tc>
          <w:tcPr>
            <w:tcW w:w="2889" w:type="dxa"/>
            <w:tcBorders>
              <w:top w:val="nil"/>
              <w:left w:val="nil"/>
              <w:bottom w:val="single" w:color="auto" w:sz="4" w:space="0"/>
              <w:right w:val="single" w:color="auto" w:sz="4" w:space="0"/>
            </w:tcBorders>
            <w:noWrap/>
            <w:vAlign w:val="center"/>
          </w:tcPr>
          <w:p w14:paraId="0690FEDA">
            <w:pPr>
              <w:widowControl/>
              <w:jc w:val="center"/>
              <w:rPr>
                <w:rFonts w:hint="eastAsia" w:ascii="宋体" w:hAnsi="宋体" w:cs="宋体"/>
                <w:kern w:val="0"/>
                <w:szCs w:val="21"/>
              </w:rPr>
            </w:pPr>
            <w:r>
              <w:rPr>
                <w:rFonts w:hint="eastAsia" w:ascii="宋体" w:hAnsi="宋体" w:cs="宋体"/>
                <w:kern w:val="0"/>
                <w:szCs w:val="21"/>
              </w:rPr>
              <w:t>UPS 配电柜</w:t>
            </w:r>
          </w:p>
        </w:tc>
        <w:tc>
          <w:tcPr>
            <w:tcW w:w="3915" w:type="dxa"/>
            <w:tcBorders>
              <w:top w:val="nil"/>
              <w:left w:val="nil"/>
              <w:bottom w:val="single" w:color="auto" w:sz="4" w:space="0"/>
              <w:right w:val="single" w:color="auto" w:sz="4" w:space="0"/>
            </w:tcBorders>
            <w:noWrap/>
            <w:vAlign w:val="center"/>
          </w:tcPr>
          <w:p w14:paraId="038D947E">
            <w:pPr>
              <w:widowControl/>
              <w:jc w:val="center"/>
              <w:rPr>
                <w:rFonts w:hint="eastAsia" w:ascii="宋体" w:hAnsi="宋体" w:cs="宋体"/>
                <w:kern w:val="0"/>
                <w:szCs w:val="21"/>
              </w:rPr>
            </w:pPr>
            <w:r>
              <w:rPr>
                <w:rFonts w:hint="eastAsia" w:ascii="宋体" w:hAnsi="宋体" w:cs="宋体"/>
                <w:kern w:val="0"/>
                <w:szCs w:val="21"/>
              </w:rPr>
              <w:t>定制</w:t>
            </w:r>
          </w:p>
        </w:tc>
        <w:tc>
          <w:tcPr>
            <w:tcW w:w="716" w:type="dxa"/>
            <w:tcBorders>
              <w:top w:val="nil"/>
              <w:left w:val="nil"/>
              <w:bottom w:val="single" w:color="auto" w:sz="4" w:space="0"/>
              <w:right w:val="single" w:color="auto" w:sz="4" w:space="0"/>
            </w:tcBorders>
            <w:noWrap/>
            <w:vAlign w:val="center"/>
          </w:tcPr>
          <w:p w14:paraId="69864817">
            <w:pPr>
              <w:widowControl/>
              <w:jc w:val="center"/>
              <w:rPr>
                <w:rFonts w:hint="eastAsia" w:ascii="宋体" w:hAnsi="宋体" w:cs="宋体"/>
                <w:kern w:val="0"/>
                <w:szCs w:val="21"/>
              </w:rPr>
            </w:pPr>
            <w:r>
              <w:rPr>
                <w:rFonts w:hint="eastAsia" w:ascii="宋体" w:hAnsi="宋体" w:cs="宋体"/>
                <w:kern w:val="0"/>
                <w:szCs w:val="21"/>
              </w:rPr>
              <w:t>1</w:t>
            </w:r>
          </w:p>
        </w:tc>
      </w:tr>
      <w:tr w14:paraId="672B9BDD">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11F8272A">
            <w:pPr>
              <w:numPr>
                <w:ilvl w:val="0"/>
                <w:numId w:val="31"/>
              </w:numPr>
            </w:pPr>
          </w:p>
        </w:tc>
        <w:tc>
          <w:tcPr>
            <w:tcW w:w="2889" w:type="dxa"/>
            <w:tcBorders>
              <w:top w:val="nil"/>
              <w:left w:val="nil"/>
              <w:bottom w:val="single" w:color="auto" w:sz="4" w:space="0"/>
              <w:right w:val="single" w:color="auto" w:sz="4" w:space="0"/>
            </w:tcBorders>
            <w:noWrap/>
            <w:vAlign w:val="center"/>
          </w:tcPr>
          <w:p w14:paraId="78033B6A">
            <w:pPr>
              <w:widowControl/>
              <w:jc w:val="center"/>
              <w:rPr>
                <w:rFonts w:hint="eastAsia" w:ascii="宋体" w:hAnsi="宋体" w:cs="宋体"/>
                <w:kern w:val="0"/>
                <w:szCs w:val="21"/>
              </w:rPr>
            </w:pPr>
            <w:r>
              <w:rPr>
                <w:rFonts w:hint="eastAsia" w:ascii="宋体" w:hAnsi="宋体" w:cs="宋体"/>
                <w:kern w:val="0"/>
                <w:szCs w:val="21"/>
              </w:rPr>
              <w:t>安防系统</w:t>
            </w:r>
          </w:p>
        </w:tc>
        <w:tc>
          <w:tcPr>
            <w:tcW w:w="3915" w:type="dxa"/>
            <w:tcBorders>
              <w:top w:val="nil"/>
              <w:left w:val="nil"/>
              <w:bottom w:val="single" w:color="auto" w:sz="4" w:space="0"/>
              <w:right w:val="single" w:color="auto" w:sz="4" w:space="0"/>
            </w:tcBorders>
            <w:noWrap/>
            <w:vAlign w:val="center"/>
          </w:tcPr>
          <w:p w14:paraId="2F0B4473">
            <w:pPr>
              <w:widowControl/>
              <w:jc w:val="center"/>
              <w:rPr>
                <w:rFonts w:hint="eastAsia" w:ascii="宋体" w:hAnsi="宋体" w:cs="宋体"/>
                <w:kern w:val="0"/>
                <w:szCs w:val="21"/>
              </w:rPr>
            </w:pPr>
            <w:r>
              <w:rPr>
                <w:rFonts w:hint="eastAsia" w:ascii="宋体" w:hAnsi="宋体" w:cs="宋体"/>
                <w:kern w:val="0"/>
                <w:szCs w:val="21"/>
              </w:rPr>
              <w:t>定制</w:t>
            </w:r>
          </w:p>
        </w:tc>
        <w:tc>
          <w:tcPr>
            <w:tcW w:w="716" w:type="dxa"/>
            <w:tcBorders>
              <w:top w:val="nil"/>
              <w:left w:val="nil"/>
              <w:bottom w:val="single" w:color="auto" w:sz="4" w:space="0"/>
              <w:right w:val="single" w:color="auto" w:sz="4" w:space="0"/>
            </w:tcBorders>
            <w:noWrap/>
            <w:vAlign w:val="center"/>
          </w:tcPr>
          <w:p w14:paraId="5E4DBBD4">
            <w:pPr>
              <w:widowControl/>
              <w:jc w:val="center"/>
              <w:rPr>
                <w:rFonts w:hint="eastAsia" w:ascii="宋体" w:hAnsi="宋体" w:cs="宋体"/>
                <w:kern w:val="0"/>
                <w:szCs w:val="21"/>
              </w:rPr>
            </w:pPr>
            <w:r>
              <w:rPr>
                <w:rFonts w:hint="eastAsia" w:ascii="宋体" w:hAnsi="宋体" w:cs="宋体"/>
                <w:kern w:val="0"/>
                <w:szCs w:val="21"/>
              </w:rPr>
              <w:t>1</w:t>
            </w:r>
          </w:p>
        </w:tc>
      </w:tr>
      <w:tr w14:paraId="4567FC68">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0F07640D">
            <w:pPr>
              <w:numPr>
                <w:ilvl w:val="0"/>
                <w:numId w:val="31"/>
              </w:numPr>
            </w:pPr>
          </w:p>
        </w:tc>
        <w:tc>
          <w:tcPr>
            <w:tcW w:w="2889" w:type="dxa"/>
            <w:tcBorders>
              <w:top w:val="nil"/>
              <w:left w:val="nil"/>
              <w:bottom w:val="single" w:color="auto" w:sz="4" w:space="0"/>
              <w:right w:val="single" w:color="auto" w:sz="4" w:space="0"/>
            </w:tcBorders>
            <w:noWrap/>
            <w:vAlign w:val="center"/>
          </w:tcPr>
          <w:p w14:paraId="2995F661">
            <w:pPr>
              <w:widowControl/>
              <w:jc w:val="center"/>
              <w:rPr>
                <w:rFonts w:hint="eastAsia" w:ascii="宋体" w:hAnsi="宋体" w:cs="宋体"/>
                <w:kern w:val="0"/>
                <w:szCs w:val="21"/>
              </w:rPr>
            </w:pPr>
            <w:r>
              <w:rPr>
                <w:rFonts w:hint="eastAsia" w:ascii="宋体" w:hAnsi="宋体" w:cs="宋体"/>
                <w:kern w:val="0"/>
                <w:szCs w:val="21"/>
              </w:rPr>
              <w:t>消防系统</w:t>
            </w:r>
          </w:p>
        </w:tc>
        <w:tc>
          <w:tcPr>
            <w:tcW w:w="3915" w:type="dxa"/>
            <w:tcBorders>
              <w:top w:val="nil"/>
              <w:left w:val="nil"/>
              <w:bottom w:val="single" w:color="auto" w:sz="4" w:space="0"/>
              <w:right w:val="single" w:color="auto" w:sz="4" w:space="0"/>
            </w:tcBorders>
            <w:noWrap/>
            <w:vAlign w:val="center"/>
          </w:tcPr>
          <w:p w14:paraId="7919AECB">
            <w:pPr>
              <w:widowControl/>
              <w:jc w:val="center"/>
              <w:rPr>
                <w:rFonts w:hint="eastAsia" w:ascii="宋体" w:hAnsi="宋体" w:cs="宋体"/>
                <w:kern w:val="0"/>
                <w:szCs w:val="21"/>
              </w:rPr>
            </w:pPr>
            <w:r>
              <w:rPr>
                <w:rFonts w:hint="eastAsia" w:ascii="宋体" w:hAnsi="宋体" w:cs="宋体"/>
                <w:kern w:val="0"/>
                <w:szCs w:val="21"/>
              </w:rPr>
              <w:t>利达/中国</w:t>
            </w:r>
          </w:p>
        </w:tc>
        <w:tc>
          <w:tcPr>
            <w:tcW w:w="716" w:type="dxa"/>
            <w:tcBorders>
              <w:top w:val="nil"/>
              <w:left w:val="nil"/>
              <w:bottom w:val="single" w:color="auto" w:sz="4" w:space="0"/>
              <w:right w:val="single" w:color="auto" w:sz="4" w:space="0"/>
            </w:tcBorders>
            <w:noWrap/>
            <w:vAlign w:val="center"/>
          </w:tcPr>
          <w:p w14:paraId="69538D7E">
            <w:pPr>
              <w:widowControl/>
              <w:jc w:val="center"/>
              <w:rPr>
                <w:rFonts w:hint="eastAsia" w:ascii="宋体" w:hAnsi="宋体" w:cs="宋体"/>
                <w:kern w:val="0"/>
                <w:szCs w:val="21"/>
              </w:rPr>
            </w:pPr>
            <w:r>
              <w:rPr>
                <w:rFonts w:hint="eastAsia" w:ascii="宋体" w:hAnsi="宋体" w:cs="宋体"/>
                <w:kern w:val="0"/>
                <w:szCs w:val="21"/>
              </w:rPr>
              <w:t>1</w:t>
            </w:r>
          </w:p>
        </w:tc>
      </w:tr>
      <w:tr w14:paraId="7F7DE49E">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414AEF42">
            <w:pPr>
              <w:numPr>
                <w:ilvl w:val="0"/>
                <w:numId w:val="31"/>
              </w:numPr>
            </w:pPr>
          </w:p>
        </w:tc>
        <w:tc>
          <w:tcPr>
            <w:tcW w:w="2889" w:type="dxa"/>
            <w:tcBorders>
              <w:top w:val="nil"/>
              <w:left w:val="nil"/>
              <w:bottom w:val="single" w:color="auto" w:sz="4" w:space="0"/>
              <w:right w:val="single" w:color="auto" w:sz="4" w:space="0"/>
            </w:tcBorders>
            <w:noWrap/>
            <w:vAlign w:val="center"/>
          </w:tcPr>
          <w:p w14:paraId="72C989C5">
            <w:pPr>
              <w:widowControl/>
              <w:jc w:val="center"/>
              <w:rPr>
                <w:rFonts w:hint="eastAsia" w:ascii="宋体" w:hAnsi="宋体" w:cs="宋体"/>
                <w:kern w:val="0"/>
                <w:szCs w:val="21"/>
              </w:rPr>
            </w:pPr>
            <w:r>
              <w:rPr>
                <w:rFonts w:hint="eastAsia" w:ascii="宋体" w:hAnsi="宋体" w:cs="宋体"/>
                <w:kern w:val="0"/>
                <w:szCs w:val="21"/>
              </w:rPr>
              <w:t>新风系统</w:t>
            </w:r>
          </w:p>
        </w:tc>
        <w:tc>
          <w:tcPr>
            <w:tcW w:w="3915" w:type="dxa"/>
            <w:tcBorders>
              <w:top w:val="nil"/>
              <w:left w:val="nil"/>
              <w:bottom w:val="single" w:color="auto" w:sz="4" w:space="0"/>
              <w:right w:val="single" w:color="auto" w:sz="4" w:space="0"/>
            </w:tcBorders>
            <w:noWrap/>
            <w:vAlign w:val="center"/>
          </w:tcPr>
          <w:p w14:paraId="38B73FC1">
            <w:pPr>
              <w:widowControl/>
              <w:jc w:val="center"/>
              <w:rPr>
                <w:rFonts w:hint="eastAsia" w:ascii="宋体" w:hAnsi="宋体" w:cs="宋体"/>
                <w:kern w:val="0"/>
                <w:szCs w:val="21"/>
              </w:rPr>
            </w:pPr>
            <w:r>
              <w:rPr>
                <w:rFonts w:hint="eastAsia" w:ascii="宋体" w:hAnsi="宋体" w:cs="宋体"/>
                <w:kern w:val="0"/>
                <w:szCs w:val="21"/>
              </w:rPr>
              <w:t>天方/中国</w:t>
            </w:r>
          </w:p>
        </w:tc>
        <w:tc>
          <w:tcPr>
            <w:tcW w:w="716" w:type="dxa"/>
            <w:tcBorders>
              <w:top w:val="nil"/>
              <w:left w:val="nil"/>
              <w:bottom w:val="single" w:color="auto" w:sz="4" w:space="0"/>
              <w:right w:val="single" w:color="auto" w:sz="4" w:space="0"/>
            </w:tcBorders>
            <w:noWrap/>
            <w:vAlign w:val="center"/>
          </w:tcPr>
          <w:p w14:paraId="6915AC3F">
            <w:pPr>
              <w:widowControl/>
              <w:jc w:val="center"/>
              <w:rPr>
                <w:rFonts w:hint="eastAsia" w:ascii="宋体" w:hAnsi="宋体" w:cs="宋体"/>
                <w:kern w:val="0"/>
                <w:szCs w:val="21"/>
              </w:rPr>
            </w:pPr>
            <w:r>
              <w:rPr>
                <w:rFonts w:hint="eastAsia" w:ascii="宋体" w:hAnsi="宋体" w:cs="宋体"/>
                <w:kern w:val="0"/>
                <w:szCs w:val="21"/>
              </w:rPr>
              <w:t>1</w:t>
            </w:r>
          </w:p>
        </w:tc>
      </w:tr>
      <w:tr w14:paraId="69D81F12">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1BB88BA5">
            <w:pPr>
              <w:numPr>
                <w:ilvl w:val="0"/>
                <w:numId w:val="31"/>
              </w:numPr>
            </w:pPr>
          </w:p>
        </w:tc>
        <w:tc>
          <w:tcPr>
            <w:tcW w:w="2889" w:type="dxa"/>
            <w:tcBorders>
              <w:top w:val="nil"/>
              <w:left w:val="nil"/>
              <w:bottom w:val="single" w:color="auto" w:sz="4" w:space="0"/>
              <w:right w:val="single" w:color="auto" w:sz="4" w:space="0"/>
            </w:tcBorders>
            <w:noWrap/>
            <w:vAlign w:val="center"/>
          </w:tcPr>
          <w:p w14:paraId="11D1F15E">
            <w:pPr>
              <w:widowControl/>
              <w:jc w:val="center"/>
              <w:rPr>
                <w:rFonts w:hint="eastAsia" w:ascii="宋体" w:hAnsi="宋体" w:cs="宋体"/>
                <w:kern w:val="0"/>
                <w:szCs w:val="21"/>
              </w:rPr>
            </w:pPr>
            <w:r>
              <w:rPr>
                <w:rFonts w:hint="eastAsia" w:ascii="宋体" w:hAnsi="宋体" w:cs="宋体"/>
                <w:kern w:val="0"/>
                <w:szCs w:val="21"/>
              </w:rPr>
              <w:t>UPS</w:t>
            </w:r>
          </w:p>
        </w:tc>
        <w:tc>
          <w:tcPr>
            <w:tcW w:w="3915" w:type="dxa"/>
            <w:tcBorders>
              <w:top w:val="nil"/>
              <w:left w:val="nil"/>
              <w:bottom w:val="single" w:color="auto" w:sz="4" w:space="0"/>
              <w:right w:val="single" w:color="auto" w:sz="4" w:space="0"/>
            </w:tcBorders>
            <w:noWrap/>
            <w:vAlign w:val="center"/>
          </w:tcPr>
          <w:p w14:paraId="3E254E02">
            <w:pPr>
              <w:widowControl/>
              <w:jc w:val="center"/>
              <w:rPr>
                <w:rFonts w:hint="eastAsia" w:ascii="宋体" w:hAnsi="宋体" w:cs="宋体"/>
                <w:kern w:val="0"/>
                <w:szCs w:val="21"/>
              </w:rPr>
            </w:pPr>
            <w:r>
              <w:rPr>
                <w:rFonts w:hint="eastAsia" w:ascii="宋体" w:hAnsi="宋体" w:cs="宋体"/>
                <w:kern w:val="0"/>
                <w:szCs w:val="21"/>
              </w:rPr>
              <w:t>先控/CMS-150(100)KVA/中国</w:t>
            </w:r>
          </w:p>
        </w:tc>
        <w:tc>
          <w:tcPr>
            <w:tcW w:w="716" w:type="dxa"/>
            <w:tcBorders>
              <w:top w:val="nil"/>
              <w:left w:val="nil"/>
              <w:bottom w:val="single" w:color="auto" w:sz="4" w:space="0"/>
              <w:right w:val="single" w:color="auto" w:sz="4" w:space="0"/>
            </w:tcBorders>
            <w:noWrap/>
            <w:vAlign w:val="center"/>
          </w:tcPr>
          <w:p w14:paraId="382E78AC">
            <w:pPr>
              <w:widowControl/>
              <w:jc w:val="center"/>
              <w:rPr>
                <w:rFonts w:hint="eastAsia" w:ascii="宋体" w:hAnsi="宋体" w:cs="宋体"/>
                <w:kern w:val="0"/>
                <w:szCs w:val="21"/>
              </w:rPr>
            </w:pPr>
            <w:r>
              <w:rPr>
                <w:rFonts w:hint="eastAsia" w:ascii="宋体" w:hAnsi="宋体" w:cs="宋体"/>
                <w:kern w:val="0"/>
                <w:szCs w:val="21"/>
              </w:rPr>
              <w:t>1</w:t>
            </w:r>
          </w:p>
        </w:tc>
      </w:tr>
      <w:tr w14:paraId="30B0FA60">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232CE569">
            <w:pPr>
              <w:numPr>
                <w:ilvl w:val="0"/>
                <w:numId w:val="31"/>
              </w:numPr>
            </w:pPr>
          </w:p>
        </w:tc>
        <w:tc>
          <w:tcPr>
            <w:tcW w:w="2889" w:type="dxa"/>
            <w:tcBorders>
              <w:top w:val="nil"/>
              <w:left w:val="nil"/>
              <w:bottom w:val="single" w:color="auto" w:sz="4" w:space="0"/>
              <w:right w:val="single" w:color="auto" w:sz="4" w:space="0"/>
            </w:tcBorders>
            <w:noWrap/>
            <w:vAlign w:val="center"/>
          </w:tcPr>
          <w:p w14:paraId="0C69A7E4">
            <w:pPr>
              <w:widowControl/>
              <w:jc w:val="center"/>
              <w:rPr>
                <w:rFonts w:hint="eastAsia" w:ascii="宋体" w:hAnsi="宋体" w:cs="宋体"/>
                <w:kern w:val="0"/>
                <w:szCs w:val="21"/>
              </w:rPr>
            </w:pPr>
            <w:r>
              <w:rPr>
                <w:rFonts w:hint="eastAsia" w:ascii="宋体" w:hAnsi="宋体" w:cs="宋体"/>
                <w:kern w:val="0"/>
                <w:szCs w:val="21"/>
              </w:rPr>
              <w:t>服务器</w:t>
            </w:r>
          </w:p>
        </w:tc>
        <w:tc>
          <w:tcPr>
            <w:tcW w:w="3915" w:type="dxa"/>
            <w:tcBorders>
              <w:top w:val="nil"/>
              <w:left w:val="nil"/>
              <w:bottom w:val="single" w:color="auto" w:sz="4" w:space="0"/>
              <w:right w:val="single" w:color="auto" w:sz="4" w:space="0"/>
            </w:tcBorders>
            <w:noWrap/>
            <w:vAlign w:val="center"/>
          </w:tcPr>
          <w:p w14:paraId="4C5A98E3">
            <w:pPr>
              <w:widowControl/>
              <w:jc w:val="center"/>
              <w:rPr>
                <w:rFonts w:hint="eastAsia" w:ascii="宋体" w:hAnsi="宋体" w:cs="宋体"/>
                <w:kern w:val="0"/>
                <w:szCs w:val="21"/>
              </w:rPr>
            </w:pPr>
            <w:r>
              <w:rPr>
                <w:rFonts w:hint="eastAsia" w:ascii="宋体" w:hAnsi="宋体" w:cs="宋体"/>
                <w:kern w:val="0"/>
                <w:szCs w:val="21"/>
              </w:rPr>
              <w:t>IBM/x3850 X5/中国</w:t>
            </w:r>
          </w:p>
        </w:tc>
        <w:tc>
          <w:tcPr>
            <w:tcW w:w="716" w:type="dxa"/>
            <w:tcBorders>
              <w:top w:val="nil"/>
              <w:left w:val="nil"/>
              <w:bottom w:val="single" w:color="auto" w:sz="4" w:space="0"/>
              <w:right w:val="single" w:color="auto" w:sz="4" w:space="0"/>
            </w:tcBorders>
            <w:noWrap/>
            <w:vAlign w:val="center"/>
          </w:tcPr>
          <w:p w14:paraId="4AA82C1C">
            <w:pPr>
              <w:widowControl/>
              <w:jc w:val="center"/>
              <w:rPr>
                <w:rFonts w:hint="eastAsia" w:ascii="宋体" w:hAnsi="宋体" w:cs="宋体"/>
                <w:kern w:val="0"/>
                <w:szCs w:val="21"/>
              </w:rPr>
            </w:pPr>
            <w:r>
              <w:rPr>
                <w:rFonts w:hint="eastAsia" w:ascii="宋体" w:hAnsi="宋体" w:cs="宋体"/>
                <w:kern w:val="0"/>
                <w:szCs w:val="21"/>
              </w:rPr>
              <w:t>3</w:t>
            </w:r>
          </w:p>
        </w:tc>
      </w:tr>
      <w:tr w14:paraId="2F7902E3">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1082044D">
            <w:pPr>
              <w:numPr>
                <w:ilvl w:val="0"/>
                <w:numId w:val="31"/>
              </w:numPr>
            </w:pPr>
          </w:p>
        </w:tc>
        <w:tc>
          <w:tcPr>
            <w:tcW w:w="2889" w:type="dxa"/>
            <w:tcBorders>
              <w:top w:val="nil"/>
              <w:left w:val="nil"/>
              <w:bottom w:val="single" w:color="auto" w:sz="4" w:space="0"/>
              <w:right w:val="single" w:color="auto" w:sz="4" w:space="0"/>
            </w:tcBorders>
            <w:noWrap/>
            <w:vAlign w:val="center"/>
          </w:tcPr>
          <w:p w14:paraId="66EBC620">
            <w:pPr>
              <w:widowControl/>
              <w:jc w:val="center"/>
              <w:rPr>
                <w:rFonts w:hint="eastAsia" w:ascii="宋体" w:hAnsi="宋体" w:cs="宋体"/>
                <w:kern w:val="0"/>
                <w:szCs w:val="21"/>
              </w:rPr>
            </w:pPr>
            <w:r>
              <w:rPr>
                <w:rFonts w:hint="eastAsia" w:ascii="宋体" w:hAnsi="宋体" w:cs="宋体"/>
                <w:kern w:val="0"/>
                <w:szCs w:val="21"/>
              </w:rPr>
              <w:t>服务器</w:t>
            </w:r>
          </w:p>
        </w:tc>
        <w:tc>
          <w:tcPr>
            <w:tcW w:w="3915" w:type="dxa"/>
            <w:tcBorders>
              <w:top w:val="nil"/>
              <w:left w:val="nil"/>
              <w:bottom w:val="single" w:color="auto" w:sz="4" w:space="0"/>
              <w:right w:val="single" w:color="auto" w:sz="4" w:space="0"/>
            </w:tcBorders>
            <w:noWrap/>
            <w:vAlign w:val="center"/>
          </w:tcPr>
          <w:p w14:paraId="7E1CB6C0">
            <w:pPr>
              <w:widowControl/>
              <w:jc w:val="center"/>
              <w:rPr>
                <w:rFonts w:hint="eastAsia" w:ascii="宋体" w:hAnsi="宋体" w:cs="宋体"/>
                <w:kern w:val="0"/>
                <w:szCs w:val="21"/>
              </w:rPr>
            </w:pPr>
            <w:r>
              <w:rPr>
                <w:rFonts w:hint="eastAsia" w:ascii="宋体" w:hAnsi="宋体" w:cs="宋体"/>
                <w:kern w:val="0"/>
                <w:szCs w:val="21"/>
              </w:rPr>
              <w:t>惠普/Proliant ML350p Gen8/中国</w:t>
            </w:r>
          </w:p>
        </w:tc>
        <w:tc>
          <w:tcPr>
            <w:tcW w:w="716" w:type="dxa"/>
            <w:tcBorders>
              <w:top w:val="nil"/>
              <w:left w:val="nil"/>
              <w:bottom w:val="single" w:color="auto" w:sz="4" w:space="0"/>
              <w:right w:val="single" w:color="auto" w:sz="4" w:space="0"/>
            </w:tcBorders>
            <w:noWrap/>
            <w:vAlign w:val="center"/>
          </w:tcPr>
          <w:p w14:paraId="2E9BF0FE">
            <w:pPr>
              <w:widowControl/>
              <w:jc w:val="center"/>
              <w:rPr>
                <w:rFonts w:hint="eastAsia" w:ascii="宋体" w:hAnsi="宋体" w:cs="宋体"/>
                <w:kern w:val="0"/>
                <w:szCs w:val="21"/>
              </w:rPr>
            </w:pPr>
            <w:r>
              <w:rPr>
                <w:rFonts w:hint="eastAsia" w:ascii="宋体" w:hAnsi="宋体" w:cs="宋体"/>
                <w:kern w:val="0"/>
                <w:szCs w:val="21"/>
              </w:rPr>
              <w:t>3</w:t>
            </w:r>
          </w:p>
        </w:tc>
      </w:tr>
      <w:tr w14:paraId="308768DB">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5070844C">
            <w:pPr>
              <w:numPr>
                <w:ilvl w:val="0"/>
                <w:numId w:val="31"/>
              </w:numPr>
            </w:pPr>
          </w:p>
        </w:tc>
        <w:tc>
          <w:tcPr>
            <w:tcW w:w="2889" w:type="dxa"/>
            <w:tcBorders>
              <w:top w:val="nil"/>
              <w:left w:val="nil"/>
              <w:bottom w:val="single" w:color="auto" w:sz="4" w:space="0"/>
              <w:right w:val="single" w:color="auto" w:sz="4" w:space="0"/>
            </w:tcBorders>
            <w:noWrap/>
            <w:vAlign w:val="center"/>
          </w:tcPr>
          <w:p w14:paraId="07903C8B">
            <w:pPr>
              <w:widowControl/>
              <w:jc w:val="center"/>
              <w:rPr>
                <w:rFonts w:hint="eastAsia" w:ascii="宋体" w:hAnsi="宋体" w:cs="宋体"/>
                <w:kern w:val="0"/>
                <w:szCs w:val="21"/>
              </w:rPr>
            </w:pPr>
            <w:r>
              <w:rPr>
                <w:rFonts w:hint="eastAsia" w:ascii="宋体" w:hAnsi="宋体" w:cs="宋体"/>
                <w:kern w:val="0"/>
                <w:szCs w:val="21"/>
              </w:rPr>
              <w:t>台式机</w:t>
            </w:r>
          </w:p>
        </w:tc>
        <w:tc>
          <w:tcPr>
            <w:tcW w:w="3915" w:type="dxa"/>
            <w:tcBorders>
              <w:top w:val="nil"/>
              <w:left w:val="nil"/>
              <w:bottom w:val="single" w:color="auto" w:sz="4" w:space="0"/>
              <w:right w:val="single" w:color="auto" w:sz="4" w:space="0"/>
            </w:tcBorders>
            <w:noWrap/>
            <w:vAlign w:val="center"/>
          </w:tcPr>
          <w:p w14:paraId="436F474F">
            <w:pPr>
              <w:widowControl/>
              <w:jc w:val="center"/>
              <w:rPr>
                <w:rFonts w:hint="eastAsia" w:ascii="宋体" w:hAnsi="宋体" w:cs="宋体"/>
                <w:kern w:val="0"/>
                <w:szCs w:val="21"/>
              </w:rPr>
            </w:pPr>
            <w:r>
              <w:rPr>
                <w:rFonts w:hint="eastAsia" w:ascii="宋体" w:hAnsi="宋体" w:cs="宋体"/>
                <w:kern w:val="0"/>
                <w:szCs w:val="21"/>
              </w:rPr>
              <w:t>戴尔/Optiplex 3020MT/中国</w:t>
            </w:r>
          </w:p>
        </w:tc>
        <w:tc>
          <w:tcPr>
            <w:tcW w:w="716" w:type="dxa"/>
            <w:tcBorders>
              <w:top w:val="nil"/>
              <w:left w:val="nil"/>
              <w:bottom w:val="single" w:color="auto" w:sz="4" w:space="0"/>
              <w:right w:val="single" w:color="auto" w:sz="4" w:space="0"/>
            </w:tcBorders>
            <w:noWrap/>
            <w:vAlign w:val="center"/>
          </w:tcPr>
          <w:p w14:paraId="1F0F7EFD">
            <w:pPr>
              <w:widowControl/>
              <w:jc w:val="center"/>
              <w:rPr>
                <w:rFonts w:hint="eastAsia" w:ascii="宋体" w:hAnsi="宋体" w:cs="宋体"/>
                <w:kern w:val="0"/>
                <w:szCs w:val="21"/>
              </w:rPr>
            </w:pPr>
            <w:r>
              <w:rPr>
                <w:rFonts w:hint="eastAsia" w:ascii="宋体" w:hAnsi="宋体" w:cs="宋体"/>
                <w:kern w:val="0"/>
                <w:szCs w:val="21"/>
              </w:rPr>
              <w:t>18</w:t>
            </w:r>
          </w:p>
        </w:tc>
      </w:tr>
      <w:tr w14:paraId="0D259FB4">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55CE7532">
            <w:pPr>
              <w:numPr>
                <w:ilvl w:val="0"/>
                <w:numId w:val="31"/>
              </w:numPr>
            </w:pPr>
          </w:p>
        </w:tc>
        <w:tc>
          <w:tcPr>
            <w:tcW w:w="2889" w:type="dxa"/>
            <w:tcBorders>
              <w:top w:val="nil"/>
              <w:left w:val="nil"/>
              <w:bottom w:val="single" w:color="auto" w:sz="4" w:space="0"/>
              <w:right w:val="single" w:color="auto" w:sz="4" w:space="0"/>
            </w:tcBorders>
            <w:noWrap/>
            <w:vAlign w:val="center"/>
          </w:tcPr>
          <w:p w14:paraId="6C72DE9F">
            <w:pPr>
              <w:widowControl/>
              <w:jc w:val="center"/>
              <w:rPr>
                <w:rFonts w:hint="eastAsia" w:ascii="宋体" w:hAnsi="宋体" w:cs="宋体"/>
                <w:kern w:val="0"/>
                <w:szCs w:val="21"/>
              </w:rPr>
            </w:pPr>
            <w:r>
              <w:rPr>
                <w:rFonts w:hint="eastAsia" w:ascii="宋体" w:hAnsi="宋体" w:cs="宋体"/>
                <w:kern w:val="0"/>
                <w:szCs w:val="21"/>
              </w:rPr>
              <w:t>服务器</w:t>
            </w:r>
          </w:p>
        </w:tc>
        <w:tc>
          <w:tcPr>
            <w:tcW w:w="3915" w:type="dxa"/>
            <w:tcBorders>
              <w:top w:val="nil"/>
              <w:left w:val="nil"/>
              <w:bottom w:val="single" w:color="auto" w:sz="4" w:space="0"/>
              <w:right w:val="single" w:color="auto" w:sz="4" w:space="0"/>
            </w:tcBorders>
            <w:noWrap/>
            <w:vAlign w:val="center"/>
          </w:tcPr>
          <w:p w14:paraId="0DD36357">
            <w:pPr>
              <w:widowControl/>
              <w:jc w:val="center"/>
              <w:rPr>
                <w:rFonts w:hint="eastAsia" w:ascii="宋体" w:hAnsi="宋体" w:cs="宋体"/>
                <w:kern w:val="0"/>
                <w:szCs w:val="21"/>
              </w:rPr>
            </w:pPr>
            <w:r>
              <w:rPr>
                <w:rFonts w:hint="eastAsia" w:ascii="宋体" w:hAnsi="宋体" w:cs="宋体"/>
                <w:kern w:val="0"/>
                <w:szCs w:val="21"/>
              </w:rPr>
              <w:t>联想/ST550/中国</w:t>
            </w:r>
          </w:p>
        </w:tc>
        <w:tc>
          <w:tcPr>
            <w:tcW w:w="716" w:type="dxa"/>
            <w:tcBorders>
              <w:top w:val="nil"/>
              <w:left w:val="nil"/>
              <w:bottom w:val="single" w:color="auto" w:sz="4" w:space="0"/>
              <w:right w:val="single" w:color="auto" w:sz="4" w:space="0"/>
            </w:tcBorders>
            <w:noWrap/>
            <w:vAlign w:val="center"/>
          </w:tcPr>
          <w:p w14:paraId="0196B18A">
            <w:pPr>
              <w:widowControl/>
              <w:jc w:val="center"/>
              <w:rPr>
                <w:rFonts w:hint="eastAsia" w:ascii="宋体" w:hAnsi="宋体" w:cs="宋体"/>
                <w:kern w:val="0"/>
                <w:szCs w:val="21"/>
              </w:rPr>
            </w:pPr>
            <w:r>
              <w:rPr>
                <w:rFonts w:hint="eastAsia" w:ascii="宋体" w:hAnsi="宋体" w:cs="宋体"/>
                <w:kern w:val="0"/>
                <w:szCs w:val="21"/>
              </w:rPr>
              <w:t>1</w:t>
            </w:r>
          </w:p>
        </w:tc>
      </w:tr>
      <w:tr w14:paraId="2968751E">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776C6214">
            <w:pPr>
              <w:numPr>
                <w:ilvl w:val="0"/>
                <w:numId w:val="31"/>
              </w:numPr>
            </w:pPr>
          </w:p>
        </w:tc>
        <w:tc>
          <w:tcPr>
            <w:tcW w:w="2889" w:type="dxa"/>
            <w:tcBorders>
              <w:top w:val="nil"/>
              <w:left w:val="nil"/>
              <w:bottom w:val="single" w:color="auto" w:sz="4" w:space="0"/>
              <w:right w:val="single" w:color="auto" w:sz="4" w:space="0"/>
            </w:tcBorders>
            <w:noWrap/>
            <w:vAlign w:val="center"/>
          </w:tcPr>
          <w:p w14:paraId="13FB8C9F">
            <w:pPr>
              <w:widowControl/>
              <w:jc w:val="center"/>
              <w:rPr>
                <w:rFonts w:hint="eastAsia" w:ascii="宋体" w:hAnsi="宋体" w:cs="宋体"/>
                <w:kern w:val="0"/>
                <w:szCs w:val="21"/>
              </w:rPr>
            </w:pPr>
            <w:r>
              <w:rPr>
                <w:rFonts w:hint="eastAsia" w:ascii="宋体" w:hAnsi="宋体" w:cs="宋体"/>
                <w:kern w:val="0"/>
                <w:szCs w:val="21"/>
              </w:rPr>
              <w:t>服务器</w:t>
            </w:r>
          </w:p>
        </w:tc>
        <w:tc>
          <w:tcPr>
            <w:tcW w:w="3915" w:type="dxa"/>
            <w:tcBorders>
              <w:top w:val="nil"/>
              <w:left w:val="nil"/>
              <w:bottom w:val="single" w:color="auto" w:sz="4" w:space="0"/>
              <w:right w:val="single" w:color="auto" w:sz="4" w:space="0"/>
            </w:tcBorders>
            <w:noWrap/>
            <w:vAlign w:val="center"/>
          </w:tcPr>
          <w:p w14:paraId="344E687C">
            <w:pPr>
              <w:widowControl/>
              <w:jc w:val="center"/>
              <w:rPr>
                <w:rFonts w:hint="eastAsia" w:ascii="宋体" w:hAnsi="宋体" w:cs="宋体"/>
                <w:kern w:val="0"/>
                <w:szCs w:val="21"/>
              </w:rPr>
            </w:pPr>
            <w:r>
              <w:rPr>
                <w:rFonts w:hint="eastAsia" w:ascii="宋体" w:hAnsi="宋体" w:cs="宋体"/>
                <w:kern w:val="0"/>
                <w:szCs w:val="21"/>
              </w:rPr>
              <w:t>联想/SR860/中国</w:t>
            </w:r>
          </w:p>
        </w:tc>
        <w:tc>
          <w:tcPr>
            <w:tcW w:w="716" w:type="dxa"/>
            <w:tcBorders>
              <w:top w:val="nil"/>
              <w:left w:val="nil"/>
              <w:bottom w:val="single" w:color="auto" w:sz="4" w:space="0"/>
              <w:right w:val="single" w:color="auto" w:sz="4" w:space="0"/>
            </w:tcBorders>
            <w:noWrap/>
            <w:vAlign w:val="center"/>
          </w:tcPr>
          <w:p w14:paraId="3F0B23C8">
            <w:pPr>
              <w:widowControl/>
              <w:jc w:val="center"/>
              <w:rPr>
                <w:rFonts w:hint="eastAsia" w:ascii="宋体" w:hAnsi="宋体" w:cs="宋体"/>
                <w:kern w:val="0"/>
                <w:szCs w:val="21"/>
              </w:rPr>
            </w:pPr>
            <w:r>
              <w:rPr>
                <w:rFonts w:hint="eastAsia" w:ascii="宋体" w:hAnsi="宋体" w:cs="宋体"/>
                <w:kern w:val="0"/>
                <w:szCs w:val="21"/>
              </w:rPr>
              <w:t>1</w:t>
            </w:r>
          </w:p>
        </w:tc>
      </w:tr>
      <w:tr w14:paraId="3EC76D07">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2761C1FD">
            <w:pPr>
              <w:numPr>
                <w:ilvl w:val="0"/>
                <w:numId w:val="31"/>
              </w:numPr>
            </w:pPr>
          </w:p>
        </w:tc>
        <w:tc>
          <w:tcPr>
            <w:tcW w:w="2889" w:type="dxa"/>
            <w:tcBorders>
              <w:top w:val="nil"/>
              <w:left w:val="nil"/>
              <w:bottom w:val="single" w:color="auto" w:sz="4" w:space="0"/>
              <w:right w:val="single" w:color="auto" w:sz="4" w:space="0"/>
            </w:tcBorders>
            <w:noWrap/>
            <w:vAlign w:val="center"/>
          </w:tcPr>
          <w:p w14:paraId="6C5BC253">
            <w:pPr>
              <w:widowControl/>
              <w:jc w:val="center"/>
              <w:rPr>
                <w:rFonts w:hint="eastAsia" w:ascii="宋体" w:hAnsi="宋体" w:cs="宋体"/>
                <w:kern w:val="0"/>
                <w:szCs w:val="21"/>
              </w:rPr>
            </w:pPr>
            <w:r>
              <w:rPr>
                <w:rFonts w:hint="eastAsia" w:ascii="宋体" w:hAnsi="宋体" w:cs="宋体"/>
                <w:kern w:val="0"/>
                <w:szCs w:val="21"/>
              </w:rPr>
              <w:t>入侵防御设备</w:t>
            </w:r>
          </w:p>
        </w:tc>
        <w:tc>
          <w:tcPr>
            <w:tcW w:w="3915" w:type="dxa"/>
            <w:tcBorders>
              <w:top w:val="nil"/>
              <w:left w:val="nil"/>
              <w:bottom w:val="single" w:color="auto" w:sz="4" w:space="0"/>
              <w:right w:val="single" w:color="auto" w:sz="4" w:space="0"/>
            </w:tcBorders>
            <w:noWrap/>
            <w:vAlign w:val="center"/>
          </w:tcPr>
          <w:p w14:paraId="173AEBEE">
            <w:pPr>
              <w:widowControl/>
              <w:jc w:val="center"/>
              <w:rPr>
                <w:rFonts w:hint="eastAsia" w:ascii="宋体" w:hAnsi="宋体" w:cs="宋体"/>
                <w:kern w:val="0"/>
                <w:szCs w:val="21"/>
              </w:rPr>
            </w:pPr>
            <w:r>
              <w:rPr>
                <w:rFonts w:hint="eastAsia" w:ascii="宋体" w:hAnsi="宋体" w:cs="宋体"/>
                <w:kern w:val="0"/>
                <w:szCs w:val="21"/>
              </w:rPr>
              <w:t>绿盟/NISPNX3-HD1200C/中国</w:t>
            </w:r>
          </w:p>
        </w:tc>
        <w:tc>
          <w:tcPr>
            <w:tcW w:w="716" w:type="dxa"/>
            <w:tcBorders>
              <w:top w:val="nil"/>
              <w:left w:val="nil"/>
              <w:bottom w:val="single" w:color="auto" w:sz="4" w:space="0"/>
              <w:right w:val="single" w:color="auto" w:sz="4" w:space="0"/>
            </w:tcBorders>
            <w:noWrap/>
            <w:vAlign w:val="center"/>
          </w:tcPr>
          <w:p w14:paraId="4A79D404">
            <w:pPr>
              <w:widowControl/>
              <w:jc w:val="center"/>
              <w:rPr>
                <w:rFonts w:hint="eastAsia" w:ascii="宋体" w:hAnsi="宋体" w:cs="宋体"/>
                <w:kern w:val="0"/>
                <w:szCs w:val="21"/>
              </w:rPr>
            </w:pPr>
            <w:r>
              <w:rPr>
                <w:rFonts w:hint="eastAsia" w:ascii="宋体" w:hAnsi="宋体" w:cs="宋体"/>
                <w:kern w:val="0"/>
                <w:szCs w:val="21"/>
              </w:rPr>
              <w:t>2</w:t>
            </w:r>
          </w:p>
        </w:tc>
      </w:tr>
      <w:tr w14:paraId="58E0AB68">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03AE7BA4">
            <w:pPr>
              <w:numPr>
                <w:ilvl w:val="0"/>
                <w:numId w:val="31"/>
              </w:numPr>
            </w:pPr>
          </w:p>
        </w:tc>
        <w:tc>
          <w:tcPr>
            <w:tcW w:w="2889" w:type="dxa"/>
            <w:tcBorders>
              <w:top w:val="nil"/>
              <w:left w:val="nil"/>
              <w:bottom w:val="single" w:color="auto" w:sz="4" w:space="0"/>
              <w:right w:val="single" w:color="auto" w:sz="4" w:space="0"/>
            </w:tcBorders>
            <w:noWrap/>
            <w:vAlign w:val="center"/>
          </w:tcPr>
          <w:p w14:paraId="57C9EABD">
            <w:pPr>
              <w:widowControl/>
              <w:jc w:val="center"/>
              <w:rPr>
                <w:rFonts w:hint="eastAsia" w:ascii="宋体" w:hAnsi="宋体" w:cs="宋体"/>
                <w:kern w:val="0"/>
                <w:szCs w:val="21"/>
              </w:rPr>
            </w:pPr>
            <w:r>
              <w:rPr>
                <w:rFonts w:hint="eastAsia" w:ascii="宋体" w:hAnsi="宋体" w:cs="宋体"/>
                <w:kern w:val="0"/>
                <w:szCs w:val="21"/>
              </w:rPr>
              <w:t>上网行为管理</w:t>
            </w:r>
          </w:p>
        </w:tc>
        <w:tc>
          <w:tcPr>
            <w:tcW w:w="3915" w:type="dxa"/>
            <w:tcBorders>
              <w:top w:val="nil"/>
              <w:left w:val="nil"/>
              <w:bottom w:val="single" w:color="auto" w:sz="4" w:space="0"/>
              <w:right w:val="single" w:color="auto" w:sz="4" w:space="0"/>
            </w:tcBorders>
            <w:noWrap/>
            <w:vAlign w:val="center"/>
          </w:tcPr>
          <w:p w14:paraId="783F3C48">
            <w:pPr>
              <w:widowControl/>
              <w:jc w:val="center"/>
              <w:rPr>
                <w:rFonts w:hint="eastAsia" w:ascii="宋体" w:hAnsi="宋体" w:cs="宋体"/>
                <w:kern w:val="0"/>
                <w:szCs w:val="21"/>
              </w:rPr>
            </w:pPr>
            <w:r>
              <w:rPr>
                <w:rFonts w:hint="eastAsia" w:ascii="宋体" w:hAnsi="宋体" w:cs="宋体"/>
                <w:kern w:val="0"/>
                <w:szCs w:val="21"/>
              </w:rPr>
              <w:t>山石/SG-6000-ICM1100-AC/中国</w:t>
            </w:r>
          </w:p>
        </w:tc>
        <w:tc>
          <w:tcPr>
            <w:tcW w:w="716" w:type="dxa"/>
            <w:tcBorders>
              <w:top w:val="nil"/>
              <w:left w:val="nil"/>
              <w:bottom w:val="single" w:color="auto" w:sz="4" w:space="0"/>
              <w:right w:val="single" w:color="auto" w:sz="4" w:space="0"/>
            </w:tcBorders>
            <w:noWrap/>
            <w:vAlign w:val="center"/>
          </w:tcPr>
          <w:p w14:paraId="2CF89E61">
            <w:pPr>
              <w:widowControl/>
              <w:jc w:val="center"/>
              <w:rPr>
                <w:rFonts w:hint="eastAsia" w:ascii="宋体" w:hAnsi="宋体" w:cs="宋体"/>
                <w:kern w:val="0"/>
                <w:szCs w:val="21"/>
              </w:rPr>
            </w:pPr>
            <w:r>
              <w:rPr>
                <w:rFonts w:hint="eastAsia" w:ascii="宋体" w:hAnsi="宋体" w:cs="宋体"/>
                <w:kern w:val="0"/>
                <w:szCs w:val="21"/>
              </w:rPr>
              <w:t>1</w:t>
            </w:r>
          </w:p>
        </w:tc>
      </w:tr>
      <w:tr w14:paraId="7A894D91">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3E1C8927">
            <w:pPr>
              <w:numPr>
                <w:ilvl w:val="0"/>
                <w:numId w:val="31"/>
              </w:numPr>
            </w:pPr>
          </w:p>
        </w:tc>
        <w:tc>
          <w:tcPr>
            <w:tcW w:w="2889" w:type="dxa"/>
            <w:tcBorders>
              <w:top w:val="nil"/>
              <w:left w:val="nil"/>
              <w:bottom w:val="single" w:color="auto" w:sz="4" w:space="0"/>
              <w:right w:val="single" w:color="auto" w:sz="4" w:space="0"/>
            </w:tcBorders>
            <w:noWrap/>
            <w:vAlign w:val="center"/>
          </w:tcPr>
          <w:p w14:paraId="67C664DF">
            <w:pPr>
              <w:widowControl/>
              <w:jc w:val="center"/>
              <w:rPr>
                <w:rFonts w:hint="eastAsia" w:ascii="宋体" w:hAnsi="宋体" w:cs="宋体"/>
                <w:kern w:val="0"/>
                <w:szCs w:val="21"/>
              </w:rPr>
            </w:pPr>
            <w:r>
              <w:rPr>
                <w:rFonts w:hint="eastAsia" w:ascii="宋体" w:hAnsi="宋体" w:cs="宋体"/>
                <w:kern w:val="0"/>
                <w:szCs w:val="21"/>
              </w:rPr>
              <w:t>日志审计</w:t>
            </w:r>
          </w:p>
        </w:tc>
        <w:tc>
          <w:tcPr>
            <w:tcW w:w="3915" w:type="dxa"/>
            <w:tcBorders>
              <w:top w:val="nil"/>
              <w:left w:val="nil"/>
              <w:bottom w:val="single" w:color="auto" w:sz="4" w:space="0"/>
              <w:right w:val="single" w:color="auto" w:sz="4" w:space="0"/>
            </w:tcBorders>
            <w:noWrap/>
            <w:vAlign w:val="center"/>
          </w:tcPr>
          <w:p w14:paraId="4118B8B2">
            <w:pPr>
              <w:widowControl/>
              <w:jc w:val="center"/>
              <w:rPr>
                <w:rFonts w:hint="eastAsia" w:ascii="宋体" w:hAnsi="宋体" w:cs="宋体"/>
                <w:kern w:val="0"/>
                <w:szCs w:val="21"/>
              </w:rPr>
            </w:pPr>
            <w:r>
              <w:rPr>
                <w:rFonts w:hint="eastAsia" w:ascii="宋体" w:hAnsi="宋体" w:cs="宋体"/>
                <w:kern w:val="0"/>
                <w:szCs w:val="21"/>
              </w:rPr>
              <w:t>绿盟/LAS NX3 SERIES/中国</w:t>
            </w:r>
          </w:p>
        </w:tc>
        <w:tc>
          <w:tcPr>
            <w:tcW w:w="716" w:type="dxa"/>
            <w:tcBorders>
              <w:top w:val="nil"/>
              <w:left w:val="nil"/>
              <w:bottom w:val="single" w:color="auto" w:sz="4" w:space="0"/>
              <w:right w:val="single" w:color="auto" w:sz="4" w:space="0"/>
            </w:tcBorders>
            <w:noWrap/>
            <w:vAlign w:val="center"/>
          </w:tcPr>
          <w:p w14:paraId="6C725DE7">
            <w:pPr>
              <w:widowControl/>
              <w:jc w:val="center"/>
              <w:rPr>
                <w:rFonts w:hint="eastAsia" w:ascii="宋体" w:hAnsi="宋体" w:cs="宋体"/>
                <w:kern w:val="0"/>
                <w:szCs w:val="21"/>
              </w:rPr>
            </w:pPr>
            <w:r>
              <w:rPr>
                <w:rFonts w:hint="eastAsia" w:ascii="宋体" w:hAnsi="宋体" w:cs="宋体"/>
                <w:kern w:val="0"/>
                <w:szCs w:val="21"/>
              </w:rPr>
              <w:t>1</w:t>
            </w:r>
          </w:p>
        </w:tc>
      </w:tr>
      <w:tr w14:paraId="4E6D4CCF">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0071AE30">
            <w:pPr>
              <w:numPr>
                <w:ilvl w:val="0"/>
                <w:numId w:val="31"/>
              </w:numPr>
            </w:pPr>
          </w:p>
        </w:tc>
        <w:tc>
          <w:tcPr>
            <w:tcW w:w="2889" w:type="dxa"/>
            <w:tcBorders>
              <w:top w:val="nil"/>
              <w:left w:val="nil"/>
              <w:bottom w:val="single" w:color="auto" w:sz="4" w:space="0"/>
              <w:right w:val="single" w:color="auto" w:sz="4" w:space="0"/>
            </w:tcBorders>
            <w:noWrap/>
            <w:vAlign w:val="center"/>
          </w:tcPr>
          <w:p w14:paraId="24341A51">
            <w:pPr>
              <w:widowControl/>
              <w:jc w:val="center"/>
              <w:rPr>
                <w:rFonts w:hint="eastAsia" w:ascii="宋体" w:hAnsi="宋体" w:cs="宋体"/>
                <w:kern w:val="0"/>
                <w:szCs w:val="21"/>
              </w:rPr>
            </w:pPr>
            <w:r>
              <w:rPr>
                <w:rFonts w:hint="eastAsia" w:ascii="宋体" w:hAnsi="宋体" w:cs="宋体"/>
                <w:kern w:val="0"/>
                <w:szCs w:val="21"/>
              </w:rPr>
              <w:t>漏洞扫描</w:t>
            </w:r>
          </w:p>
        </w:tc>
        <w:tc>
          <w:tcPr>
            <w:tcW w:w="3915" w:type="dxa"/>
            <w:tcBorders>
              <w:top w:val="nil"/>
              <w:left w:val="nil"/>
              <w:bottom w:val="single" w:color="auto" w:sz="4" w:space="0"/>
              <w:right w:val="single" w:color="auto" w:sz="4" w:space="0"/>
            </w:tcBorders>
            <w:noWrap/>
            <w:vAlign w:val="center"/>
          </w:tcPr>
          <w:p w14:paraId="7DE255B6">
            <w:pPr>
              <w:widowControl/>
              <w:jc w:val="center"/>
              <w:rPr>
                <w:rFonts w:hint="eastAsia" w:ascii="宋体" w:hAnsi="宋体" w:cs="宋体"/>
                <w:kern w:val="0"/>
                <w:szCs w:val="21"/>
              </w:rPr>
            </w:pPr>
            <w:r>
              <w:rPr>
                <w:rFonts w:hint="eastAsia" w:ascii="宋体" w:hAnsi="宋体" w:cs="宋体"/>
                <w:kern w:val="0"/>
                <w:szCs w:val="21"/>
              </w:rPr>
              <w:t>绿盟/RSAS NX3 SERIES/中国</w:t>
            </w:r>
          </w:p>
        </w:tc>
        <w:tc>
          <w:tcPr>
            <w:tcW w:w="716" w:type="dxa"/>
            <w:tcBorders>
              <w:top w:val="nil"/>
              <w:left w:val="nil"/>
              <w:bottom w:val="single" w:color="auto" w:sz="4" w:space="0"/>
              <w:right w:val="single" w:color="auto" w:sz="4" w:space="0"/>
            </w:tcBorders>
            <w:noWrap/>
            <w:vAlign w:val="center"/>
          </w:tcPr>
          <w:p w14:paraId="6EFF2CF9">
            <w:pPr>
              <w:widowControl/>
              <w:jc w:val="center"/>
              <w:rPr>
                <w:rFonts w:hint="eastAsia" w:ascii="宋体" w:hAnsi="宋体" w:cs="宋体"/>
                <w:kern w:val="0"/>
                <w:szCs w:val="21"/>
              </w:rPr>
            </w:pPr>
            <w:r>
              <w:rPr>
                <w:rFonts w:hint="eastAsia" w:ascii="宋体" w:hAnsi="宋体" w:cs="宋体"/>
                <w:kern w:val="0"/>
                <w:szCs w:val="21"/>
              </w:rPr>
              <w:t>1</w:t>
            </w:r>
          </w:p>
        </w:tc>
      </w:tr>
      <w:tr w14:paraId="58264683">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522880E2">
            <w:pPr>
              <w:numPr>
                <w:ilvl w:val="0"/>
                <w:numId w:val="31"/>
              </w:numPr>
            </w:pPr>
          </w:p>
        </w:tc>
        <w:tc>
          <w:tcPr>
            <w:tcW w:w="2889" w:type="dxa"/>
            <w:tcBorders>
              <w:top w:val="nil"/>
              <w:left w:val="nil"/>
              <w:bottom w:val="single" w:color="auto" w:sz="4" w:space="0"/>
              <w:right w:val="single" w:color="auto" w:sz="4" w:space="0"/>
            </w:tcBorders>
            <w:noWrap/>
            <w:vAlign w:val="center"/>
          </w:tcPr>
          <w:p w14:paraId="76E53637">
            <w:pPr>
              <w:widowControl/>
              <w:jc w:val="center"/>
              <w:rPr>
                <w:rFonts w:hint="eastAsia" w:ascii="宋体" w:hAnsi="宋体" w:cs="宋体"/>
                <w:kern w:val="0"/>
                <w:szCs w:val="21"/>
              </w:rPr>
            </w:pPr>
            <w:r>
              <w:rPr>
                <w:rFonts w:hint="eastAsia" w:ascii="宋体" w:hAnsi="宋体" w:cs="宋体"/>
                <w:kern w:val="0"/>
                <w:szCs w:val="21"/>
              </w:rPr>
              <w:t>堡垒机</w:t>
            </w:r>
          </w:p>
        </w:tc>
        <w:tc>
          <w:tcPr>
            <w:tcW w:w="3915" w:type="dxa"/>
            <w:tcBorders>
              <w:top w:val="nil"/>
              <w:left w:val="nil"/>
              <w:bottom w:val="single" w:color="auto" w:sz="4" w:space="0"/>
              <w:right w:val="single" w:color="auto" w:sz="4" w:space="0"/>
            </w:tcBorders>
            <w:noWrap/>
            <w:vAlign w:val="center"/>
          </w:tcPr>
          <w:p w14:paraId="525DCD32">
            <w:pPr>
              <w:widowControl/>
              <w:jc w:val="center"/>
              <w:rPr>
                <w:rFonts w:hint="eastAsia" w:ascii="宋体" w:hAnsi="宋体" w:cs="宋体"/>
                <w:kern w:val="0"/>
                <w:szCs w:val="21"/>
              </w:rPr>
            </w:pPr>
            <w:r>
              <w:rPr>
                <w:rFonts w:hint="eastAsia" w:ascii="宋体" w:hAnsi="宋体" w:cs="宋体"/>
                <w:kern w:val="0"/>
                <w:szCs w:val="21"/>
              </w:rPr>
              <w:t>天融信/Top SAG TSAG-43128/中国</w:t>
            </w:r>
          </w:p>
        </w:tc>
        <w:tc>
          <w:tcPr>
            <w:tcW w:w="716" w:type="dxa"/>
            <w:tcBorders>
              <w:top w:val="nil"/>
              <w:left w:val="nil"/>
              <w:bottom w:val="single" w:color="auto" w:sz="4" w:space="0"/>
              <w:right w:val="single" w:color="auto" w:sz="4" w:space="0"/>
            </w:tcBorders>
            <w:noWrap/>
            <w:vAlign w:val="center"/>
          </w:tcPr>
          <w:p w14:paraId="7395E2AF">
            <w:pPr>
              <w:widowControl/>
              <w:jc w:val="center"/>
              <w:rPr>
                <w:rFonts w:hint="eastAsia" w:ascii="宋体" w:hAnsi="宋体" w:cs="宋体"/>
                <w:kern w:val="0"/>
                <w:szCs w:val="21"/>
              </w:rPr>
            </w:pPr>
            <w:r>
              <w:rPr>
                <w:rFonts w:hint="eastAsia" w:ascii="宋体" w:hAnsi="宋体" w:cs="宋体"/>
                <w:kern w:val="0"/>
                <w:szCs w:val="21"/>
              </w:rPr>
              <w:t>1</w:t>
            </w:r>
          </w:p>
        </w:tc>
      </w:tr>
      <w:tr w14:paraId="152FF47B">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4F6C0201">
            <w:pPr>
              <w:numPr>
                <w:ilvl w:val="0"/>
                <w:numId w:val="31"/>
              </w:numPr>
            </w:pPr>
          </w:p>
        </w:tc>
        <w:tc>
          <w:tcPr>
            <w:tcW w:w="2889" w:type="dxa"/>
            <w:tcBorders>
              <w:top w:val="nil"/>
              <w:left w:val="nil"/>
              <w:bottom w:val="single" w:color="auto" w:sz="4" w:space="0"/>
              <w:right w:val="single" w:color="auto" w:sz="4" w:space="0"/>
            </w:tcBorders>
            <w:noWrap/>
            <w:vAlign w:val="center"/>
          </w:tcPr>
          <w:p w14:paraId="7D95C836">
            <w:pPr>
              <w:widowControl/>
              <w:jc w:val="center"/>
              <w:rPr>
                <w:rFonts w:hint="eastAsia" w:ascii="宋体" w:hAnsi="宋体" w:cs="宋体"/>
                <w:kern w:val="0"/>
                <w:szCs w:val="21"/>
              </w:rPr>
            </w:pPr>
            <w:r>
              <w:rPr>
                <w:rFonts w:hint="eastAsia" w:ascii="宋体" w:hAnsi="宋体" w:cs="宋体"/>
                <w:kern w:val="0"/>
                <w:szCs w:val="21"/>
              </w:rPr>
              <w:t>磁盘阵列</w:t>
            </w:r>
          </w:p>
        </w:tc>
        <w:tc>
          <w:tcPr>
            <w:tcW w:w="3915" w:type="dxa"/>
            <w:tcBorders>
              <w:top w:val="nil"/>
              <w:left w:val="nil"/>
              <w:bottom w:val="single" w:color="auto" w:sz="4" w:space="0"/>
              <w:right w:val="single" w:color="auto" w:sz="4" w:space="0"/>
            </w:tcBorders>
            <w:noWrap/>
            <w:vAlign w:val="center"/>
          </w:tcPr>
          <w:p w14:paraId="762EB660">
            <w:pPr>
              <w:widowControl/>
              <w:jc w:val="center"/>
              <w:rPr>
                <w:rFonts w:hint="eastAsia" w:ascii="宋体" w:hAnsi="宋体" w:cs="宋体"/>
                <w:kern w:val="0"/>
                <w:szCs w:val="21"/>
              </w:rPr>
            </w:pPr>
            <w:r>
              <w:rPr>
                <w:rFonts w:hint="eastAsia" w:ascii="宋体" w:hAnsi="宋体" w:cs="宋体"/>
                <w:kern w:val="0"/>
                <w:szCs w:val="21"/>
              </w:rPr>
              <w:t>IBM/IBM V3700/中国</w:t>
            </w:r>
          </w:p>
        </w:tc>
        <w:tc>
          <w:tcPr>
            <w:tcW w:w="716" w:type="dxa"/>
            <w:tcBorders>
              <w:top w:val="nil"/>
              <w:left w:val="nil"/>
              <w:bottom w:val="single" w:color="auto" w:sz="4" w:space="0"/>
              <w:right w:val="single" w:color="auto" w:sz="4" w:space="0"/>
            </w:tcBorders>
            <w:noWrap/>
            <w:vAlign w:val="center"/>
          </w:tcPr>
          <w:p w14:paraId="79177D54">
            <w:pPr>
              <w:widowControl/>
              <w:jc w:val="center"/>
              <w:rPr>
                <w:rFonts w:hint="eastAsia" w:ascii="宋体" w:hAnsi="宋体" w:cs="宋体"/>
                <w:kern w:val="0"/>
                <w:szCs w:val="21"/>
              </w:rPr>
            </w:pPr>
            <w:r>
              <w:rPr>
                <w:rFonts w:hint="eastAsia" w:ascii="宋体" w:hAnsi="宋体" w:cs="宋体"/>
                <w:kern w:val="0"/>
                <w:szCs w:val="21"/>
              </w:rPr>
              <w:t>1</w:t>
            </w:r>
          </w:p>
        </w:tc>
      </w:tr>
      <w:tr w14:paraId="5C5C75C0">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6BC2DAFD">
            <w:pPr>
              <w:numPr>
                <w:ilvl w:val="0"/>
                <w:numId w:val="31"/>
              </w:numPr>
            </w:pPr>
          </w:p>
        </w:tc>
        <w:tc>
          <w:tcPr>
            <w:tcW w:w="2889" w:type="dxa"/>
            <w:tcBorders>
              <w:top w:val="nil"/>
              <w:left w:val="nil"/>
              <w:bottom w:val="single" w:color="auto" w:sz="4" w:space="0"/>
              <w:right w:val="single" w:color="auto" w:sz="4" w:space="0"/>
            </w:tcBorders>
            <w:noWrap/>
            <w:vAlign w:val="center"/>
          </w:tcPr>
          <w:p w14:paraId="2D58009E">
            <w:pPr>
              <w:widowControl/>
              <w:jc w:val="center"/>
              <w:rPr>
                <w:rFonts w:hint="eastAsia" w:ascii="宋体" w:hAnsi="宋体" w:cs="宋体"/>
                <w:kern w:val="0"/>
                <w:szCs w:val="21"/>
              </w:rPr>
            </w:pPr>
            <w:r>
              <w:rPr>
                <w:rFonts w:hint="eastAsia" w:ascii="宋体" w:hAnsi="宋体" w:cs="宋体"/>
                <w:kern w:val="0"/>
                <w:szCs w:val="21"/>
              </w:rPr>
              <w:t>北斗中心接收前置机</w:t>
            </w:r>
          </w:p>
        </w:tc>
        <w:tc>
          <w:tcPr>
            <w:tcW w:w="3915" w:type="dxa"/>
            <w:tcBorders>
              <w:top w:val="nil"/>
              <w:left w:val="nil"/>
              <w:bottom w:val="single" w:color="auto" w:sz="4" w:space="0"/>
              <w:right w:val="single" w:color="auto" w:sz="4" w:space="0"/>
            </w:tcBorders>
            <w:noWrap/>
            <w:vAlign w:val="center"/>
          </w:tcPr>
          <w:p w14:paraId="241C65AC">
            <w:pPr>
              <w:widowControl/>
              <w:jc w:val="center"/>
              <w:rPr>
                <w:rFonts w:hint="eastAsia" w:ascii="宋体" w:hAnsi="宋体" w:cs="宋体"/>
                <w:kern w:val="0"/>
                <w:szCs w:val="21"/>
              </w:rPr>
            </w:pPr>
            <w:r>
              <w:rPr>
                <w:rFonts w:hint="eastAsia" w:ascii="宋体" w:hAnsi="宋体" w:cs="宋体"/>
                <w:kern w:val="0"/>
                <w:szCs w:val="21"/>
              </w:rPr>
              <w:t>北斗公司/中国</w:t>
            </w:r>
          </w:p>
        </w:tc>
        <w:tc>
          <w:tcPr>
            <w:tcW w:w="716" w:type="dxa"/>
            <w:tcBorders>
              <w:top w:val="nil"/>
              <w:left w:val="nil"/>
              <w:bottom w:val="single" w:color="auto" w:sz="4" w:space="0"/>
              <w:right w:val="single" w:color="auto" w:sz="4" w:space="0"/>
            </w:tcBorders>
            <w:noWrap/>
            <w:vAlign w:val="center"/>
          </w:tcPr>
          <w:p w14:paraId="70753AC4">
            <w:pPr>
              <w:widowControl/>
              <w:jc w:val="center"/>
              <w:rPr>
                <w:rFonts w:hint="eastAsia" w:ascii="宋体" w:hAnsi="宋体" w:cs="宋体"/>
                <w:kern w:val="0"/>
                <w:szCs w:val="21"/>
              </w:rPr>
            </w:pPr>
            <w:r>
              <w:rPr>
                <w:rFonts w:hint="eastAsia" w:ascii="宋体" w:hAnsi="宋体" w:cs="宋体"/>
                <w:kern w:val="0"/>
                <w:szCs w:val="21"/>
              </w:rPr>
              <w:t>1</w:t>
            </w:r>
          </w:p>
        </w:tc>
      </w:tr>
      <w:tr w14:paraId="2CB5523B">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621E2D06">
            <w:pPr>
              <w:numPr>
                <w:ilvl w:val="0"/>
                <w:numId w:val="31"/>
              </w:numPr>
            </w:pPr>
          </w:p>
        </w:tc>
        <w:tc>
          <w:tcPr>
            <w:tcW w:w="2889" w:type="dxa"/>
            <w:tcBorders>
              <w:top w:val="nil"/>
              <w:left w:val="nil"/>
              <w:bottom w:val="single" w:color="auto" w:sz="4" w:space="0"/>
              <w:right w:val="single" w:color="auto" w:sz="4" w:space="0"/>
            </w:tcBorders>
            <w:noWrap/>
            <w:vAlign w:val="center"/>
          </w:tcPr>
          <w:p w14:paraId="3AB23D0F">
            <w:pPr>
              <w:widowControl/>
              <w:jc w:val="center"/>
              <w:rPr>
                <w:rFonts w:hint="eastAsia" w:ascii="宋体" w:hAnsi="宋体" w:cs="宋体"/>
                <w:kern w:val="0"/>
                <w:szCs w:val="21"/>
              </w:rPr>
            </w:pPr>
            <w:r>
              <w:rPr>
                <w:rFonts w:hint="eastAsia" w:ascii="宋体" w:hAnsi="宋体" w:cs="宋体"/>
                <w:kern w:val="0"/>
                <w:szCs w:val="21"/>
              </w:rPr>
              <w:t>KVM</w:t>
            </w:r>
          </w:p>
        </w:tc>
        <w:tc>
          <w:tcPr>
            <w:tcW w:w="3915" w:type="dxa"/>
            <w:tcBorders>
              <w:top w:val="nil"/>
              <w:left w:val="nil"/>
              <w:bottom w:val="single" w:color="auto" w:sz="4" w:space="0"/>
              <w:right w:val="single" w:color="auto" w:sz="4" w:space="0"/>
            </w:tcBorders>
            <w:noWrap/>
            <w:vAlign w:val="center"/>
          </w:tcPr>
          <w:p w14:paraId="62DD4848">
            <w:pPr>
              <w:widowControl/>
              <w:jc w:val="center"/>
              <w:rPr>
                <w:rFonts w:hint="eastAsia" w:ascii="宋体" w:hAnsi="宋体" w:cs="宋体"/>
                <w:kern w:val="0"/>
                <w:szCs w:val="21"/>
              </w:rPr>
            </w:pPr>
            <w:r>
              <w:rPr>
                <w:rFonts w:hint="eastAsia" w:ascii="宋体" w:hAnsi="宋体" w:cs="宋体"/>
                <w:kern w:val="0"/>
                <w:szCs w:val="21"/>
              </w:rPr>
              <w:t>迈拓维矩/MT-801UK-L/中国</w:t>
            </w:r>
          </w:p>
        </w:tc>
        <w:tc>
          <w:tcPr>
            <w:tcW w:w="716" w:type="dxa"/>
            <w:tcBorders>
              <w:top w:val="nil"/>
              <w:left w:val="nil"/>
              <w:bottom w:val="single" w:color="auto" w:sz="4" w:space="0"/>
              <w:right w:val="single" w:color="auto" w:sz="4" w:space="0"/>
            </w:tcBorders>
            <w:noWrap/>
            <w:vAlign w:val="center"/>
          </w:tcPr>
          <w:p w14:paraId="5E2AD835">
            <w:pPr>
              <w:widowControl/>
              <w:jc w:val="center"/>
              <w:rPr>
                <w:rFonts w:hint="eastAsia" w:ascii="宋体" w:hAnsi="宋体" w:cs="宋体"/>
                <w:kern w:val="0"/>
                <w:szCs w:val="21"/>
              </w:rPr>
            </w:pPr>
            <w:r>
              <w:rPr>
                <w:rFonts w:hint="eastAsia" w:ascii="宋体" w:hAnsi="宋体" w:cs="宋体"/>
                <w:kern w:val="0"/>
                <w:szCs w:val="21"/>
              </w:rPr>
              <w:t>2</w:t>
            </w:r>
          </w:p>
        </w:tc>
      </w:tr>
      <w:tr w14:paraId="31717D53">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43206744">
            <w:pPr>
              <w:numPr>
                <w:ilvl w:val="0"/>
                <w:numId w:val="31"/>
              </w:numPr>
            </w:pPr>
          </w:p>
        </w:tc>
        <w:tc>
          <w:tcPr>
            <w:tcW w:w="2889" w:type="dxa"/>
            <w:tcBorders>
              <w:top w:val="nil"/>
              <w:left w:val="nil"/>
              <w:bottom w:val="single" w:color="auto" w:sz="4" w:space="0"/>
              <w:right w:val="single" w:color="auto" w:sz="4" w:space="0"/>
            </w:tcBorders>
            <w:noWrap/>
            <w:vAlign w:val="center"/>
          </w:tcPr>
          <w:p w14:paraId="4D2680A2">
            <w:pPr>
              <w:widowControl/>
              <w:jc w:val="center"/>
              <w:rPr>
                <w:rFonts w:hint="eastAsia" w:ascii="宋体" w:hAnsi="宋体" w:cs="宋体"/>
                <w:kern w:val="0"/>
                <w:szCs w:val="21"/>
              </w:rPr>
            </w:pPr>
            <w:r>
              <w:rPr>
                <w:rFonts w:hint="eastAsia" w:ascii="宋体" w:hAnsi="宋体" w:cs="宋体"/>
                <w:kern w:val="0"/>
                <w:szCs w:val="21"/>
              </w:rPr>
              <w:t>KVM</w:t>
            </w:r>
          </w:p>
        </w:tc>
        <w:tc>
          <w:tcPr>
            <w:tcW w:w="3915" w:type="dxa"/>
            <w:tcBorders>
              <w:top w:val="nil"/>
              <w:left w:val="nil"/>
              <w:bottom w:val="single" w:color="auto" w:sz="4" w:space="0"/>
              <w:right w:val="single" w:color="auto" w:sz="4" w:space="0"/>
            </w:tcBorders>
            <w:noWrap/>
            <w:vAlign w:val="center"/>
          </w:tcPr>
          <w:p w14:paraId="59219407">
            <w:pPr>
              <w:widowControl/>
              <w:jc w:val="center"/>
              <w:rPr>
                <w:rFonts w:hint="eastAsia" w:ascii="宋体" w:hAnsi="宋体" w:cs="宋体"/>
                <w:kern w:val="0"/>
                <w:szCs w:val="21"/>
              </w:rPr>
            </w:pPr>
            <w:r>
              <w:rPr>
                <w:rFonts w:hint="eastAsia" w:ascii="宋体" w:hAnsi="宋体" w:cs="宋体"/>
                <w:kern w:val="0"/>
                <w:szCs w:val="21"/>
              </w:rPr>
              <w:t>睿讯/AB1108N/中国</w:t>
            </w:r>
          </w:p>
        </w:tc>
        <w:tc>
          <w:tcPr>
            <w:tcW w:w="716" w:type="dxa"/>
            <w:tcBorders>
              <w:top w:val="nil"/>
              <w:left w:val="nil"/>
              <w:bottom w:val="single" w:color="auto" w:sz="4" w:space="0"/>
              <w:right w:val="single" w:color="auto" w:sz="4" w:space="0"/>
            </w:tcBorders>
            <w:noWrap/>
            <w:vAlign w:val="center"/>
          </w:tcPr>
          <w:p w14:paraId="7838ADD3">
            <w:pPr>
              <w:widowControl/>
              <w:jc w:val="center"/>
              <w:rPr>
                <w:rFonts w:hint="eastAsia" w:ascii="宋体" w:hAnsi="宋体" w:cs="宋体"/>
                <w:kern w:val="0"/>
                <w:szCs w:val="21"/>
              </w:rPr>
            </w:pPr>
            <w:r>
              <w:rPr>
                <w:rFonts w:hint="eastAsia" w:ascii="宋体" w:hAnsi="宋体" w:cs="宋体"/>
                <w:kern w:val="0"/>
                <w:szCs w:val="21"/>
              </w:rPr>
              <w:t>2</w:t>
            </w:r>
          </w:p>
        </w:tc>
      </w:tr>
      <w:tr w14:paraId="2E6FD2EC">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69E1B4CA">
            <w:pPr>
              <w:numPr>
                <w:ilvl w:val="0"/>
                <w:numId w:val="31"/>
              </w:numPr>
            </w:pPr>
          </w:p>
        </w:tc>
        <w:tc>
          <w:tcPr>
            <w:tcW w:w="2889" w:type="dxa"/>
            <w:tcBorders>
              <w:top w:val="nil"/>
              <w:left w:val="nil"/>
              <w:bottom w:val="single" w:color="auto" w:sz="4" w:space="0"/>
              <w:right w:val="single" w:color="auto" w:sz="4" w:space="0"/>
            </w:tcBorders>
            <w:noWrap/>
            <w:vAlign w:val="center"/>
          </w:tcPr>
          <w:p w14:paraId="12E188D8">
            <w:pPr>
              <w:widowControl/>
              <w:jc w:val="center"/>
              <w:rPr>
                <w:rFonts w:hint="eastAsia" w:ascii="宋体" w:hAnsi="宋体" w:cs="宋体"/>
                <w:kern w:val="0"/>
                <w:szCs w:val="21"/>
              </w:rPr>
            </w:pPr>
            <w:r>
              <w:rPr>
                <w:rFonts w:hint="eastAsia" w:ascii="宋体" w:hAnsi="宋体" w:cs="宋体"/>
                <w:kern w:val="0"/>
                <w:szCs w:val="21"/>
              </w:rPr>
              <w:t>UPS</w:t>
            </w:r>
          </w:p>
        </w:tc>
        <w:tc>
          <w:tcPr>
            <w:tcW w:w="3915" w:type="dxa"/>
            <w:tcBorders>
              <w:top w:val="nil"/>
              <w:left w:val="nil"/>
              <w:bottom w:val="single" w:color="auto" w:sz="4" w:space="0"/>
              <w:right w:val="single" w:color="auto" w:sz="4" w:space="0"/>
            </w:tcBorders>
            <w:noWrap/>
            <w:vAlign w:val="center"/>
          </w:tcPr>
          <w:p w14:paraId="714B89AD">
            <w:pPr>
              <w:widowControl/>
              <w:jc w:val="center"/>
              <w:rPr>
                <w:rFonts w:hint="eastAsia" w:ascii="宋体" w:hAnsi="宋体" w:cs="宋体"/>
                <w:kern w:val="0"/>
                <w:szCs w:val="21"/>
              </w:rPr>
            </w:pPr>
            <w:r>
              <w:rPr>
                <w:rFonts w:hint="eastAsia" w:ascii="宋体" w:hAnsi="宋体" w:cs="宋体"/>
                <w:kern w:val="0"/>
                <w:szCs w:val="21"/>
              </w:rPr>
              <w:t>山特/3c3 pro/中国</w:t>
            </w:r>
          </w:p>
        </w:tc>
        <w:tc>
          <w:tcPr>
            <w:tcW w:w="716" w:type="dxa"/>
            <w:tcBorders>
              <w:top w:val="nil"/>
              <w:left w:val="nil"/>
              <w:bottom w:val="single" w:color="auto" w:sz="4" w:space="0"/>
              <w:right w:val="single" w:color="auto" w:sz="4" w:space="0"/>
            </w:tcBorders>
            <w:noWrap/>
            <w:vAlign w:val="center"/>
          </w:tcPr>
          <w:p w14:paraId="79EDAF6D">
            <w:pPr>
              <w:widowControl/>
              <w:jc w:val="center"/>
              <w:rPr>
                <w:rFonts w:hint="eastAsia" w:ascii="宋体" w:hAnsi="宋体" w:cs="宋体"/>
                <w:kern w:val="0"/>
                <w:szCs w:val="21"/>
              </w:rPr>
            </w:pPr>
            <w:r>
              <w:rPr>
                <w:rFonts w:hint="eastAsia" w:ascii="宋体" w:hAnsi="宋体" w:cs="宋体"/>
                <w:kern w:val="0"/>
                <w:szCs w:val="21"/>
              </w:rPr>
              <w:t>1</w:t>
            </w:r>
          </w:p>
        </w:tc>
      </w:tr>
      <w:tr w14:paraId="443F8D7A">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12FB77FC">
            <w:pPr>
              <w:numPr>
                <w:ilvl w:val="0"/>
                <w:numId w:val="31"/>
              </w:numPr>
            </w:pPr>
          </w:p>
        </w:tc>
        <w:tc>
          <w:tcPr>
            <w:tcW w:w="2889" w:type="dxa"/>
            <w:tcBorders>
              <w:top w:val="nil"/>
              <w:left w:val="nil"/>
              <w:bottom w:val="single" w:color="auto" w:sz="4" w:space="0"/>
              <w:right w:val="single" w:color="auto" w:sz="4" w:space="0"/>
            </w:tcBorders>
            <w:noWrap/>
            <w:vAlign w:val="center"/>
          </w:tcPr>
          <w:p w14:paraId="5436C6A1">
            <w:pPr>
              <w:widowControl/>
              <w:jc w:val="center"/>
              <w:rPr>
                <w:rFonts w:hint="eastAsia" w:ascii="宋体" w:hAnsi="宋体" w:cs="宋体"/>
                <w:kern w:val="0"/>
                <w:szCs w:val="21"/>
              </w:rPr>
            </w:pPr>
            <w:r>
              <w:rPr>
                <w:rFonts w:hint="eastAsia" w:ascii="宋体" w:hAnsi="宋体" w:cs="宋体"/>
                <w:kern w:val="0"/>
                <w:szCs w:val="21"/>
              </w:rPr>
              <w:t>北斗卫星专用设备</w:t>
            </w:r>
          </w:p>
        </w:tc>
        <w:tc>
          <w:tcPr>
            <w:tcW w:w="3915" w:type="dxa"/>
            <w:tcBorders>
              <w:top w:val="nil"/>
              <w:left w:val="nil"/>
              <w:bottom w:val="single" w:color="auto" w:sz="4" w:space="0"/>
              <w:right w:val="single" w:color="auto" w:sz="4" w:space="0"/>
            </w:tcBorders>
            <w:noWrap/>
            <w:vAlign w:val="center"/>
          </w:tcPr>
          <w:p w14:paraId="546EDE49">
            <w:pPr>
              <w:widowControl/>
              <w:jc w:val="center"/>
              <w:rPr>
                <w:rFonts w:hint="eastAsia" w:ascii="宋体" w:hAnsi="宋体" w:cs="宋体"/>
                <w:kern w:val="0"/>
                <w:szCs w:val="21"/>
              </w:rPr>
            </w:pPr>
            <w:r>
              <w:rPr>
                <w:rFonts w:hint="eastAsia" w:ascii="宋体" w:hAnsi="宋体" w:cs="宋体"/>
                <w:kern w:val="0"/>
                <w:szCs w:val="21"/>
              </w:rPr>
              <w:t>华力创通/HWA-RDSS-500/中国</w:t>
            </w:r>
          </w:p>
        </w:tc>
        <w:tc>
          <w:tcPr>
            <w:tcW w:w="716" w:type="dxa"/>
            <w:tcBorders>
              <w:top w:val="nil"/>
              <w:left w:val="nil"/>
              <w:bottom w:val="single" w:color="auto" w:sz="4" w:space="0"/>
              <w:right w:val="single" w:color="auto" w:sz="4" w:space="0"/>
            </w:tcBorders>
            <w:noWrap/>
            <w:vAlign w:val="center"/>
          </w:tcPr>
          <w:p w14:paraId="3C528185">
            <w:pPr>
              <w:widowControl/>
              <w:jc w:val="center"/>
              <w:rPr>
                <w:rFonts w:hint="eastAsia" w:ascii="宋体" w:hAnsi="宋体" w:cs="宋体"/>
                <w:kern w:val="0"/>
                <w:szCs w:val="21"/>
              </w:rPr>
            </w:pPr>
            <w:r>
              <w:rPr>
                <w:rFonts w:hint="eastAsia" w:ascii="宋体" w:hAnsi="宋体" w:cs="宋体"/>
                <w:kern w:val="0"/>
                <w:szCs w:val="21"/>
              </w:rPr>
              <w:t>7</w:t>
            </w:r>
          </w:p>
        </w:tc>
      </w:tr>
      <w:tr w14:paraId="5486A49A">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55236A12">
            <w:pPr>
              <w:numPr>
                <w:ilvl w:val="0"/>
                <w:numId w:val="31"/>
              </w:numPr>
            </w:pPr>
          </w:p>
        </w:tc>
        <w:tc>
          <w:tcPr>
            <w:tcW w:w="2889" w:type="dxa"/>
            <w:tcBorders>
              <w:top w:val="nil"/>
              <w:left w:val="nil"/>
              <w:bottom w:val="single" w:color="auto" w:sz="4" w:space="0"/>
              <w:right w:val="single" w:color="auto" w:sz="4" w:space="0"/>
            </w:tcBorders>
            <w:noWrap/>
            <w:vAlign w:val="center"/>
          </w:tcPr>
          <w:p w14:paraId="4AA90BD5">
            <w:pPr>
              <w:widowControl/>
              <w:jc w:val="center"/>
              <w:rPr>
                <w:rFonts w:hint="eastAsia" w:ascii="宋体" w:hAnsi="宋体" w:cs="宋体"/>
                <w:kern w:val="0"/>
                <w:szCs w:val="21"/>
              </w:rPr>
            </w:pPr>
            <w:r>
              <w:rPr>
                <w:rFonts w:hint="eastAsia" w:ascii="宋体" w:hAnsi="宋体" w:cs="宋体"/>
                <w:kern w:val="0"/>
                <w:szCs w:val="21"/>
              </w:rPr>
              <w:t>北斗卫星专用设备</w:t>
            </w:r>
          </w:p>
        </w:tc>
        <w:tc>
          <w:tcPr>
            <w:tcW w:w="3915" w:type="dxa"/>
            <w:tcBorders>
              <w:top w:val="nil"/>
              <w:left w:val="nil"/>
              <w:bottom w:val="single" w:color="auto" w:sz="4" w:space="0"/>
              <w:right w:val="single" w:color="auto" w:sz="4" w:space="0"/>
            </w:tcBorders>
            <w:noWrap/>
            <w:vAlign w:val="center"/>
          </w:tcPr>
          <w:p w14:paraId="5237B54E">
            <w:pPr>
              <w:widowControl/>
              <w:jc w:val="center"/>
              <w:rPr>
                <w:rFonts w:hint="eastAsia" w:ascii="宋体" w:hAnsi="宋体" w:cs="宋体"/>
                <w:kern w:val="0"/>
                <w:szCs w:val="21"/>
              </w:rPr>
            </w:pPr>
            <w:r>
              <w:rPr>
                <w:rFonts w:hint="eastAsia" w:ascii="宋体" w:hAnsi="宋体" w:cs="宋体"/>
                <w:kern w:val="0"/>
                <w:szCs w:val="21"/>
              </w:rPr>
              <w:t>北斗星通/2100-M/中国</w:t>
            </w:r>
          </w:p>
        </w:tc>
        <w:tc>
          <w:tcPr>
            <w:tcW w:w="716" w:type="dxa"/>
            <w:tcBorders>
              <w:top w:val="nil"/>
              <w:left w:val="nil"/>
              <w:bottom w:val="single" w:color="auto" w:sz="4" w:space="0"/>
              <w:right w:val="single" w:color="auto" w:sz="4" w:space="0"/>
            </w:tcBorders>
            <w:noWrap/>
            <w:vAlign w:val="center"/>
          </w:tcPr>
          <w:p w14:paraId="3E3363C0">
            <w:pPr>
              <w:widowControl/>
              <w:jc w:val="center"/>
              <w:rPr>
                <w:rFonts w:hint="eastAsia" w:ascii="宋体" w:hAnsi="宋体" w:cs="宋体"/>
                <w:kern w:val="0"/>
                <w:szCs w:val="21"/>
              </w:rPr>
            </w:pPr>
            <w:r>
              <w:rPr>
                <w:rFonts w:hint="eastAsia" w:ascii="宋体" w:hAnsi="宋体" w:cs="宋体"/>
                <w:kern w:val="0"/>
                <w:szCs w:val="21"/>
              </w:rPr>
              <w:t>5</w:t>
            </w:r>
          </w:p>
        </w:tc>
      </w:tr>
      <w:tr w14:paraId="08E4022D">
        <w:tblPrEx>
          <w:tblCellMar>
            <w:top w:w="0" w:type="dxa"/>
            <w:left w:w="108" w:type="dxa"/>
            <w:bottom w:w="0" w:type="dxa"/>
            <w:right w:w="108" w:type="dxa"/>
          </w:tblCellMar>
        </w:tblPrEx>
        <w:trPr>
          <w:trHeight w:val="454" w:hRule="atLeast"/>
          <w:jc w:val="center"/>
        </w:trPr>
        <w:tc>
          <w:tcPr>
            <w:tcW w:w="851" w:type="dxa"/>
            <w:tcBorders>
              <w:top w:val="nil"/>
              <w:left w:val="single" w:color="auto" w:sz="4" w:space="0"/>
              <w:bottom w:val="single" w:color="auto" w:sz="4" w:space="0"/>
              <w:right w:val="single" w:color="auto" w:sz="4" w:space="0"/>
            </w:tcBorders>
            <w:noWrap/>
            <w:vAlign w:val="center"/>
          </w:tcPr>
          <w:p w14:paraId="4C657858">
            <w:pPr>
              <w:numPr>
                <w:ilvl w:val="0"/>
                <w:numId w:val="31"/>
              </w:numPr>
            </w:pPr>
          </w:p>
        </w:tc>
        <w:tc>
          <w:tcPr>
            <w:tcW w:w="2889" w:type="dxa"/>
            <w:tcBorders>
              <w:top w:val="nil"/>
              <w:left w:val="nil"/>
              <w:bottom w:val="single" w:color="auto" w:sz="4" w:space="0"/>
              <w:right w:val="single" w:color="auto" w:sz="4" w:space="0"/>
            </w:tcBorders>
            <w:noWrap/>
            <w:vAlign w:val="center"/>
          </w:tcPr>
          <w:p w14:paraId="6BC69DFC">
            <w:pPr>
              <w:widowControl/>
              <w:jc w:val="center"/>
              <w:rPr>
                <w:rFonts w:hint="eastAsia" w:ascii="宋体" w:hAnsi="宋体" w:cs="宋体"/>
                <w:kern w:val="0"/>
                <w:szCs w:val="21"/>
              </w:rPr>
            </w:pPr>
            <w:r>
              <w:rPr>
                <w:rFonts w:hint="eastAsia" w:ascii="宋体" w:hAnsi="宋体" w:cs="宋体"/>
                <w:kern w:val="0"/>
                <w:szCs w:val="21"/>
              </w:rPr>
              <w:t>空调</w:t>
            </w:r>
          </w:p>
        </w:tc>
        <w:tc>
          <w:tcPr>
            <w:tcW w:w="3915" w:type="dxa"/>
            <w:tcBorders>
              <w:top w:val="nil"/>
              <w:left w:val="nil"/>
              <w:bottom w:val="single" w:color="auto" w:sz="4" w:space="0"/>
              <w:right w:val="single" w:color="auto" w:sz="4" w:space="0"/>
            </w:tcBorders>
            <w:noWrap/>
            <w:vAlign w:val="center"/>
          </w:tcPr>
          <w:p w14:paraId="3DA7BA78">
            <w:pPr>
              <w:widowControl/>
              <w:jc w:val="center"/>
              <w:rPr>
                <w:rFonts w:hint="eastAsia" w:ascii="宋体" w:hAnsi="宋体" w:cs="宋体"/>
                <w:kern w:val="0"/>
                <w:szCs w:val="21"/>
              </w:rPr>
            </w:pPr>
            <w:r>
              <w:rPr>
                <w:rFonts w:hint="eastAsia" w:ascii="宋体" w:hAnsi="宋体" w:cs="宋体"/>
                <w:kern w:val="0"/>
                <w:szCs w:val="21"/>
              </w:rPr>
              <w:t>维谛/DME12MHP5/中国</w:t>
            </w:r>
          </w:p>
        </w:tc>
        <w:tc>
          <w:tcPr>
            <w:tcW w:w="716" w:type="dxa"/>
            <w:tcBorders>
              <w:top w:val="nil"/>
              <w:left w:val="nil"/>
              <w:bottom w:val="single" w:color="auto" w:sz="4" w:space="0"/>
              <w:right w:val="single" w:color="auto" w:sz="4" w:space="0"/>
            </w:tcBorders>
            <w:noWrap/>
            <w:vAlign w:val="center"/>
          </w:tcPr>
          <w:p w14:paraId="66A9530D">
            <w:pPr>
              <w:widowControl/>
              <w:jc w:val="center"/>
              <w:rPr>
                <w:rFonts w:hint="eastAsia" w:ascii="宋体" w:hAnsi="宋体" w:cs="宋体"/>
                <w:kern w:val="0"/>
                <w:szCs w:val="21"/>
              </w:rPr>
            </w:pPr>
            <w:r>
              <w:rPr>
                <w:rFonts w:hint="eastAsia" w:ascii="宋体" w:hAnsi="宋体" w:cs="宋体"/>
                <w:kern w:val="0"/>
                <w:szCs w:val="21"/>
              </w:rPr>
              <w:t>2</w:t>
            </w:r>
          </w:p>
        </w:tc>
      </w:tr>
      <w:bookmarkEnd w:id="877"/>
    </w:tbl>
    <w:p w14:paraId="2E3433C4">
      <w:pPr>
        <w:spacing w:line="360" w:lineRule="auto"/>
        <w:ind w:firstLine="562" w:firstLineChars="200"/>
        <w:jc w:val="center"/>
        <w:rPr>
          <w:rFonts w:hint="eastAsia" w:ascii="宋体" w:hAnsi="宋体"/>
          <w:b/>
          <w:sz w:val="28"/>
        </w:rPr>
      </w:pPr>
    </w:p>
    <w:p w14:paraId="23B2C19E">
      <w:pPr>
        <w:spacing w:line="360" w:lineRule="auto"/>
        <w:ind w:firstLine="422" w:firstLineChars="200"/>
        <w:jc w:val="center"/>
        <w:rPr>
          <w:rFonts w:hint="eastAsia" w:ascii="宋体" w:hAnsi="宋体" w:cs="宋体"/>
          <w:b/>
          <w:bCs/>
          <w:kern w:val="0"/>
          <w:szCs w:val="21"/>
        </w:rPr>
      </w:pPr>
      <w:r>
        <w:rPr>
          <w:rFonts w:hint="eastAsia" w:ascii="宋体" w:hAnsi="宋体" w:cs="宋体"/>
          <w:b/>
          <w:bCs/>
          <w:kern w:val="0"/>
          <w:szCs w:val="21"/>
        </w:rPr>
        <w:t>监测站（门头沟、密云监测站）数据中心机房</w:t>
      </w:r>
    </w:p>
    <w:tbl>
      <w:tblPr>
        <w:tblStyle w:val="42"/>
        <w:tblW w:w="845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926"/>
        <w:gridCol w:w="2836"/>
        <w:gridCol w:w="3969"/>
        <w:gridCol w:w="726"/>
      </w:tblGrid>
      <w:tr w14:paraId="71BD50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926" w:type="dxa"/>
            <w:vAlign w:val="center"/>
          </w:tcPr>
          <w:p w14:paraId="1BBA94F4">
            <w:pPr>
              <w:widowControl/>
              <w:jc w:val="center"/>
              <w:rPr>
                <w:rFonts w:hint="eastAsia" w:ascii="宋体" w:hAnsi="宋体" w:cs="宋体"/>
                <w:b/>
                <w:color w:val="000000"/>
                <w:kern w:val="0"/>
                <w:szCs w:val="21"/>
              </w:rPr>
            </w:pPr>
            <w:r>
              <w:rPr>
                <w:rFonts w:hint="eastAsia" w:ascii="宋体" w:hAnsi="宋体" w:cs="宋体"/>
                <w:b/>
                <w:color w:val="000000"/>
                <w:kern w:val="0"/>
                <w:szCs w:val="21"/>
              </w:rPr>
              <w:t>序号</w:t>
            </w:r>
          </w:p>
        </w:tc>
        <w:tc>
          <w:tcPr>
            <w:tcW w:w="2836" w:type="dxa"/>
            <w:vAlign w:val="center"/>
          </w:tcPr>
          <w:p w14:paraId="5FF12436">
            <w:pPr>
              <w:widowControl/>
              <w:jc w:val="center"/>
              <w:rPr>
                <w:rFonts w:hint="eastAsia" w:ascii="宋体" w:hAnsi="宋体" w:cs="宋体"/>
                <w:b/>
                <w:color w:val="000000"/>
                <w:kern w:val="0"/>
                <w:szCs w:val="21"/>
              </w:rPr>
            </w:pPr>
            <w:r>
              <w:rPr>
                <w:rFonts w:hint="eastAsia" w:ascii="宋体" w:hAnsi="宋体" w:cs="宋体"/>
                <w:b/>
                <w:color w:val="000000"/>
                <w:kern w:val="0"/>
                <w:szCs w:val="21"/>
              </w:rPr>
              <w:t>材料/设备名称</w:t>
            </w:r>
          </w:p>
        </w:tc>
        <w:tc>
          <w:tcPr>
            <w:tcW w:w="3969" w:type="dxa"/>
            <w:vAlign w:val="center"/>
          </w:tcPr>
          <w:p w14:paraId="41072813">
            <w:pPr>
              <w:widowControl/>
              <w:jc w:val="center"/>
              <w:rPr>
                <w:rFonts w:hint="eastAsia" w:ascii="宋体" w:hAnsi="宋体" w:cs="宋体"/>
                <w:b/>
                <w:color w:val="000000"/>
                <w:kern w:val="0"/>
                <w:szCs w:val="21"/>
              </w:rPr>
            </w:pPr>
            <w:r>
              <w:rPr>
                <w:rFonts w:hint="eastAsia" w:ascii="宋体" w:hAnsi="宋体" w:cs="宋体"/>
                <w:b/>
                <w:color w:val="000000"/>
                <w:kern w:val="0"/>
                <w:szCs w:val="21"/>
              </w:rPr>
              <w:t>品牌/型号/产地</w:t>
            </w:r>
          </w:p>
        </w:tc>
        <w:tc>
          <w:tcPr>
            <w:tcW w:w="726" w:type="dxa"/>
            <w:vAlign w:val="center"/>
          </w:tcPr>
          <w:p w14:paraId="4A992F6D">
            <w:pPr>
              <w:widowControl/>
              <w:jc w:val="center"/>
              <w:rPr>
                <w:rFonts w:hint="eastAsia" w:ascii="宋体" w:hAnsi="宋体" w:cs="宋体"/>
                <w:b/>
                <w:color w:val="000000"/>
                <w:kern w:val="0"/>
                <w:szCs w:val="21"/>
              </w:rPr>
            </w:pPr>
            <w:r>
              <w:rPr>
                <w:rFonts w:hint="eastAsia" w:ascii="宋体" w:hAnsi="宋体" w:cs="宋体"/>
                <w:b/>
                <w:color w:val="000000"/>
                <w:kern w:val="0"/>
                <w:szCs w:val="21"/>
              </w:rPr>
              <w:t>数量</w:t>
            </w:r>
          </w:p>
        </w:tc>
      </w:tr>
      <w:tr w14:paraId="4E956D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926" w:type="dxa"/>
            <w:vAlign w:val="center"/>
          </w:tcPr>
          <w:p w14:paraId="06BB7C91">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836" w:type="dxa"/>
            <w:vAlign w:val="center"/>
          </w:tcPr>
          <w:p w14:paraId="61A682D7">
            <w:pPr>
              <w:widowControl/>
              <w:jc w:val="center"/>
              <w:rPr>
                <w:rFonts w:hint="eastAsia" w:ascii="宋体" w:hAnsi="宋体" w:cs="宋体"/>
                <w:color w:val="000000"/>
                <w:kern w:val="0"/>
                <w:szCs w:val="21"/>
              </w:rPr>
            </w:pPr>
            <w:r>
              <w:rPr>
                <w:rFonts w:hint="eastAsia" w:ascii="宋体" w:hAnsi="宋体" w:cs="宋体"/>
                <w:color w:val="000000"/>
                <w:kern w:val="0"/>
                <w:szCs w:val="21"/>
              </w:rPr>
              <w:t>路由器</w:t>
            </w:r>
          </w:p>
        </w:tc>
        <w:tc>
          <w:tcPr>
            <w:tcW w:w="3969" w:type="dxa"/>
            <w:vAlign w:val="center"/>
          </w:tcPr>
          <w:p w14:paraId="4BF66CD6">
            <w:pPr>
              <w:widowControl/>
              <w:jc w:val="center"/>
              <w:rPr>
                <w:rFonts w:hint="eastAsia" w:ascii="宋体" w:hAnsi="宋体" w:cs="宋体"/>
                <w:color w:val="000000"/>
                <w:kern w:val="0"/>
                <w:szCs w:val="21"/>
              </w:rPr>
            </w:pPr>
            <w:r>
              <w:rPr>
                <w:rFonts w:hint="eastAsia" w:ascii="宋体" w:hAnsi="宋体" w:cs="宋体"/>
                <w:color w:val="000000"/>
                <w:kern w:val="0"/>
                <w:szCs w:val="21"/>
              </w:rPr>
              <w:t>华为/AR2200 Series/中国</w:t>
            </w:r>
          </w:p>
        </w:tc>
        <w:tc>
          <w:tcPr>
            <w:tcW w:w="726" w:type="dxa"/>
            <w:vAlign w:val="center"/>
          </w:tcPr>
          <w:p w14:paraId="47BA3BD0">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r>
      <w:tr w14:paraId="09759F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926" w:type="dxa"/>
            <w:vAlign w:val="center"/>
          </w:tcPr>
          <w:p w14:paraId="55A55057">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836" w:type="dxa"/>
            <w:vAlign w:val="center"/>
          </w:tcPr>
          <w:p w14:paraId="42080042">
            <w:pPr>
              <w:widowControl/>
              <w:jc w:val="center"/>
              <w:rPr>
                <w:rFonts w:hint="eastAsia" w:ascii="宋体" w:hAnsi="宋体" w:cs="宋体"/>
                <w:color w:val="000000"/>
                <w:kern w:val="0"/>
                <w:szCs w:val="21"/>
              </w:rPr>
            </w:pPr>
            <w:r>
              <w:rPr>
                <w:rFonts w:hint="eastAsia" w:ascii="宋体" w:hAnsi="宋体" w:cs="宋体"/>
                <w:color w:val="000000"/>
                <w:kern w:val="0"/>
                <w:szCs w:val="21"/>
              </w:rPr>
              <w:t>交换机</w:t>
            </w:r>
          </w:p>
        </w:tc>
        <w:tc>
          <w:tcPr>
            <w:tcW w:w="3969" w:type="dxa"/>
            <w:vAlign w:val="center"/>
          </w:tcPr>
          <w:p w14:paraId="47FEB7F9">
            <w:pPr>
              <w:widowControl/>
              <w:jc w:val="center"/>
              <w:rPr>
                <w:rFonts w:hint="eastAsia" w:ascii="宋体" w:hAnsi="宋体" w:cs="宋体"/>
                <w:color w:val="000000"/>
                <w:kern w:val="0"/>
                <w:szCs w:val="21"/>
              </w:rPr>
            </w:pPr>
            <w:r>
              <w:rPr>
                <w:rFonts w:hint="eastAsia" w:ascii="宋体" w:hAnsi="宋体" w:cs="宋体"/>
                <w:color w:val="000000"/>
                <w:kern w:val="0"/>
                <w:szCs w:val="21"/>
              </w:rPr>
              <w:t>华为/S5720-28P-LI-AC/中国</w:t>
            </w:r>
          </w:p>
        </w:tc>
        <w:tc>
          <w:tcPr>
            <w:tcW w:w="726" w:type="dxa"/>
            <w:vAlign w:val="center"/>
          </w:tcPr>
          <w:p w14:paraId="11E496B0">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r>
      <w:tr w14:paraId="62DBCA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926" w:type="dxa"/>
            <w:vAlign w:val="center"/>
          </w:tcPr>
          <w:p w14:paraId="0074C8DF">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2836" w:type="dxa"/>
            <w:vAlign w:val="center"/>
          </w:tcPr>
          <w:p w14:paraId="1B4ABE8C">
            <w:pPr>
              <w:widowControl/>
              <w:jc w:val="center"/>
              <w:rPr>
                <w:rFonts w:hint="eastAsia" w:ascii="宋体" w:hAnsi="宋体" w:cs="宋体"/>
                <w:color w:val="000000"/>
                <w:kern w:val="0"/>
                <w:szCs w:val="21"/>
              </w:rPr>
            </w:pPr>
            <w:r>
              <w:rPr>
                <w:rFonts w:hint="eastAsia" w:ascii="宋体" w:hAnsi="宋体" w:cs="宋体"/>
                <w:color w:val="000000"/>
                <w:kern w:val="0"/>
                <w:szCs w:val="21"/>
              </w:rPr>
              <w:t>防火墙</w:t>
            </w:r>
          </w:p>
        </w:tc>
        <w:tc>
          <w:tcPr>
            <w:tcW w:w="3969" w:type="dxa"/>
            <w:vAlign w:val="center"/>
          </w:tcPr>
          <w:p w14:paraId="1D7CC8CB">
            <w:pPr>
              <w:widowControl/>
              <w:jc w:val="center"/>
              <w:rPr>
                <w:rFonts w:hint="eastAsia" w:ascii="宋体" w:hAnsi="宋体" w:cs="宋体"/>
                <w:color w:val="000000"/>
                <w:kern w:val="0"/>
                <w:szCs w:val="21"/>
              </w:rPr>
            </w:pPr>
            <w:r>
              <w:rPr>
                <w:rFonts w:hint="eastAsia" w:ascii="宋体" w:hAnsi="宋体" w:cs="宋体"/>
                <w:color w:val="000000"/>
                <w:kern w:val="0"/>
                <w:szCs w:val="21"/>
              </w:rPr>
              <w:t>山石/SG-6000-P935/中国</w:t>
            </w:r>
          </w:p>
        </w:tc>
        <w:tc>
          <w:tcPr>
            <w:tcW w:w="726" w:type="dxa"/>
            <w:vAlign w:val="center"/>
          </w:tcPr>
          <w:p w14:paraId="572FE11C">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r>
      <w:tr w14:paraId="0729B6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926" w:type="dxa"/>
            <w:vAlign w:val="center"/>
          </w:tcPr>
          <w:p w14:paraId="24FBF6D1">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2836" w:type="dxa"/>
            <w:vAlign w:val="center"/>
          </w:tcPr>
          <w:p w14:paraId="713875D5">
            <w:pPr>
              <w:widowControl/>
              <w:jc w:val="center"/>
              <w:rPr>
                <w:rFonts w:hint="eastAsia" w:ascii="宋体" w:hAnsi="宋体" w:cs="宋体"/>
                <w:color w:val="000000"/>
                <w:kern w:val="0"/>
                <w:szCs w:val="21"/>
              </w:rPr>
            </w:pPr>
            <w:r>
              <w:rPr>
                <w:rFonts w:hint="eastAsia" w:ascii="宋体" w:hAnsi="宋体" w:cs="宋体"/>
                <w:color w:val="000000"/>
                <w:kern w:val="0"/>
                <w:szCs w:val="21"/>
              </w:rPr>
              <w:t>入侵防御设备</w:t>
            </w:r>
          </w:p>
        </w:tc>
        <w:tc>
          <w:tcPr>
            <w:tcW w:w="3969" w:type="dxa"/>
            <w:vAlign w:val="center"/>
          </w:tcPr>
          <w:p w14:paraId="1E0D5847">
            <w:pPr>
              <w:widowControl/>
              <w:jc w:val="center"/>
              <w:rPr>
                <w:rFonts w:hint="eastAsia" w:ascii="宋体" w:hAnsi="宋体" w:cs="宋体"/>
                <w:color w:val="000000"/>
                <w:kern w:val="0"/>
                <w:szCs w:val="21"/>
              </w:rPr>
            </w:pPr>
            <w:r>
              <w:rPr>
                <w:rFonts w:hint="eastAsia" w:ascii="宋体" w:hAnsi="宋体" w:cs="宋体"/>
                <w:color w:val="000000"/>
                <w:kern w:val="0"/>
                <w:szCs w:val="21"/>
              </w:rPr>
              <w:t>山石/SG-6000-D860/中国</w:t>
            </w:r>
          </w:p>
        </w:tc>
        <w:tc>
          <w:tcPr>
            <w:tcW w:w="726" w:type="dxa"/>
            <w:vAlign w:val="center"/>
          </w:tcPr>
          <w:p w14:paraId="010064DA">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r>
      <w:tr w14:paraId="2A92E4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926" w:type="dxa"/>
            <w:vAlign w:val="center"/>
          </w:tcPr>
          <w:p w14:paraId="664ADB8F">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836" w:type="dxa"/>
            <w:vAlign w:val="center"/>
          </w:tcPr>
          <w:p w14:paraId="60D5F5D8">
            <w:pPr>
              <w:widowControl/>
              <w:jc w:val="center"/>
              <w:rPr>
                <w:rFonts w:hint="eastAsia" w:ascii="宋体" w:hAnsi="宋体" w:cs="宋体"/>
                <w:color w:val="000000"/>
                <w:kern w:val="0"/>
                <w:szCs w:val="21"/>
              </w:rPr>
            </w:pPr>
            <w:r>
              <w:rPr>
                <w:rFonts w:hint="eastAsia" w:ascii="宋体" w:hAnsi="宋体" w:cs="宋体"/>
                <w:color w:val="000000"/>
                <w:kern w:val="0"/>
                <w:szCs w:val="21"/>
              </w:rPr>
              <w:t>防火墙</w:t>
            </w:r>
          </w:p>
        </w:tc>
        <w:tc>
          <w:tcPr>
            <w:tcW w:w="3969" w:type="dxa"/>
            <w:vAlign w:val="center"/>
          </w:tcPr>
          <w:p w14:paraId="0B454F6A">
            <w:pPr>
              <w:widowControl/>
              <w:jc w:val="center"/>
              <w:rPr>
                <w:rFonts w:hint="eastAsia" w:ascii="宋体" w:hAnsi="宋体" w:cs="宋体"/>
                <w:color w:val="000000"/>
                <w:kern w:val="0"/>
                <w:szCs w:val="21"/>
              </w:rPr>
            </w:pPr>
            <w:r>
              <w:rPr>
                <w:rFonts w:hint="eastAsia" w:ascii="宋体" w:hAnsi="宋体" w:cs="宋体"/>
                <w:color w:val="000000"/>
                <w:kern w:val="0"/>
                <w:szCs w:val="21"/>
              </w:rPr>
              <w:t>山石/SG-6000-E2300-AD/中国</w:t>
            </w:r>
          </w:p>
        </w:tc>
        <w:tc>
          <w:tcPr>
            <w:tcW w:w="726" w:type="dxa"/>
            <w:vAlign w:val="center"/>
          </w:tcPr>
          <w:p w14:paraId="7D045737">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r>
      <w:tr w14:paraId="70DD86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926" w:type="dxa"/>
            <w:vAlign w:val="center"/>
          </w:tcPr>
          <w:p w14:paraId="605A7DF5">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2836" w:type="dxa"/>
            <w:vAlign w:val="center"/>
          </w:tcPr>
          <w:p w14:paraId="0A9F0F0D">
            <w:pPr>
              <w:widowControl/>
              <w:jc w:val="center"/>
              <w:rPr>
                <w:rFonts w:hint="eastAsia" w:ascii="宋体" w:hAnsi="宋体" w:cs="宋体"/>
                <w:color w:val="000000"/>
                <w:kern w:val="0"/>
                <w:szCs w:val="21"/>
              </w:rPr>
            </w:pPr>
            <w:r>
              <w:rPr>
                <w:rFonts w:hint="eastAsia" w:ascii="宋体" w:hAnsi="宋体" w:cs="宋体"/>
                <w:color w:val="000000"/>
                <w:kern w:val="0"/>
                <w:szCs w:val="21"/>
              </w:rPr>
              <w:t>综合审计系统</w:t>
            </w:r>
          </w:p>
        </w:tc>
        <w:tc>
          <w:tcPr>
            <w:tcW w:w="3969" w:type="dxa"/>
            <w:vAlign w:val="center"/>
          </w:tcPr>
          <w:p w14:paraId="1311208B">
            <w:pPr>
              <w:widowControl/>
              <w:jc w:val="center"/>
              <w:rPr>
                <w:rFonts w:hint="eastAsia" w:ascii="宋体" w:hAnsi="宋体" w:cs="宋体"/>
                <w:color w:val="000000"/>
                <w:kern w:val="0"/>
                <w:szCs w:val="21"/>
              </w:rPr>
            </w:pPr>
            <w:r>
              <w:rPr>
                <w:rFonts w:hint="eastAsia" w:ascii="宋体" w:hAnsi="宋体" w:cs="宋体"/>
                <w:color w:val="000000"/>
                <w:kern w:val="0"/>
                <w:szCs w:val="21"/>
              </w:rPr>
              <w:t>思福迪/LogBase A1890/中国</w:t>
            </w:r>
          </w:p>
        </w:tc>
        <w:tc>
          <w:tcPr>
            <w:tcW w:w="726" w:type="dxa"/>
            <w:vAlign w:val="center"/>
          </w:tcPr>
          <w:p w14:paraId="131A3E87">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r>
      <w:tr w14:paraId="267D38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926" w:type="dxa"/>
            <w:vAlign w:val="center"/>
          </w:tcPr>
          <w:p w14:paraId="7D724577">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2836" w:type="dxa"/>
            <w:vAlign w:val="center"/>
          </w:tcPr>
          <w:p w14:paraId="23DFD8A6">
            <w:pPr>
              <w:widowControl/>
              <w:jc w:val="center"/>
              <w:rPr>
                <w:rFonts w:hint="eastAsia" w:ascii="宋体" w:hAnsi="宋体" w:cs="宋体"/>
                <w:color w:val="000000"/>
                <w:kern w:val="0"/>
                <w:szCs w:val="21"/>
              </w:rPr>
            </w:pPr>
            <w:r>
              <w:rPr>
                <w:rFonts w:hint="eastAsia" w:ascii="宋体" w:hAnsi="宋体" w:cs="宋体"/>
                <w:color w:val="000000"/>
                <w:kern w:val="0"/>
                <w:szCs w:val="21"/>
              </w:rPr>
              <w:t>机柜</w:t>
            </w:r>
          </w:p>
        </w:tc>
        <w:tc>
          <w:tcPr>
            <w:tcW w:w="3969" w:type="dxa"/>
            <w:vAlign w:val="center"/>
          </w:tcPr>
          <w:p w14:paraId="5D8719DE">
            <w:pPr>
              <w:widowControl/>
              <w:jc w:val="center"/>
              <w:rPr>
                <w:rFonts w:hint="eastAsia" w:ascii="宋体" w:hAnsi="宋体" w:cs="宋体"/>
                <w:color w:val="000000"/>
                <w:kern w:val="0"/>
                <w:szCs w:val="21"/>
              </w:rPr>
            </w:pPr>
            <w:r>
              <w:rPr>
                <w:rFonts w:hint="eastAsia" w:ascii="宋体" w:hAnsi="宋体" w:cs="宋体"/>
                <w:color w:val="000000"/>
                <w:kern w:val="0"/>
                <w:szCs w:val="21"/>
              </w:rPr>
              <w:t>图腾/42U/中国</w:t>
            </w:r>
          </w:p>
        </w:tc>
        <w:tc>
          <w:tcPr>
            <w:tcW w:w="726" w:type="dxa"/>
            <w:vAlign w:val="center"/>
          </w:tcPr>
          <w:p w14:paraId="22F83104">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r>
      <w:tr w14:paraId="3E29DA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926" w:type="dxa"/>
            <w:vAlign w:val="center"/>
          </w:tcPr>
          <w:p w14:paraId="2CE79CA1">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2836" w:type="dxa"/>
            <w:vAlign w:val="center"/>
          </w:tcPr>
          <w:p w14:paraId="4C708E5A">
            <w:pPr>
              <w:widowControl/>
              <w:jc w:val="center"/>
              <w:rPr>
                <w:rFonts w:hint="eastAsia" w:ascii="宋体" w:hAnsi="宋体" w:cs="宋体"/>
                <w:color w:val="000000"/>
                <w:kern w:val="0"/>
                <w:szCs w:val="21"/>
              </w:rPr>
            </w:pPr>
            <w:r>
              <w:rPr>
                <w:rFonts w:hint="eastAsia" w:ascii="宋体" w:hAnsi="宋体" w:cs="宋体"/>
                <w:color w:val="000000"/>
                <w:kern w:val="0"/>
                <w:szCs w:val="21"/>
              </w:rPr>
              <w:t>UPS</w:t>
            </w:r>
          </w:p>
        </w:tc>
        <w:tc>
          <w:tcPr>
            <w:tcW w:w="3969" w:type="dxa"/>
            <w:vAlign w:val="center"/>
          </w:tcPr>
          <w:p w14:paraId="1511DF93">
            <w:pPr>
              <w:widowControl/>
              <w:jc w:val="center"/>
              <w:rPr>
                <w:rFonts w:hint="eastAsia" w:ascii="宋体" w:hAnsi="宋体" w:cs="宋体"/>
                <w:color w:val="000000"/>
                <w:kern w:val="0"/>
                <w:szCs w:val="21"/>
              </w:rPr>
            </w:pPr>
            <w:r>
              <w:rPr>
                <w:rFonts w:hint="eastAsia" w:ascii="宋体" w:hAnsi="宋体" w:cs="宋体"/>
                <w:color w:val="000000"/>
                <w:kern w:val="0"/>
                <w:szCs w:val="21"/>
              </w:rPr>
              <w:t>先控/DPS-20KVA/中国</w:t>
            </w:r>
          </w:p>
        </w:tc>
        <w:tc>
          <w:tcPr>
            <w:tcW w:w="726" w:type="dxa"/>
            <w:vAlign w:val="center"/>
          </w:tcPr>
          <w:p w14:paraId="69BACBD0">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r>
      <w:tr w14:paraId="184EFF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926" w:type="dxa"/>
            <w:vAlign w:val="center"/>
          </w:tcPr>
          <w:p w14:paraId="66AAAF32">
            <w:pPr>
              <w:widowControl/>
              <w:jc w:val="center"/>
              <w:rPr>
                <w:rFonts w:hint="eastAsia" w:ascii="宋体" w:hAnsi="宋体" w:cs="宋体"/>
                <w:color w:val="000000"/>
                <w:kern w:val="0"/>
                <w:szCs w:val="21"/>
              </w:rPr>
            </w:pPr>
            <w:r>
              <w:rPr>
                <w:rFonts w:hint="eastAsia" w:ascii="宋体" w:hAnsi="宋体" w:cs="宋体"/>
                <w:color w:val="000000"/>
                <w:kern w:val="0"/>
                <w:szCs w:val="21"/>
              </w:rPr>
              <w:t>9</w:t>
            </w:r>
          </w:p>
        </w:tc>
        <w:tc>
          <w:tcPr>
            <w:tcW w:w="2836" w:type="dxa"/>
            <w:vAlign w:val="center"/>
          </w:tcPr>
          <w:p w14:paraId="3D0FFEB6">
            <w:pPr>
              <w:widowControl/>
              <w:jc w:val="center"/>
              <w:rPr>
                <w:rFonts w:hint="eastAsia" w:ascii="宋体" w:hAnsi="宋体" w:cs="宋体"/>
                <w:color w:val="000000"/>
                <w:kern w:val="0"/>
                <w:szCs w:val="21"/>
              </w:rPr>
            </w:pPr>
            <w:r>
              <w:rPr>
                <w:rFonts w:hint="eastAsia" w:ascii="宋体" w:hAnsi="宋体" w:cs="宋体"/>
                <w:color w:val="000000"/>
                <w:kern w:val="0"/>
                <w:szCs w:val="21"/>
              </w:rPr>
              <w:t>ATS 配电</w:t>
            </w:r>
          </w:p>
        </w:tc>
        <w:tc>
          <w:tcPr>
            <w:tcW w:w="3969" w:type="dxa"/>
            <w:vAlign w:val="center"/>
          </w:tcPr>
          <w:p w14:paraId="29AB5506">
            <w:pPr>
              <w:widowControl/>
              <w:jc w:val="center"/>
              <w:rPr>
                <w:rFonts w:hint="eastAsia" w:ascii="宋体" w:hAnsi="宋体" w:cs="宋体"/>
                <w:color w:val="000000"/>
                <w:kern w:val="0"/>
                <w:szCs w:val="21"/>
              </w:rPr>
            </w:pPr>
            <w:r>
              <w:rPr>
                <w:rFonts w:hint="eastAsia" w:ascii="宋体" w:hAnsi="宋体" w:cs="宋体"/>
                <w:color w:val="000000"/>
                <w:kern w:val="0"/>
                <w:szCs w:val="21"/>
              </w:rPr>
              <w:t>定制</w:t>
            </w:r>
          </w:p>
        </w:tc>
        <w:tc>
          <w:tcPr>
            <w:tcW w:w="726" w:type="dxa"/>
            <w:vAlign w:val="center"/>
          </w:tcPr>
          <w:p w14:paraId="2CE996E8">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r>
      <w:tr w14:paraId="1D1F7C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926" w:type="dxa"/>
            <w:vAlign w:val="center"/>
          </w:tcPr>
          <w:p w14:paraId="29BDD390">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2836" w:type="dxa"/>
            <w:vAlign w:val="center"/>
          </w:tcPr>
          <w:p w14:paraId="7269FD52">
            <w:pPr>
              <w:widowControl/>
              <w:jc w:val="center"/>
              <w:rPr>
                <w:rFonts w:hint="eastAsia" w:ascii="宋体" w:hAnsi="宋体" w:cs="宋体"/>
                <w:color w:val="000000"/>
                <w:kern w:val="0"/>
                <w:szCs w:val="21"/>
              </w:rPr>
            </w:pPr>
            <w:r>
              <w:rPr>
                <w:rFonts w:hint="eastAsia" w:ascii="宋体" w:hAnsi="宋体" w:cs="宋体"/>
                <w:color w:val="000000"/>
                <w:kern w:val="0"/>
                <w:szCs w:val="21"/>
              </w:rPr>
              <w:t>UPS 配电柜</w:t>
            </w:r>
          </w:p>
        </w:tc>
        <w:tc>
          <w:tcPr>
            <w:tcW w:w="3969" w:type="dxa"/>
            <w:vAlign w:val="center"/>
          </w:tcPr>
          <w:p w14:paraId="672833F7">
            <w:pPr>
              <w:widowControl/>
              <w:jc w:val="center"/>
              <w:rPr>
                <w:rFonts w:hint="eastAsia" w:ascii="宋体" w:hAnsi="宋体" w:cs="宋体"/>
                <w:color w:val="000000"/>
                <w:kern w:val="0"/>
                <w:szCs w:val="21"/>
              </w:rPr>
            </w:pPr>
            <w:r>
              <w:rPr>
                <w:rFonts w:hint="eastAsia" w:ascii="宋体" w:hAnsi="宋体" w:cs="宋体"/>
                <w:color w:val="000000"/>
                <w:kern w:val="0"/>
                <w:szCs w:val="21"/>
              </w:rPr>
              <w:t>定制</w:t>
            </w:r>
          </w:p>
        </w:tc>
        <w:tc>
          <w:tcPr>
            <w:tcW w:w="726" w:type="dxa"/>
            <w:vAlign w:val="center"/>
          </w:tcPr>
          <w:p w14:paraId="0C5E6A44">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r>
      <w:tr w14:paraId="34C486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926" w:type="dxa"/>
            <w:vAlign w:val="center"/>
          </w:tcPr>
          <w:p w14:paraId="5C06BD32">
            <w:pPr>
              <w:widowControl/>
              <w:jc w:val="center"/>
              <w:rPr>
                <w:rFonts w:hint="eastAsia" w:ascii="宋体" w:hAnsi="宋体" w:cs="宋体"/>
                <w:color w:val="000000"/>
                <w:kern w:val="0"/>
                <w:szCs w:val="21"/>
              </w:rPr>
            </w:pPr>
            <w:r>
              <w:rPr>
                <w:rFonts w:hint="eastAsia" w:ascii="宋体" w:hAnsi="宋体" w:cs="宋体"/>
                <w:color w:val="000000"/>
                <w:kern w:val="0"/>
                <w:szCs w:val="21"/>
              </w:rPr>
              <w:t>11</w:t>
            </w:r>
          </w:p>
        </w:tc>
        <w:tc>
          <w:tcPr>
            <w:tcW w:w="2836" w:type="dxa"/>
            <w:vAlign w:val="center"/>
          </w:tcPr>
          <w:p w14:paraId="099511DE">
            <w:pPr>
              <w:widowControl/>
              <w:jc w:val="center"/>
              <w:rPr>
                <w:rFonts w:hint="eastAsia" w:ascii="宋体" w:hAnsi="宋体" w:cs="宋体"/>
                <w:color w:val="000000"/>
                <w:kern w:val="0"/>
                <w:szCs w:val="21"/>
              </w:rPr>
            </w:pPr>
            <w:r>
              <w:rPr>
                <w:rFonts w:hint="eastAsia" w:ascii="宋体" w:hAnsi="宋体" w:cs="宋体"/>
                <w:color w:val="000000"/>
                <w:kern w:val="0"/>
                <w:szCs w:val="21"/>
              </w:rPr>
              <w:t>空调</w:t>
            </w:r>
          </w:p>
        </w:tc>
        <w:tc>
          <w:tcPr>
            <w:tcW w:w="3969" w:type="dxa"/>
            <w:vAlign w:val="center"/>
          </w:tcPr>
          <w:p w14:paraId="36DB17F0">
            <w:pPr>
              <w:widowControl/>
              <w:jc w:val="center"/>
              <w:rPr>
                <w:rFonts w:hint="eastAsia" w:ascii="宋体" w:hAnsi="宋体" w:cs="宋体"/>
                <w:color w:val="000000"/>
                <w:kern w:val="0"/>
                <w:szCs w:val="21"/>
              </w:rPr>
            </w:pPr>
            <w:r>
              <w:rPr>
                <w:rFonts w:hint="eastAsia" w:ascii="宋体" w:hAnsi="宋体" w:cs="宋体"/>
                <w:color w:val="000000"/>
                <w:kern w:val="0"/>
                <w:szCs w:val="21"/>
              </w:rPr>
              <w:t>依米康/SDA121U/中国</w:t>
            </w:r>
          </w:p>
        </w:tc>
        <w:tc>
          <w:tcPr>
            <w:tcW w:w="726" w:type="dxa"/>
            <w:vAlign w:val="center"/>
          </w:tcPr>
          <w:p w14:paraId="0E322510">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r>
    </w:tbl>
    <w:p w14:paraId="725ED189">
      <w:pPr>
        <w:numPr>
          <w:ilvl w:val="0"/>
          <w:numId w:val="29"/>
        </w:numPr>
        <w:spacing w:line="360" w:lineRule="auto"/>
        <w:jc w:val="left"/>
        <w:rPr>
          <w:rFonts w:hint="eastAsia" w:ascii="宋体" w:hAnsi="宋体" w:cs="宋体"/>
          <w:b/>
          <w:sz w:val="24"/>
        </w:rPr>
      </w:pPr>
      <w:r>
        <w:rPr>
          <w:rFonts w:hint="eastAsia" w:ascii="宋体" w:hAnsi="宋体" w:cs="宋体"/>
          <w:b/>
          <w:sz w:val="24"/>
        </w:rPr>
        <w:t xml:space="preserve">提供服务期限、地点 </w:t>
      </w:r>
    </w:p>
    <w:p w14:paraId="3A996CE1">
      <w:pPr>
        <w:spacing w:line="360" w:lineRule="auto"/>
        <w:jc w:val="left"/>
        <w:rPr>
          <w:rFonts w:hint="eastAsia" w:ascii="宋体" w:hAnsi="宋体" w:cs="宋体"/>
          <w:sz w:val="24"/>
        </w:rPr>
      </w:pPr>
      <w:r>
        <w:rPr>
          <w:rFonts w:hint="eastAsia" w:ascii="宋体" w:hAnsi="宋体" w:cs="宋体"/>
          <w:sz w:val="24"/>
        </w:rPr>
        <w:t>服务期要求：服务期限自合同签订之日起至2026年12月31日。</w:t>
      </w:r>
    </w:p>
    <w:p w14:paraId="2AF2D42C">
      <w:pPr>
        <w:spacing w:line="360" w:lineRule="auto"/>
        <w:jc w:val="left"/>
        <w:rPr>
          <w:rFonts w:hint="eastAsia" w:ascii="宋体" w:hAnsi="宋体" w:cs="宋体"/>
          <w:sz w:val="24"/>
        </w:rPr>
      </w:pPr>
      <w:r>
        <w:rPr>
          <w:rFonts w:hint="eastAsia" w:ascii="宋体" w:hAnsi="宋体" w:cs="宋体"/>
          <w:sz w:val="24"/>
        </w:rPr>
        <w:t>地点：北京市地质灾害防治研究所数据中心机房及门头沟、密云监测站数据中心机房。</w:t>
      </w:r>
    </w:p>
    <w:p w14:paraId="40C26D0F">
      <w:pPr>
        <w:numPr>
          <w:ilvl w:val="0"/>
          <w:numId w:val="29"/>
        </w:numPr>
        <w:spacing w:line="360" w:lineRule="auto"/>
        <w:jc w:val="left"/>
        <w:rPr>
          <w:rFonts w:hint="eastAsia" w:ascii="宋体" w:hAnsi="宋体" w:cs="宋体"/>
          <w:b/>
          <w:sz w:val="24"/>
        </w:rPr>
      </w:pPr>
      <w:r>
        <w:rPr>
          <w:rFonts w:hint="eastAsia" w:ascii="宋体" w:hAnsi="宋体" w:cs="宋体"/>
          <w:b/>
          <w:sz w:val="24"/>
        </w:rPr>
        <w:t xml:space="preserve">付款方式 </w:t>
      </w:r>
    </w:p>
    <w:p w14:paraId="7DDEA074">
      <w:pPr>
        <w:spacing w:line="360" w:lineRule="auto"/>
        <w:ind w:firstLine="480" w:firstLineChars="200"/>
        <w:rPr>
          <w:rFonts w:hint="eastAsia" w:ascii="宋体" w:hAnsi="宋体" w:cs="宋体"/>
          <w:bCs/>
          <w:sz w:val="24"/>
        </w:rPr>
      </w:pPr>
      <w:r>
        <w:rPr>
          <w:rFonts w:hint="eastAsia" w:ascii="宋体" w:hAnsi="宋体" w:cs="宋体"/>
          <w:bCs/>
          <w:sz w:val="24"/>
        </w:rPr>
        <w:t xml:space="preserve">1）本合同价款为人民币 </w:t>
      </w:r>
      <w:r>
        <w:rPr>
          <w:rFonts w:hint="eastAsia" w:ascii="宋体" w:hAnsi="宋体" w:cs="宋体"/>
          <w:bCs/>
          <w:sz w:val="24"/>
          <w:u w:val="single"/>
        </w:rPr>
        <w:t xml:space="preserve">¥        </w:t>
      </w:r>
      <w:r>
        <w:rPr>
          <w:rFonts w:hint="eastAsia" w:ascii="宋体" w:hAnsi="宋体" w:cs="宋体"/>
          <w:bCs/>
          <w:sz w:val="24"/>
        </w:rPr>
        <w:t>元（大写：</w:t>
      </w:r>
      <w:r>
        <w:rPr>
          <w:rFonts w:hint="eastAsia" w:ascii="宋体" w:hAnsi="宋体" w:cs="宋体"/>
          <w:bCs/>
          <w:sz w:val="24"/>
          <w:u w:val="single"/>
        </w:rPr>
        <w:t>人民币           元整</w:t>
      </w:r>
      <w:r>
        <w:rPr>
          <w:rFonts w:hint="eastAsia" w:ascii="宋体" w:hAnsi="宋体" w:cs="宋体"/>
          <w:bCs/>
          <w:sz w:val="24"/>
        </w:rPr>
        <w:t>）。本合同价款为包含了购买货物及其相关服务的费用和所需缴纳的所有税费。</w:t>
      </w:r>
    </w:p>
    <w:p w14:paraId="60BE7155">
      <w:pPr>
        <w:spacing w:line="360" w:lineRule="auto"/>
        <w:ind w:firstLine="480" w:firstLineChars="200"/>
        <w:rPr>
          <w:rFonts w:hint="eastAsia" w:ascii="宋体" w:hAnsi="宋体" w:cs="宋体"/>
          <w:bCs/>
          <w:sz w:val="24"/>
        </w:rPr>
      </w:pPr>
      <w:r>
        <w:rPr>
          <w:rFonts w:hint="eastAsia" w:ascii="宋体" w:hAnsi="宋体" w:cs="宋体"/>
          <w:bCs/>
          <w:sz w:val="24"/>
        </w:rPr>
        <w:t>2）付款方式</w:t>
      </w:r>
    </w:p>
    <w:p w14:paraId="050EB900">
      <w:pPr>
        <w:spacing w:line="360" w:lineRule="auto"/>
        <w:ind w:firstLine="480" w:firstLineChars="200"/>
        <w:rPr>
          <w:rFonts w:hint="eastAsia" w:ascii="宋体" w:hAnsi="宋体" w:cs="宋体"/>
          <w:bCs/>
          <w:sz w:val="24"/>
        </w:rPr>
      </w:pPr>
      <w:r>
        <w:rPr>
          <w:rFonts w:hint="eastAsia" w:ascii="宋体" w:hAnsi="宋体" w:cs="宋体"/>
          <w:bCs/>
          <w:sz w:val="24"/>
        </w:rPr>
        <w:t>（1）采购人与中标供应商签订合同后20个工作日内，采购人向中标供应商支付本项目中数据中心运行维护费50%，即人民币（大写）</w:t>
      </w:r>
      <w:r>
        <w:rPr>
          <w:rFonts w:hint="eastAsia" w:ascii="宋体" w:hAnsi="宋体" w:cs="宋体"/>
          <w:bCs/>
          <w:sz w:val="24"/>
          <w:u w:val="single"/>
        </w:rPr>
        <w:t xml:space="preserve">            元整</w:t>
      </w:r>
      <w:r>
        <w:rPr>
          <w:rFonts w:hint="eastAsia" w:ascii="宋体" w:hAnsi="宋体" w:cs="宋体"/>
          <w:bCs/>
          <w:sz w:val="24"/>
        </w:rPr>
        <w:t>（</w:t>
      </w:r>
      <w:r>
        <w:rPr>
          <w:rFonts w:hint="eastAsia" w:ascii="宋体" w:hAnsi="宋体" w:cs="宋体"/>
          <w:bCs/>
          <w:sz w:val="24"/>
          <w:u w:val="single"/>
        </w:rPr>
        <w:t xml:space="preserve">¥            </w:t>
      </w:r>
      <w:r>
        <w:rPr>
          <w:rFonts w:hint="eastAsia" w:ascii="宋体" w:hAnsi="宋体" w:cs="宋体"/>
          <w:bCs/>
          <w:sz w:val="24"/>
        </w:rPr>
        <w:t>元）。</w:t>
      </w:r>
    </w:p>
    <w:p w14:paraId="20DBF6CA">
      <w:pPr>
        <w:spacing w:line="360" w:lineRule="auto"/>
        <w:ind w:firstLine="480" w:firstLineChars="200"/>
        <w:rPr>
          <w:rFonts w:hint="eastAsia" w:ascii="宋体" w:hAnsi="宋体" w:cs="宋体"/>
          <w:bCs/>
          <w:sz w:val="24"/>
        </w:rPr>
      </w:pPr>
      <w:r>
        <w:rPr>
          <w:rFonts w:hint="eastAsia" w:ascii="宋体" w:hAnsi="宋体" w:cs="宋体"/>
          <w:bCs/>
          <w:sz w:val="24"/>
        </w:rPr>
        <w:t>（2）第三季度结束并提交前三季度报告后，经采购人验收合格后20个工作日内，支付本项目中数据中心运行维护费40%，即人民币（大写）</w:t>
      </w:r>
      <w:r>
        <w:rPr>
          <w:rFonts w:hint="eastAsia" w:ascii="宋体" w:hAnsi="宋体" w:cs="宋体"/>
          <w:bCs/>
          <w:sz w:val="24"/>
          <w:u w:val="single"/>
        </w:rPr>
        <w:t xml:space="preserve">        元整</w:t>
      </w:r>
      <w:r>
        <w:rPr>
          <w:rFonts w:hint="eastAsia" w:ascii="宋体" w:hAnsi="宋体" w:cs="宋体"/>
          <w:bCs/>
          <w:sz w:val="24"/>
        </w:rPr>
        <w:t>（</w:t>
      </w:r>
      <w:r>
        <w:rPr>
          <w:rFonts w:hint="eastAsia" w:ascii="宋体" w:hAnsi="宋体" w:cs="宋体"/>
          <w:bCs/>
          <w:sz w:val="24"/>
          <w:u w:val="single"/>
        </w:rPr>
        <w:t xml:space="preserve">¥            </w:t>
      </w:r>
      <w:r>
        <w:rPr>
          <w:rFonts w:hint="eastAsia" w:ascii="宋体" w:hAnsi="宋体" w:cs="宋体"/>
          <w:bCs/>
          <w:sz w:val="24"/>
        </w:rPr>
        <w:t>元）。</w:t>
      </w:r>
    </w:p>
    <w:p w14:paraId="3197694B">
      <w:pPr>
        <w:spacing w:line="360" w:lineRule="auto"/>
        <w:jc w:val="left"/>
        <w:rPr>
          <w:rFonts w:hint="eastAsia" w:ascii="宋体" w:hAnsi="宋体" w:cs="宋体"/>
          <w:b/>
          <w:sz w:val="24"/>
        </w:rPr>
      </w:pPr>
      <w:r>
        <w:rPr>
          <w:rFonts w:hint="eastAsia" w:ascii="宋体" w:hAnsi="宋体" w:cs="宋体"/>
          <w:sz w:val="24"/>
        </w:rPr>
        <w:t>（3）第四季度末且提交年度运行维护报告后经采购人验收合格20个工作日内一次性付清本项目中数据中心运行维护费10%的余款，即人民币（大写）</w:t>
      </w:r>
      <w:r>
        <w:rPr>
          <w:rFonts w:hint="eastAsia" w:ascii="宋体" w:hAnsi="宋体" w:cs="宋体"/>
          <w:sz w:val="24"/>
          <w:u w:val="single"/>
        </w:rPr>
        <w:t xml:space="preserve">            元整</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元）。</w:t>
      </w:r>
    </w:p>
    <w:p w14:paraId="18AF27C8">
      <w:pPr>
        <w:numPr>
          <w:ilvl w:val="0"/>
          <w:numId w:val="29"/>
        </w:numPr>
        <w:spacing w:line="360" w:lineRule="auto"/>
        <w:jc w:val="left"/>
        <w:rPr>
          <w:rFonts w:hint="eastAsia" w:ascii="宋体" w:hAnsi="宋体" w:cs="宋体"/>
          <w:b/>
          <w:sz w:val="24"/>
        </w:rPr>
      </w:pPr>
      <w:r>
        <w:rPr>
          <w:rFonts w:hint="eastAsia" w:ascii="宋体" w:hAnsi="宋体" w:cs="宋体"/>
          <w:b/>
          <w:sz w:val="24"/>
        </w:rPr>
        <w:t>履约保证金</w:t>
      </w:r>
    </w:p>
    <w:p w14:paraId="1295ECB7">
      <w:pPr>
        <w:spacing w:line="360" w:lineRule="auto"/>
        <w:jc w:val="left"/>
        <w:rPr>
          <w:rFonts w:hint="eastAsia" w:ascii="宋体" w:hAnsi="宋体" w:cs="宋体"/>
          <w:sz w:val="24"/>
        </w:rPr>
      </w:pPr>
      <w:r>
        <w:rPr>
          <w:rFonts w:hint="eastAsia" w:ascii="宋体" w:hAnsi="宋体" w:cs="宋体"/>
          <w:sz w:val="24"/>
        </w:rPr>
        <w:t>本项目不适用。</w:t>
      </w:r>
      <w:r>
        <w:rPr>
          <w:rFonts w:hint="eastAsia" w:ascii="宋体" w:hAnsi="宋体" w:cs="宋体"/>
          <w:b/>
          <w:sz w:val="24"/>
        </w:rPr>
        <w:t xml:space="preserve"> </w:t>
      </w:r>
    </w:p>
    <w:p w14:paraId="1CA6DFC8">
      <w:pPr>
        <w:numPr>
          <w:ilvl w:val="0"/>
          <w:numId w:val="29"/>
        </w:numPr>
        <w:spacing w:line="360" w:lineRule="auto"/>
        <w:jc w:val="left"/>
        <w:rPr>
          <w:rFonts w:hint="eastAsia" w:ascii="宋体" w:hAnsi="宋体" w:cs="宋体"/>
          <w:b/>
          <w:sz w:val="24"/>
        </w:rPr>
      </w:pPr>
      <w:r>
        <w:rPr>
          <w:rFonts w:hint="eastAsia" w:ascii="宋体" w:hAnsi="宋体" w:cs="宋体"/>
          <w:b/>
          <w:sz w:val="24"/>
        </w:rPr>
        <w:t>合同的份数及生效</w:t>
      </w:r>
    </w:p>
    <w:p w14:paraId="48E3B114">
      <w:pPr>
        <w:spacing w:line="360" w:lineRule="auto"/>
        <w:ind w:firstLine="480" w:firstLineChars="200"/>
        <w:rPr>
          <w:rFonts w:hint="eastAsia" w:ascii="宋体" w:hAnsi="宋体" w:cs="宋体"/>
          <w:sz w:val="24"/>
        </w:rPr>
      </w:pPr>
      <w:r>
        <w:rPr>
          <w:rFonts w:hint="eastAsia" w:ascii="宋体" w:hAnsi="宋体" w:cs="宋体"/>
          <w:sz w:val="24"/>
        </w:rPr>
        <w:t>本合同一式</w:t>
      </w:r>
      <w:r>
        <w:rPr>
          <w:rFonts w:hint="eastAsia" w:ascii="宋体" w:hAnsi="宋体" w:cs="宋体"/>
          <w:sz w:val="24"/>
          <w:u w:val="single"/>
        </w:rPr>
        <w:t>　柒　</w:t>
      </w:r>
      <w:r>
        <w:rPr>
          <w:rFonts w:hint="eastAsia" w:ascii="宋体" w:hAnsi="宋体" w:cs="宋体"/>
          <w:sz w:val="24"/>
        </w:rPr>
        <w:t>份，具有同等法律效力。</w:t>
      </w:r>
      <w:r>
        <w:rPr>
          <w:rFonts w:hint="eastAsia" w:ascii="宋体" w:hAnsi="宋体" w:cs="宋体"/>
          <w:sz w:val="24"/>
          <w:u w:val="single"/>
        </w:rPr>
        <w:t>　采购人　</w:t>
      </w:r>
      <w:r>
        <w:rPr>
          <w:rFonts w:hint="eastAsia" w:ascii="宋体" w:hAnsi="宋体" w:cs="宋体"/>
          <w:sz w:val="24"/>
        </w:rPr>
        <w:t>和</w:t>
      </w:r>
      <w:r>
        <w:rPr>
          <w:rFonts w:hint="eastAsia" w:ascii="宋体" w:hAnsi="宋体" w:cs="宋体"/>
          <w:sz w:val="24"/>
          <w:u w:val="single"/>
        </w:rPr>
        <w:t>　中标供应商　</w:t>
      </w:r>
      <w:r>
        <w:rPr>
          <w:rFonts w:hint="eastAsia" w:ascii="宋体" w:hAnsi="宋体" w:cs="宋体"/>
          <w:sz w:val="24"/>
        </w:rPr>
        <w:t>各执</w:t>
      </w:r>
      <w:r>
        <w:rPr>
          <w:rFonts w:hint="eastAsia" w:ascii="宋体" w:hAnsi="宋体" w:cs="宋体"/>
          <w:sz w:val="24"/>
          <w:u w:val="single"/>
        </w:rPr>
        <w:t>　叁　</w:t>
      </w:r>
      <w:r>
        <w:rPr>
          <w:rFonts w:hint="eastAsia" w:ascii="宋体" w:hAnsi="宋体" w:cs="宋体"/>
          <w:sz w:val="24"/>
        </w:rPr>
        <w:t>份，招标代理机构</w:t>
      </w:r>
      <w:bookmarkStart w:id="878" w:name="_Hlk34660034"/>
      <w:r>
        <w:rPr>
          <w:rFonts w:hint="eastAsia" w:ascii="宋体" w:hAnsi="宋体" w:cs="宋体"/>
          <w:sz w:val="24"/>
        </w:rPr>
        <w:t>执</w:t>
      </w:r>
      <w:bookmarkEnd w:id="878"/>
      <w:r>
        <w:rPr>
          <w:rFonts w:hint="eastAsia" w:ascii="宋体" w:hAnsi="宋体" w:cs="宋体"/>
          <w:sz w:val="24"/>
        </w:rPr>
        <w:t>壹份。</w:t>
      </w:r>
    </w:p>
    <w:p w14:paraId="620D39A9">
      <w:pPr>
        <w:spacing w:line="360" w:lineRule="auto"/>
        <w:ind w:firstLine="480" w:firstLineChars="200"/>
        <w:rPr>
          <w:rFonts w:hint="eastAsia" w:ascii="宋体" w:hAnsi="宋体" w:cs="宋体"/>
          <w:color w:val="000000"/>
          <w:sz w:val="24"/>
        </w:rPr>
      </w:pPr>
      <w:r>
        <w:rPr>
          <w:rFonts w:hint="eastAsia" w:ascii="宋体" w:hAnsi="宋体" w:cs="宋体"/>
          <w:sz w:val="24"/>
        </w:rPr>
        <w:t>本合同经双方各自的法定代表人或授权代表签署、加盖单位公章或合同专用章并由中标供应商递交履约保证金（如有）之日起生效。</w:t>
      </w:r>
      <w:r>
        <w:rPr>
          <w:rFonts w:hint="eastAsia" w:ascii="宋体" w:hAnsi="宋体" w:cs="宋体"/>
          <w:color w:val="000000"/>
          <w:sz w:val="24"/>
        </w:rPr>
        <w:t xml:space="preserve"> </w:t>
      </w:r>
    </w:p>
    <w:tbl>
      <w:tblPr>
        <w:tblStyle w:val="42"/>
        <w:tblW w:w="9094" w:type="dxa"/>
        <w:jc w:val="center"/>
        <w:tblLayout w:type="fixed"/>
        <w:tblCellMar>
          <w:top w:w="0" w:type="dxa"/>
          <w:left w:w="108" w:type="dxa"/>
          <w:bottom w:w="0" w:type="dxa"/>
          <w:right w:w="108" w:type="dxa"/>
        </w:tblCellMar>
      </w:tblPr>
      <w:tblGrid>
        <w:gridCol w:w="1882"/>
        <w:gridCol w:w="2653"/>
        <w:gridCol w:w="1866"/>
        <w:gridCol w:w="2693"/>
      </w:tblGrid>
      <w:tr w14:paraId="417ECE0F">
        <w:tblPrEx>
          <w:tblCellMar>
            <w:top w:w="0" w:type="dxa"/>
            <w:left w:w="108" w:type="dxa"/>
            <w:bottom w:w="0" w:type="dxa"/>
            <w:right w:w="108" w:type="dxa"/>
          </w:tblCellMar>
        </w:tblPrEx>
        <w:trPr>
          <w:trHeight w:val="741" w:hRule="atLeast"/>
          <w:jc w:val="center"/>
        </w:trPr>
        <w:tc>
          <w:tcPr>
            <w:tcW w:w="9094" w:type="dxa"/>
            <w:gridSpan w:val="4"/>
            <w:vAlign w:val="center"/>
          </w:tcPr>
          <w:p w14:paraId="3069E9BA">
            <w:pPr>
              <w:spacing w:line="360" w:lineRule="exact"/>
              <w:jc w:val="center"/>
              <w:rPr>
                <w:rFonts w:eastAsia="华文仿宋"/>
                <w:b/>
                <w:sz w:val="28"/>
                <w:szCs w:val="28"/>
              </w:rPr>
            </w:pPr>
          </w:p>
          <w:p w14:paraId="6A385C89">
            <w:pPr>
              <w:spacing w:line="360" w:lineRule="exact"/>
              <w:jc w:val="center"/>
              <w:rPr>
                <w:rFonts w:eastAsia="华文仿宋"/>
                <w:b/>
                <w:sz w:val="28"/>
                <w:szCs w:val="28"/>
              </w:rPr>
            </w:pPr>
          </w:p>
          <w:p w14:paraId="0F42D70E">
            <w:pPr>
              <w:spacing w:line="360" w:lineRule="exact"/>
              <w:jc w:val="center"/>
              <w:rPr>
                <w:rFonts w:eastAsia="华文仿宋"/>
                <w:b/>
                <w:sz w:val="28"/>
                <w:szCs w:val="28"/>
              </w:rPr>
            </w:pPr>
          </w:p>
          <w:p w14:paraId="1240DB0D">
            <w:pPr>
              <w:spacing w:line="360" w:lineRule="exact"/>
              <w:jc w:val="center"/>
              <w:rPr>
                <w:rFonts w:eastAsia="华文仿宋"/>
                <w:b/>
                <w:sz w:val="28"/>
                <w:szCs w:val="28"/>
              </w:rPr>
            </w:pPr>
          </w:p>
          <w:p w14:paraId="5D204695">
            <w:pPr>
              <w:spacing w:line="360" w:lineRule="exact"/>
              <w:jc w:val="center"/>
              <w:rPr>
                <w:rFonts w:eastAsia="华文仿宋"/>
                <w:b/>
                <w:sz w:val="28"/>
                <w:szCs w:val="28"/>
              </w:rPr>
            </w:pPr>
          </w:p>
          <w:p w14:paraId="3A409932">
            <w:pPr>
              <w:spacing w:line="360" w:lineRule="exact"/>
              <w:jc w:val="center"/>
              <w:rPr>
                <w:rFonts w:eastAsia="华文仿宋"/>
                <w:b/>
                <w:sz w:val="28"/>
                <w:szCs w:val="28"/>
              </w:rPr>
            </w:pPr>
          </w:p>
          <w:p w14:paraId="5B41EF8D">
            <w:pPr>
              <w:spacing w:line="360" w:lineRule="exact"/>
              <w:jc w:val="center"/>
              <w:rPr>
                <w:rFonts w:eastAsia="华文仿宋"/>
                <w:b/>
                <w:sz w:val="28"/>
                <w:szCs w:val="28"/>
              </w:rPr>
            </w:pPr>
          </w:p>
          <w:p w14:paraId="0B8FCCA4">
            <w:pPr>
              <w:spacing w:line="360" w:lineRule="exact"/>
              <w:jc w:val="center"/>
              <w:rPr>
                <w:rFonts w:eastAsia="华文仿宋"/>
                <w:b/>
                <w:sz w:val="28"/>
                <w:szCs w:val="28"/>
              </w:rPr>
            </w:pPr>
          </w:p>
          <w:p w14:paraId="26AA6FF2">
            <w:pPr>
              <w:spacing w:line="360" w:lineRule="exact"/>
              <w:jc w:val="center"/>
              <w:rPr>
                <w:rFonts w:eastAsia="华文仿宋"/>
                <w:b/>
                <w:sz w:val="28"/>
                <w:szCs w:val="28"/>
              </w:rPr>
            </w:pPr>
          </w:p>
          <w:p w14:paraId="73954B83">
            <w:pPr>
              <w:spacing w:line="360" w:lineRule="exact"/>
              <w:jc w:val="center"/>
              <w:rPr>
                <w:rFonts w:eastAsia="华文仿宋"/>
                <w:b/>
                <w:sz w:val="28"/>
                <w:szCs w:val="28"/>
              </w:rPr>
            </w:pPr>
            <w:r>
              <w:rPr>
                <w:rFonts w:eastAsia="华文仿宋"/>
                <w:b/>
                <w:sz w:val="28"/>
                <w:szCs w:val="28"/>
              </w:rPr>
              <w:t>合同签订双方</w:t>
            </w:r>
          </w:p>
        </w:tc>
      </w:tr>
      <w:tr w14:paraId="7A4974A3">
        <w:tblPrEx>
          <w:tblCellMar>
            <w:top w:w="0" w:type="dxa"/>
            <w:left w:w="108" w:type="dxa"/>
            <w:bottom w:w="0" w:type="dxa"/>
            <w:right w:w="108" w:type="dxa"/>
          </w:tblCellMar>
        </w:tblPrEx>
        <w:trPr>
          <w:trHeight w:val="1042" w:hRule="atLeast"/>
          <w:jc w:val="center"/>
        </w:trPr>
        <w:tc>
          <w:tcPr>
            <w:tcW w:w="1882" w:type="dxa"/>
            <w:vAlign w:val="center"/>
          </w:tcPr>
          <w:p w14:paraId="38B3FDD3">
            <w:pPr>
              <w:spacing w:line="360" w:lineRule="exact"/>
              <w:jc w:val="center"/>
              <w:rPr>
                <w:sz w:val="24"/>
              </w:rPr>
            </w:pPr>
            <w:r>
              <w:rPr>
                <w:sz w:val="24"/>
              </w:rPr>
              <w:t>甲方：</w:t>
            </w:r>
          </w:p>
          <w:p w14:paraId="6C1D6277">
            <w:pPr>
              <w:spacing w:line="360" w:lineRule="exact"/>
              <w:jc w:val="center"/>
              <w:rPr>
                <w:sz w:val="24"/>
              </w:rPr>
            </w:pPr>
            <w:r>
              <w:rPr>
                <w:sz w:val="18"/>
              </w:rPr>
              <w:t>（合同章或公章）</w:t>
            </w:r>
          </w:p>
        </w:tc>
        <w:tc>
          <w:tcPr>
            <w:tcW w:w="2653" w:type="dxa"/>
            <w:vAlign w:val="center"/>
          </w:tcPr>
          <w:p w14:paraId="3E574EC4">
            <w:pPr>
              <w:spacing w:line="360" w:lineRule="exact"/>
              <w:jc w:val="left"/>
              <w:rPr>
                <w:sz w:val="24"/>
                <w:u w:val="single"/>
              </w:rPr>
            </w:pPr>
            <w:r>
              <w:rPr>
                <w:sz w:val="24"/>
                <w:u w:val="single"/>
              </w:rPr>
              <w:t xml:space="preserve">北京市地质灾害防治研究所                </w:t>
            </w:r>
          </w:p>
        </w:tc>
        <w:tc>
          <w:tcPr>
            <w:tcW w:w="1866" w:type="dxa"/>
            <w:vAlign w:val="center"/>
          </w:tcPr>
          <w:p w14:paraId="36757F75">
            <w:pPr>
              <w:spacing w:line="360" w:lineRule="exact"/>
              <w:jc w:val="center"/>
              <w:rPr>
                <w:sz w:val="24"/>
              </w:rPr>
            </w:pPr>
            <w:r>
              <w:rPr>
                <w:sz w:val="24"/>
              </w:rPr>
              <w:t>乙方：</w:t>
            </w:r>
          </w:p>
          <w:p w14:paraId="54A78591">
            <w:pPr>
              <w:spacing w:line="360" w:lineRule="exact"/>
              <w:jc w:val="center"/>
              <w:rPr>
                <w:sz w:val="18"/>
                <w:szCs w:val="18"/>
              </w:rPr>
            </w:pPr>
            <w:r>
              <w:rPr>
                <w:sz w:val="18"/>
                <w:szCs w:val="18"/>
              </w:rPr>
              <w:t>（合同章或公章）</w:t>
            </w:r>
          </w:p>
        </w:tc>
        <w:tc>
          <w:tcPr>
            <w:tcW w:w="2693" w:type="dxa"/>
            <w:vAlign w:val="center"/>
          </w:tcPr>
          <w:p w14:paraId="39BBF241">
            <w:pPr>
              <w:spacing w:line="360" w:lineRule="exact"/>
              <w:ind w:left="0" w:leftChars="-2" w:hanging="4" w:hangingChars="2"/>
              <w:rPr>
                <w:sz w:val="24"/>
              </w:rPr>
            </w:pPr>
            <w:r>
              <w:rPr>
                <w:sz w:val="24"/>
                <w:u w:val="single"/>
              </w:rPr>
              <w:t xml:space="preserve"> </w:t>
            </w:r>
            <w:r>
              <w:rPr>
                <w:rFonts w:hint="eastAsia"/>
                <w:sz w:val="24"/>
                <w:u w:val="single"/>
              </w:rPr>
              <w:t xml:space="preserve">       </w:t>
            </w:r>
            <w:r>
              <w:rPr>
                <w:sz w:val="24"/>
                <w:u w:val="single"/>
              </w:rPr>
              <w:t xml:space="preserve">            </w:t>
            </w:r>
          </w:p>
        </w:tc>
      </w:tr>
      <w:tr w14:paraId="1496067E">
        <w:tblPrEx>
          <w:tblCellMar>
            <w:top w:w="0" w:type="dxa"/>
            <w:left w:w="108" w:type="dxa"/>
            <w:bottom w:w="0" w:type="dxa"/>
            <w:right w:w="108" w:type="dxa"/>
          </w:tblCellMar>
        </w:tblPrEx>
        <w:trPr>
          <w:trHeight w:val="526" w:hRule="atLeast"/>
          <w:jc w:val="center"/>
        </w:trPr>
        <w:tc>
          <w:tcPr>
            <w:tcW w:w="1882" w:type="dxa"/>
            <w:vAlign w:val="center"/>
          </w:tcPr>
          <w:p w14:paraId="6F0C86ED">
            <w:pPr>
              <w:spacing w:line="360" w:lineRule="exact"/>
              <w:jc w:val="center"/>
              <w:rPr>
                <w:sz w:val="18"/>
              </w:rPr>
            </w:pPr>
            <w:r>
              <w:rPr>
                <w:sz w:val="24"/>
              </w:rPr>
              <w:t>名称：（印章）</w:t>
            </w:r>
          </w:p>
        </w:tc>
        <w:tc>
          <w:tcPr>
            <w:tcW w:w="2653" w:type="dxa"/>
            <w:vAlign w:val="center"/>
          </w:tcPr>
          <w:p w14:paraId="4EA119B9">
            <w:pPr>
              <w:spacing w:line="360" w:lineRule="exact"/>
              <w:jc w:val="left"/>
              <w:rPr>
                <w:sz w:val="24"/>
              </w:rPr>
            </w:pPr>
            <w:r>
              <w:rPr>
                <w:sz w:val="24"/>
                <w:u w:val="single"/>
              </w:rPr>
              <w:t xml:space="preserve">                    </w:t>
            </w:r>
          </w:p>
        </w:tc>
        <w:tc>
          <w:tcPr>
            <w:tcW w:w="1866" w:type="dxa"/>
            <w:vAlign w:val="center"/>
          </w:tcPr>
          <w:p w14:paraId="1564B024">
            <w:pPr>
              <w:spacing w:line="360" w:lineRule="exact"/>
              <w:jc w:val="center"/>
              <w:rPr>
                <w:sz w:val="18"/>
                <w:szCs w:val="18"/>
              </w:rPr>
            </w:pPr>
            <w:r>
              <w:rPr>
                <w:sz w:val="24"/>
              </w:rPr>
              <w:t>名称：（印章）</w:t>
            </w:r>
          </w:p>
        </w:tc>
        <w:tc>
          <w:tcPr>
            <w:tcW w:w="2693" w:type="dxa"/>
            <w:vAlign w:val="center"/>
          </w:tcPr>
          <w:p w14:paraId="52C61810">
            <w:pPr>
              <w:spacing w:line="360" w:lineRule="exact"/>
              <w:jc w:val="left"/>
              <w:rPr>
                <w:sz w:val="24"/>
                <w:u w:val="single"/>
              </w:rPr>
            </w:pPr>
            <w:r>
              <w:rPr>
                <w:sz w:val="24"/>
                <w:u w:val="single"/>
              </w:rPr>
              <w:t xml:space="preserve">                     </w:t>
            </w:r>
          </w:p>
        </w:tc>
      </w:tr>
      <w:tr w14:paraId="47AA9E16">
        <w:tblPrEx>
          <w:tblCellMar>
            <w:top w:w="0" w:type="dxa"/>
            <w:left w:w="108" w:type="dxa"/>
            <w:bottom w:w="0" w:type="dxa"/>
            <w:right w:w="108" w:type="dxa"/>
          </w:tblCellMar>
        </w:tblPrEx>
        <w:trPr>
          <w:trHeight w:val="847" w:hRule="atLeast"/>
          <w:jc w:val="center"/>
        </w:trPr>
        <w:tc>
          <w:tcPr>
            <w:tcW w:w="1882" w:type="dxa"/>
            <w:vAlign w:val="center"/>
          </w:tcPr>
          <w:p w14:paraId="5A83B9BB">
            <w:pPr>
              <w:spacing w:line="360" w:lineRule="exact"/>
              <w:jc w:val="center"/>
              <w:rPr>
                <w:sz w:val="24"/>
              </w:rPr>
            </w:pPr>
          </w:p>
        </w:tc>
        <w:tc>
          <w:tcPr>
            <w:tcW w:w="2653" w:type="dxa"/>
            <w:vAlign w:val="center"/>
          </w:tcPr>
          <w:p w14:paraId="0A79305A">
            <w:pPr>
              <w:spacing w:line="360" w:lineRule="exact"/>
              <w:jc w:val="right"/>
              <w:rPr>
                <w:sz w:val="24"/>
                <w:u w:val="single"/>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tc>
        <w:tc>
          <w:tcPr>
            <w:tcW w:w="1866" w:type="dxa"/>
            <w:vAlign w:val="center"/>
          </w:tcPr>
          <w:p w14:paraId="66409202">
            <w:pPr>
              <w:spacing w:line="360" w:lineRule="exact"/>
              <w:jc w:val="center"/>
              <w:rPr>
                <w:sz w:val="24"/>
              </w:rPr>
            </w:pPr>
          </w:p>
        </w:tc>
        <w:tc>
          <w:tcPr>
            <w:tcW w:w="2693" w:type="dxa"/>
            <w:vAlign w:val="center"/>
          </w:tcPr>
          <w:p w14:paraId="562E4219">
            <w:pPr>
              <w:spacing w:line="360" w:lineRule="exact"/>
              <w:ind w:left="0" w:leftChars="-2" w:hanging="4" w:hangingChars="2"/>
              <w:jc w:val="right"/>
              <w:rPr>
                <w:sz w:val="24"/>
                <w:u w:val="single"/>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tc>
      </w:tr>
      <w:tr w14:paraId="60F2B33F">
        <w:tblPrEx>
          <w:tblCellMar>
            <w:top w:w="0" w:type="dxa"/>
            <w:left w:w="108" w:type="dxa"/>
            <w:bottom w:w="0" w:type="dxa"/>
            <w:right w:w="108" w:type="dxa"/>
          </w:tblCellMar>
        </w:tblPrEx>
        <w:trPr>
          <w:trHeight w:val="1162" w:hRule="atLeast"/>
          <w:jc w:val="center"/>
        </w:trPr>
        <w:tc>
          <w:tcPr>
            <w:tcW w:w="1882" w:type="dxa"/>
            <w:vAlign w:val="center"/>
          </w:tcPr>
          <w:p w14:paraId="777F8622">
            <w:pPr>
              <w:spacing w:line="360" w:lineRule="exact"/>
              <w:jc w:val="center"/>
              <w:rPr>
                <w:sz w:val="24"/>
              </w:rPr>
            </w:pPr>
            <w:r>
              <w:rPr>
                <w:sz w:val="24"/>
              </w:rPr>
              <w:t>法定代表人</w:t>
            </w:r>
          </w:p>
          <w:p w14:paraId="7249C5E0">
            <w:pPr>
              <w:spacing w:line="360" w:lineRule="exact"/>
              <w:jc w:val="center"/>
              <w:rPr>
                <w:sz w:val="24"/>
              </w:rPr>
            </w:pPr>
            <w:r>
              <w:rPr>
                <w:sz w:val="20"/>
              </w:rPr>
              <w:t>（签字）</w:t>
            </w:r>
            <w:r>
              <w:rPr>
                <w:sz w:val="24"/>
              </w:rPr>
              <w:t>：</w:t>
            </w:r>
          </w:p>
        </w:tc>
        <w:tc>
          <w:tcPr>
            <w:tcW w:w="2653" w:type="dxa"/>
            <w:vAlign w:val="bottom"/>
          </w:tcPr>
          <w:p w14:paraId="13392893">
            <w:pPr>
              <w:spacing w:line="360" w:lineRule="exact"/>
              <w:rPr>
                <w:sz w:val="24"/>
                <w:u w:val="single"/>
              </w:rPr>
            </w:pPr>
            <w:r>
              <w:rPr>
                <w:sz w:val="24"/>
                <w:u w:val="single"/>
              </w:rPr>
              <w:t xml:space="preserve">                    </w:t>
            </w:r>
          </w:p>
        </w:tc>
        <w:tc>
          <w:tcPr>
            <w:tcW w:w="1866" w:type="dxa"/>
            <w:vAlign w:val="center"/>
          </w:tcPr>
          <w:p w14:paraId="12D64F2B">
            <w:pPr>
              <w:spacing w:line="360" w:lineRule="exact"/>
              <w:jc w:val="center"/>
              <w:rPr>
                <w:sz w:val="24"/>
              </w:rPr>
            </w:pPr>
            <w:r>
              <w:rPr>
                <w:sz w:val="24"/>
              </w:rPr>
              <w:t>法定代表人</w:t>
            </w:r>
          </w:p>
          <w:p w14:paraId="42A7EE33">
            <w:pPr>
              <w:spacing w:line="360" w:lineRule="exact"/>
              <w:jc w:val="center"/>
              <w:rPr>
                <w:sz w:val="24"/>
              </w:rPr>
            </w:pPr>
            <w:r>
              <w:rPr>
                <w:sz w:val="20"/>
              </w:rPr>
              <w:t>（签字）</w:t>
            </w:r>
            <w:r>
              <w:rPr>
                <w:sz w:val="24"/>
              </w:rPr>
              <w:t>：</w:t>
            </w:r>
          </w:p>
        </w:tc>
        <w:tc>
          <w:tcPr>
            <w:tcW w:w="2693" w:type="dxa"/>
            <w:vAlign w:val="bottom"/>
          </w:tcPr>
          <w:p w14:paraId="3F6A029A">
            <w:pPr>
              <w:spacing w:line="360" w:lineRule="exact"/>
              <w:rPr>
                <w:sz w:val="24"/>
                <w:u w:val="single"/>
              </w:rPr>
            </w:pPr>
            <w:r>
              <w:rPr>
                <w:sz w:val="24"/>
                <w:u w:val="single"/>
              </w:rPr>
              <w:t xml:space="preserve">                      </w:t>
            </w:r>
          </w:p>
        </w:tc>
      </w:tr>
      <w:tr w14:paraId="217D5122">
        <w:tblPrEx>
          <w:tblCellMar>
            <w:top w:w="0" w:type="dxa"/>
            <w:left w:w="108" w:type="dxa"/>
            <w:bottom w:w="0" w:type="dxa"/>
            <w:right w:w="108" w:type="dxa"/>
          </w:tblCellMar>
        </w:tblPrEx>
        <w:trPr>
          <w:trHeight w:val="1144" w:hRule="atLeast"/>
          <w:jc w:val="center"/>
        </w:trPr>
        <w:tc>
          <w:tcPr>
            <w:tcW w:w="1882" w:type="dxa"/>
            <w:vAlign w:val="center"/>
          </w:tcPr>
          <w:p w14:paraId="59D367E7">
            <w:pPr>
              <w:spacing w:line="360" w:lineRule="exact"/>
              <w:jc w:val="center"/>
              <w:rPr>
                <w:sz w:val="24"/>
              </w:rPr>
            </w:pPr>
            <w:r>
              <w:rPr>
                <w:sz w:val="24"/>
              </w:rPr>
              <w:t>委托代理人</w:t>
            </w:r>
          </w:p>
          <w:p w14:paraId="1E45F7F7">
            <w:pPr>
              <w:spacing w:line="360" w:lineRule="exact"/>
              <w:jc w:val="center"/>
              <w:rPr>
                <w:sz w:val="24"/>
              </w:rPr>
            </w:pPr>
            <w:r>
              <w:rPr>
                <w:sz w:val="20"/>
              </w:rPr>
              <w:t>（签字）</w:t>
            </w:r>
            <w:r>
              <w:rPr>
                <w:sz w:val="24"/>
              </w:rPr>
              <w:t>：</w:t>
            </w:r>
          </w:p>
        </w:tc>
        <w:tc>
          <w:tcPr>
            <w:tcW w:w="2653" w:type="dxa"/>
            <w:vAlign w:val="bottom"/>
          </w:tcPr>
          <w:p w14:paraId="7D46798C">
            <w:pPr>
              <w:spacing w:line="360" w:lineRule="exact"/>
              <w:rPr>
                <w:sz w:val="24"/>
              </w:rPr>
            </w:pPr>
            <w:r>
              <w:rPr>
                <w:sz w:val="24"/>
                <w:u w:val="single"/>
              </w:rPr>
              <w:t xml:space="preserve">                    </w:t>
            </w:r>
          </w:p>
        </w:tc>
        <w:tc>
          <w:tcPr>
            <w:tcW w:w="1866" w:type="dxa"/>
            <w:vAlign w:val="center"/>
          </w:tcPr>
          <w:p w14:paraId="13B1E041">
            <w:pPr>
              <w:spacing w:line="360" w:lineRule="exact"/>
              <w:jc w:val="center"/>
              <w:rPr>
                <w:sz w:val="24"/>
              </w:rPr>
            </w:pPr>
            <w:r>
              <w:rPr>
                <w:sz w:val="24"/>
              </w:rPr>
              <w:t>委托代理人</w:t>
            </w:r>
          </w:p>
          <w:p w14:paraId="29F4E2C6">
            <w:pPr>
              <w:spacing w:line="360" w:lineRule="exact"/>
              <w:jc w:val="center"/>
              <w:rPr>
                <w:sz w:val="24"/>
              </w:rPr>
            </w:pPr>
            <w:r>
              <w:rPr>
                <w:sz w:val="20"/>
              </w:rPr>
              <w:t>（签字）</w:t>
            </w:r>
            <w:r>
              <w:rPr>
                <w:sz w:val="24"/>
              </w:rPr>
              <w:t>：</w:t>
            </w:r>
          </w:p>
        </w:tc>
        <w:tc>
          <w:tcPr>
            <w:tcW w:w="2693" w:type="dxa"/>
            <w:vAlign w:val="bottom"/>
          </w:tcPr>
          <w:p w14:paraId="32AC9282">
            <w:pPr>
              <w:spacing w:line="360" w:lineRule="exact"/>
              <w:rPr>
                <w:sz w:val="24"/>
                <w:u w:val="single"/>
              </w:rPr>
            </w:pPr>
            <w:r>
              <w:rPr>
                <w:sz w:val="24"/>
                <w:u w:val="single"/>
              </w:rPr>
              <w:t xml:space="preserve">                      </w:t>
            </w:r>
          </w:p>
        </w:tc>
      </w:tr>
      <w:tr w14:paraId="447ED725">
        <w:tblPrEx>
          <w:tblCellMar>
            <w:top w:w="0" w:type="dxa"/>
            <w:left w:w="108" w:type="dxa"/>
            <w:bottom w:w="0" w:type="dxa"/>
            <w:right w:w="108" w:type="dxa"/>
          </w:tblCellMar>
        </w:tblPrEx>
        <w:trPr>
          <w:trHeight w:val="1120" w:hRule="atLeast"/>
          <w:jc w:val="center"/>
        </w:trPr>
        <w:tc>
          <w:tcPr>
            <w:tcW w:w="1882" w:type="dxa"/>
            <w:vAlign w:val="center"/>
          </w:tcPr>
          <w:p w14:paraId="5F9E38E7">
            <w:pPr>
              <w:spacing w:line="360" w:lineRule="exact"/>
              <w:jc w:val="center"/>
              <w:rPr>
                <w:sz w:val="24"/>
              </w:rPr>
            </w:pPr>
            <w:r>
              <w:rPr>
                <w:sz w:val="24"/>
              </w:rPr>
              <w:t>地    址：</w:t>
            </w:r>
          </w:p>
        </w:tc>
        <w:tc>
          <w:tcPr>
            <w:tcW w:w="2653" w:type="dxa"/>
            <w:vAlign w:val="center"/>
          </w:tcPr>
          <w:p w14:paraId="53F9CE8F">
            <w:pPr>
              <w:spacing w:line="360" w:lineRule="exact"/>
              <w:rPr>
                <w:sz w:val="24"/>
                <w:u w:val="single"/>
              </w:rPr>
            </w:pPr>
            <w:r>
              <w:rPr>
                <w:sz w:val="24"/>
                <w:u w:val="single"/>
              </w:rPr>
              <w:t xml:space="preserve">北京市西城区黄寺大街24号（22号楼）     </w:t>
            </w:r>
          </w:p>
        </w:tc>
        <w:tc>
          <w:tcPr>
            <w:tcW w:w="1866" w:type="dxa"/>
            <w:vAlign w:val="center"/>
          </w:tcPr>
          <w:p w14:paraId="31761938">
            <w:pPr>
              <w:spacing w:line="360" w:lineRule="exact"/>
              <w:jc w:val="center"/>
              <w:rPr>
                <w:sz w:val="24"/>
              </w:rPr>
            </w:pPr>
            <w:r>
              <w:rPr>
                <w:sz w:val="24"/>
              </w:rPr>
              <w:t>地    址：</w:t>
            </w:r>
          </w:p>
        </w:tc>
        <w:tc>
          <w:tcPr>
            <w:tcW w:w="2693" w:type="dxa"/>
            <w:vAlign w:val="center"/>
          </w:tcPr>
          <w:p w14:paraId="1AB247F2">
            <w:pPr>
              <w:spacing w:line="360" w:lineRule="exact"/>
              <w:rPr>
                <w:sz w:val="24"/>
              </w:rPr>
            </w:pPr>
            <w:r>
              <w:rPr>
                <w:sz w:val="24"/>
                <w:u w:val="single"/>
              </w:rPr>
              <w:t xml:space="preserve">                      </w:t>
            </w:r>
          </w:p>
        </w:tc>
      </w:tr>
      <w:tr w14:paraId="3815D7AC">
        <w:tblPrEx>
          <w:tblCellMar>
            <w:top w:w="0" w:type="dxa"/>
            <w:left w:w="108" w:type="dxa"/>
            <w:bottom w:w="0" w:type="dxa"/>
            <w:right w:w="108" w:type="dxa"/>
          </w:tblCellMar>
        </w:tblPrEx>
        <w:trPr>
          <w:trHeight w:val="850" w:hRule="exact"/>
          <w:jc w:val="center"/>
        </w:trPr>
        <w:tc>
          <w:tcPr>
            <w:tcW w:w="1882" w:type="dxa"/>
            <w:vAlign w:val="center"/>
          </w:tcPr>
          <w:p w14:paraId="5110842D">
            <w:pPr>
              <w:spacing w:line="360" w:lineRule="exact"/>
              <w:jc w:val="center"/>
              <w:rPr>
                <w:sz w:val="24"/>
              </w:rPr>
            </w:pPr>
            <w:r>
              <w:rPr>
                <w:sz w:val="24"/>
              </w:rPr>
              <w:t>邮政编码：</w:t>
            </w:r>
          </w:p>
        </w:tc>
        <w:tc>
          <w:tcPr>
            <w:tcW w:w="2653" w:type="dxa"/>
            <w:vAlign w:val="center"/>
          </w:tcPr>
          <w:p w14:paraId="01AB951B">
            <w:pPr>
              <w:spacing w:line="360" w:lineRule="exact"/>
              <w:rPr>
                <w:sz w:val="24"/>
              </w:rPr>
            </w:pPr>
            <w:r>
              <w:rPr>
                <w:sz w:val="24"/>
                <w:u w:val="single"/>
                <w:lang w:bidi="ar"/>
              </w:rPr>
              <w:t xml:space="preserve">100120              </w:t>
            </w:r>
          </w:p>
        </w:tc>
        <w:tc>
          <w:tcPr>
            <w:tcW w:w="1866" w:type="dxa"/>
            <w:vAlign w:val="center"/>
          </w:tcPr>
          <w:p w14:paraId="2E83EFB9">
            <w:pPr>
              <w:spacing w:line="360" w:lineRule="exact"/>
              <w:jc w:val="center"/>
              <w:rPr>
                <w:sz w:val="24"/>
              </w:rPr>
            </w:pPr>
            <w:r>
              <w:rPr>
                <w:sz w:val="24"/>
              </w:rPr>
              <w:t>邮政编码：</w:t>
            </w:r>
          </w:p>
        </w:tc>
        <w:tc>
          <w:tcPr>
            <w:tcW w:w="2693" w:type="dxa"/>
            <w:vAlign w:val="center"/>
          </w:tcPr>
          <w:p w14:paraId="1690478E">
            <w:pPr>
              <w:spacing w:line="360" w:lineRule="exact"/>
              <w:rPr>
                <w:sz w:val="24"/>
                <w:u w:val="single"/>
              </w:rPr>
            </w:pPr>
            <w:r>
              <w:rPr>
                <w:sz w:val="24"/>
                <w:u w:val="single"/>
              </w:rPr>
              <w:t xml:space="preserve">                      </w:t>
            </w:r>
          </w:p>
        </w:tc>
      </w:tr>
      <w:tr w14:paraId="6BB77CFA">
        <w:tblPrEx>
          <w:tblCellMar>
            <w:top w:w="0" w:type="dxa"/>
            <w:left w:w="108" w:type="dxa"/>
            <w:bottom w:w="0" w:type="dxa"/>
            <w:right w:w="108" w:type="dxa"/>
          </w:tblCellMar>
        </w:tblPrEx>
        <w:trPr>
          <w:trHeight w:val="850" w:hRule="exact"/>
          <w:jc w:val="center"/>
        </w:trPr>
        <w:tc>
          <w:tcPr>
            <w:tcW w:w="1882" w:type="dxa"/>
            <w:vAlign w:val="center"/>
          </w:tcPr>
          <w:p w14:paraId="38FFA718">
            <w:pPr>
              <w:spacing w:line="360" w:lineRule="exact"/>
              <w:jc w:val="center"/>
              <w:rPr>
                <w:sz w:val="24"/>
              </w:rPr>
            </w:pPr>
            <w:r>
              <w:rPr>
                <w:sz w:val="24"/>
              </w:rPr>
              <w:t>联系电话：</w:t>
            </w:r>
          </w:p>
        </w:tc>
        <w:tc>
          <w:tcPr>
            <w:tcW w:w="2653" w:type="dxa"/>
            <w:vAlign w:val="center"/>
          </w:tcPr>
          <w:p w14:paraId="42BA13BE">
            <w:pPr>
              <w:spacing w:line="360" w:lineRule="exact"/>
              <w:rPr>
                <w:sz w:val="24"/>
              </w:rPr>
            </w:pPr>
            <w:r>
              <w:rPr>
                <w:sz w:val="24"/>
                <w:u w:val="single"/>
                <w:lang w:bidi="ar"/>
              </w:rPr>
              <w:t>010-516322</w:t>
            </w:r>
            <w:r>
              <w:rPr>
                <w:rFonts w:hint="eastAsia"/>
                <w:sz w:val="24"/>
                <w:u w:val="single"/>
                <w:lang w:bidi="ar"/>
              </w:rPr>
              <w:t>31</w:t>
            </w:r>
            <w:r>
              <w:rPr>
                <w:sz w:val="24"/>
                <w:u w:val="single"/>
                <w:lang w:bidi="ar"/>
              </w:rPr>
              <w:t xml:space="preserve">         </w:t>
            </w:r>
          </w:p>
        </w:tc>
        <w:tc>
          <w:tcPr>
            <w:tcW w:w="1866" w:type="dxa"/>
            <w:vAlign w:val="center"/>
          </w:tcPr>
          <w:p w14:paraId="7794398F">
            <w:pPr>
              <w:spacing w:line="360" w:lineRule="exact"/>
              <w:jc w:val="center"/>
              <w:rPr>
                <w:sz w:val="24"/>
              </w:rPr>
            </w:pPr>
            <w:r>
              <w:rPr>
                <w:sz w:val="24"/>
              </w:rPr>
              <w:t>联系电话：</w:t>
            </w:r>
          </w:p>
        </w:tc>
        <w:tc>
          <w:tcPr>
            <w:tcW w:w="2693" w:type="dxa"/>
            <w:vAlign w:val="center"/>
          </w:tcPr>
          <w:p w14:paraId="0C71257A">
            <w:pPr>
              <w:spacing w:line="360" w:lineRule="exact"/>
              <w:rPr>
                <w:sz w:val="24"/>
              </w:rPr>
            </w:pPr>
            <w:r>
              <w:rPr>
                <w:sz w:val="24"/>
                <w:u w:val="single"/>
              </w:rPr>
              <w:t xml:space="preserve">                      </w:t>
            </w:r>
          </w:p>
        </w:tc>
      </w:tr>
      <w:tr w14:paraId="13E0FBF4">
        <w:tblPrEx>
          <w:tblCellMar>
            <w:top w:w="0" w:type="dxa"/>
            <w:left w:w="108" w:type="dxa"/>
            <w:bottom w:w="0" w:type="dxa"/>
            <w:right w:w="108" w:type="dxa"/>
          </w:tblCellMar>
        </w:tblPrEx>
        <w:trPr>
          <w:trHeight w:val="850" w:hRule="exact"/>
          <w:jc w:val="center"/>
        </w:trPr>
        <w:tc>
          <w:tcPr>
            <w:tcW w:w="1882" w:type="dxa"/>
            <w:vAlign w:val="center"/>
          </w:tcPr>
          <w:p w14:paraId="794283D8">
            <w:pPr>
              <w:spacing w:line="360" w:lineRule="exact"/>
              <w:jc w:val="center"/>
              <w:rPr>
                <w:sz w:val="24"/>
              </w:rPr>
            </w:pPr>
            <w:r>
              <w:rPr>
                <w:sz w:val="24"/>
              </w:rPr>
              <w:t>开 户 行：</w:t>
            </w:r>
          </w:p>
        </w:tc>
        <w:tc>
          <w:tcPr>
            <w:tcW w:w="2653" w:type="dxa"/>
            <w:vAlign w:val="center"/>
          </w:tcPr>
          <w:p w14:paraId="07C8ED95">
            <w:pPr>
              <w:spacing w:line="360" w:lineRule="exact"/>
              <w:rPr>
                <w:sz w:val="24"/>
                <w:u w:val="single"/>
              </w:rPr>
            </w:pPr>
            <w:r>
              <w:rPr>
                <w:sz w:val="24"/>
                <w:u w:val="single"/>
              </w:rPr>
              <w:t xml:space="preserve">中国银行北京黄寺支行 </w:t>
            </w:r>
          </w:p>
        </w:tc>
        <w:tc>
          <w:tcPr>
            <w:tcW w:w="1866" w:type="dxa"/>
            <w:vAlign w:val="center"/>
          </w:tcPr>
          <w:p w14:paraId="424F2733">
            <w:pPr>
              <w:spacing w:line="360" w:lineRule="exact"/>
              <w:jc w:val="center"/>
              <w:rPr>
                <w:sz w:val="24"/>
              </w:rPr>
            </w:pPr>
            <w:r>
              <w:rPr>
                <w:sz w:val="24"/>
              </w:rPr>
              <w:t>开 户 行：</w:t>
            </w:r>
          </w:p>
        </w:tc>
        <w:tc>
          <w:tcPr>
            <w:tcW w:w="2693" w:type="dxa"/>
            <w:vAlign w:val="center"/>
          </w:tcPr>
          <w:p w14:paraId="719FA099">
            <w:pPr>
              <w:spacing w:line="360" w:lineRule="exact"/>
              <w:rPr>
                <w:sz w:val="24"/>
              </w:rPr>
            </w:pPr>
            <w:r>
              <w:rPr>
                <w:sz w:val="24"/>
                <w:u w:val="single"/>
              </w:rPr>
              <w:t xml:space="preserve"> </w:t>
            </w:r>
            <w:r>
              <w:rPr>
                <w:sz w:val="24"/>
                <w:u w:val="single"/>
                <w:lang w:bidi="ar"/>
              </w:rPr>
              <w:t xml:space="preserve">                     </w:t>
            </w:r>
          </w:p>
        </w:tc>
      </w:tr>
      <w:tr w14:paraId="2A01F7B9">
        <w:tblPrEx>
          <w:tblCellMar>
            <w:top w:w="0" w:type="dxa"/>
            <w:left w:w="108" w:type="dxa"/>
            <w:bottom w:w="0" w:type="dxa"/>
            <w:right w:w="108" w:type="dxa"/>
          </w:tblCellMar>
        </w:tblPrEx>
        <w:trPr>
          <w:trHeight w:val="850" w:hRule="exact"/>
          <w:jc w:val="center"/>
        </w:trPr>
        <w:tc>
          <w:tcPr>
            <w:tcW w:w="1882" w:type="dxa"/>
            <w:vAlign w:val="center"/>
          </w:tcPr>
          <w:p w14:paraId="392E888C">
            <w:pPr>
              <w:spacing w:line="360" w:lineRule="exact"/>
              <w:jc w:val="center"/>
              <w:rPr>
                <w:sz w:val="24"/>
              </w:rPr>
            </w:pPr>
            <w:r>
              <w:rPr>
                <w:sz w:val="24"/>
              </w:rPr>
              <w:t>帐     号：</w:t>
            </w:r>
          </w:p>
        </w:tc>
        <w:tc>
          <w:tcPr>
            <w:tcW w:w="2653" w:type="dxa"/>
            <w:vAlign w:val="center"/>
          </w:tcPr>
          <w:p w14:paraId="49393295">
            <w:pPr>
              <w:spacing w:line="360" w:lineRule="exact"/>
              <w:rPr>
                <w:sz w:val="24"/>
                <w:u w:val="single"/>
              </w:rPr>
            </w:pPr>
            <w:r>
              <w:rPr>
                <w:sz w:val="24"/>
                <w:u w:val="single"/>
              </w:rPr>
              <w:t xml:space="preserve">333761859012        </w:t>
            </w:r>
          </w:p>
        </w:tc>
        <w:tc>
          <w:tcPr>
            <w:tcW w:w="1866" w:type="dxa"/>
            <w:vAlign w:val="center"/>
          </w:tcPr>
          <w:p w14:paraId="32566229">
            <w:pPr>
              <w:spacing w:line="360" w:lineRule="exact"/>
              <w:jc w:val="center"/>
              <w:rPr>
                <w:sz w:val="24"/>
              </w:rPr>
            </w:pPr>
            <w:r>
              <w:rPr>
                <w:sz w:val="24"/>
              </w:rPr>
              <w:t>帐     号：</w:t>
            </w:r>
          </w:p>
        </w:tc>
        <w:tc>
          <w:tcPr>
            <w:tcW w:w="2693" w:type="dxa"/>
            <w:vAlign w:val="center"/>
          </w:tcPr>
          <w:p w14:paraId="3700852E">
            <w:pPr>
              <w:spacing w:line="360" w:lineRule="exact"/>
              <w:rPr>
                <w:sz w:val="24"/>
              </w:rPr>
            </w:pPr>
            <w:r>
              <w:rPr>
                <w:sz w:val="24"/>
                <w:u w:val="single"/>
                <w:lang w:bidi="ar"/>
              </w:rPr>
              <w:t xml:space="preserve">                       </w:t>
            </w:r>
          </w:p>
        </w:tc>
      </w:tr>
      <w:tr w14:paraId="347ECA4B">
        <w:tblPrEx>
          <w:tblCellMar>
            <w:top w:w="0" w:type="dxa"/>
            <w:left w:w="108" w:type="dxa"/>
            <w:bottom w:w="0" w:type="dxa"/>
            <w:right w:w="108" w:type="dxa"/>
          </w:tblCellMar>
        </w:tblPrEx>
        <w:trPr>
          <w:trHeight w:val="850" w:hRule="exact"/>
          <w:jc w:val="center"/>
        </w:trPr>
        <w:tc>
          <w:tcPr>
            <w:tcW w:w="1882" w:type="dxa"/>
            <w:vAlign w:val="center"/>
          </w:tcPr>
          <w:p w14:paraId="28894F06">
            <w:pPr>
              <w:spacing w:line="360" w:lineRule="exact"/>
              <w:jc w:val="center"/>
              <w:rPr>
                <w:sz w:val="24"/>
              </w:rPr>
            </w:pPr>
            <w:r>
              <w:rPr>
                <w:sz w:val="24"/>
              </w:rPr>
              <w:t>纳税人识别号：</w:t>
            </w:r>
          </w:p>
        </w:tc>
        <w:tc>
          <w:tcPr>
            <w:tcW w:w="2653" w:type="dxa"/>
            <w:vAlign w:val="center"/>
          </w:tcPr>
          <w:p w14:paraId="36A9525A">
            <w:pPr>
              <w:spacing w:line="360" w:lineRule="exact"/>
              <w:rPr>
                <w:sz w:val="24"/>
                <w:u w:val="single"/>
              </w:rPr>
            </w:pPr>
            <w:r>
              <w:rPr>
                <w:sz w:val="24"/>
                <w:u w:val="single"/>
              </w:rPr>
              <w:t xml:space="preserve">121100004000030913  </w:t>
            </w:r>
          </w:p>
        </w:tc>
        <w:tc>
          <w:tcPr>
            <w:tcW w:w="1866" w:type="dxa"/>
            <w:vAlign w:val="center"/>
          </w:tcPr>
          <w:p w14:paraId="18C910E1">
            <w:pPr>
              <w:spacing w:line="360" w:lineRule="exact"/>
              <w:jc w:val="center"/>
              <w:rPr>
                <w:sz w:val="24"/>
              </w:rPr>
            </w:pPr>
            <w:r>
              <w:rPr>
                <w:sz w:val="24"/>
              </w:rPr>
              <w:t>纳税人识别号：</w:t>
            </w:r>
          </w:p>
        </w:tc>
        <w:tc>
          <w:tcPr>
            <w:tcW w:w="2693" w:type="dxa"/>
            <w:vAlign w:val="center"/>
          </w:tcPr>
          <w:p w14:paraId="74993478">
            <w:pPr>
              <w:spacing w:line="360" w:lineRule="exact"/>
              <w:rPr>
                <w:sz w:val="24"/>
                <w:u w:val="single"/>
              </w:rPr>
            </w:pPr>
            <w:r>
              <w:rPr>
                <w:sz w:val="24"/>
                <w:u w:val="single"/>
              </w:rPr>
              <w:t xml:space="preserve">                     </w:t>
            </w:r>
          </w:p>
        </w:tc>
      </w:tr>
    </w:tbl>
    <w:p w14:paraId="7F236BE5">
      <w:pPr>
        <w:jc w:val="center"/>
        <w:rPr>
          <w:rFonts w:hint="eastAsia" w:ascii="宋体" w:hAnsi="宋体" w:cs="宋体"/>
          <w:b/>
          <w:bCs/>
          <w:color w:val="000000"/>
          <w:sz w:val="24"/>
        </w:rPr>
      </w:pPr>
      <w:r>
        <w:rPr>
          <w:rFonts w:hint="eastAsia" w:ascii="宋体" w:hAnsi="宋体" w:cs="宋体"/>
          <w:b/>
          <w:bCs/>
          <w:color w:val="000000"/>
          <w:sz w:val="24"/>
        </w:rPr>
        <w:br w:type="page"/>
      </w:r>
      <w:r>
        <w:rPr>
          <w:rFonts w:hint="eastAsia" w:ascii="宋体" w:hAnsi="宋体" w:cs="宋体"/>
          <w:b/>
          <w:bCs/>
          <w:color w:val="000000"/>
          <w:sz w:val="24"/>
        </w:rPr>
        <w:t>合同特殊条款</w:t>
      </w:r>
    </w:p>
    <w:p w14:paraId="0CEF296E">
      <w:pPr>
        <w:rPr>
          <w:rFonts w:hint="eastAsia" w:ascii="宋体" w:hAnsi="宋体" w:cs="宋体"/>
          <w:sz w:val="28"/>
        </w:rPr>
      </w:pPr>
    </w:p>
    <w:p w14:paraId="4E15108A">
      <w:pPr>
        <w:spacing w:line="360" w:lineRule="auto"/>
        <w:ind w:firstLine="508" w:firstLineChars="212"/>
        <w:rPr>
          <w:rFonts w:hint="eastAsia" w:ascii="宋体" w:hAnsi="宋体" w:cs="宋体"/>
          <w:sz w:val="24"/>
        </w:rPr>
      </w:pPr>
      <w:r>
        <w:rPr>
          <w:rFonts w:hint="eastAsia" w:ascii="宋体" w:hAnsi="宋体" w:cs="宋体"/>
          <w:sz w:val="24"/>
        </w:rPr>
        <w:t>合同特殊条款是合同一般条款的补充和修改。如果两者之间有抵触，应当以特殊条款为准。合同特殊条款的序号将与招标文件第一册中第二章合同一般条款序号相对应。</w:t>
      </w:r>
    </w:p>
    <w:p w14:paraId="19286516">
      <w:pPr>
        <w:spacing w:line="360" w:lineRule="auto"/>
        <w:rPr>
          <w:rFonts w:hint="eastAsia" w:ascii="宋体" w:hAnsi="宋体" w:cs="宋体"/>
          <w:bCs/>
          <w:sz w:val="24"/>
        </w:rPr>
      </w:pPr>
      <w:r>
        <w:rPr>
          <w:rFonts w:hint="eastAsia" w:ascii="宋体" w:hAnsi="宋体" w:cs="宋体"/>
          <w:bCs/>
          <w:sz w:val="24"/>
        </w:rPr>
        <w:t>1、定义</w:t>
      </w:r>
    </w:p>
    <w:p w14:paraId="3DBAC67F">
      <w:pPr>
        <w:spacing w:line="360" w:lineRule="auto"/>
        <w:ind w:firstLine="480" w:firstLineChars="200"/>
        <w:rPr>
          <w:rFonts w:hint="eastAsia" w:ascii="宋体" w:hAnsi="宋体" w:cs="宋体"/>
          <w:bCs/>
          <w:sz w:val="24"/>
        </w:rPr>
      </w:pPr>
      <w:r>
        <w:rPr>
          <w:rFonts w:hint="eastAsia" w:ascii="宋体" w:hAnsi="宋体" w:cs="宋体"/>
          <w:bCs/>
          <w:sz w:val="24"/>
        </w:rPr>
        <w:t>1.3  采购人：</w:t>
      </w:r>
      <w:r>
        <w:rPr>
          <w:rFonts w:hint="eastAsia" w:ascii="宋体" w:hAnsi="宋体" w:cs="宋体"/>
          <w:bCs/>
          <w:sz w:val="24"/>
          <w:u w:val="single"/>
        </w:rPr>
        <w:t>北京市地质灾害防治研究所</w:t>
      </w:r>
    </w:p>
    <w:p w14:paraId="415DD73E">
      <w:pPr>
        <w:spacing w:line="360" w:lineRule="auto"/>
        <w:ind w:firstLine="480" w:firstLineChars="200"/>
        <w:rPr>
          <w:rFonts w:hint="eastAsia" w:ascii="宋体" w:hAnsi="宋体" w:cs="宋体"/>
          <w:bCs/>
          <w:sz w:val="24"/>
        </w:rPr>
      </w:pPr>
      <w:r>
        <w:rPr>
          <w:rFonts w:hint="eastAsia" w:ascii="宋体" w:hAnsi="宋体" w:cs="宋体"/>
          <w:bCs/>
          <w:sz w:val="24"/>
        </w:rPr>
        <w:t>1.4  中标供应商：</w:t>
      </w:r>
      <w:r>
        <w:rPr>
          <w:rFonts w:hint="eastAsia" w:ascii="宋体" w:hAnsi="宋体" w:cs="宋体"/>
          <w:bCs/>
          <w:sz w:val="24"/>
          <w:u w:val="single"/>
        </w:rPr>
        <w:t xml:space="preserve">　                  </w:t>
      </w:r>
    </w:p>
    <w:p w14:paraId="48174EF3">
      <w:pPr>
        <w:spacing w:line="360" w:lineRule="auto"/>
        <w:rPr>
          <w:rFonts w:hint="eastAsia" w:ascii="宋体" w:hAnsi="宋体" w:cs="宋体"/>
          <w:bCs/>
          <w:sz w:val="24"/>
        </w:rPr>
      </w:pPr>
      <w:r>
        <w:rPr>
          <w:rFonts w:hint="eastAsia" w:ascii="宋体" w:hAnsi="宋体" w:cs="宋体"/>
          <w:bCs/>
          <w:sz w:val="24"/>
        </w:rPr>
        <w:t>3、服务内容</w:t>
      </w:r>
    </w:p>
    <w:p w14:paraId="413C898F">
      <w:pPr>
        <w:spacing w:line="360" w:lineRule="auto"/>
        <w:ind w:firstLine="480" w:firstLineChars="200"/>
        <w:rPr>
          <w:rFonts w:hint="eastAsia" w:ascii="宋体" w:hAnsi="宋体" w:cs="宋体"/>
          <w:bCs/>
          <w:sz w:val="24"/>
          <w:u w:val="single"/>
        </w:rPr>
      </w:pPr>
      <w:r>
        <w:rPr>
          <w:rFonts w:hint="eastAsia" w:ascii="宋体" w:hAnsi="宋体" w:cs="宋体"/>
          <w:bCs/>
          <w:sz w:val="24"/>
          <w:u w:val="single"/>
        </w:rPr>
        <w:t>数据中心运行维护服务。</w:t>
      </w:r>
    </w:p>
    <w:p w14:paraId="4A75FF27">
      <w:pPr>
        <w:spacing w:line="360" w:lineRule="auto"/>
        <w:rPr>
          <w:rFonts w:hint="eastAsia" w:ascii="宋体" w:hAnsi="宋体" w:cs="宋体"/>
          <w:bCs/>
          <w:sz w:val="24"/>
        </w:rPr>
      </w:pPr>
      <w:r>
        <w:rPr>
          <w:rFonts w:hint="eastAsia" w:ascii="宋体" w:hAnsi="宋体" w:cs="宋体"/>
          <w:bCs/>
          <w:sz w:val="24"/>
        </w:rPr>
        <w:t>4、提供服务期限、地点</w:t>
      </w:r>
    </w:p>
    <w:p w14:paraId="2BCA4A98">
      <w:pPr>
        <w:spacing w:line="360" w:lineRule="auto"/>
        <w:ind w:firstLine="480" w:firstLineChars="200"/>
        <w:rPr>
          <w:rFonts w:hint="eastAsia" w:ascii="宋体" w:hAnsi="宋体" w:cs="宋体"/>
          <w:bCs/>
          <w:sz w:val="24"/>
          <w:u w:val="single"/>
        </w:rPr>
      </w:pPr>
      <w:r>
        <w:rPr>
          <w:rFonts w:hint="eastAsia" w:ascii="宋体" w:hAnsi="宋体" w:cs="宋体"/>
          <w:bCs/>
          <w:sz w:val="24"/>
          <w:u w:val="single"/>
        </w:rPr>
        <w:t>服务期要求：服务期限自合同签订之日起至2026年12月31日。</w:t>
      </w:r>
    </w:p>
    <w:p w14:paraId="0A9C7161">
      <w:pPr>
        <w:spacing w:line="360" w:lineRule="auto"/>
        <w:ind w:firstLine="480" w:firstLineChars="200"/>
        <w:rPr>
          <w:rFonts w:hint="eastAsia" w:ascii="宋体" w:hAnsi="宋体" w:cs="宋体"/>
          <w:bCs/>
          <w:sz w:val="24"/>
          <w:u w:val="single"/>
        </w:rPr>
      </w:pPr>
      <w:r>
        <w:rPr>
          <w:rFonts w:hint="eastAsia" w:ascii="宋体" w:hAnsi="宋体" w:cs="宋体"/>
          <w:bCs/>
          <w:sz w:val="24"/>
          <w:u w:val="single"/>
        </w:rPr>
        <w:t>地点：北京市地质灾害防治研究所数据中心机房及门头沟、密云监测站数据中心机房。</w:t>
      </w:r>
    </w:p>
    <w:p w14:paraId="2EB646A5">
      <w:pPr>
        <w:spacing w:line="360" w:lineRule="auto"/>
        <w:rPr>
          <w:rFonts w:hint="eastAsia" w:ascii="宋体" w:hAnsi="宋体" w:cs="宋体"/>
          <w:bCs/>
          <w:sz w:val="24"/>
        </w:rPr>
      </w:pPr>
      <w:r>
        <w:rPr>
          <w:rFonts w:hint="eastAsia" w:ascii="宋体" w:hAnsi="宋体" w:cs="宋体"/>
          <w:bCs/>
          <w:sz w:val="24"/>
        </w:rPr>
        <w:t>5、付款方式</w:t>
      </w:r>
    </w:p>
    <w:p w14:paraId="21C0E875">
      <w:pPr>
        <w:spacing w:line="360" w:lineRule="auto"/>
        <w:ind w:firstLine="480" w:firstLineChars="200"/>
        <w:rPr>
          <w:rFonts w:hint="eastAsia" w:ascii="宋体" w:hAnsi="宋体" w:cs="宋体"/>
          <w:bCs/>
          <w:sz w:val="24"/>
          <w:u w:val="single"/>
        </w:rPr>
      </w:pPr>
      <w:r>
        <w:rPr>
          <w:rFonts w:hint="eastAsia" w:ascii="宋体" w:hAnsi="宋体" w:cs="宋体"/>
          <w:bCs/>
          <w:sz w:val="24"/>
        </w:rPr>
        <w:t>5.1付款方式：（1）采购人与中标供应商签订合同后20个工作日内，采购人向中标供应商支付本项目中数据中心运行维护费50%，即人民币（大写）</w:t>
      </w:r>
      <w:r>
        <w:rPr>
          <w:rFonts w:hint="eastAsia" w:ascii="宋体" w:hAnsi="宋体" w:cs="宋体"/>
          <w:bCs/>
          <w:sz w:val="24"/>
          <w:u w:val="single"/>
        </w:rPr>
        <w:t xml:space="preserve">            元整</w:t>
      </w:r>
      <w:r>
        <w:rPr>
          <w:rFonts w:hint="eastAsia" w:ascii="宋体" w:hAnsi="宋体" w:cs="宋体"/>
          <w:bCs/>
          <w:sz w:val="24"/>
        </w:rPr>
        <w:t>（</w:t>
      </w:r>
      <w:r>
        <w:rPr>
          <w:rFonts w:hint="eastAsia" w:ascii="宋体" w:hAnsi="宋体" w:cs="宋体"/>
          <w:bCs/>
          <w:sz w:val="24"/>
          <w:u w:val="single"/>
        </w:rPr>
        <w:t xml:space="preserve">¥             </w:t>
      </w:r>
      <w:r>
        <w:rPr>
          <w:rFonts w:hint="eastAsia" w:ascii="宋体" w:hAnsi="宋体" w:cs="宋体"/>
          <w:bCs/>
          <w:sz w:val="24"/>
        </w:rPr>
        <w:t>元）。（2）第三季度结束并提交前三季度报告后，经采购人验收合格后20个工作日内，支付本项目中数据中心运行维护费40%，即人民币（大写）</w:t>
      </w:r>
      <w:r>
        <w:rPr>
          <w:rFonts w:hint="eastAsia" w:ascii="宋体" w:hAnsi="宋体" w:cs="宋体"/>
          <w:bCs/>
          <w:sz w:val="24"/>
          <w:u w:val="single"/>
        </w:rPr>
        <w:t xml:space="preserve">            元整</w:t>
      </w:r>
      <w:r>
        <w:rPr>
          <w:rFonts w:hint="eastAsia" w:ascii="宋体" w:hAnsi="宋体" w:cs="宋体"/>
          <w:bCs/>
          <w:sz w:val="24"/>
        </w:rPr>
        <w:t>（</w:t>
      </w:r>
      <w:r>
        <w:rPr>
          <w:rFonts w:hint="eastAsia" w:ascii="宋体" w:hAnsi="宋体" w:cs="宋体"/>
          <w:bCs/>
          <w:sz w:val="24"/>
          <w:u w:val="single"/>
        </w:rPr>
        <w:t xml:space="preserve">¥            </w:t>
      </w:r>
      <w:r>
        <w:rPr>
          <w:rFonts w:hint="eastAsia" w:ascii="宋体" w:hAnsi="宋体" w:cs="宋体"/>
          <w:bCs/>
          <w:sz w:val="24"/>
        </w:rPr>
        <w:t>元）。（3）第四季度末且提交年度运行维护报告后经采购人验收合格20个工作日内一次性付清本项目中数据中心运行维护费10%的余款，即人民币（大写）</w:t>
      </w:r>
      <w:r>
        <w:rPr>
          <w:rFonts w:hint="eastAsia" w:ascii="宋体" w:hAnsi="宋体" w:cs="宋体"/>
          <w:bCs/>
          <w:sz w:val="24"/>
          <w:u w:val="single"/>
        </w:rPr>
        <w:t xml:space="preserve">            元整</w:t>
      </w:r>
      <w:r>
        <w:rPr>
          <w:rFonts w:hint="eastAsia" w:ascii="宋体" w:hAnsi="宋体" w:cs="宋体"/>
          <w:bCs/>
          <w:sz w:val="24"/>
        </w:rPr>
        <w:t>（</w:t>
      </w:r>
      <w:r>
        <w:rPr>
          <w:rFonts w:hint="eastAsia" w:ascii="宋体" w:hAnsi="宋体" w:cs="宋体"/>
          <w:bCs/>
          <w:sz w:val="24"/>
          <w:u w:val="single"/>
        </w:rPr>
        <w:t xml:space="preserve">¥            </w:t>
      </w:r>
      <w:r>
        <w:rPr>
          <w:rFonts w:hint="eastAsia" w:ascii="宋体" w:hAnsi="宋体" w:cs="宋体"/>
          <w:bCs/>
          <w:sz w:val="24"/>
        </w:rPr>
        <w:t>元）。</w:t>
      </w:r>
    </w:p>
    <w:p w14:paraId="00A2930B">
      <w:pPr>
        <w:spacing w:line="360" w:lineRule="auto"/>
        <w:rPr>
          <w:rFonts w:hint="eastAsia" w:ascii="宋体" w:hAnsi="宋体" w:cs="宋体"/>
          <w:bCs/>
          <w:sz w:val="24"/>
        </w:rPr>
      </w:pPr>
      <w:r>
        <w:rPr>
          <w:rFonts w:hint="eastAsia" w:ascii="宋体" w:hAnsi="宋体" w:cs="宋体"/>
          <w:bCs/>
          <w:sz w:val="24"/>
        </w:rPr>
        <w:t>8、索赔</w:t>
      </w:r>
    </w:p>
    <w:p w14:paraId="77EFCBDC">
      <w:pPr>
        <w:spacing w:line="360" w:lineRule="auto"/>
        <w:ind w:firstLine="480" w:firstLineChars="200"/>
        <w:rPr>
          <w:rFonts w:hint="eastAsia" w:ascii="宋体" w:hAnsi="宋体" w:cs="宋体"/>
          <w:bCs/>
          <w:sz w:val="24"/>
          <w:u w:val="single"/>
        </w:rPr>
      </w:pPr>
      <w:r>
        <w:rPr>
          <w:rFonts w:hint="eastAsia" w:ascii="宋体" w:hAnsi="宋体" w:cs="宋体"/>
          <w:bCs/>
          <w:sz w:val="24"/>
          <w:u w:val="single"/>
        </w:rPr>
        <w:t>根据合同一般条款约定。</w:t>
      </w:r>
    </w:p>
    <w:p w14:paraId="456C9FF9">
      <w:pPr>
        <w:spacing w:line="360" w:lineRule="auto"/>
        <w:rPr>
          <w:rFonts w:hint="eastAsia" w:ascii="宋体" w:hAnsi="宋体" w:cs="宋体"/>
          <w:bCs/>
          <w:sz w:val="24"/>
        </w:rPr>
      </w:pPr>
      <w:r>
        <w:rPr>
          <w:rFonts w:hint="eastAsia" w:ascii="宋体" w:hAnsi="宋体" w:cs="宋体"/>
          <w:bCs/>
          <w:sz w:val="24"/>
        </w:rPr>
        <w:t>10、不可抗力</w:t>
      </w:r>
    </w:p>
    <w:p w14:paraId="7341EBCB">
      <w:pPr>
        <w:spacing w:line="360" w:lineRule="auto"/>
        <w:ind w:firstLine="480" w:firstLineChars="200"/>
        <w:rPr>
          <w:rFonts w:hint="eastAsia" w:ascii="宋体" w:hAnsi="宋体" w:cs="宋体"/>
          <w:sz w:val="24"/>
        </w:rPr>
      </w:pPr>
      <w:r>
        <w:rPr>
          <w:rFonts w:hint="eastAsia" w:ascii="宋体" w:hAnsi="宋体" w:cs="宋体"/>
          <w:bCs/>
          <w:sz w:val="24"/>
          <w:u w:val="single"/>
        </w:rPr>
        <w:t>根据合同一般条款约定。</w:t>
      </w:r>
    </w:p>
    <w:p w14:paraId="42FFD0DE">
      <w:pPr>
        <w:spacing w:line="360" w:lineRule="auto"/>
        <w:rPr>
          <w:rFonts w:hint="eastAsia" w:ascii="宋体" w:hAnsi="宋体" w:cs="宋体"/>
          <w:bCs/>
          <w:sz w:val="24"/>
        </w:rPr>
      </w:pPr>
      <w:r>
        <w:rPr>
          <w:rFonts w:hint="eastAsia" w:ascii="宋体" w:hAnsi="宋体" w:cs="宋体"/>
          <w:bCs/>
          <w:sz w:val="24"/>
        </w:rPr>
        <w:t>12、履约保证金：本项目不适用。</w:t>
      </w:r>
    </w:p>
    <w:p w14:paraId="6AFCB3E1">
      <w:pPr>
        <w:spacing w:line="360" w:lineRule="auto"/>
        <w:ind w:firstLine="480" w:firstLineChars="200"/>
        <w:rPr>
          <w:rFonts w:hint="eastAsia" w:ascii="宋体" w:hAnsi="宋体" w:cs="宋体"/>
          <w:bCs/>
          <w:sz w:val="24"/>
        </w:rPr>
      </w:pPr>
    </w:p>
    <w:p w14:paraId="7B8DB9C4">
      <w:pPr>
        <w:spacing w:line="360" w:lineRule="auto"/>
        <w:rPr>
          <w:rFonts w:hint="eastAsia" w:ascii="宋体" w:hAnsi="宋体" w:cs="宋体"/>
          <w:color w:val="000000"/>
          <w:sz w:val="24"/>
        </w:rPr>
      </w:pPr>
      <w:r>
        <w:rPr>
          <w:rFonts w:hint="eastAsia" w:ascii="宋体" w:hAnsi="宋体" w:cs="宋体"/>
          <w:bCs/>
          <w:sz w:val="24"/>
        </w:rPr>
        <w:t>22.3 本合同一式</w:t>
      </w:r>
      <w:r>
        <w:rPr>
          <w:rFonts w:hint="eastAsia" w:ascii="宋体" w:hAnsi="宋体" w:cs="宋体"/>
          <w:bCs/>
          <w:sz w:val="24"/>
          <w:u w:val="single"/>
        </w:rPr>
        <w:t>柒</w:t>
      </w:r>
      <w:r>
        <w:rPr>
          <w:rFonts w:hint="eastAsia" w:ascii="宋体" w:hAnsi="宋体" w:cs="宋体"/>
          <w:bCs/>
          <w:sz w:val="24"/>
        </w:rPr>
        <w:t>份，具有同等法律效力。采购人和中标供应商各执</w:t>
      </w:r>
      <w:r>
        <w:rPr>
          <w:rFonts w:hint="eastAsia" w:ascii="宋体" w:hAnsi="宋体" w:cs="宋体"/>
          <w:bCs/>
          <w:sz w:val="24"/>
          <w:u w:val="single"/>
        </w:rPr>
        <w:t>叁</w:t>
      </w:r>
      <w:r>
        <w:rPr>
          <w:rFonts w:hint="eastAsia" w:ascii="宋体" w:hAnsi="宋体" w:cs="宋体"/>
          <w:bCs/>
          <w:sz w:val="24"/>
        </w:rPr>
        <w:t>份，招标代理机构执</w:t>
      </w:r>
      <w:r>
        <w:rPr>
          <w:rFonts w:hint="eastAsia" w:ascii="宋体" w:hAnsi="宋体" w:cs="宋体"/>
          <w:bCs/>
          <w:sz w:val="24"/>
          <w:u w:val="single"/>
        </w:rPr>
        <w:t>壹</w:t>
      </w:r>
      <w:r>
        <w:rPr>
          <w:rFonts w:hint="eastAsia" w:ascii="宋体" w:hAnsi="宋体" w:cs="宋体"/>
          <w:bCs/>
          <w:sz w:val="24"/>
        </w:rPr>
        <w:t>份。</w:t>
      </w:r>
      <w:r>
        <w:rPr>
          <w:rFonts w:hint="eastAsia" w:ascii="宋体" w:hAnsi="宋体" w:cs="宋体"/>
          <w:color w:val="000000"/>
          <w:sz w:val="24"/>
        </w:rPr>
        <w:br w:type="page"/>
      </w:r>
    </w:p>
    <w:p w14:paraId="071C9E4D">
      <w:pPr>
        <w:spacing w:line="360" w:lineRule="auto"/>
        <w:rPr>
          <w:rFonts w:hint="eastAsia" w:ascii="宋体" w:hAnsi="宋体" w:cs="宋体"/>
          <w:b/>
          <w:bCs/>
          <w:sz w:val="24"/>
        </w:rPr>
      </w:pPr>
      <w:r>
        <w:rPr>
          <w:rFonts w:hint="eastAsia" w:ascii="宋体" w:hAnsi="宋体" w:cs="宋体"/>
          <w:b/>
          <w:bCs/>
          <w:sz w:val="24"/>
        </w:rPr>
        <w:t>1、定义</w:t>
      </w:r>
    </w:p>
    <w:p w14:paraId="6FF19A74">
      <w:pPr>
        <w:spacing w:line="360" w:lineRule="auto"/>
        <w:ind w:firstLine="480" w:firstLineChars="200"/>
        <w:rPr>
          <w:rFonts w:hint="eastAsia" w:ascii="宋体" w:hAnsi="宋体" w:cs="宋体"/>
          <w:sz w:val="24"/>
        </w:rPr>
      </w:pPr>
      <w:r>
        <w:rPr>
          <w:rFonts w:hint="eastAsia" w:ascii="宋体" w:hAnsi="宋体" w:cs="宋体"/>
          <w:sz w:val="24"/>
        </w:rPr>
        <w:t>本合同中的下列术语应解释为：</w:t>
      </w:r>
    </w:p>
    <w:p w14:paraId="22BF53F8">
      <w:pPr>
        <w:spacing w:line="360" w:lineRule="auto"/>
        <w:ind w:firstLine="480" w:firstLineChars="200"/>
        <w:rPr>
          <w:rFonts w:hint="eastAsia" w:ascii="宋体" w:hAnsi="宋体" w:cs="宋体"/>
          <w:sz w:val="24"/>
        </w:rPr>
      </w:pPr>
      <w:r>
        <w:rPr>
          <w:rFonts w:hint="eastAsia" w:ascii="宋体" w:hAnsi="宋体" w:cs="宋体"/>
          <w:sz w:val="24"/>
        </w:rPr>
        <w:t>1.1“合同”系指采购人与中标供应商签署的、合同格式中载明的采购人与中标供应商所达成的合同，包括所有的附件、附录和构成合同的其它文件。</w:t>
      </w:r>
    </w:p>
    <w:p w14:paraId="21052670">
      <w:pPr>
        <w:spacing w:line="360" w:lineRule="auto"/>
        <w:ind w:firstLine="480" w:firstLineChars="200"/>
        <w:rPr>
          <w:rFonts w:hint="eastAsia" w:ascii="宋体" w:hAnsi="宋体" w:cs="宋体"/>
          <w:sz w:val="24"/>
          <w:u w:val="single"/>
        </w:rPr>
      </w:pPr>
      <w:r>
        <w:rPr>
          <w:rFonts w:hint="eastAsia" w:ascii="宋体" w:hAnsi="宋体" w:cs="宋体"/>
          <w:sz w:val="24"/>
        </w:rPr>
        <w:t>1.2“服务”系指根据合同规定中标供应商承担的服务。</w:t>
      </w:r>
    </w:p>
    <w:p w14:paraId="5DA06C41">
      <w:pPr>
        <w:spacing w:line="360" w:lineRule="auto"/>
        <w:ind w:firstLine="480" w:firstLineChars="200"/>
        <w:rPr>
          <w:rFonts w:hint="eastAsia" w:ascii="宋体" w:hAnsi="宋体" w:cs="宋体"/>
          <w:sz w:val="24"/>
        </w:rPr>
      </w:pPr>
      <w:r>
        <w:rPr>
          <w:rFonts w:hint="eastAsia" w:ascii="宋体" w:hAnsi="宋体" w:cs="宋体"/>
          <w:sz w:val="24"/>
        </w:rPr>
        <w:t>1.3“采购人”系指与中标供应商签署采购合同的单位（含最终用户）</w:t>
      </w:r>
    </w:p>
    <w:p w14:paraId="6E65E415">
      <w:pPr>
        <w:spacing w:line="360" w:lineRule="auto"/>
        <w:ind w:firstLine="480" w:firstLineChars="200"/>
        <w:rPr>
          <w:rFonts w:hint="eastAsia" w:ascii="宋体" w:hAnsi="宋体" w:cs="宋体"/>
          <w:sz w:val="24"/>
          <w:u w:val="single"/>
        </w:rPr>
      </w:pPr>
      <w:r>
        <w:rPr>
          <w:rFonts w:hint="eastAsia" w:ascii="宋体" w:hAnsi="宋体" w:cs="宋体"/>
          <w:sz w:val="24"/>
        </w:rPr>
        <w:t>1.4“中标供应商”系指</w:t>
      </w:r>
      <w:r>
        <w:rPr>
          <w:rFonts w:hint="eastAsia" w:ascii="宋体" w:hAnsi="宋体" w:cs="宋体"/>
          <w:sz w:val="24"/>
          <w:u w:val="single"/>
        </w:rPr>
        <w:t>根据合同规定提供服务的中标供应商。</w:t>
      </w:r>
    </w:p>
    <w:p w14:paraId="55EBFE1A">
      <w:pPr>
        <w:spacing w:line="360" w:lineRule="auto"/>
        <w:ind w:firstLine="480" w:firstLineChars="200"/>
        <w:rPr>
          <w:rFonts w:hint="eastAsia" w:ascii="宋体" w:hAnsi="宋体" w:cs="宋体"/>
          <w:sz w:val="24"/>
        </w:rPr>
      </w:pPr>
      <w:r>
        <w:rPr>
          <w:rFonts w:hint="eastAsia" w:ascii="宋体" w:hAnsi="宋体" w:cs="宋体"/>
          <w:sz w:val="24"/>
        </w:rPr>
        <w:t>1.5“招标代理机构”系</w:t>
      </w:r>
      <w:r>
        <w:rPr>
          <w:rFonts w:hint="eastAsia" w:ascii="宋体" w:hAnsi="宋体" w:cs="宋体"/>
          <w:sz w:val="24"/>
          <w:u w:val="single"/>
        </w:rPr>
        <w:t>指国信招标集团股份有限公司。</w:t>
      </w:r>
    </w:p>
    <w:p w14:paraId="59800AAE">
      <w:pPr>
        <w:spacing w:line="360" w:lineRule="auto"/>
        <w:ind w:firstLine="480" w:firstLineChars="200"/>
        <w:rPr>
          <w:rFonts w:hint="eastAsia" w:ascii="宋体" w:hAnsi="宋体" w:cs="宋体"/>
          <w:sz w:val="24"/>
        </w:rPr>
      </w:pPr>
      <w:r>
        <w:rPr>
          <w:rFonts w:hint="eastAsia" w:ascii="宋体" w:hAnsi="宋体" w:cs="宋体"/>
          <w:sz w:val="24"/>
        </w:rPr>
        <w:t>1.6“现场”系指</w:t>
      </w:r>
      <w:r>
        <w:rPr>
          <w:rFonts w:hint="eastAsia" w:ascii="宋体" w:hAnsi="宋体" w:cs="宋体"/>
          <w:sz w:val="24"/>
          <w:u w:val="single"/>
        </w:rPr>
        <w:t>合同项下服务的实施地点。</w:t>
      </w:r>
    </w:p>
    <w:p w14:paraId="202689E2">
      <w:pPr>
        <w:spacing w:line="360" w:lineRule="auto"/>
        <w:ind w:firstLine="480" w:firstLineChars="200"/>
        <w:rPr>
          <w:rFonts w:hint="eastAsia" w:ascii="宋体" w:hAnsi="宋体" w:cs="宋体"/>
          <w:sz w:val="24"/>
          <w:u w:val="single"/>
        </w:rPr>
      </w:pPr>
      <w:r>
        <w:rPr>
          <w:rFonts w:hint="eastAsia" w:ascii="宋体" w:hAnsi="宋体" w:cs="宋体"/>
          <w:sz w:val="24"/>
        </w:rPr>
        <w:t>1.7“验收”系指</w:t>
      </w:r>
      <w:r>
        <w:rPr>
          <w:rFonts w:hint="eastAsia" w:ascii="宋体" w:hAnsi="宋体" w:cs="宋体"/>
          <w:sz w:val="24"/>
          <w:u w:val="single"/>
        </w:rPr>
        <w:t>合同双方依据规定的程序和条件确认合同项下的服务符合技术规范的要求。</w:t>
      </w:r>
    </w:p>
    <w:p w14:paraId="01846052">
      <w:pPr>
        <w:spacing w:line="360" w:lineRule="auto"/>
        <w:rPr>
          <w:rFonts w:hint="eastAsia" w:ascii="宋体" w:hAnsi="宋体" w:cs="宋体"/>
          <w:b/>
          <w:bCs/>
          <w:sz w:val="24"/>
        </w:rPr>
      </w:pPr>
      <w:r>
        <w:rPr>
          <w:rFonts w:hint="eastAsia" w:ascii="宋体" w:hAnsi="宋体" w:cs="宋体"/>
          <w:b/>
          <w:bCs/>
          <w:sz w:val="24"/>
        </w:rPr>
        <w:t>2、技术规范</w:t>
      </w:r>
    </w:p>
    <w:p w14:paraId="4E6FECA0">
      <w:pPr>
        <w:spacing w:line="360" w:lineRule="auto"/>
        <w:ind w:firstLine="480" w:firstLineChars="200"/>
        <w:rPr>
          <w:rFonts w:hint="eastAsia" w:ascii="宋体" w:hAnsi="宋体" w:cs="宋体"/>
          <w:sz w:val="24"/>
        </w:rPr>
      </w:pPr>
      <w:r>
        <w:rPr>
          <w:rFonts w:hint="eastAsia" w:ascii="宋体" w:hAnsi="宋体" w:cs="宋体"/>
          <w:sz w:val="24"/>
        </w:rPr>
        <w:t>2.1提交货物（如有）的技术规范应与招标文件规定的技术规范和技术规范附件 （如果有的话）及其投标文件的规格偏差表（如果被采购人接受的话） 相一致。</w:t>
      </w:r>
    </w:p>
    <w:p w14:paraId="36D590DD">
      <w:pPr>
        <w:spacing w:line="360" w:lineRule="auto"/>
        <w:ind w:firstLine="480" w:firstLineChars="200"/>
        <w:rPr>
          <w:rFonts w:hint="eastAsia" w:ascii="宋体" w:hAnsi="宋体" w:cs="宋体"/>
          <w:sz w:val="24"/>
        </w:rPr>
      </w:pPr>
      <w:r>
        <w:rPr>
          <w:rFonts w:hint="eastAsia" w:ascii="宋体" w:hAnsi="宋体" w:cs="宋体"/>
          <w:sz w:val="24"/>
        </w:rPr>
        <w:t>2.2若技术规范中无相应说明，则以国家有关部门最新颁布的相应标准及规范为准。</w:t>
      </w:r>
    </w:p>
    <w:p w14:paraId="3A235251">
      <w:pPr>
        <w:numPr>
          <w:ilvl w:val="0"/>
          <w:numId w:val="24"/>
        </w:numPr>
        <w:tabs>
          <w:tab w:val="left" w:pos="829"/>
        </w:tabs>
        <w:spacing w:line="360" w:lineRule="auto"/>
        <w:ind w:hanging="829"/>
        <w:rPr>
          <w:rFonts w:hint="eastAsia" w:ascii="宋体" w:hAnsi="宋体" w:cs="宋体"/>
          <w:b/>
          <w:bCs/>
          <w:sz w:val="24"/>
        </w:rPr>
      </w:pPr>
      <w:r>
        <w:rPr>
          <w:rFonts w:hint="eastAsia" w:ascii="宋体" w:hAnsi="宋体" w:cs="宋体"/>
          <w:b/>
          <w:bCs/>
          <w:sz w:val="24"/>
        </w:rPr>
        <w:t>服务内容</w:t>
      </w:r>
    </w:p>
    <w:p w14:paraId="7819B3B5">
      <w:pPr>
        <w:spacing w:line="360" w:lineRule="auto"/>
        <w:ind w:firstLine="480" w:firstLineChars="200"/>
        <w:rPr>
          <w:rFonts w:hint="eastAsia" w:ascii="宋体" w:hAnsi="宋体" w:cs="宋体"/>
          <w:sz w:val="24"/>
        </w:rPr>
      </w:pPr>
      <w:r>
        <w:rPr>
          <w:rFonts w:hint="eastAsia" w:ascii="宋体" w:hAnsi="宋体" w:cs="宋体"/>
          <w:sz w:val="24"/>
        </w:rPr>
        <w:t>详见合同书中规定。</w:t>
      </w:r>
    </w:p>
    <w:p w14:paraId="0D100F22">
      <w:pPr>
        <w:spacing w:line="360" w:lineRule="auto"/>
        <w:rPr>
          <w:rFonts w:hint="eastAsia" w:ascii="宋体" w:hAnsi="宋体" w:cs="宋体"/>
          <w:b/>
          <w:bCs/>
          <w:sz w:val="24"/>
        </w:rPr>
      </w:pPr>
      <w:r>
        <w:rPr>
          <w:rFonts w:hint="eastAsia" w:ascii="宋体" w:hAnsi="宋体" w:cs="宋体"/>
          <w:b/>
          <w:bCs/>
          <w:sz w:val="24"/>
        </w:rPr>
        <w:t>4、提供服务期限、地点</w:t>
      </w:r>
    </w:p>
    <w:p w14:paraId="3C213FE0">
      <w:pPr>
        <w:spacing w:line="360" w:lineRule="auto"/>
        <w:ind w:firstLine="480" w:firstLineChars="200"/>
        <w:rPr>
          <w:rFonts w:hint="eastAsia" w:ascii="宋体" w:hAnsi="宋体" w:cs="宋体"/>
          <w:bCs/>
          <w:sz w:val="24"/>
        </w:rPr>
      </w:pPr>
      <w:r>
        <w:rPr>
          <w:rFonts w:hint="eastAsia" w:ascii="宋体" w:hAnsi="宋体" w:cs="宋体"/>
          <w:sz w:val="24"/>
        </w:rPr>
        <w:t xml:space="preserve">详见合同书中规定。                    </w:t>
      </w:r>
    </w:p>
    <w:p w14:paraId="629C5AE0">
      <w:pPr>
        <w:spacing w:line="360" w:lineRule="auto"/>
        <w:rPr>
          <w:rFonts w:hint="eastAsia" w:ascii="宋体" w:hAnsi="宋体" w:cs="宋体"/>
          <w:b/>
          <w:bCs/>
          <w:sz w:val="24"/>
        </w:rPr>
      </w:pPr>
      <w:r>
        <w:rPr>
          <w:rFonts w:hint="eastAsia" w:ascii="宋体" w:hAnsi="宋体" w:cs="宋体"/>
          <w:b/>
          <w:bCs/>
          <w:sz w:val="24"/>
        </w:rPr>
        <w:t>5、付款方式</w:t>
      </w:r>
    </w:p>
    <w:p w14:paraId="23572FCC">
      <w:pPr>
        <w:spacing w:line="360" w:lineRule="auto"/>
        <w:ind w:left="600" w:hanging="600" w:hangingChars="250"/>
        <w:rPr>
          <w:rFonts w:hint="eastAsia" w:ascii="宋体" w:hAnsi="宋体" w:cs="宋体"/>
          <w:sz w:val="24"/>
        </w:rPr>
      </w:pPr>
      <w:r>
        <w:rPr>
          <w:rFonts w:hint="eastAsia" w:ascii="宋体" w:hAnsi="宋体" w:cs="宋体"/>
          <w:sz w:val="24"/>
        </w:rPr>
        <w:t>付款条件详见合同书中规定。</w:t>
      </w:r>
    </w:p>
    <w:p w14:paraId="62D17894">
      <w:pPr>
        <w:spacing w:line="360" w:lineRule="auto"/>
        <w:rPr>
          <w:rFonts w:hint="eastAsia" w:ascii="宋体" w:hAnsi="宋体" w:cs="宋体"/>
          <w:b/>
          <w:bCs/>
          <w:sz w:val="24"/>
        </w:rPr>
      </w:pPr>
      <w:r>
        <w:rPr>
          <w:rFonts w:hint="eastAsia" w:ascii="宋体" w:hAnsi="宋体" w:cs="宋体"/>
          <w:b/>
          <w:bCs/>
          <w:sz w:val="24"/>
        </w:rPr>
        <w:t>6、索赔</w:t>
      </w:r>
    </w:p>
    <w:p w14:paraId="190BACF2">
      <w:pPr>
        <w:spacing w:line="360" w:lineRule="auto"/>
        <w:ind w:firstLine="480" w:firstLineChars="200"/>
        <w:rPr>
          <w:rFonts w:hint="eastAsia" w:ascii="宋体" w:hAnsi="宋体" w:cs="宋体"/>
          <w:sz w:val="24"/>
        </w:rPr>
      </w:pPr>
      <w:r>
        <w:rPr>
          <w:rFonts w:hint="eastAsia" w:ascii="宋体" w:hAnsi="宋体" w:cs="宋体"/>
          <w:sz w:val="24"/>
        </w:rPr>
        <w:t>如果中标供应商提供的服务质量与合同不符，采购人有权根据合同约定向中标供应商提出索赔。</w:t>
      </w:r>
    </w:p>
    <w:p w14:paraId="6FF677F5">
      <w:pPr>
        <w:spacing w:line="360" w:lineRule="auto"/>
        <w:rPr>
          <w:rFonts w:hint="eastAsia" w:ascii="宋体" w:hAnsi="宋体" w:cs="宋体"/>
          <w:b/>
          <w:bCs/>
          <w:sz w:val="24"/>
        </w:rPr>
      </w:pPr>
      <w:r>
        <w:rPr>
          <w:rFonts w:hint="eastAsia" w:ascii="宋体" w:hAnsi="宋体" w:cs="宋体"/>
          <w:b/>
          <w:bCs/>
          <w:sz w:val="24"/>
        </w:rPr>
        <w:t>7、延期提供服务</w:t>
      </w:r>
    </w:p>
    <w:p w14:paraId="5D64ED1C">
      <w:pPr>
        <w:spacing w:line="360" w:lineRule="auto"/>
        <w:ind w:firstLine="480" w:firstLineChars="200"/>
        <w:rPr>
          <w:rFonts w:hint="eastAsia" w:ascii="宋体" w:hAnsi="宋体" w:cs="宋体"/>
          <w:sz w:val="24"/>
        </w:rPr>
      </w:pPr>
      <w:r>
        <w:rPr>
          <w:rFonts w:hint="eastAsia" w:ascii="宋体" w:hAnsi="宋体" w:cs="宋体"/>
          <w:sz w:val="24"/>
        </w:rPr>
        <w:t>7.1中标供应商应按照合同中规定的条款提供服务。</w:t>
      </w:r>
    </w:p>
    <w:p w14:paraId="03E935CC">
      <w:pPr>
        <w:spacing w:line="360" w:lineRule="auto"/>
        <w:ind w:firstLine="480" w:firstLineChars="200"/>
        <w:rPr>
          <w:rFonts w:hint="eastAsia" w:ascii="宋体" w:hAnsi="宋体" w:cs="宋体"/>
          <w:sz w:val="24"/>
        </w:rPr>
      </w:pPr>
      <w:r>
        <w:rPr>
          <w:rFonts w:hint="eastAsia" w:ascii="宋体" w:hAnsi="宋体" w:cs="宋体"/>
          <w:sz w:val="24"/>
        </w:rPr>
        <w:t>7.2如果中标供应商延迟交货和/或提供服务并影响采购方正常履行合同的的，采购人可采取以下制裁: 收取违约金、赔偿金，直至解除合同。</w:t>
      </w:r>
    </w:p>
    <w:p w14:paraId="24C198CB">
      <w:pPr>
        <w:spacing w:line="360" w:lineRule="auto"/>
        <w:rPr>
          <w:rFonts w:hint="eastAsia" w:ascii="宋体" w:hAnsi="宋体" w:cs="宋体"/>
          <w:b/>
          <w:bCs/>
          <w:sz w:val="24"/>
        </w:rPr>
      </w:pPr>
      <w:r>
        <w:rPr>
          <w:rFonts w:hint="eastAsia" w:ascii="宋体" w:hAnsi="宋体" w:cs="宋体"/>
          <w:b/>
          <w:sz w:val="24"/>
        </w:rPr>
        <w:t>8</w:t>
      </w:r>
      <w:r>
        <w:rPr>
          <w:rFonts w:hint="eastAsia" w:ascii="宋体" w:hAnsi="宋体" w:cs="宋体"/>
          <w:b/>
          <w:bCs/>
          <w:sz w:val="24"/>
        </w:rPr>
        <w:t>、违约赔偿</w:t>
      </w:r>
    </w:p>
    <w:p w14:paraId="320F7ABD">
      <w:pPr>
        <w:spacing w:line="360" w:lineRule="auto"/>
        <w:ind w:firstLine="480" w:firstLineChars="200"/>
        <w:rPr>
          <w:rFonts w:hint="eastAsia" w:ascii="宋体" w:hAnsi="宋体" w:cs="宋体"/>
          <w:sz w:val="24"/>
        </w:rPr>
      </w:pPr>
      <w:r>
        <w:rPr>
          <w:rFonts w:hint="eastAsia" w:ascii="宋体" w:hAnsi="宋体" w:cs="宋体"/>
          <w:sz w:val="24"/>
        </w:rPr>
        <w:t>如果中标供应商没有按照合同规定的时间交货或提供服务，采购人可从应付款项中先行扣除违约金。违约金的计算标准为中标供应商每迟提供服务一天，按延迟提供服务的价格的1%计收。如果违约金不足以弥补甲方损失的，采购人有权要求中标供应商支付赔偿金，补足违约金不足部分。如果中标供应商在超过</w:t>
      </w:r>
      <w:r>
        <w:rPr>
          <w:rFonts w:hint="eastAsia" w:ascii="宋体" w:hAnsi="宋体" w:cs="宋体"/>
          <w:b/>
          <w:sz w:val="24"/>
        </w:rPr>
        <w:t>7</w:t>
      </w:r>
      <w:r>
        <w:rPr>
          <w:rFonts w:hint="eastAsia" w:ascii="宋体" w:hAnsi="宋体" w:cs="宋体"/>
          <w:sz w:val="24"/>
        </w:rPr>
        <w:t>天后仍不能交货和/或提供服务，采购人有权单方解除合同。</w:t>
      </w:r>
    </w:p>
    <w:p w14:paraId="16E47A15">
      <w:pPr>
        <w:spacing w:line="360" w:lineRule="auto"/>
        <w:rPr>
          <w:rFonts w:hint="eastAsia" w:ascii="宋体" w:hAnsi="宋体" w:cs="宋体"/>
          <w:b/>
          <w:bCs/>
          <w:sz w:val="24"/>
        </w:rPr>
      </w:pPr>
      <w:r>
        <w:rPr>
          <w:rFonts w:hint="eastAsia" w:ascii="宋体" w:hAnsi="宋体" w:cs="宋体"/>
          <w:b/>
          <w:bCs/>
          <w:sz w:val="24"/>
        </w:rPr>
        <w:t>9、验收</w:t>
      </w:r>
    </w:p>
    <w:p w14:paraId="562C2DCD">
      <w:pPr>
        <w:spacing w:line="360" w:lineRule="auto"/>
        <w:ind w:firstLine="480" w:firstLineChars="200"/>
        <w:rPr>
          <w:rFonts w:hint="eastAsia" w:ascii="宋体" w:hAnsi="宋体" w:cs="宋体"/>
          <w:sz w:val="24"/>
        </w:rPr>
      </w:pPr>
      <w:r>
        <w:rPr>
          <w:rFonts w:hint="eastAsia" w:ascii="宋体" w:hAnsi="宋体" w:cs="宋体"/>
          <w:bCs/>
          <w:sz w:val="24"/>
        </w:rPr>
        <w:t>项目年底验收前10日，乙方通知甲方进行项目验收工作准备，由乙方提交年度运行维护报告，甲方组织验收。验收标准根据本合同约定的服务内容，如乙方完成的工作不符合合同约定或甲方要求，甲方有权要求乙方在甲方规定时间内予以整改。</w:t>
      </w:r>
    </w:p>
    <w:p w14:paraId="77E5F7D2">
      <w:pPr>
        <w:spacing w:line="360" w:lineRule="auto"/>
        <w:rPr>
          <w:rFonts w:hint="eastAsia" w:ascii="宋体" w:hAnsi="宋体" w:cs="宋体"/>
          <w:b/>
          <w:bCs/>
          <w:sz w:val="24"/>
        </w:rPr>
      </w:pPr>
      <w:r>
        <w:rPr>
          <w:rFonts w:hint="eastAsia" w:ascii="宋体" w:hAnsi="宋体" w:cs="宋体"/>
          <w:b/>
          <w:bCs/>
          <w:sz w:val="24"/>
        </w:rPr>
        <w:t>10、不可抗力</w:t>
      </w:r>
    </w:p>
    <w:p w14:paraId="4C613823">
      <w:pPr>
        <w:spacing w:line="360" w:lineRule="auto"/>
        <w:ind w:firstLine="480" w:firstLineChars="200"/>
        <w:rPr>
          <w:rFonts w:hint="eastAsia" w:ascii="宋体" w:hAnsi="宋体" w:cs="宋体"/>
          <w:sz w:val="24"/>
        </w:rPr>
      </w:pPr>
      <w:r>
        <w:rPr>
          <w:rFonts w:hint="eastAsia" w:ascii="宋体" w:hAnsi="宋体" w:cs="宋体"/>
          <w:sz w:val="24"/>
        </w:rPr>
        <w:t>10.1如果双方中任何一方由于战争、严重火灾、水灾、台风和地震以及其它经双方同意属于不可抗力的事故，致使合同履行受阻时，履行合同的期限应予延长，延长的期限应相当于事故所影响的时间。</w:t>
      </w:r>
    </w:p>
    <w:p w14:paraId="48B37280">
      <w:pPr>
        <w:spacing w:line="360" w:lineRule="auto"/>
        <w:ind w:firstLine="480" w:firstLineChars="200"/>
        <w:rPr>
          <w:rFonts w:hint="eastAsia" w:ascii="宋体" w:hAnsi="宋体" w:cs="宋体"/>
          <w:sz w:val="24"/>
        </w:rPr>
      </w:pPr>
      <w:r>
        <w:rPr>
          <w:rFonts w:hint="eastAsia" w:ascii="宋体" w:hAnsi="宋体" w:cs="宋体"/>
          <w:sz w:val="24"/>
        </w:rPr>
        <w:t>10.2 受事故影响的一方应在不可抗力的事故发生后尽快以书面形式通知另一方，并在事故发生后14天内，将有关部门出具的证明文件用挂号信航寄给或送给另一方。</w:t>
      </w:r>
    </w:p>
    <w:p w14:paraId="273C85E6">
      <w:pPr>
        <w:spacing w:line="360" w:lineRule="auto"/>
        <w:ind w:firstLine="480" w:firstLineChars="200"/>
        <w:rPr>
          <w:rFonts w:hint="eastAsia" w:ascii="宋体" w:hAnsi="宋体" w:cs="宋体"/>
          <w:sz w:val="24"/>
        </w:rPr>
      </w:pPr>
      <w:r>
        <w:rPr>
          <w:rFonts w:hint="eastAsia" w:ascii="宋体" w:hAnsi="宋体" w:cs="宋体"/>
          <w:sz w:val="24"/>
        </w:rPr>
        <w:t>10.3因不可抗力不能履行合同的，根据不可抗力的影响，当事人双方部分或全部免除责任，但法律另有规定的除外。当事人延迟履行合同后发生不可抗力的，不能免除责任。</w:t>
      </w:r>
    </w:p>
    <w:p w14:paraId="57E98386">
      <w:pPr>
        <w:spacing w:line="360" w:lineRule="auto"/>
        <w:rPr>
          <w:rFonts w:hint="eastAsia" w:ascii="宋体" w:hAnsi="宋体" w:cs="宋体"/>
          <w:b/>
          <w:bCs/>
          <w:sz w:val="24"/>
        </w:rPr>
      </w:pPr>
      <w:r>
        <w:rPr>
          <w:rFonts w:hint="eastAsia" w:ascii="宋体" w:hAnsi="宋体" w:cs="宋体"/>
          <w:b/>
          <w:bCs/>
          <w:sz w:val="24"/>
        </w:rPr>
        <w:t>11、税费</w:t>
      </w:r>
    </w:p>
    <w:p w14:paraId="346783A6">
      <w:pPr>
        <w:spacing w:line="360" w:lineRule="auto"/>
        <w:ind w:firstLine="480" w:firstLineChars="200"/>
        <w:rPr>
          <w:rFonts w:hint="eastAsia" w:ascii="宋体" w:hAnsi="宋体" w:cs="宋体"/>
          <w:sz w:val="24"/>
        </w:rPr>
      </w:pPr>
      <w:r>
        <w:rPr>
          <w:rFonts w:hint="eastAsia" w:ascii="宋体" w:hAnsi="宋体" w:cs="宋体"/>
          <w:sz w:val="24"/>
        </w:rPr>
        <w:t>与本合同有关的一切税费均适用中华人民共和国法律的相关规定。采购人与中标供应商按照中华人民共和国相关法律的规定各自承担其依法应承担的签订、履行本合同所需缴纳的税费。本合同价格为含税价格。</w:t>
      </w:r>
    </w:p>
    <w:p w14:paraId="0232343A">
      <w:pPr>
        <w:spacing w:line="360" w:lineRule="auto"/>
        <w:rPr>
          <w:rFonts w:hint="eastAsia" w:ascii="宋体" w:hAnsi="宋体" w:cs="宋体"/>
          <w:b/>
          <w:bCs/>
          <w:sz w:val="24"/>
        </w:rPr>
      </w:pPr>
      <w:r>
        <w:rPr>
          <w:rFonts w:hint="eastAsia" w:ascii="宋体" w:hAnsi="宋体" w:cs="宋体"/>
          <w:b/>
          <w:bCs/>
          <w:sz w:val="24"/>
        </w:rPr>
        <w:t>12、履约保证金</w:t>
      </w:r>
    </w:p>
    <w:p w14:paraId="5B0A3C08">
      <w:pPr>
        <w:tabs>
          <w:tab w:val="left" w:pos="0"/>
        </w:tabs>
        <w:spacing w:line="360" w:lineRule="auto"/>
        <w:ind w:firstLine="480" w:firstLineChars="200"/>
        <w:rPr>
          <w:rFonts w:hint="eastAsia" w:ascii="宋体" w:hAnsi="宋体" w:cs="宋体"/>
          <w:sz w:val="24"/>
        </w:rPr>
      </w:pPr>
      <w:r>
        <w:rPr>
          <w:rFonts w:hint="eastAsia" w:ascii="宋体" w:hAnsi="宋体" w:cs="宋体"/>
          <w:sz w:val="24"/>
        </w:rPr>
        <w:t>12.1 履约保证金应当使用本合同指定货币，具体规定详见合同书中规定。</w:t>
      </w:r>
    </w:p>
    <w:p w14:paraId="32ADEA22">
      <w:pPr>
        <w:tabs>
          <w:tab w:val="left" w:pos="0"/>
        </w:tabs>
        <w:spacing w:line="360" w:lineRule="auto"/>
        <w:ind w:firstLine="480" w:firstLineChars="200"/>
        <w:rPr>
          <w:rFonts w:hint="eastAsia" w:ascii="宋体" w:hAnsi="宋体" w:cs="宋体"/>
          <w:sz w:val="24"/>
        </w:rPr>
      </w:pPr>
      <w:r>
        <w:rPr>
          <w:rFonts w:hint="eastAsia" w:ascii="宋体" w:hAnsi="宋体" w:cs="宋体"/>
          <w:sz w:val="24"/>
        </w:rPr>
        <w:t>12.2 履约保证金用于补偿采购人因中标供应商不能履行其合同义务而蒙受的损失。</w:t>
      </w:r>
    </w:p>
    <w:p w14:paraId="54FBE20F">
      <w:pPr>
        <w:tabs>
          <w:tab w:val="left" w:pos="0"/>
        </w:tabs>
        <w:spacing w:line="360" w:lineRule="auto"/>
        <w:ind w:firstLine="480" w:firstLineChars="200"/>
        <w:rPr>
          <w:rFonts w:hint="eastAsia" w:ascii="宋体" w:hAnsi="宋体" w:cs="宋体"/>
          <w:sz w:val="24"/>
        </w:rPr>
      </w:pPr>
      <w:r>
        <w:rPr>
          <w:rFonts w:hint="eastAsia" w:ascii="宋体" w:hAnsi="宋体" w:cs="宋体"/>
          <w:sz w:val="24"/>
        </w:rPr>
        <w:t>12.3 履约保证金在服务期满前完全有效。</w:t>
      </w:r>
    </w:p>
    <w:p w14:paraId="5E1C2CC5">
      <w:pPr>
        <w:tabs>
          <w:tab w:val="left" w:pos="0"/>
        </w:tabs>
        <w:spacing w:line="360" w:lineRule="auto"/>
        <w:ind w:firstLine="480" w:firstLineChars="200"/>
        <w:rPr>
          <w:rFonts w:hint="eastAsia" w:ascii="宋体" w:hAnsi="宋体" w:cs="宋体"/>
          <w:sz w:val="24"/>
        </w:rPr>
      </w:pPr>
      <w:r>
        <w:rPr>
          <w:rFonts w:hint="eastAsia" w:ascii="宋体" w:hAnsi="宋体" w:cs="宋体"/>
          <w:sz w:val="24"/>
        </w:rPr>
        <w:t>12.4 如果中标供应商未能按合同规定履行其义务，采购人有权从履约保证金中取得补偿。服务期结束后30天内，采购人将把履约保证金的剩余部分退还中标供应商。</w:t>
      </w:r>
    </w:p>
    <w:p w14:paraId="79EE5ACE">
      <w:pPr>
        <w:spacing w:line="360" w:lineRule="auto"/>
        <w:rPr>
          <w:rFonts w:hint="eastAsia" w:ascii="宋体" w:hAnsi="宋体" w:cs="宋体"/>
          <w:b/>
          <w:bCs/>
          <w:sz w:val="24"/>
        </w:rPr>
      </w:pPr>
      <w:r>
        <w:rPr>
          <w:rFonts w:hint="eastAsia" w:ascii="宋体" w:hAnsi="宋体" w:cs="宋体"/>
          <w:b/>
          <w:bCs/>
          <w:sz w:val="24"/>
        </w:rPr>
        <w:t>13、合同争议的解决</w:t>
      </w:r>
    </w:p>
    <w:p w14:paraId="481E777D">
      <w:pPr>
        <w:spacing w:line="360" w:lineRule="auto"/>
        <w:ind w:firstLine="480" w:firstLineChars="200"/>
        <w:rPr>
          <w:rFonts w:hint="eastAsia" w:ascii="宋体" w:hAnsi="宋体" w:cs="宋体"/>
          <w:sz w:val="24"/>
        </w:rPr>
      </w:pPr>
      <w:r>
        <w:rPr>
          <w:rFonts w:hint="eastAsia" w:ascii="宋体" w:hAnsi="宋体" w:cs="宋体"/>
          <w:sz w:val="24"/>
        </w:rPr>
        <w:t>采购人、中标供应商双方应通过友好协商， 解决在执行合同中所发生的或与本合同有关的一切争端，如果协商仍得不到解决，双方同意向采购人所在地的人民法院起诉解决。</w:t>
      </w:r>
    </w:p>
    <w:p w14:paraId="53DACA8E">
      <w:pPr>
        <w:spacing w:line="360" w:lineRule="auto"/>
        <w:rPr>
          <w:rFonts w:hint="eastAsia" w:ascii="宋体" w:hAnsi="宋体" w:cs="宋体"/>
          <w:b/>
          <w:bCs/>
          <w:sz w:val="24"/>
        </w:rPr>
      </w:pPr>
      <w:r>
        <w:rPr>
          <w:rFonts w:hint="eastAsia" w:ascii="宋体" w:hAnsi="宋体" w:cs="宋体"/>
          <w:b/>
          <w:bCs/>
          <w:sz w:val="24"/>
        </w:rPr>
        <w:t>14、合同变更和终止</w:t>
      </w:r>
    </w:p>
    <w:p w14:paraId="0B9982C1">
      <w:pPr>
        <w:spacing w:line="360" w:lineRule="auto"/>
        <w:ind w:firstLine="480" w:firstLineChars="200"/>
        <w:rPr>
          <w:rFonts w:hint="eastAsia" w:ascii="宋体" w:hAnsi="宋体" w:cs="宋体"/>
          <w:sz w:val="24"/>
        </w:rPr>
      </w:pPr>
      <w:r>
        <w:rPr>
          <w:rFonts w:hint="eastAsia" w:ascii="宋体" w:hAnsi="宋体" w:cs="宋体"/>
          <w:sz w:val="24"/>
        </w:rPr>
        <w:t>14.1在本合同有效期内，如合同与其生效后新颁布的有关法律、法规、政策规定不符，由甲、乙双方协商变更，如能协商一致，按照符合新颁法律、法规、政策规定拟定补充合同执行；如不能达成一致，本合同解除。合同解除后，尚未发生的业务，停止履行。</w:t>
      </w:r>
    </w:p>
    <w:p w14:paraId="1B39DF70">
      <w:pPr>
        <w:spacing w:line="360" w:lineRule="auto"/>
        <w:ind w:firstLine="480" w:firstLineChars="200"/>
        <w:rPr>
          <w:rFonts w:hint="eastAsia" w:ascii="宋体" w:hAnsi="宋体" w:cs="宋体"/>
          <w:sz w:val="24"/>
        </w:rPr>
      </w:pPr>
      <w:r>
        <w:rPr>
          <w:rFonts w:hint="eastAsia" w:ascii="宋体" w:hAnsi="宋体" w:cs="宋体"/>
          <w:sz w:val="24"/>
        </w:rPr>
        <w:t>14.2 在中标供应商违约的情况下，采购人可向中标供应商发出书面通知，部分或全部终止合同。同时保留向中标供应商追诉的权利。</w:t>
      </w:r>
    </w:p>
    <w:p w14:paraId="163D7D71">
      <w:pPr>
        <w:spacing w:line="360" w:lineRule="auto"/>
        <w:ind w:firstLine="480" w:firstLineChars="200"/>
        <w:rPr>
          <w:rFonts w:hint="eastAsia" w:ascii="宋体" w:hAnsi="宋体" w:cs="宋体"/>
          <w:sz w:val="24"/>
        </w:rPr>
      </w:pPr>
      <w:r>
        <w:rPr>
          <w:rFonts w:hint="eastAsia" w:ascii="宋体" w:hAnsi="宋体" w:cs="宋体"/>
          <w:sz w:val="24"/>
        </w:rPr>
        <w:t xml:space="preserve">14.2.1中标供应商未能在合同规定的限期或采购人同意延长的限期内提供全部或部分服务, 合同解除； </w:t>
      </w:r>
    </w:p>
    <w:p w14:paraId="500222E7">
      <w:pPr>
        <w:spacing w:line="360" w:lineRule="auto"/>
        <w:ind w:firstLine="480" w:firstLineChars="200"/>
        <w:rPr>
          <w:rFonts w:hint="eastAsia" w:ascii="宋体" w:hAnsi="宋体" w:cs="宋体"/>
          <w:sz w:val="24"/>
        </w:rPr>
      </w:pPr>
      <w:r>
        <w:rPr>
          <w:rFonts w:hint="eastAsia" w:ascii="宋体" w:hAnsi="宋体" w:cs="宋体"/>
          <w:sz w:val="24"/>
        </w:rPr>
        <w:t>14.2.2中标供应商未能履行合同规定的其它主要义务的；</w:t>
      </w:r>
    </w:p>
    <w:p w14:paraId="7D01E35D">
      <w:pPr>
        <w:spacing w:line="360" w:lineRule="auto"/>
        <w:ind w:firstLine="480" w:firstLineChars="200"/>
        <w:rPr>
          <w:rFonts w:hint="eastAsia" w:ascii="宋体" w:hAnsi="宋体" w:cs="宋体"/>
          <w:sz w:val="24"/>
        </w:rPr>
      </w:pPr>
      <w:r>
        <w:rPr>
          <w:rFonts w:hint="eastAsia" w:ascii="宋体" w:hAnsi="宋体" w:cs="宋体"/>
          <w:sz w:val="24"/>
        </w:rPr>
        <w:t>14.2.3在本合同履行过程中有腐败和欺诈行为的。</w:t>
      </w:r>
    </w:p>
    <w:p w14:paraId="4C7C52C2">
      <w:pPr>
        <w:spacing w:line="360" w:lineRule="auto"/>
        <w:ind w:firstLine="480" w:firstLineChars="200"/>
        <w:rPr>
          <w:rFonts w:hint="eastAsia" w:ascii="宋体" w:hAnsi="宋体" w:cs="宋体"/>
          <w:sz w:val="24"/>
        </w:rPr>
      </w:pPr>
      <w:r>
        <w:rPr>
          <w:rFonts w:hint="eastAsia" w:ascii="宋体" w:hAnsi="宋体" w:cs="宋体"/>
          <w:sz w:val="24"/>
        </w:rPr>
        <w:t>14.2.3.1“腐败行为”和“欺诈行为”定义如下:</w:t>
      </w:r>
    </w:p>
    <w:p w14:paraId="587FAC93">
      <w:pPr>
        <w:spacing w:line="360" w:lineRule="auto"/>
        <w:ind w:firstLine="480" w:firstLineChars="200"/>
        <w:rPr>
          <w:rFonts w:hint="eastAsia" w:ascii="宋体" w:hAnsi="宋体" w:cs="宋体"/>
          <w:sz w:val="24"/>
        </w:rPr>
      </w:pPr>
      <w:r>
        <w:rPr>
          <w:rFonts w:hint="eastAsia" w:ascii="宋体" w:hAnsi="宋体" w:cs="宋体"/>
          <w:sz w:val="24"/>
        </w:rPr>
        <w:t>14.2.3.1.1“腐败行为”是指提供/给予/接受或索取任何有价值的东西来影响甲方在合同签订、履行过程中的行为。</w:t>
      </w:r>
    </w:p>
    <w:p w14:paraId="350C63E9">
      <w:pPr>
        <w:spacing w:line="360" w:lineRule="auto"/>
        <w:ind w:firstLine="480" w:firstLineChars="200"/>
        <w:rPr>
          <w:rFonts w:hint="eastAsia" w:ascii="宋体" w:hAnsi="宋体" w:cs="宋体"/>
          <w:sz w:val="24"/>
        </w:rPr>
      </w:pPr>
      <w:r>
        <w:rPr>
          <w:rFonts w:hint="eastAsia" w:ascii="宋体" w:hAnsi="宋体" w:cs="宋体"/>
          <w:sz w:val="24"/>
        </w:rPr>
        <w:t>14.2.3.1.2“欺诈行为”是指为了影响合同签订、履行过程，以谎报事实的方法，损害采购人的利益的行为。</w:t>
      </w:r>
    </w:p>
    <w:p w14:paraId="3761B9B0">
      <w:pPr>
        <w:spacing w:line="360" w:lineRule="auto"/>
        <w:ind w:firstLine="480" w:firstLineChars="200"/>
        <w:rPr>
          <w:rFonts w:hint="eastAsia" w:ascii="宋体" w:hAnsi="宋体" w:cs="宋体"/>
          <w:sz w:val="24"/>
        </w:rPr>
      </w:pPr>
      <w:r>
        <w:rPr>
          <w:rFonts w:hint="eastAsia" w:ascii="宋体" w:hAnsi="宋体" w:cs="宋体"/>
          <w:sz w:val="24"/>
        </w:rPr>
        <w:t>14.3合同履行期间，如因中标供应商违反相关规定及本合同约定，采购人终止合同履行的，采购人需以书面形式通知中标供应商，通知送达中标供应商后本合同解除；合同解除前，本合同继续有效。</w:t>
      </w:r>
    </w:p>
    <w:p w14:paraId="3B1D58D3">
      <w:pPr>
        <w:spacing w:line="360" w:lineRule="auto"/>
        <w:ind w:firstLine="480" w:firstLineChars="200"/>
        <w:rPr>
          <w:rFonts w:hint="eastAsia" w:ascii="宋体" w:hAnsi="宋体" w:cs="宋体"/>
          <w:sz w:val="24"/>
        </w:rPr>
      </w:pPr>
      <w:r>
        <w:rPr>
          <w:rFonts w:hint="eastAsia" w:ascii="宋体" w:hAnsi="宋体" w:cs="宋体"/>
          <w:sz w:val="24"/>
        </w:rPr>
        <w:t>14.4本合同终止后，需求与中标双方应对合同期间发生的应尽未尽事项负责结清，有关保密义务的条款对双方仍然有效。</w:t>
      </w:r>
    </w:p>
    <w:p w14:paraId="6FE55FDB">
      <w:pPr>
        <w:spacing w:line="360" w:lineRule="auto"/>
        <w:rPr>
          <w:rFonts w:hint="eastAsia" w:ascii="宋体" w:hAnsi="宋体" w:cs="宋体"/>
          <w:b/>
          <w:bCs/>
          <w:sz w:val="24"/>
        </w:rPr>
      </w:pPr>
      <w:r>
        <w:rPr>
          <w:rFonts w:hint="eastAsia" w:ascii="宋体" w:hAnsi="宋体" w:cs="宋体"/>
          <w:b/>
          <w:bCs/>
          <w:sz w:val="24"/>
        </w:rPr>
        <w:t>15、破产终止合同</w:t>
      </w:r>
    </w:p>
    <w:p w14:paraId="4D9B4028">
      <w:pPr>
        <w:spacing w:line="360" w:lineRule="auto"/>
        <w:ind w:firstLine="480" w:firstLineChars="200"/>
        <w:rPr>
          <w:rFonts w:hint="eastAsia" w:ascii="宋体" w:hAnsi="宋体" w:cs="宋体"/>
          <w:sz w:val="24"/>
        </w:rPr>
      </w:pPr>
      <w:r>
        <w:rPr>
          <w:rFonts w:hint="eastAsia" w:ascii="宋体" w:hAnsi="宋体" w:cs="宋体"/>
          <w:sz w:val="24"/>
        </w:rPr>
        <w:t>如果中标供应商因破产、清算、注销、被吊销营业执照、停业等原因导致合同无法履行时，采购人可以书面形式通知中标供应商，单方解除合同而不给中标供应商补偿，但采购人必须以书面形式告知同级政府采购监督管理部门。该合同的解除将不损害或不影响采购人已经采取或将要采取的任何行动或补救措施的权利。</w:t>
      </w:r>
    </w:p>
    <w:p w14:paraId="57F91213">
      <w:pPr>
        <w:spacing w:line="360" w:lineRule="auto"/>
        <w:rPr>
          <w:rFonts w:hint="eastAsia" w:ascii="宋体" w:hAnsi="宋体" w:cs="宋体"/>
          <w:b/>
          <w:bCs/>
          <w:sz w:val="24"/>
        </w:rPr>
      </w:pPr>
      <w:r>
        <w:rPr>
          <w:rFonts w:hint="eastAsia" w:ascii="宋体" w:hAnsi="宋体" w:cs="宋体"/>
          <w:b/>
          <w:bCs/>
          <w:sz w:val="24"/>
        </w:rPr>
        <w:t>16、转让和分包</w:t>
      </w:r>
    </w:p>
    <w:p w14:paraId="0937510D">
      <w:pPr>
        <w:spacing w:line="360" w:lineRule="auto"/>
        <w:ind w:firstLine="480" w:firstLineChars="200"/>
        <w:rPr>
          <w:rFonts w:hint="eastAsia" w:ascii="宋体" w:hAnsi="宋体" w:cs="宋体"/>
          <w:sz w:val="24"/>
        </w:rPr>
      </w:pPr>
      <w:r>
        <w:rPr>
          <w:rFonts w:hint="eastAsia" w:ascii="宋体" w:hAnsi="宋体" w:cs="宋体"/>
          <w:sz w:val="24"/>
        </w:rPr>
        <w:t>未经采购人事先书面同意，中标供应商不得部分转让或全部转让其所享有的合同权利或应履行的合同义务。并且，未经采购人事先书面同意，中标供应商不得将本合同项目中实质性内容分包给其他第三方完成。否则，中标供应商应当向采购人支付合同总金额20%的违约金，并且，于此情形下，采购人还有权解除合同。</w:t>
      </w:r>
    </w:p>
    <w:p w14:paraId="2A2D13A6">
      <w:pPr>
        <w:spacing w:line="360" w:lineRule="auto"/>
        <w:rPr>
          <w:rFonts w:hint="eastAsia" w:ascii="宋体" w:hAnsi="宋体" w:cs="宋体"/>
          <w:b/>
          <w:bCs/>
          <w:sz w:val="24"/>
        </w:rPr>
      </w:pPr>
      <w:r>
        <w:rPr>
          <w:rFonts w:hint="eastAsia" w:ascii="宋体" w:hAnsi="宋体" w:cs="宋体"/>
          <w:b/>
          <w:bCs/>
          <w:sz w:val="24"/>
        </w:rPr>
        <w:t>17、合同修改</w:t>
      </w:r>
    </w:p>
    <w:p w14:paraId="1E579C6D">
      <w:pPr>
        <w:spacing w:line="360" w:lineRule="auto"/>
        <w:ind w:firstLine="480" w:firstLineChars="200"/>
        <w:rPr>
          <w:rFonts w:hint="eastAsia" w:ascii="宋体" w:hAnsi="宋体" w:cs="宋体"/>
          <w:sz w:val="24"/>
        </w:rPr>
      </w:pPr>
      <w:r>
        <w:rPr>
          <w:rFonts w:hint="eastAsia" w:ascii="宋体" w:hAnsi="宋体" w:cs="宋体"/>
          <w:sz w:val="24"/>
        </w:rPr>
        <w:t>欲对合同条款进行任何改动，均须由采购人、中标供应商签署书面的合同修改书。</w:t>
      </w:r>
    </w:p>
    <w:p w14:paraId="2218C243">
      <w:pPr>
        <w:spacing w:line="360" w:lineRule="auto"/>
        <w:rPr>
          <w:rFonts w:hint="eastAsia" w:ascii="宋体" w:hAnsi="宋体" w:cs="宋体"/>
          <w:b/>
          <w:bCs/>
          <w:sz w:val="24"/>
        </w:rPr>
      </w:pPr>
      <w:r>
        <w:rPr>
          <w:rFonts w:hint="eastAsia" w:ascii="宋体" w:hAnsi="宋体" w:cs="宋体"/>
          <w:b/>
          <w:bCs/>
          <w:sz w:val="24"/>
        </w:rPr>
        <w:t>18、通知</w:t>
      </w:r>
    </w:p>
    <w:p w14:paraId="2AE154D0">
      <w:pPr>
        <w:spacing w:line="360" w:lineRule="auto"/>
        <w:ind w:firstLine="480" w:firstLineChars="200"/>
        <w:rPr>
          <w:rFonts w:hint="eastAsia" w:ascii="宋体" w:hAnsi="宋体" w:cs="宋体"/>
          <w:sz w:val="24"/>
        </w:rPr>
      </w:pPr>
      <w:r>
        <w:rPr>
          <w:rFonts w:hint="eastAsia" w:ascii="宋体" w:hAnsi="宋体" w:cs="宋体"/>
          <w:sz w:val="24"/>
        </w:rPr>
        <w:t>本合同任何一方给另一方的通知，都应以书面或传真的形式发送，而另一方应以书面形式确认并发送到对方明确的地址。</w:t>
      </w:r>
    </w:p>
    <w:p w14:paraId="217F8C8D">
      <w:pPr>
        <w:spacing w:line="360" w:lineRule="auto"/>
        <w:rPr>
          <w:rFonts w:hint="eastAsia" w:ascii="宋体" w:hAnsi="宋体" w:cs="宋体"/>
          <w:b/>
          <w:bCs/>
          <w:sz w:val="24"/>
        </w:rPr>
      </w:pPr>
      <w:r>
        <w:rPr>
          <w:rFonts w:hint="eastAsia" w:ascii="宋体" w:hAnsi="宋体" w:cs="宋体"/>
          <w:b/>
          <w:bCs/>
          <w:sz w:val="24"/>
        </w:rPr>
        <w:t>19、知识产权条款</w:t>
      </w:r>
    </w:p>
    <w:p w14:paraId="353FC0A9">
      <w:pPr>
        <w:spacing w:line="360" w:lineRule="auto"/>
        <w:ind w:firstLine="480" w:firstLineChars="200"/>
        <w:rPr>
          <w:rFonts w:hint="eastAsia" w:ascii="宋体" w:hAnsi="宋体" w:cs="宋体"/>
          <w:sz w:val="24"/>
        </w:rPr>
      </w:pPr>
      <w:r>
        <w:rPr>
          <w:rFonts w:hint="eastAsia" w:ascii="宋体" w:hAnsi="宋体" w:cs="宋体"/>
          <w:sz w:val="24"/>
        </w:rPr>
        <w:t>19.1本项目成果的知识产权为采购人所有。未经采购人的许可，中标供应商不得向第三方转让、传播、销售。否则，中标供应商应当向采购人支付合同总金额20%的违约金。</w:t>
      </w:r>
    </w:p>
    <w:p w14:paraId="69CED927">
      <w:pPr>
        <w:spacing w:line="360" w:lineRule="auto"/>
        <w:ind w:firstLine="480" w:firstLineChars="200"/>
        <w:rPr>
          <w:rFonts w:hint="eastAsia" w:ascii="宋体" w:hAnsi="宋体" w:cs="宋体"/>
          <w:sz w:val="24"/>
        </w:rPr>
      </w:pPr>
      <w:r>
        <w:rPr>
          <w:rFonts w:hint="eastAsia" w:ascii="宋体" w:hAnsi="宋体" w:cs="宋体"/>
          <w:sz w:val="24"/>
        </w:rPr>
        <w:t>19.2中标供应商应保证采购人在使用该项目成果时免受任何第三方提出的侵犯著作权、专利权或其他知识产权的诉讼或指控。如果任何第三方提起基于知识产权的侵权诉讼，将由中标供应商负责处理并承担相关的一切法律责任和费用；由此给采购人造成的任何损失，中标供应商应负责赔偿。</w:t>
      </w:r>
    </w:p>
    <w:p w14:paraId="3F6D8B21">
      <w:pPr>
        <w:spacing w:line="360" w:lineRule="auto"/>
        <w:rPr>
          <w:rFonts w:hint="eastAsia" w:ascii="宋体" w:hAnsi="宋体" w:cs="宋体"/>
          <w:b/>
          <w:bCs/>
          <w:sz w:val="24"/>
        </w:rPr>
      </w:pPr>
      <w:r>
        <w:rPr>
          <w:rFonts w:hint="eastAsia" w:ascii="宋体" w:hAnsi="宋体" w:cs="宋体"/>
          <w:b/>
          <w:bCs/>
          <w:sz w:val="24"/>
        </w:rPr>
        <w:t>20、技术情报和资料的保密</w:t>
      </w:r>
    </w:p>
    <w:p w14:paraId="687F4249">
      <w:pPr>
        <w:spacing w:line="360" w:lineRule="auto"/>
        <w:ind w:firstLine="480" w:firstLineChars="200"/>
        <w:rPr>
          <w:rFonts w:hint="eastAsia" w:ascii="宋体" w:hAnsi="宋体" w:cs="宋体"/>
          <w:bCs/>
          <w:sz w:val="24"/>
        </w:rPr>
      </w:pPr>
      <w:r>
        <w:rPr>
          <w:rFonts w:hint="eastAsia" w:ascii="宋体" w:hAnsi="宋体" w:cs="宋体"/>
          <w:bCs/>
          <w:sz w:val="24"/>
        </w:rPr>
        <w:t>中标供应商应对合同执行过程中的技术情报及资料履行保密义务。</w:t>
      </w:r>
    </w:p>
    <w:p w14:paraId="751EC76D">
      <w:pPr>
        <w:spacing w:line="360" w:lineRule="auto"/>
        <w:rPr>
          <w:rFonts w:hint="eastAsia" w:ascii="宋体" w:hAnsi="宋体" w:cs="宋体"/>
          <w:b/>
          <w:bCs/>
          <w:sz w:val="24"/>
        </w:rPr>
      </w:pPr>
      <w:r>
        <w:rPr>
          <w:rFonts w:hint="eastAsia" w:ascii="宋体" w:hAnsi="宋体" w:cs="宋体"/>
          <w:b/>
          <w:bCs/>
          <w:sz w:val="24"/>
        </w:rPr>
        <w:t>21、适用法律</w:t>
      </w:r>
    </w:p>
    <w:p w14:paraId="38D5A9CB">
      <w:pPr>
        <w:spacing w:line="360" w:lineRule="auto"/>
        <w:ind w:firstLine="480" w:firstLineChars="200"/>
        <w:rPr>
          <w:rFonts w:hint="eastAsia" w:ascii="宋体" w:hAnsi="宋体" w:cs="宋体"/>
          <w:sz w:val="24"/>
        </w:rPr>
      </w:pPr>
      <w:r>
        <w:rPr>
          <w:rFonts w:hint="eastAsia" w:ascii="宋体" w:hAnsi="宋体" w:cs="宋体"/>
          <w:sz w:val="24"/>
        </w:rPr>
        <w:t>本合同应按照中华人民共和国的法律进行解释。</w:t>
      </w:r>
    </w:p>
    <w:p w14:paraId="77DF9AB2">
      <w:pPr>
        <w:spacing w:line="360" w:lineRule="auto"/>
        <w:rPr>
          <w:rFonts w:hint="eastAsia" w:ascii="宋体" w:hAnsi="宋体" w:cs="宋体"/>
          <w:b/>
          <w:bCs/>
          <w:sz w:val="24"/>
        </w:rPr>
      </w:pPr>
      <w:r>
        <w:rPr>
          <w:rFonts w:hint="eastAsia" w:ascii="宋体" w:hAnsi="宋体" w:cs="宋体"/>
          <w:b/>
          <w:bCs/>
          <w:sz w:val="24"/>
        </w:rPr>
        <w:t>22、其他</w:t>
      </w:r>
    </w:p>
    <w:p w14:paraId="583EA994">
      <w:pPr>
        <w:spacing w:line="360" w:lineRule="auto"/>
        <w:ind w:firstLine="480" w:firstLineChars="200"/>
        <w:rPr>
          <w:rFonts w:hint="eastAsia" w:ascii="宋体" w:hAnsi="宋体" w:cs="宋体"/>
          <w:sz w:val="24"/>
        </w:rPr>
      </w:pPr>
      <w:r>
        <w:rPr>
          <w:rFonts w:hint="eastAsia" w:ascii="宋体" w:hAnsi="宋体" w:cs="宋体"/>
          <w:sz w:val="24"/>
        </w:rPr>
        <w:t>22.1 采购人应当自政府采购合同签订之日起2个工作日内，将政府采购合同在省级以上人民政府财政部门指定的媒体上公告，但政府采购合同中涉及国家秘密、商业秘密的内容除外。</w:t>
      </w:r>
    </w:p>
    <w:p w14:paraId="76FC89F9">
      <w:pPr>
        <w:spacing w:line="360" w:lineRule="auto"/>
        <w:ind w:firstLine="480" w:firstLineChars="200"/>
        <w:rPr>
          <w:rFonts w:hint="eastAsia" w:ascii="宋体" w:hAnsi="宋体" w:cs="宋体"/>
          <w:sz w:val="24"/>
        </w:rPr>
      </w:pPr>
      <w:r>
        <w:rPr>
          <w:rFonts w:hint="eastAsia" w:ascii="宋体" w:hAnsi="宋体" w:cs="宋体"/>
          <w:sz w:val="24"/>
        </w:rPr>
        <w:t>22.2 如需修改或补充合同内容，经协商，采购人与中标供应商应签署书面修改或补充合同，该合同将作为本合同的一个组成部分。</w:t>
      </w:r>
    </w:p>
    <w:p w14:paraId="51461549">
      <w:pPr>
        <w:spacing w:before="120" w:line="360" w:lineRule="auto"/>
        <w:ind w:left="1080" w:leftChars="17" w:hanging="1044" w:hangingChars="435"/>
        <w:rPr>
          <w:sz w:val="24"/>
        </w:rPr>
      </w:pPr>
    </w:p>
    <w:p w14:paraId="08AB66DE">
      <w:pPr>
        <w:widowControl/>
        <w:jc w:val="left"/>
      </w:pPr>
      <w:r>
        <w:br w:type="page"/>
      </w:r>
    </w:p>
    <w:p w14:paraId="329601DB">
      <w:pPr>
        <w:rPr>
          <w:b/>
          <w:bCs/>
          <w:sz w:val="24"/>
        </w:rPr>
      </w:pPr>
      <w:bookmarkStart w:id="879" w:name="OLE_LINK58"/>
      <w:bookmarkStart w:id="880" w:name="OLE_LINK59"/>
      <w:r>
        <w:rPr>
          <w:b/>
          <w:bCs/>
          <w:sz w:val="24"/>
        </w:rPr>
        <w:t>附件</w:t>
      </w:r>
      <w:r>
        <w:rPr>
          <w:rFonts w:hint="eastAsia"/>
          <w:b/>
          <w:bCs/>
          <w:sz w:val="24"/>
        </w:rPr>
        <w:t>1</w:t>
      </w:r>
      <w:r>
        <w:rPr>
          <w:b/>
          <w:bCs/>
          <w:sz w:val="24"/>
        </w:rPr>
        <w:t>：</w:t>
      </w:r>
    </w:p>
    <w:p w14:paraId="3FD1F2AB">
      <w:pPr>
        <w:autoSpaceDE w:val="0"/>
        <w:autoSpaceDN w:val="0"/>
        <w:adjustRightInd w:val="0"/>
        <w:spacing w:line="320" w:lineRule="exact"/>
        <w:jc w:val="center"/>
        <w:rPr>
          <w:kern w:val="0"/>
          <w:sz w:val="32"/>
          <w:szCs w:val="32"/>
        </w:rPr>
      </w:pPr>
      <w:r>
        <w:rPr>
          <w:b/>
          <w:bCs/>
          <w:kern w:val="0"/>
          <w:sz w:val="32"/>
          <w:szCs w:val="32"/>
        </w:rPr>
        <w:t>廉政承诺书</w:t>
      </w:r>
    </w:p>
    <w:p w14:paraId="7457683A">
      <w:pPr>
        <w:spacing w:line="460" w:lineRule="exact"/>
        <w:ind w:firstLine="480" w:firstLineChars="200"/>
        <w:rPr>
          <w:sz w:val="24"/>
          <w:u w:val="single"/>
        </w:rPr>
      </w:pPr>
      <w:r>
        <w:rPr>
          <w:sz w:val="24"/>
        </w:rPr>
        <w:t xml:space="preserve">项目/工程名称: </w:t>
      </w:r>
      <w:r>
        <w:rPr>
          <w:rFonts w:hint="eastAsia"/>
          <w:sz w:val="24"/>
          <w:u w:val="single"/>
        </w:rPr>
        <w:t xml:space="preserve">                       </w:t>
      </w:r>
    </w:p>
    <w:p w14:paraId="58467EAB">
      <w:pPr>
        <w:autoSpaceDE w:val="0"/>
        <w:autoSpaceDN w:val="0"/>
        <w:spacing w:line="460" w:lineRule="exact"/>
        <w:ind w:firstLine="480" w:firstLineChars="200"/>
        <w:jc w:val="left"/>
        <w:rPr>
          <w:kern w:val="0"/>
          <w:sz w:val="24"/>
          <w:u w:val="single"/>
        </w:rPr>
      </w:pPr>
      <w:r>
        <w:rPr>
          <w:kern w:val="0"/>
          <w:sz w:val="24"/>
        </w:rPr>
        <w:t>甲方：</w:t>
      </w:r>
      <w:r>
        <w:rPr>
          <w:kern w:val="0"/>
          <w:sz w:val="24"/>
          <w:u w:val="single"/>
        </w:rPr>
        <w:t xml:space="preserve">北京市地质灾害防治研究所    </w:t>
      </w:r>
    </w:p>
    <w:p w14:paraId="23763ADE">
      <w:pPr>
        <w:spacing w:line="460" w:lineRule="exact"/>
        <w:ind w:firstLine="480" w:firstLineChars="200"/>
        <w:rPr>
          <w:kern w:val="0"/>
          <w:sz w:val="24"/>
          <w:u w:val="single"/>
        </w:rPr>
      </w:pPr>
      <w:r>
        <w:rPr>
          <w:kern w:val="0"/>
          <w:sz w:val="24"/>
        </w:rPr>
        <w:t>乙方：</w:t>
      </w:r>
      <w:r>
        <w:rPr>
          <w:rFonts w:hint="eastAsia"/>
          <w:kern w:val="0"/>
          <w:sz w:val="24"/>
          <w:u w:val="single"/>
        </w:rPr>
        <w:t xml:space="preserve">                           </w:t>
      </w:r>
      <w:r>
        <w:rPr>
          <w:kern w:val="0"/>
          <w:sz w:val="24"/>
          <w:u w:val="single"/>
        </w:rPr>
        <w:t xml:space="preserve"> </w:t>
      </w:r>
    </w:p>
    <w:p w14:paraId="09BD1AD6">
      <w:pPr>
        <w:spacing w:line="460" w:lineRule="exact"/>
        <w:ind w:firstLine="480" w:firstLineChars="200"/>
        <w:rPr>
          <w:kern w:val="0"/>
          <w:sz w:val="24"/>
        </w:rPr>
      </w:pPr>
      <w:r>
        <w:rPr>
          <w:kern w:val="0"/>
          <w:sz w:val="24"/>
        </w:rPr>
        <w:t>为加强廉政建设，防止发生谋取不正当利益的违法违纪行为，保护国家、集体和当事人的合法权益，根据国家法律法规和廉洁自律有关规定，特订立本廉政承诺书。</w:t>
      </w:r>
    </w:p>
    <w:p w14:paraId="36BB4275">
      <w:pPr>
        <w:autoSpaceDE w:val="0"/>
        <w:autoSpaceDN w:val="0"/>
        <w:spacing w:line="460" w:lineRule="exact"/>
        <w:ind w:firstLine="482" w:firstLineChars="200"/>
        <w:rPr>
          <w:kern w:val="0"/>
          <w:sz w:val="24"/>
        </w:rPr>
      </w:pPr>
      <w:r>
        <w:rPr>
          <w:b/>
          <w:bCs/>
          <w:kern w:val="0"/>
          <w:sz w:val="24"/>
        </w:rPr>
        <w:t>一、双方的责任</w:t>
      </w:r>
    </w:p>
    <w:p w14:paraId="48F15D9E">
      <w:pPr>
        <w:spacing w:line="460" w:lineRule="exact"/>
        <w:ind w:firstLine="480" w:firstLineChars="200"/>
        <w:rPr>
          <w:kern w:val="0"/>
          <w:sz w:val="24"/>
        </w:rPr>
      </w:pPr>
      <w:r>
        <w:rPr>
          <w:kern w:val="0"/>
          <w:sz w:val="24"/>
        </w:rPr>
        <w:t>1.严格遵守党和国家法律法规的有关规定和廉政建设的各项要求。</w:t>
      </w:r>
    </w:p>
    <w:p w14:paraId="6EA14B71">
      <w:pPr>
        <w:spacing w:line="460" w:lineRule="exact"/>
        <w:ind w:firstLine="480" w:firstLineChars="200"/>
        <w:rPr>
          <w:kern w:val="0"/>
          <w:sz w:val="24"/>
        </w:rPr>
      </w:pPr>
      <w:r>
        <w:rPr>
          <w:kern w:val="0"/>
          <w:sz w:val="24"/>
        </w:rPr>
        <w:t>2.严格履行合同约定，自觉按合同办事。</w:t>
      </w:r>
    </w:p>
    <w:p w14:paraId="3CD80E1C">
      <w:pPr>
        <w:autoSpaceDE w:val="0"/>
        <w:autoSpaceDN w:val="0"/>
        <w:spacing w:line="460" w:lineRule="exact"/>
        <w:ind w:firstLine="480" w:firstLineChars="200"/>
        <w:rPr>
          <w:kern w:val="0"/>
          <w:sz w:val="24"/>
        </w:rPr>
      </w:pPr>
      <w:r>
        <w:rPr>
          <w:kern w:val="0"/>
          <w:sz w:val="24"/>
        </w:rPr>
        <w:t>3.坚持公开、公平、公正、诚信、透明的原则（除法律法规另有规定者外），不得为获取不正当的利益损害国家、集体和对方利益，不得违反行业规定、规范和相关法律法规。</w:t>
      </w:r>
    </w:p>
    <w:p w14:paraId="47A21CEA">
      <w:pPr>
        <w:autoSpaceDE w:val="0"/>
        <w:autoSpaceDN w:val="0"/>
        <w:spacing w:line="460" w:lineRule="exact"/>
        <w:ind w:firstLine="480" w:firstLineChars="200"/>
        <w:rPr>
          <w:kern w:val="0"/>
          <w:sz w:val="24"/>
        </w:rPr>
      </w:pPr>
      <w:r>
        <w:rPr>
          <w:kern w:val="0"/>
          <w:sz w:val="24"/>
        </w:rPr>
        <w:t>4.发现对方在业务活动中有违规、违纪、违法行为的，应及时提醒对方，情节严重的，应向其上级主管部门或纪检监察、司法等有关机关举报。</w:t>
      </w:r>
    </w:p>
    <w:p w14:paraId="313C278F">
      <w:pPr>
        <w:autoSpaceDE w:val="0"/>
        <w:autoSpaceDN w:val="0"/>
        <w:spacing w:line="460" w:lineRule="exact"/>
        <w:ind w:firstLine="482" w:firstLineChars="200"/>
        <w:rPr>
          <w:b/>
          <w:bCs/>
          <w:kern w:val="0"/>
          <w:sz w:val="24"/>
        </w:rPr>
      </w:pPr>
      <w:r>
        <w:rPr>
          <w:b/>
          <w:bCs/>
          <w:kern w:val="0"/>
          <w:sz w:val="24"/>
        </w:rPr>
        <w:t>二、甲方责任</w:t>
      </w:r>
    </w:p>
    <w:p w14:paraId="6BC657A9">
      <w:pPr>
        <w:autoSpaceDE w:val="0"/>
        <w:autoSpaceDN w:val="0"/>
        <w:spacing w:line="460" w:lineRule="exact"/>
        <w:ind w:firstLine="480" w:firstLineChars="200"/>
        <w:rPr>
          <w:kern w:val="0"/>
          <w:sz w:val="24"/>
        </w:rPr>
      </w:pPr>
      <w:r>
        <w:rPr>
          <w:kern w:val="0"/>
          <w:sz w:val="24"/>
        </w:rPr>
        <w:t>甲方的领导和具体工作人员，在事前、事中、事后应遵守以下规定：</w:t>
      </w:r>
    </w:p>
    <w:p w14:paraId="331DEFDF">
      <w:pPr>
        <w:autoSpaceDE w:val="0"/>
        <w:autoSpaceDN w:val="0"/>
        <w:spacing w:line="460" w:lineRule="exact"/>
        <w:ind w:firstLine="480" w:firstLineChars="200"/>
        <w:rPr>
          <w:kern w:val="0"/>
          <w:sz w:val="24"/>
        </w:rPr>
      </w:pPr>
      <w:r>
        <w:rPr>
          <w:kern w:val="0"/>
          <w:sz w:val="24"/>
        </w:rPr>
        <w:t>1.不得向乙方和相关单位索要或接受回扣、礼金、有价证券、贵重物品和好处费、感谢费等。</w:t>
      </w:r>
    </w:p>
    <w:p w14:paraId="1E88130F">
      <w:pPr>
        <w:autoSpaceDE w:val="0"/>
        <w:autoSpaceDN w:val="0"/>
        <w:spacing w:line="460" w:lineRule="exact"/>
        <w:ind w:firstLine="480" w:firstLineChars="200"/>
        <w:rPr>
          <w:kern w:val="0"/>
          <w:sz w:val="24"/>
        </w:rPr>
      </w:pPr>
      <w:r>
        <w:rPr>
          <w:kern w:val="0"/>
          <w:sz w:val="24"/>
        </w:rPr>
        <w:t>2.不得在乙方和相关单位报销任何应由甲方或个人支付的费用。</w:t>
      </w:r>
    </w:p>
    <w:p w14:paraId="654FE024">
      <w:pPr>
        <w:autoSpaceDE w:val="0"/>
        <w:autoSpaceDN w:val="0"/>
        <w:spacing w:line="460" w:lineRule="exact"/>
        <w:ind w:firstLine="480" w:firstLineChars="200"/>
        <w:rPr>
          <w:kern w:val="0"/>
          <w:sz w:val="24"/>
        </w:rPr>
      </w:pPr>
      <w:r>
        <w:rPr>
          <w:kern w:val="0"/>
          <w:sz w:val="24"/>
        </w:rPr>
        <w:t>3</w:t>
      </w:r>
      <w:r>
        <w:rPr>
          <w:rFonts w:hint="eastAsia"/>
          <w:kern w:val="0"/>
          <w:sz w:val="24"/>
        </w:rPr>
        <w:t>.</w:t>
      </w:r>
      <w:r>
        <w:rPr>
          <w:kern w:val="0"/>
          <w:sz w:val="24"/>
        </w:rPr>
        <w:t>不得要求、暗示或接受乙方和相关单位为个人装修住房、婚丧嫁娶、配偶子女的工作安排以及出国（境）、旅游等提供方便。</w:t>
      </w:r>
    </w:p>
    <w:p w14:paraId="4456C009">
      <w:pPr>
        <w:autoSpaceDE w:val="0"/>
        <w:autoSpaceDN w:val="0"/>
        <w:spacing w:line="460" w:lineRule="exact"/>
        <w:ind w:firstLine="480" w:firstLineChars="200"/>
        <w:rPr>
          <w:kern w:val="0"/>
          <w:sz w:val="24"/>
        </w:rPr>
      </w:pPr>
      <w:r>
        <w:rPr>
          <w:kern w:val="0"/>
          <w:sz w:val="24"/>
        </w:rPr>
        <w:t>4.不得以任何理由参加乙方、相关单位或个人组织提供有可能影响公正执行公务的宴请、健身、娱乐等活动。</w:t>
      </w:r>
    </w:p>
    <w:p w14:paraId="4F11F5E1">
      <w:pPr>
        <w:autoSpaceDE w:val="0"/>
        <w:autoSpaceDN w:val="0"/>
        <w:spacing w:line="460" w:lineRule="exact"/>
        <w:ind w:firstLine="480" w:firstLineChars="200"/>
        <w:rPr>
          <w:kern w:val="0"/>
          <w:sz w:val="24"/>
        </w:rPr>
      </w:pPr>
      <w:r>
        <w:rPr>
          <w:kern w:val="0"/>
          <w:sz w:val="24"/>
        </w:rPr>
        <w:t>5.不得向乙方和相关单位介绍或为配偶、子女、亲属参与同甲方合同有关的业务活动；不得以任何理由要求乙方和相关单位使用某种产品、材料和设备。</w:t>
      </w:r>
    </w:p>
    <w:p w14:paraId="7F12A60E">
      <w:pPr>
        <w:autoSpaceDE w:val="0"/>
        <w:autoSpaceDN w:val="0"/>
        <w:spacing w:line="460" w:lineRule="exact"/>
        <w:ind w:firstLine="482" w:firstLineChars="200"/>
        <w:rPr>
          <w:kern w:val="0"/>
          <w:sz w:val="24"/>
        </w:rPr>
      </w:pPr>
      <w:r>
        <w:rPr>
          <w:b/>
          <w:bCs/>
          <w:kern w:val="0"/>
          <w:sz w:val="24"/>
        </w:rPr>
        <w:t>三、乙方责任</w:t>
      </w:r>
    </w:p>
    <w:p w14:paraId="097967D1">
      <w:pPr>
        <w:autoSpaceDE w:val="0"/>
        <w:autoSpaceDN w:val="0"/>
        <w:spacing w:line="460" w:lineRule="exact"/>
        <w:ind w:firstLine="480" w:firstLineChars="200"/>
        <w:rPr>
          <w:kern w:val="0"/>
          <w:sz w:val="24"/>
        </w:rPr>
      </w:pPr>
      <w:r>
        <w:rPr>
          <w:kern w:val="0"/>
          <w:sz w:val="24"/>
        </w:rPr>
        <w:t>应与甲方保持正常的业务交往，按照有关法律法规和程序开展业务工作，严格执行行业规定、规范和相关法律法规，并遵守以下规定：</w:t>
      </w:r>
    </w:p>
    <w:p w14:paraId="119072CD">
      <w:pPr>
        <w:autoSpaceDE w:val="0"/>
        <w:autoSpaceDN w:val="0"/>
        <w:spacing w:line="460" w:lineRule="exact"/>
        <w:ind w:firstLine="480" w:firstLineChars="200"/>
        <w:rPr>
          <w:kern w:val="0"/>
          <w:sz w:val="24"/>
        </w:rPr>
      </w:pPr>
      <w:r>
        <w:rPr>
          <w:kern w:val="0"/>
          <w:sz w:val="24"/>
        </w:rPr>
        <w:t>1.不得以任何理由向甲方及其工作人员索要、接受或赠送礼金、有价证券、贵重物品及回扣、好处费、感谢费等。</w:t>
      </w:r>
    </w:p>
    <w:p w14:paraId="6D90ECF3">
      <w:pPr>
        <w:autoSpaceDE w:val="0"/>
        <w:autoSpaceDN w:val="0"/>
        <w:spacing w:line="460" w:lineRule="exact"/>
        <w:ind w:firstLine="480" w:firstLineChars="200"/>
        <w:rPr>
          <w:kern w:val="0"/>
          <w:sz w:val="24"/>
        </w:rPr>
      </w:pPr>
      <w:r>
        <w:rPr>
          <w:kern w:val="0"/>
          <w:sz w:val="24"/>
        </w:rPr>
        <w:t>2.不得以任何理由为甲方和相关单位报销应由对方或个人支付的费用。</w:t>
      </w:r>
    </w:p>
    <w:p w14:paraId="6BDF153E">
      <w:pPr>
        <w:autoSpaceDE w:val="0"/>
        <w:autoSpaceDN w:val="0"/>
        <w:spacing w:line="460" w:lineRule="exact"/>
        <w:ind w:firstLine="480" w:firstLineChars="200"/>
        <w:rPr>
          <w:kern w:val="0"/>
          <w:sz w:val="24"/>
        </w:rPr>
      </w:pPr>
      <w:r>
        <w:rPr>
          <w:kern w:val="0"/>
          <w:sz w:val="24"/>
        </w:rPr>
        <w:t>3.不得接受或暗示为甲方、相关单位或个人装修住房、婚丧嫁娶、配偶子女的工作安排以及出国（境）、旅游等提供方便。</w:t>
      </w:r>
    </w:p>
    <w:p w14:paraId="683EEC2C">
      <w:pPr>
        <w:autoSpaceDE w:val="0"/>
        <w:autoSpaceDN w:val="0"/>
        <w:spacing w:line="460" w:lineRule="exact"/>
        <w:ind w:firstLine="480" w:firstLineChars="200"/>
        <w:rPr>
          <w:kern w:val="0"/>
          <w:sz w:val="24"/>
        </w:rPr>
      </w:pPr>
      <w:r>
        <w:rPr>
          <w:kern w:val="0"/>
          <w:sz w:val="24"/>
        </w:rPr>
        <w:t>4.不得以任何理由为甲方、相关单位或个人组织提供有可能影响公正执行公务的宴请、健身、娱乐等活动。</w:t>
      </w:r>
    </w:p>
    <w:p w14:paraId="50F74F8A">
      <w:pPr>
        <w:autoSpaceDE w:val="0"/>
        <w:autoSpaceDN w:val="0"/>
        <w:spacing w:line="460" w:lineRule="exact"/>
        <w:ind w:firstLine="482" w:firstLineChars="200"/>
        <w:rPr>
          <w:b/>
          <w:bCs/>
          <w:kern w:val="0"/>
          <w:sz w:val="24"/>
        </w:rPr>
      </w:pPr>
      <w:r>
        <w:rPr>
          <w:b/>
          <w:bCs/>
          <w:kern w:val="0"/>
          <w:sz w:val="24"/>
        </w:rPr>
        <w:t>四、违约责任</w:t>
      </w:r>
    </w:p>
    <w:p w14:paraId="3AB34F21">
      <w:pPr>
        <w:autoSpaceDE w:val="0"/>
        <w:autoSpaceDN w:val="0"/>
        <w:spacing w:line="460" w:lineRule="exact"/>
        <w:ind w:firstLine="480" w:firstLineChars="200"/>
        <w:rPr>
          <w:kern w:val="0"/>
          <w:sz w:val="24"/>
        </w:rPr>
      </w:pPr>
      <w:r>
        <w:rPr>
          <w:kern w:val="0"/>
          <w:sz w:val="24"/>
        </w:rPr>
        <w:t>甲、乙双方相关人员要严格履行本廉政承诺书相关规定。如有违反依据有关法律、法规处理；涉嫌犯罪的，移交司法机关追究刑事责任；造成经济损失的，应予以赔偿。</w:t>
      </w:r>
    </w:p>
    <w:p w14:paraId="0BEF7158">
      <w:pPr>
        <w:autoSpaceDE w:val="0"/>
        <w:autoSpaceDN w:val="0"/>
        <w:spacing w:line="460" w:lineRule="exact"/>
        <w:ind w:firstLine="482" w:firstLineChars="200"/>
        <w:rPr>
          <w:kern w:val="0"/>
          <w:sz w:val="24"/>
        </w:rPr>
      </w:pPr>
      <w:r>
        <w:rPr>
          <w:b/>
          <w:bCs/>
          <w:kern w:val="0"/>
          <w:sz w:val="24"/>
        </w:rPr>
        <w:t>五、其他约定</w:t>
      </w:r>
    </w:p>
    <w:p w14:paraId="7BDBF3F6">
      <w:pPr>
        <w:autoSpaceDE w:val="0"/>
        <w:autoSpaceDN w:val="0"/>
        <w:spacing w:line="460" w:lineRule="exact"/>
        <w:ind w:firstLine="480" w:firstLineChars="200"/>
        <w:rPr>
          <w:kern w:val="0"/>
          <w:sz w:val="24"/>
        </w:rPr>
      </w:pPr>
      <w:r>
        <w:rPr>
          <w:kern w:val="0"/>
          <w:sz w:val="24"/>
        </w:rPr>
        <w:t>1.本承诺书由甲乙双方法定代表人或授权的委托代理人签字，并加盖双方公章或合同专用章后生效。</w:t>
      </w:r>
    </w:p>
    <w:p w14:paraId="402B3102">
      <w:pPr>
        <w:autoSpaceDE w:val="0"/>
        <w:autoSpaceDN w:val="0"/>
        <w:spacing w:line="460" w:lineRule="exact"/>
        <w:ind w:firstLine="480" w:firstLineChars="200"/>
        <w:rPr>
          <w:kern w:val="0"/>
          <w:sz w:val="24"/>
        </w:rPr>
      </w:pPr>
      <w:r>
        <w:rPr>
          <w:kern w:val="0"/>
          <w:sz w:val="24"/>
        </w:rPr>
        <w:t>2.本承诺书总份数及甲乙双方执合同份数与主合同要求一致。</w:t>
      </w:r>
    </w:p>
    <w:p w14:paraId="5403F151">
      <w:pPr>
        <w:autoSpaceDE w:val="0"/>
        <w:autoSpaceDN w:val="0"/>
        <w:spacing w:line="460" w:lineRule="exact"/>
        <w:ind w:firstLine="480" w:firstLineChars="200"/>
        <w:rPr>
          <w:kern w:val="0"/>
          <w:sz w:val="24"/>
        </w:rPr>
      </w:pPr>
      <w:r>
        <w:rPr>
          <w:kern w:val="0"/>
          <w:sz w:val="24"/>
        </w:rPr>
        <w:t>3.本承诺书作为本合同的组成部分，与本合同具有同等法律效力。</w:t>
      </w:r>
    </w:p>
    <w:tbl>
      <w:tblPr>
        <w:tblStyle w:val="42"/>
        <w:tblW w:w="9147" w:type="dxa"/>
        <w:jc w:val="center"/>
        <w:tblLayout w:type="fixed"/>
        <w:tblCellMar>
          <w:top w:w="0" w:type="dxa"/>
          <w:left w:w="108" w:type="dxa"/>
          <w:bottom w:w="0" w:type="dxa"/>
          <w:right w:w="108" w:type="dxa"/>
        </w:tblCellMar>
      </w:tblPr>
      <w:tblGrid>
        <w:gridCol w:w="1600"/>
        <w:gridCol w:w="2975"/>
        <w:gridCol w:w="1630"/>
        <w:gridCol w:w="2942"/>
      </w:tblGrid>
      <w:tr w14:paraId="59AF6E00">
        <w:tblPrEx>
          <w:tblCellMar>
            <w:top w:w="0" w:type="dxa"/>
            <w:left w:w="108" w:type="dxa"/>
            <w:bottom w:w="0" w:type="dxa"/>
            <w:right w:w="108" w:type="dxa"/>
          </w:tblCellMar>
        </w:tblPrEx>
        <w:trPr>
          <w:trHeight w:val="803" w:hRule="atLeast"/>
          <w:jc w:val="center"/>
        </w:trPr>
        <w:tc>
          <w:tcPr>
            <w:tcW w:w="9147" w:type="dxa"/>
            <w:gridSpan w:val="4"/>
            <w:vAlign w:val="center"/>
          </w:tcPr>
          <w:p w14:paraId="364D973A">
            <w:pPr>
              <w:spacing w:line="320" w:lineRule="exact"/>
              <w:jc w:val="center"/>
              <w:rPr>
                <w:rFonts w:eastAsia="华文宋体"/>
                <w:b/>
                <w:szCs w:val="21"/>
              </w:rPr>
            </w:pPr>
            <w:r>
              <w:rPr>
                <w:rFonts w:eastAsia="华文宋体"/>
                <w:b/>
                <w:sz w:val="28"/>
                <w:szCs w:val="28"/>
              </w:rPr>
              <w:t>承诺书签订双方</w:t>
            </w:r>
          </w:p>
        </w:tc>
      </w:tr>
      <w:tr w14:paraId="2C16A3AF">
        <w:tblPrEx>
          <w:tblCellMar>
            <w:top w:w="0" w:type="dxa"/>
            <w:left w:w="108" w:type="dxa"/>
            <w:bottom w:w="0" w:type="dxa"/>
            <w:right w:w="108" w:type="dxa"/>
          </w:tblCellMar>
        </w:tblPrEx>
        <w:trPr>
          <w:trHeight w:val="997" w:hRule="atLeast"/>
          <w:jc w:val="center"/>
        </w:trPr>
        <w:tc>
          <w:tcPr>
            <w:tcW w:w="1600" w:type="dxa"/>
            <w:vAlign w:val="center"/>
          </w:tcPr>
          <w:p w14:paraId="3A1BDF5A">
            <w:pPr>
              <w:spacing w:line="320" w:lineRule="exact"/>
              <w:jc w:val="center"/>
              <w:rPr>
                <w:rFonts w:eastAsia="华文宋体"/>
                <w:szCs w:val="21"/>
              </w:rPr>
            </w:pPr>
            <w:r>
              <w:rPr>
                <w:rFonts w:eastAsia="华文宋体"/>
                <w:szCs w:val="21"/>
              </w:rPr>
              <w:t>甲方（盖章）：</w:t>
            </w:r>
          </w:p>
        </w:tc>
        <w:tc>
          <w:tcPr>
            <w:tcW w:w="2975" w:type="dxa"/>
            <w:vAlign w:val="center"/>
          </w:tcPr>
          <w:p w14:paraId="5A544201">
            <w:pPr>
              <w:spacing w:line="320" w:lineRule="exact"/>
              <w:jc w:val="center"/>
              <w:rPr>
                <w:rFonts w:eastAsia="华文宋体"/>
                <w:szCs w:val="21"/>
              </w:rPr>
            </w:pPr>
            <w:r>
              <w:rPr>
                <w:rFonts w:eastAsia="华文宋体"/>
                <w:szCs w:val="21"/>
              </w:rPr>
              <w:t>北京市地质灾害防治研究所</w:t>
            </w:r>
          </w:p>
        </w:tc>
        <w:tc>
          <w:tcPr>
            <w:tcW w:w="1630" w:type="dxa"/>
            <w:vAlign w:val="center"/>
          </w:tcPr>
          <w:p w14:paraId="6D75170C">
            <w:pPr>
              <w:spacing w:line="320" w:lineRule="exact"/>
              <w:jc w:val="center"/>
              <w:rPr>
                <w:rFonts w:eastAsia="华文宋体"/>
                <w:szCs w:val="21"/>
              </w:rPr>
            </w:pPr>
            <w:r>
              <w:rPr>
                <w:rFonts w:eastAsia="华文宋体"/>
                <w:szCs w:val="21"/>
              </w:rPr>
              <w:t>乙方（盖章）：</w:t>
            </w:r>
          </w:p>
        </w:tc>
        <w:tc>
          <w:tcPr>
            <w:tcW w:w="2942" w:type="dxa"/>
            <w:vAlign w:val="center"/>
          </w:tcPr>
          <w:p w14:paraId="40021CC6">
            <w:pPr>
              <w:spacing w:line="320" w:lineRule="exact"/>
              <w:ind w:leftChars="-2" w:hanging="4" w:hangingChars="2"/>
              <w:jc w:val="center"/>
              <w:rPr>
                <w:rFonts w:eastAsia="华文宋体"/>
                <w:szCs w:val="21"/>
              </w:rPr>
            </w:pPr>
          </w:p>
        </w:tc>
      </w:tr>
      <w:tr w14:paraId="4F494756">
        <w:tblPrEx>
          <w:tblCellMar>
            <w:top w:w="0" w:type="dxa"/>
            <w:left w:w="108" w:type="dxa"/>
            <w:bottom w:w="0" w:type="dxa"/>
            <w:right w:w="108" w:type="dxa"/>
          </w:tblCellMar>
        </w:tblPrEx>
        <w:trPr>
          <w:trHeight w:val="1087" w:hRule="atLeast"/>
          <w:jc w:val="center"/>
        </w:trPr>
        <w:tc>
          <w:tcPr>
            <w:tcW w:w="1600" w:type="dxa"/>
            <w:vAlign w:val="center"/>
          </w:tcPr>
          <w:p w14:paraId="7B923C8C">
            <w:pPr>
              <w:spacing w:line="320" w:lineRule="exact"/>
              <w:jc w:val="center"/>
              <w:rPr>
                <w:rFonts w:eastAsia="华文宋体"/>
                <w:szCs w:val="21"/>
              </w:rPr>
            </w:pPr>
            <w:r>
              <w:rPr>
                <w:rFonts w:eastAsia="华文宋体"/>
                <w:szCs w:val="21"/>
              </w:rPr>
              <w:t>法定代表人</w:t>
            </w:r>
          </w:p>
          <w:p w14:paraId="3429CE1B">
            <w:pPr>
              <w:spacing w:line="320" w:lineRule="exact"/>
              <w:jc w:val="center"/>
              <w:rPr>
                <w:rFonts w:eastAsia="华文宋体"/>
                <w:szCs w:val="21"/>
              </w:rPr>
            </w:pPr>
            <w:r>
              <w:rPr>
                <w:rFonts w:eastAsia="华文宋体"/>
                <w:szCs w:val="21"/>
              </w:rPr>
              <w:t>（签字）：</w:t>
            </w:r>
          </w:p>
        </w:tc>
        <w:tc>
          <w:tcPr>
            <w:tcW w:w="2975" w:type="dxa"/>
            <w:vAlign w:val="center"/>
          </w:tcPr>
          <w:p w14:paraId="42D4B667">
            <w:pPr>
              <w:spacing w:line="320" w:lineRule="exact"/>
              <w:rPr>
                <w:rFonts w:eastAsia="华文宋体"/>
                <w:szCs w:val="21"/>
              </w:rPr>
            </w:pPr>
          </w:p>
        </w:tc>
        <w:tc>
          <w:tcPr>
            <w:tcW w:w="1630" w:type="dxa"/>
            <w:vAlign w:val="center"/>
          </w:tcPr>
          <w:p w14:paraId="75666A07">
            <w:pPr>
              <w:spacing w:line="320" w:lineRule="exact"/>
              <w:jc w:val="center"/>
              <w:rPr>
                <w:rFonts w:eastAsia="华文宋体"/>
                <w:szCs w:val="21"/>
              </w:rPr>
            </w:pPr>
            <w:r>
              <w:rPr>
                <w:rFonts w:eastAsia="华文宋体"/>
                <w:szCs w:val="21"/>
              </w:rPr>
              <w:t>法定代表人</w:t>
            </w:r>
          </w:p>
          <w:p w14:paraId="74FE7BDC">
            <w:pPr>
              <w:spacing w:line="320" w:lineRule="exact"/>
              <w:jc w:val="center"/>
              <w:rPr>
                <w:rFonts w:eastAsia="华文宋体"/>
                <w:szCs w:val="21"/>
              </w:rPr>
            </w:pPr>
            <w:r>
              <w:rPr>
                <w:rFonts w:eastAsia="华文宋体"/>
                <w:szCs w:val="21"/>
              </w:rPr>
              <w:t>（签字）：</w:t>
            </w:r>
          </w:p>
        </w:tc>
        <w:tc>
          <w:tcPr>
            <w:tcW w:w="2942" w:type="dxa"/>
            <w:vAlign w:val="center"/>
          </w:tcPr>
          <w:p w14:paraId="61E2A7B9">
            <w:pPr>
              <w:spacing w:line="320" w:lineRule="exact"/>
              <w:rPr>
                <w:rFonts w:eastAsia="华文宋体"/>
                <w:szCs w:val="21"/>
              </w:rPr>
            </w:pPr>
          </w:p>
        </w:tc>
      </w:tr>
      <w:tr w14:paraId="42B57A99">
        <w:tblPrEx>
          <w:tblCellMar>
            <w:top w:w="0" w:type="dxa"/>
            <w:left w:w="108" w:type="dxa"/>
            <w:bottom w:w="0" w:type="dxa"/>
            <w:right w:w="108" w:type="dxa"/>
          </w:tblCellMar>
        </w:tblPrEx>
        <w:trPr>
          <w:trHeight w:val="1087" w:hRule="atLeast"/>
          <w:jc w:val="center"/>
        </w:trPr>
        <w:tc>
          <w:tcPr>
            <w:tcW w:w="1600" w:type="dxa"/>
            <w:vAlign w:val="center"/>
          </w:tcPr>
          <w:p w14:paraId="494293FF">
            <w:pPr>
              <w:spacing w:line="320" w:lineRule="exact"/>
              <w:jc w:val="center"/>
              <w:rPr>
                <w:rFonts w:eastAsia="华文宋体"/>
                <w:szCs w:val="21"/>
              </w:rPr>
            </w:pPr>
            <w:r>
              <w:rPr>
                <w:rFonts w:eastAsia="华文宋体"/>
                <w:szCs w:val="21"/>
              </w:rPr>
              <w:t>委托代理人</w:t>
            </w:r>
          </w:p>
          <w:p w14:paraId="1A346ABE">
            <w:pPr>
              <w:spacing w:line="320" w:lineRule="exact"/>
              <w:jc w:val="center"/>
              <w:rPr>
                <w:rFonts w:eastAsia="华文宋体"/>
                <w:szCs w:val="21"/>
              </w:rPr>
            </w:pPr>
            <w:r>
              <w:rPr>
                <w:rFonts w:eastAsia="华文宋体"/>
                <w:szCs w:val="21"/>
              </w:rPr>
              <w:t>（签字）：</w:t>
            </w:r>
          </w:p>
        </w:tc>
        <w:tc>
          <w:tcPr>
            <w:tcW w:w="2975" w:type="dxa"/>
            <w:vAlign w:val="center"/>
          </w:tcPr>
          <w:p w14:paraId="67EFAAFA">
            <w:pPr>
              <w:spacing w:line="320" w:lineRule="exact"/>
              <w:rPr>
                <w:rFonts w:eastAsia="华文宋体"/>
                <w:szCs w:val="21"/>
              </w:rPr>
            </w:pPr>
          </w:p>
        </w:tc>
        <w:tc>
          <w:tcPr>
            <w:tcW w:w="1630" w:type="dxa"/>
            <w:vAlign w:val="center"/>
          </w:tcPr>
          <w:p w14:paraId="707F1C3F">
            <w:pPr>
              <w:spacing w:line="320" w:lineRule="exact"/>
              <w:jc w:val="center"/>
              <w:rPr>
                <w:rFonts w:eastAsia="华文宋体"/>
                <w:szCs w:val="21"/>
              </w:rPr>
            </w:pPr>
            <w:r>
              <w:rPr>
                <w:rFonts w:eastAsia="华文宋体"/>
                <w:szCs w:val="21"/>
              </w:rPr>
              <w:t>委托代理人</w:t>
            </w:r>
          </w:p>
          <w:p w14:paraId="576B9E83">
            <w:pPr>
              <w:spacing w:line="320" w:lineRule="exact"/>
              <w:jc w:val="center"/>
              <w:rPr>
                <w:rFonts w:eastAsia="华文宋体"/>
                <w:szCs w:val="21"/>
              </w:rPr>
            </w:pPr>
            <w:r>
              <w:rPr>
                <w:rFonts w:eastAsia="华文宋体"/>
                <w:szCs w:val="21"/>
              </w:rPr>
              <w:t>（签字）：</w:t>
            </w:r>
          </w:p>
        </w:tc>
        <w:tc>
          <w:tcPr>
            <w:tcW w:w="2942" w:type="dxa"/>
            <w:vAlign w:val="center"/>
          </w:tcPr>
          <w:p w14:paraId="56ACEAB8">
            <w:pPr>
              <w:spacing w:line="320" w:lineRule="exact"/>
              <w:rPr>
                <w:rFonts w:eastAsia="华文宋体"/>
                <w:szCs w:val="21"/>
              </w:rPr>
            </w:pPr>
          </w:p>
        </w:tc>
      </w:tr>
      <w:tr w14:paraId="7E117F23">
        <w:tblPrEx>
          <w:tblCellMar>
            <w:top w:w="0" w:type="dxa"/>
            <w:left w:w="108" w:type="dxa"/>
            <w:bottom w:w="0" w:type="dxa"/>
            <w:right w:w="108" w:type="dxa"/>
          </w:tblCellMar>
        </w:tblPrEx>
        <w:trPr>
          <w:trHeight w:val="1087" w:hRule="atLeast"/>
          <w:jc w:val="center"/>
        </w:trPr>
        <w:tc>
          <w:tcPr>
            <w:tcW w:w="1600" w:type="dxa"/>
            <w:vAlign w:val="center"/>
          </w:tcPr>
          <w:p w14:paraId="472D0CAF">
            <w:pPr>
              <w:spacing w:line="320" w:lineRule="exact"/>
              <w:jc w:val="center"/>
              <w:rPr>
                <w:rFonts w:eastAsia="华文宋体"/>
                <w:szCs w:val="21"/>
              </w:rPr>
            </w:pPr>
            <w:r>
              <w:rPr>
                <w:rFonts w:eastAsia="华文宋体"/>
                <w:szCs w:val="21"/>
              </w:rPr>
              <w:t>签订日期：</w:t>
            </w:r>
          </w:p>
        </w:tc>
        <w:tc>
          <w:tcPr>
            <w:tcW w:w="2975" w:type="dxa"/>
            <w:vAlign w:val="center"/>
          </w:tcPr>
          <w:p w14:paraId="264C6BE5">
            <w:pPr>
              <w:spacing w:line="320" w:lineRule="exact"/>
              <w:jc w:val="right"/>
              <w:rPr>
                <w:rFonts w:eastAsia="华文宋体"/>
                <w:szCs w:val="21"/>
              </w:rPr>
            </w:pPr>
            <w:r>
              <w:rPr>
                <w:rFonts w:eastAsia="华文宋体"/>
                <w:szCs w:val="21"/>
              </w:rPr>
              <w:t>________年____月____日</w:t>
            </w:r>
          </w:p>
        </w:tc>
        <w:tc>
          <w:tcPr>
            <w:tcW w:w="1630" w:type="dxa"/>
            <w:vAlign w:val="center"/>
          </w:tcPr>
          <w:p w14:paraId="5CD3ED42">
            <w:pPr>
              <w:spacing w:line="320" w:lineRule="exact"/>
              <w:jc w:val="center"/>
              <w:rPr>
                <w:rFonts w:eastAsia="华文宋体"/>
                <w:szCs w:val="21"/>
              </w:rPr>
            </w:pPr>
            <w:r>
              <w:rPr>
                <w:rFonts w:eastAsia="华文宋体"/>
                <w:szCs w:val="21"/>
              </w:rPr>
              <w:t>签订日期：</w:t>
            </w:r>
          </w:p>
        </w:tc>
        <w:tc>
          <w:tcPr>
            <w:tcW w:w="2942" w:type="dxa"/>
            <w:vAlign w:val="center"/>
          </w:tcPr>
          <w:p w14:paraId="4941D83D">
            <w:pPr>
              <w:spacing w:line="320" w:lineRule="exact"/>
              <w:jc w:val="right"/>
              <w:rPr>
                <w:rFonts w:eastAsia="华文宋体"/>
                <w:szCs w:val="21"/>
              </w:rPr>
            </w:pPr>
            <w:r>
              <w:rPr>
                <w:rFonts w:eastAsia="华文宋体"/>
                <w:szCs w:val="21"/>
              </w:rPr>
              <w:t>________年____月____日</w:t>
            </w:r>
          </w:p>
        </w:tc>
      </w:tr>
    </w:tbl>
    <w:p w14:paraId="00475FE6"/>
    <w:p w14:paraId="4D36A989">
      <w:pPr>
        <w:spacing w:after="120" w:line="480" w:lineRule="exact"/>
        <w:ind w:left="420" w:leftChars="200" w:firstLine="480" w:firstLineChars="200"/>
        <w:rPr>
          <w:sz w:val="24"/>
          <w:szCs w:val="20"/>
        </w:rPr>
      </w:pPr>
    </w:p>
    <w:p w14:paraId="4512C257">
      <w:pPr>
        <w:rPr>
          <w:sz w:val="32"/>
          <w:szCs w:val="40"/>
        </w:rPr>
      </w:pPr>
      <w:r>
        <w:rPr>
          <w:rFonts w:hint="eastAsia"/>
          <w:sz w:val="32"/>
          <w:szCs w:val="40"/>
        </w:rPr>
        <w:br w:type="page"/>
      </w:r>
    </w:p>
    <w:p w14:paraId="7BB65619">
      <w:pPr>
        <w:rPr>
          <w:b/>
          <w:bCs/>
          <w:sz w:val="24"/>
        </w:rPr>
      </w:pPr>
      <w:r>
        <w:rPr>
          <w:rFonts w:hint="eastAsia"/>
          <w:b/>
          <w:bCs/>
          <w:sz w:val="24"/>
        </w:rPr>
        <w:t>附件2：</w:t>
      </w:r>
    </w:p>
    <w:p w14:paraId="1D11FCC3">
      <w:pPr>
        <w:spacing w:line="500" w:lineRule="exact"/>
        <w:jc w:val="center"/>
        <w:rPr>
          <w:rFonts w:hint="eastAsia" w:ascii="宋体" w:hAnsi="宋体" w:cs="宋体"/>
          <w:b/>
          <w:bCs/>
          <w:sz w:val="32"/>
          <w:szCs w:val="21"/>
        </w:rPr>
      </w:pPr>
      <w:r>
        <w:rPr>
          <w:rFonts w:hint="eastAsia" w:ascii="宋体" w:hAnsi="宋体" w:cs="宋体"/>
          <w:b/>
          <w:bCs/>
          <w:sz w:val="32"/>
          <w:szCs w:val="21"/>
        </w:rPr>
        <w:t>施工安全协议书</w:t>
      </w:r>
    </w:p>
    <w:p w14:paraId="561A8C18">
      <w:pPr>
        <w:spacing w:line="500" w:lineRule="exact"/>
        <w:rPr>
          <w:rFonts w:eastAsia="仿宋"/>
          <w:sz w:val="28"/>
        </w:rPr>
      </w:pPr>
    </w:p>
    <w:p w14:paraId="537D6AF4">
      <w:pPr>
        <w:spacing w:line="440" w:lineRule="exact"/>
        <w:rPr>
          <w:sz w:val="24"/>
          <w:u w:val="single"/>
        </w:rPr>
      </w:pPr>
      <w:r>
        <w:rPr>
          <w:sz w:val="24"/>
        </w:rPr>
        <w:t>甲方：</w:t>
      </w:r>
      <w:r>
        <w:rPr>
          <w:sz w:val="24"/>
          <w:u w:val="single"/>
        </w:rPr>
        <w:t xml:space="preserve">                                       </w:t>
      </w:r>
    </w:p>
    <w:p w14:paraId="0D7D049C">
      <w:pPr>
        <w:spacing w:line="440" w:lineRule="exact"/>
        <w:rPr>
          <w:sz w:val="24"/>
        </w:rPr>
      </w:pPr>
      <w:r>
        <w:rPr>
          <w:sz w:val="24"/>
        </w:rPr>
        <w:t>乙方：</w:t>
      </w:r>
      <w:r>
        <w:rPr>
          <w:sz w:val="24"/>
          <w:u w:val="single"/>
        </w:rPr>
        <w:t xml:space="preserve">                                       </w:t>
      </w:r>
    </w:p>
    <w:p w14:paraId="102692B7">
      <w:pPr>
        <w:spacing w:line="440" w:lineRule="exact"/>
        <w:rPr>
          <w:b/>
          <w:bCs/>
          <w:sz w:val="24"/>
        </w:rPr>
      </w:pPr>
      <w:r>
        <w:rPr>
          <w:b/>
          <w:bCs/>
          <w:sz w:val="24"/>
        </w:rPr>
        <w:t>一、目的</w:t>
      </w:r>
    </w:p>
    <w:p w14:paraId="32D7393E">
      <w:pPr>
        <w:spacing w:line="440" w:lineRule="exact"/>
        <w:ind w:firstLine="480" w:firstLineChars="200"/>
        <w:rPr>
          <w:sz w:val="24"/>
        </w:rPr>
      </w:pPr>
      <w:r>
        <w:rPr>
          <w:sz w:val="24"/>
        </w:rPr>
        <w:t>为了维护甲乙双方的共同利益，保证施工安全，保持良好的工作秩序和施工场所的卫生环境，经甲乙双方平等协商，签订本安全协议。</w:t>
      </w:r>
    </w:p>
    <w:p w14:paraId="05BBD34C">
      <w:pPr>
        <w:spacing w:line="440" w:lineRule="exact"/>
        <w:rPr>
          <w:b/>
          <w:bCs/>
          <w:sz w:val="24"/>
        </w:rPr>
      </w:pPr>
      <w:r>
        <w:rPr>
          <w:b/>
          <w:bCs/>
          <w:sz w:val="24"/>
        </w:rPr>
        <w:t>二、施工项目</w:t>
      </w:r>
    </w:p>
    <w:p w14:paraId="11A5C0EF">
      <w:pPr>
        <w:spacing w:line="440" w:lineRule="exact"/>
        <w:ind w:firstLine="480" w:firstLineChars="200"/>
        <w:rPr>
          <w:sz w:val="24"/>
        </w:rPr>
      </w:pPr>
      <w:r>
        <w:rPr>
          <w:sz w:val="24"/>
        </w:rPr>
        <w:t xml:space="preserve"> </w:t>
      </w:r>
    </w:p>
    <w:p w14:paraId="1EE75EC1">
      <w:pPr>
        <w:spacing w:line="440" w:lineRule="exact"/>
        <w:rPr>
          <w:b/>
          <w:bCs/>
          <w:sz w:val="24"/>
        </w:rPr>
      </w:pPr>
      <w:r>
        <w:rPr>
          <w:b/>
          <w:bCs/>
          <w:sz w:val="24"/>
        </w:rPr>
        <w:t>三、施工地点</w:t>
      </w:r>
    </w:p>
    <w:p w14:paraId="2D2AC1FE">
      <w:pPr>
        <w:spacing w:line="440" w:lineRule="exact"/>
        <w:ind w:firstLine="600" w:firstLineChars="250"/>
        <w:rPr>
          <w:sz w:val="24"/>
        </w:rPr>
      </w:pPr>
    </w:p>
    <w:p w14:paraId="5C6109BC">
      <w:pPr>
        <w:spacing w:line="440" w:lineRule="exact"/>
        <w:ind w:firstLine="602" w:firstLineChars="250"/>
        <w:rPr>
          <w:b/>
          <w:bCs/>
          <w:sz w:val="24"/>
        </w:rPr>
      </w:pPr>
      <w:r>
        <w:rPr>
          <w:b/>
          <w:bCs/>
          <w:sz w:val="24"/>
        </w:rPr>
        <w:t>四、施工时间</w:t>
      </w:r>
    </w:p>
    <w:p w14:paraId="11BF50AF">
      <w:pPr>
        <w:spacing w:line="440" w:lineRule="exact"/>
        <w:ind w:firstLine="480" w:firstLineChars="200"/>
        <w:rPr>
          <w:sz w:val="24"/>
        </w:rPr>
      </w:pPr>
      <w:r>
        <w:rPr>
          <w:sz w:val="24"/>
        </w:rPr>
        <w:t>以实际施工日期为准。</w:t>
      </w:r>
    </w:p>
    <w:p w14:paraId="738705D0">
      <w:pPr>
        <w:spacing w:line="440" w:lineRule="exact"/>
        <w:ind w:firstLine="482" w:firstLineChars="200"/>
        <w:rPr>
          <w:b/>
          <w:bCs/>
          <w:sz w:val="24"/>
        </w:rPr>
      </w:pPr>
      <w:r>
        <w:rPr>
          <w:b/>
          <w:bCs/>
          <w:sz w:val="24"/>
        </w:rPr>
        <w:t>五、施工方式</w:t>
      </w:r>
    </w:p>
    <w:p w14:paraId="1DF6FE44">
      <w:pPr>
        <w:spacing w:line="440" w:lineRule="exact"/>
        <w:ind w:firstLine="480" w:firstLineChars="200"/>
        <w:rPr>
          <w:sz w:val="24"/>
        </w:rPr>
      </w:pPr>
      <w:r>
        <w:rPr>
          <w:sz w:val="24"/>
        </w:rPr>
        <w:t>按照双方签订同及技术要求施工（详见合同相关条款）。</w:t>
      </w:r>
    </w:p>
    <w:p w14:paraId="27853A5D">
      <w:pPr>
        <w:spacing w:line="440" w:lineRule="exact"/>
        <w:ind w:left="482" w:hanging="482" w:hangingChars="200"/>
        <w:rPr>
          <w:b/>
          <w:bCs/>
          <w:sz w:val="24"/>
        </w:rPr>
      </w:pPr>
      <w:r>
        <w:rPr>
          <w:b/>
          <w:bCs/>
          <w:sz w:val="24"/>
        </w:rPr>
        <w:t>六、协议内容</w:t>
      </w:r>
    </w:p>
    <w:p w14:paraId="3D1CDC73">
      <w:pPr>
        <w:spacing w:line="440" w:lineRule="exact"/>
        <w:ind w:firstLine="480" w:firstLineChars="200"/>
        <w:rPr>
          <w:sz w:val="24"/>
        </w:rPr>
      </w:pPr>
      <w:r>
        <w:rPr>
          <w:sz w:val="24"/>
        </w:rPr>
        <w:t>1、乙方在甲方属地施工期间须指定现场施工负责人，施工现场还需设立安全监督员，便于施工过程中的协调、联系及安全监管工作。</w:t>
      </w:r>
    </w:p>
    <w:p w14:paraId="1741F961">
      <w:pPr>
        <w:spacing w:line="440" w:lineRule="exact"/>
        <w:ind w:firstLine="480" w:firstLineChars="200"/>
        <w:rPr>
          <w:sz w:val="24"/>
        </w:rPr>
      </w:pPr>
      <w:r>
        <w:rPr>
          <w:sz w:val="24"/>
        </w:rPr>
        <w:t>2、乙方施工人员进入施工现场必需佩戴施安全帽，穿戴完整的个人防护用品，携带完好的高空安全带，服从甲方安全管理人员的管理，未经甲方同意，严禁进入甲方生产区域.</w:t>
      </w:r>
    </w:p>
    <w:p w14:paraId="5908AA4B">
      <w:pPr>
        <w:spacing w:line="440" w:lineRule="exact"/>
        <w:ind w:firstLine="480" w:firstLineChars="200"/>
        <w:rPr>
          <w:sz w:val="24"/>
        </w:rPr>
      </w:pPr>
      <w:r>
        <w:rPr>
          <w:sz w:val="24"/>
        </w:rPr>
        <w:t>3</w:t>
      </w:r>
      <w:r>
        <w:rPr>
          <w:rFonts w:hint="eastAsia"/>
          <w:sz w:val="24"/>
        </w:rPr>
        <w:t>、</w:t>
      </w:r>
      <w:r>
        <w:rPr>
          <w:sz w:val="24"/>
        </w:rPr>
        <w:t>在没有可靠安全防护设施的高处（2米以上含2米）和陡坡施工时，必须系好合格的安全带，安全带要系挂牢固，高挂低用，同时高处作业不得穿硬底和带钉易滑的鞋，穿防滑胶鞋；高空作业时，不准往下或向上抛材料和工具等物件，应做好安全提示。</w:t>
      </w:r>
    </w:p>
    <w:p w14:paraId="3C79F7F5">
      <w:pPr>
        <w:spacing w:line="440" w:lineRule="exact"/>
        <w:ind w:firstLine="480" w:firstLineChars="200"/>
        <w:rPr>
          <w:sz w:val="24"/>
        </w:rPr>
      </w:pPr>
      <w:r>
        <w:rPr>
          <w:sz w:val="24"/>
        </w:rPr>
        <w:t>4</w:t>
      </w:r>
      <w:r>
        <w:rPr>
          <w:rFonts w:hint="eastAsia"/>
          <w:sz w:val="24"/>
        </w:rPr>
        <w:t>、</w:t>
      </w:r>
      <w:r>
        <w:rPr>
          <w:sz w:val="24"/>
        </w:rPr>
        <w:t>高空作业所用材料要堆放平稳，工具应随手放入工具袋内，上下传递物体禁止抛掷。</w:t>
      </w:r>
    </w:p>
    <w:p w14:paraId="2E2A3D62">
      <w:pPr>
        <w:spacing w:line="440" w:lineRule="exact"/>
        <w:ind w:firstLine="480" w:firstLineChars="200"/>
        <w:rPr>
          <w:sz w:val="24"/>
        </w:rPr>
      </w:pPr>
      <w:r>
        <w:rPr>
          <w:sz w:val="24"/>
        </w:rPr>
        <w:t>5</w:t>
      </w:r>
      <w:r>
        <w:rPr>
          <w:rFonts w:hint="eastAsia"/>
          <w:sz w:val="24"/>
        </w:rPr>
        <w:t>、</w:t>
      </w:r>
      <w:r>
        <w:rPr>
          <w:sz w:val="24"/>
        </w:rPr>
        <w:t>悬空作业应有牢靠的立足处，并必须视具体情况，配置防护网、栏杆或其他安全设施。凡不符合作业的人员，一律禁止高处作业。并严禁酒后高处作业。</w:t>
      </w:r>
    </w:p>
    <w:p w14:paraId="2581A81A">
      <w:pPr>
        <w:spacing w:line="440" w:lineRule="exact"/>
        <w:ind w:firstLine="480" w:firstLineChars="200"/>
        <w:rPr>
          <w:sz w:val="24"/>
        </w:rPr>
      </w:pPr>
      <w:r>
        <w:rPr>
          <w:sz w:val="24"/>
        </w:rPr>
        <w:t>6</w:t>
      </w:r>
      <w:r>
        <w:rPr>
          <w:rFonts w:hint="eastAsia"/>
          <w:sz w:val="24"/>
        </w:rPr>
        <w:t>、</w:t>
      </w:r>
      <w:r>
        <w:rPr>
          <w:sz w:val="24"/>
        </w:rPr>
        <w:t>施工人员进行特种作业必须持有效证件（电气焊操作证、电工操作证、起重操作证等），并由甲方审核作业人员资质，审核通过后方可施工。同时，由乙方负责在施工前将相关证件复印件（加盖公司公章）交至甲方安全保卫科存档。</w:t>
      </w:r>
    </w:p>
    <w:p w14:paraId="7A1ABC91">
      <w:pPr>
        <w:spacing w:line="440" w:lineRule="exact"/>
        <w:ind w:firstLine="480" w:firstLineChars="200"/>
        <w:rPr>
          <w:sz w:val="24"/>
        </w:rPr>
      </w:pPr>
      <w:r>
        <w:rPr>
          <w:sz w:val="24"/>
        </w:rPr>
        <w:t>7、乙方应在施工区域设置明显警示标志，对于时间较长的集中性施工项目必要时做到封闭处理。施工人员应在施工区域内活动，不得随意进入非施工区域，不得擅动与施工无关的设施及设备，施工中对施工区域内的甲方设备应采取保护措施，不得造成甲方设备损坏，因乙方施工原因引起乙方人员、施工设备事故的一切损失由乙方承担。</w:t>
      </w:r>
    </w:p>
    <w:p w14:paraId="6EC0FFAF">
      <w:pPr>
        <w:spacing w:line="440" w:lineRule="exact"/>
        <w:ind w:firstLine="480" w:firstLineChars="200"/>
        <w:rPr>
          <w:sz w:val="24"/>
        </w:rPr>
      </w:pPr>
      <w:r>
        <w:rPr>
          <w:sz w:val="24"/>
        </w:rPr>
        <w:t>8、对于由乙方原因造成甲方人员伤害，引起火灾、设备事故的，一切损失由乙方负责。</w:t>
      </w:r>
    </w:p>
    <w:p w14:paraId="7D1DC3E6">
      <w:pPr>
        <w:spacing w:line="440" w:lineRule="exact"/>
        <w:ind w:firstLine="480" w:firstLineChars="200"/>
        <w:rPr>
          <w:sz w:val="24"/>
        </w:rPr>
      </w:pPr>
      <w:r>
        <w:rPr>
          <w:sz w:val="24"/>
        </w:rPr>
        <w:t>9</w:t>
      </w:r>
      <w:r>
        <w:rPr>
          <w:rFonts w:hint="eastAsia"/>
          <w:sz w:val="24"/>
        </w:rPr>
        <w:t>、</w:t>
      </w:r>
      <w:r>
        <w:rPr>
          <w:sz w:val="24"/>
        </w:rPr>
        <w:t>施工现场临时用电安全规定</w:t>
      </w:r>
    </w:p>
    <w:p w14:paraId="79F13AF9">
      <w:pPr>
        <w:spacing w:line="440" w:lineRule="exact"/>
        <w:ind w:firstLine="480" w:firstLineChars="200"/>
        <w:rPr>
          <w:sz w:val="24"/>
        </w:rPr>
      </w:pPr>
      <w:r>
        <w:rPr>
          <w:rFonts w:hint="eastAsia"/>
          <w:sz w:val="24"/>
        </w:rPr>
        <w:t>（</w:t>
      </w:r>
      <w:r>
        <w:rPr>
          <w:sz w:val="24"/>
        </w:rPr>
        <w:t>1</w:t>
      </w:r>
      <w:r>
        <w:rPr>
          <w:rFonts w:hint="eastAsia"/>
          <w:sz w:val="24"/>
        </w:rPr>
        <w:t>）</w:t>
      </w:r>
      <w:r>
        <w:rPr>
          <w:sz w:val="24"/>
        </w:rPr>
        <w:t>电工必须持证上岗作业，操作证必须有效，严禁无证操作上岗。</w:t>
      </w:r>
    </w:p>
    <w:p w14:paraId="36705C5E">
      <w:pPr>
        <w:spacing w:line="440" w:lineRule="exact"/>
        <w:ind w:firstLine="480" w:firstLineChars="200"/>
        <w:rPr>
          <w:sz w:val="24"/>
        </w:rPr>
      </w:pPr>
      <w:r>
        <w:rPr>
          <w:rFonts w:hint="eastAsia"/>
          <w:sz w:val="24"/>
        </w:rPr>
        <w:t>（</w:t>
      </w:r>
      <w:r>
        <w:rPr>
          <w:sz w:val="24"/>
        </w:rPr>
        <w:t>2</w:t>
      </w:r>
      <w:r>
        <w:rPr>
          <w:rFonts w:hint="eastAsia"/>
          <w:sz w:val="24"/>
        </w:rPr>
        <w:t>）</w:t>
      </w:r>
      <w:r>
        <w:rPr>
          <w:sz w:val="24"/>
        </w:rPr>
        <w:t>上班时，必须坚守本职工作岗位，认真操作，不得离岗串岗，不得让非电工人员乱拉乱接电线，严禁带电作业。</w:t>
      </w:r>
    </w:p>
    <w:p w14:paraId="0F944A02">
      <w:pPr>
        <w:spacing w:line="440" w:lineRule="exact"/>
        <w:ind w:firstLine="480" w:firstLineChars="200"/>
        <w:rPr>
          <w:sz w:val="24"/>
        </w:rPr>
      </w:pPr>
      <w:r>
        <w:rPr>
          <w:rFonts w:hint="eastAsia"/>
          <w:sz w:val="24"/>
        </w:rPr>
        <w:t>（</w:t>
      </w:r>
      <w:r>
        <w:rPr>
          <w:sz w:val="24"/>
        </w:rPr>
        <w:t>3</w:t>
      </w:r>
      <w:r>
        <w:rPr>
          <w:rFonts w:hint="eastAsia"/>
          <w:sz w:val="24"/>
        </w:rPr>
        <w:t>）</w:t>
      </w:r>
      <w:r>
        <w:rPr>
          <w:sz w:val="24"/>
        </w:rPr>
        <w:t>在施工现场不准乱拉乱接线，严禁在现场煮饭以及电热水壶。</w:t>
      </w:r>
    </w:p>
    <w:p w14:paraId="46E7E99F">
      <w:pPr>
        <w:spacing w:line="440" w:lineRule="exact"/>
        <w:ind w:firstLine="480" w:firstLineChars="200"/>
        <w:rPr>
          <w:sz w:val="24"/>
        </w:rPr>
      </w:pPr>
      <w:r>
        <w:rPr>
          <w:rFonts w:hint="eastAsia"/>
          <w:sz w:val="24"/>
        </w:rPr>
        <w:t>（</w:t>
      </w:r>
      <w:r>
        <w:rPr>
          <w:sz w:val="24"/>
        </w:rPr>
        <w:t>4</w:t>
      </w:r>
      <w:r>
        <w:rPr>
          <w:rFonts w:hint="eastAsia"/>
          <w:sz w:val="24"/>
        </w:rPr>
        <w:t>）</w:t>
      </w:r>
      <w:r>
        <w:rPr>
          <w:sz w:val="24"/>
        </w:rPr>
        <w:t>再用点处离电源比较远时应架空。</w:t>
      </w:r>
    </w:p>
    <w:p w14:paraId="49FA49C2">
      <w:pPr>
        <w:spacing w:line="440" w:lineRule="exact"/>
        <w:ind w:firstLine="480" w:firstLineChars="200"/>
        <w:rPr>
          <w:sz w:val="24"/>
        </w:rPr>
      </w:pPr>
      <w:r>
        <w:rPr>
          <w:rFonts w:hint="eastAsia"/>
          <w:sz w:val="24"/>
        </w:rPr>
        <w:t>（</w:t>
      </w:r>
      <w:r>
        <w:rPr>
          <w:sz w:val="24"/>
        </w:rPr>
        <w:t>5</w:t>
      </w:r>
      <w:r>
        <w:rPr>
          <w:rFonts w:hint="eastAsia"/>
          <w:sz w:val="24"/>
        </w:rPr>
        <w:t>）</w:t>
      </w:r>
      <w:r>
        <w:rPr>
          <w:sz w:val="24"/>
        </w:rPr>
        <w:t>严禁使用无漏电开关插座以及非皮套线。</w:t>
      </w:r>
    </w:p>
    <w:p w14:paraId="21EC7EE1">
      <w:pPr>
        <w:spacing w:line="440" w:lineRule="exact"/>
        <w:ind w:firstLine="480" w:firstLineChars="200"/>
        <w:rPr>
          <w:sz w:val="24"/>
        </w:rPr>
      </w:pPr>
      <w:r>
        <w:rPr>
          <w:sz w:val="24"/>
        </w:rPr>
        <w:t>10</w:t>
      </w:r>
      <w:r>
        <w:rPr>
          <w:rFonts w:hint="eastAsia"/>
          <w:sz w:val="24"/>
        </w:rPr>
        <w:t>、</w:t>
      </w:r>
      <w:r>
        <w:rPr>
          <w:sz w:val="24"/>
        </w:rPr>
        <w:t>施工现场气割、电焊作业安全规定</w:t>
      </w:r>
    </w:p>
    <w:p w14:paraId="08CC4AB1">
      <w:pPr>
        <w:spacing w:line="440" w:lineRule="exact"/>
        <w:ind w:firstLine="480" w:firstLineChars="200"/>
        <w:rPr>
          <w:sz w:val="24"/>
        </w:rPr>
      </w:pPr>
      <w:r>
        <w:rPr>
          <w:rFonts w:hint="eastAsia"/>
          <w:sz w:val="24"/>
        </w:rPr>
        <w:t>（</w:t>
      </w:r>
      <w:r>
        <w:rPr>
          <w:sz w:val="24"/>
        </w:rPr>
        <w:t>1</w:t>
      </w:r>
      <w:r>
        <w:rPr>
          <w:rFonts w:hint="eastAsia"/>
          <w:sz w:val="24"/>
        </w:rPr>
        <w:t>）</w:t>
      </w:r>
      <w:r>
        <w:rPr>
          <w:sz w:val="24"/>
        </w:rPr>
        <w:t>焊工必须持证上岗，无特种作业人员安全操作证的人员，不准进行焊、割作业。</w:t>
      </w:r>
    </w:p>
    <w:p w14:paraId="205A30AF">
      <w:pPr>
        <w:spacing w:line="440" w:lineRule="exact"/>
        <w:ind w:firstLine="480" w:firstLineChars="200"/>
        <w:rPr>
          <w:sz w:val="24"/>
        </w:rPr>
      </w:pPr>
      <w:r>
        <w:rPr>
          <w:rFonts w:hint="eastAsia"/>
          <w:sz w:val="24"/>
        </w:rPr>
        <w:t>（</w:t>
      </w:r>
      <w:r>
        <w:rPr>
          <w:sz w:val="24"/>
        </w:rPr>
        <w:t>2</w:t>
      </w:r>
      <w:r>
        <w:rPr>
          <w:rFonts w:hint="eastAsia"/>
          <w:sz w:val="24"/>
        </w:rPr>
        <w:t>）</w:t>
      </w:r>
      <w:r>
        <w:rPr>
          <w:sz w:val="24"/>
        </w:rPr>
        <w:t>凡属一、二、三级动火范围的焊、割作业，未经办理动火审批手续，不准进行焊、割。</w:t>
      </w:r>
    </w:p>
    <w:p w14:paraId="3F0A6EE2">
      <w:pPr>
        <w:spacing w:line="440" w:lineRule="exact"/>
        <w:ind w:firstLine="480" w:firstLineChars="200"/>
        <w:rPr>
          <w:sz w:val="24"/>
        </w:rPr>
      </w:pPr>
      <w:r>
        <w:rPr>
          <w:rFonts w:hint="eastAsia"/>
          <w:sz w:val="24"/>
        </w:rPr>
        <w:t>（</w:t>
      </w:r>
      <w:r>
        <w:rPr>
          <w:sz w:val="24"/>
        </w:rPr>
        <w:t>3</w:t>
      </w:r>
      <w:r>
        <w:rPr>
          <w:rFonts w:hint="eastAsia"/>
          <w:sz w:val="24"/>
        </w:rPr>
        <w:t>）</w:t>
      </w:r>
      <w:r>
        <w:rPr>
          <w:sz w:val="24"/>
        </w:rPr>
        <w:t>焊工不了解焊、割现场周围情况，不得进行焊、割。</w:t>
      </w:r>
    </w:p>
    <w:p w14:paraId="0E4CAE9E">
      <w:pPr>
        <w:spacing w:line="440" w:lineRule="exact"/>
        <w:ind w:firstLine="480" w:firstLineChars="200"/>
        <w:rPr>
          <w:sz w:val="24"/>
        </w:rPr>
      </w:pPr>
      <w:r>
        <w:rPr>
          <w:rFonts w:hint="eastAsia"/>
          <w:sz w:val="24"/>
        </w:rPr>
        <w:t>（</w:t>
      </w:r>
      <w:r>
        <w:rPr>
          <w:sz w:val="24"/>
        </w:rPr>
        <w:t>4</w:t>
      </w:r>
      <w:r>
        <w:rPr>
          <w:rFonts w:hint="eastAsia"/>
          <w:sz w:val="24"/>
        </w:rPr>
        <w:t>）</w:t>
      </w:r>
      <w:r>
        <w:rPr>
          <w:sz w:val="24"/>
        </w:rPr>
        <w:t>焊工不了解焊件内部是否安全时，不得进行焊、割。</w:t>
      </w:r>
    </w:p>
    <w:p w14:paraId="2ED3A70F">
      <w:pPr>
        <w:spacing w:line="440" w:lineRule="exact"/>
        <w:ind w:firstLine="480" w:firstLineChars="200"/>
        <w:rPr>
          <w:sz w:val="24"/>
        </w:rPr>
      </w:pPr>
      <w:r>
        <w:rPr>
          <w:rFonts w:hint="eastAsia"/>
          <w:sz w:val="24"/>
        </w:rPr>
        <w:t>（</w:t>
      </w:r>
      <w:r>
        <w:rPr>
          <w:sz w:val="24"/>
        </w:rPr>
        <w:t>5</w:t>
      </w:r>
      <w:r>
        <w:rPr>
          <w:rFonts w:hint="eastAsia"/>
          <w:sz w:val="24"/>
        </w:rPr>
        <w:t>）</w:t>
      </w:r>
      <w:r>
        <w:rPr>
          <w:sz w:val="24"/>
        </w:rPr>
        <w:t>各种装过可燃气体、易燃液体和有毒物质的容器，未经彻底清洗，排除危险性之前，不准进行焊、割。</w:t>
      </w:r>
    </w:p>
    <w:p w14:paraId="08BCC51E">
      <w:pPr>
        <w:spacing w:line="440" w:lineRule="exact"/>
        <w:ind w:firstLine="480" w:firstLineChars="200"/>
        <w:rPr>
          <w:sz w:val="24"/>
        </w:rPr>
      </w:pPr>
      <w:r>
        <w:rPr>
          <w:rFonts w:hint="eastAsia"/>
          <w:sz w:val="24"/>
        </w:rPr>
        <w:t>（</w:t>
      </w:r>
      <w:r>
        <w:rPr>
          <w:sz w:val="24"/>
        </w:rPr>
        <w:t>6</w:t>
      </w:r>
      <w:r>
        <w:rPr>
          <w:rFonts w:hint="eastAsia"/>
          <w:sz w:val="24"/>
        </w:rPr>
        <w:t>）</w:t>
      </w:r>
      <w:r>
        <w:rPr>
          <w:sz w:val="24"/>
        </w:rPr>
        <w:t>用可燃材料作保温层、冷却层、隔音、隔热设备的部位，或火星能飞溅到的地方，在未采取切实可靠的安全措施之前，不准焊、割。</w:t>
      </w:r>
    </w:p>
    <w:p w14:paraId="4CE2BB22">
      <w:pPr>
        <w:spacing w:line="440" w:lineRule="exact"/>
        <w:ind w:firstLine="480" w:firstLineChars="200"/>
        <w:rPr>
          <w:sz w:val="24"/>
        </w:rPr>
      </w:pPr>
      <w:r>
        <w:rPr>
          <w:rFonts w:hint="eastAsia"/>
          <w:sz w:val="24"/>
        </w:rPr>
        <w:t>（</w:t>
      </w:r>
      <w:r>
        <w:rPr>
          <w:sz w:val="24"/>
        </w:rPr>
        <w:t>7</w:t>
      </w:r>
      <w:r>
        <w:rPr>
          <w:rFonts w:hint="eastAsia"/>
          <w:sz w:val="24"/>
        </w:rPr>
        <w:t>）</w:t>
      </w:r>
      <w:r>
        <w:rPr>
          <w:sz w:val="24"/>
        </w:rPr>
        <w:t>有压力或密闭的管道、容器，不准焊、割。</w:t>
      </w:r>
    </w:p>
    <w:p w14:paraId="3131D9C6">
      <w:pPr>
        <w:spacing w:line="440" w:lineRule="exact"/>
        <w:ind w:firstLine="480" w:firstLineChars="200"/>
        <w:rPr>
          <w:sz w:val="24"/>
        </w:rPr>
      </w:pPr>
      <w:r>
        <w:rPr>
          <w:rFonts w:hint="eastAsia"/>
          <w:sz w:val="24"/>
        </w:rPr>
        <w:t>（</w:t>
      </w:r>
      <w:r>
        <w:rPr>
          <w:sz w:val="24"/>
        </w:rPr>
        <w:t>8</w:t>
      </w:r>
      <w:r>
        <w:rPr>
          <w:rFonts w:hint="eastAsia"/>
          <w:sz w:val="24"/>
        </w:rPr>
        <w:t>）</w:t>
      </w:r>
      <w:r>
        <w:rPr>
          <w:sz w:val="24"/>
        </w:rPr>
        <w:t>焊、割部位附近有易燃易爆物品，在未作清理或未采取有效的安全措施之前，不准焊、割。</w:t>
      </w:r>
    </w:p>
    <w:p w14:paraId="607C5346">
      <w:pPr>
        <w:spacing w:line="440" w:lineRule="exact"/>
        <w:ind w:firstLine="480" w:firstLineChars="200"/>
        <w:rPr>
          <w:sz w:val="24"/>
        </w:rPr>
      </w:pPr>
      <w:r>
        <w:rPr>
          <w:sz w:val="24"/>
        </w:rPr>
        <w:t>11</w:t>
      </w:r>
      <w:r>
        <w:rPr>
          <w:rFonts w:hint="eastAsia"/>
          <w:sz w:val="24"/>
        </w:rPr>
        <w:t>、</w:t>
      </w:r>
      <w:r>
        <w:rPr>
          <w:sz w:val="24"/>
        </w:rPr>
        <w:t>附近有与明火作业相抵触的工种在作业时，不准焊、割。乙方施工队伍的安全防护器材必须配置到位，安全措施得力，乙方对其所有施工人员及相关联人员的人身安全负全部责任，甲方不承担任何责任。</w:t>
      </w:r>
    </w:p>
    <w:p w14:paraId="1C93962C">
      <w:pPr>
        <w:spacing w:line="440" w:lineRule="exact"/>
        <w:ind w:firstLine="480" w:firstLineChars="200"/>
        <w:rPr>
          <w:sz w:val="24"/>
        </w:rPr>
      </w:pPr>
      <w:r>
        <w:rPr>
          <w:sz w:val="24"/>
        </w:rPr>
        <w:t>12、施工车辆进出及转弯时必须减速行驶（低于5km/h）.</w:t>
      </w:r>
    </w:p>
    <w:p w14:paraId="64F4E57B">
      <w:pPr>
        <w:spacing w:line="440" w:lineRule="exact"/>
        <w:ind w:firstLine="480" w:firstLineChars="200"/>
        <w:rPr>
          <w:sz w:val="24"/>
        </w:rPr>
      </w:pPr>
      <w:r>
        <w:rPr>
          <w:sz w:val="24"/>
        </w:rPr>
        <w:t>13、如因乙方违法相关法律、法规及以上规定，所造成的一切不良后果（人员伤亡、财产损失等）均由乙方全部负责，与甲方无关。</w:t>
      </w:r>
    </w:p>
    <w:p w14:paraId="2214952C">
      <w:pPr>
        <w:spacing w:line="440" w:lineRule="exact"/>
        <w:ind w:firstLine="480" w:firstLineChars="200"/>
        <w:rPr>
          <w:sz w:val="24"/>
        </w:rPr>
      </w:pPr>
      <w:r>
        <w:rPr>
          <w:sz w:val="24"/>
        </w:rPr>
        <w:t>14、其它未尽事宜由甲乙双方协商解决。</w:t>
      </w:r>
    </w:p>
    <w:p w14:paraId="0AAB8BA2">
      <w:pPr>
        <w:spacing w:line="440" w:lineRule="exact"/>
        <w:rPr>
          <w:b/>
          <w:bCs/>
          <w:sz w:val="24"/>
        </w:rPr>
      </w:pPr>
      <w:r>
        <w:rPr>
          <w:b/>
          <w:bCs/>
          <w:sz w:val="24"/>
        </w:rPr>
        <w:t>七、其他</w:t>
      </w:r>
    </w:p>
    <w:p w14:paraId="721886BD">
      <w:pPr>
        <w:spacing w:line="440" w:lineRule="exact"/>
        <w:ind w:firstLine="480" w:firstLineChars="200"/>
        <w:rPr>
          <w:sz w:val="24"/>
        </w:rPr>
      </w:pPr>
      <w:r>
        <w:rPr>
          <w:sz w:val="24"/>
        </w:rPr>
        <w:t>本协议</w:t>
      </w:r>
      <w:r>
        <w:rPr>
          <w:rFonts w:hint="eastAsia"/>
          <w:sz w:val="24"/>
        </w:rPr>
        <w:t>份数与主合同相同</w:t>
      </w:r>
      <w:r>
        <w:rPr>
          <w:sz w:val="24"/>
        </w:rPr>
        <w:t>，自甲乙双方法定代表人或经授权的委托代理人签字并加盖双方公章或合同专用章之日起生效，各份协议具有同等法律效力。</w:t>
      </w:r>
    </w:p>
    <w:p w14:paraId="31F5E60A">
      <w:pPr>
        <w:spacing w:line="440" w:lineRule="exact"/>
        <w:rPr>
          <w:sz w:val="24"/>
        </w:rPr>
      </w:pPr>
      <w:r>
        <w:rPr>
          <w:sz w:val="24"/>
        </w:rPr>
        <w:t>（以下无正文）</w:t>
      </w:r>
    </w:p>
    <w:tbl>
      <w:tblPr>
        <w:tblStyle w:val="42"/>
        <w:tblW w:w="9147" w:type="dxa"/>
        <w:jc w:val="center"/>
        <w:tblLayout w:type="fixed"/>
        <w:tblCellMar>
          <w:top w:w="0" w:type="dxa"/>
          <w:left w:w="108" w:type="dxa"/>
          <w:bottom w:w="0" w:type="dxa"/>
          <w:right w:w="108" w:type="dxa"/>
        </w:tblCellMar>
      </w:tblPr>
      <w:tblGrid>
        <w:gridCol w:w="1600"/>
        <w:gridCol w:w="2975"/>
        <w:gridCol w:w="1630"/>
        <w:gridCol w:w="2942"/>
      </w:tblGrid>
      <w:tr w14:paraId="6E0C2E67">
        <w:tblPrEx>
          <w:tblCellMar>
            <w:top w:w="0" w:type="dxa"/>
            <w:left w:w="108" w:type="dxa"/>
            <w:bottom w:w="0" w:type="dxa"/>
            <w:right w:w="108" w:type="dxa"/>
          </w:tblCellMar>
        </w:tblPrEx>
        <w:trPr>
          <w:trHeight w:val="803" w:hRule="atLeast"/>
          <w:jc w:val="center"/>
        </w:trPr>
        <w:tc>
          <w:tcPr>
            <w:tcW w:w="9147" w:type="dxa"/>
            <w:gridSpan w:val="4"/>
            <w:vAlign w:val="center"/>
          </w:tcPr>
          <w:p w14:paraId="4186DE55">
            <w:pPr>
              <w:spacing w:line="320" w:lineRule="exact"/>
              <w:jc w:val="center"/>
              <w:rPr>
                <w:rFonts w:hint="eastAsia" w:ascii="华文宋体" w:hAnsi="华文宋体" w:eastAsia="华文宋体" w:cs="华文宋体"/>
                <w:b/>
                <w:szCs w:val="21"/>
              </w:rPr>
            </w:pPr>
            <w:r>
              <w:rPr>
                <w:rFonts w:hint="eastAsia" w:ascii="华文宋体" w:hAnsi="华文宋体" w:eastAsia="华文宋体" w:cs="华文宋体"/>
                <w:b/>
                <w:sz w:val="28"/>
                <w:szCs w:val="28"/>
              </w:rPr>
              <w:t>协议签订双方</w:t>
            </w:r>
          </w:p>
        </w:tc>
      </w:tr>
      <w:tr w14:paraId="3757B06C">
        <w:tblPrEx>
          <w:tblCellMar>
            <w:top w:w="0" w:type="dxa"/>
            <w:left w:w="108" w:type="dxa"/>
            <w:bottom w:w="0" w:type="dxa"/>
            <w:right w:w="108" w:type="dxa"/>
          </w:tblCellMar>
        </w:tblPrEx>
        <w:trPr>
          <w:trHeight w:val="997" w:hRule="atLeast"/>
          <w:jc w:val="center"/>
        </w:trPr>
        <w:tc>
          <w:tcPr>
            <w:tcW w:w="1600" w:type="dxa"/>
            <w:vAlign w:val="center"/>
          </w:tcPr>
          <w:p w14:paraId="645D2937">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甲方（盖章）：</w:t>
            </w:r>
          </w:p>
        </w:tc>
        <w:tc>
          <w:tcPr>
            <w:tcW w:w="2975" w:type="dxa"/>
            <w:vAlign w:val="center"/>
          </w:tcPr>
          <w:p w14:paraId="6503104D">
            <w:pPr>
              <w:spacing w:line="320" w:lineRule="exact"/>
              <w:jc w:val="center"/>
              <w:rPr>
                <w:rFonts w:hint="eastAsia" w:ascii="华文宋体" w:hAnsi="华文宋体" w:eastAsia="华文宋体" w:cs="华文宋体"/>
                <w:szCs w:val="21"/>
              </w:rPr>
            </w:pPr>
          </w:p>
        </w:tc>
        <w:tc>
          <w:tcPr>
            <w:tcW w:w="1630" w:type="dxa"/>
            <w:vAlign w:val="center"/>
          </w:tcPr>
          <w:p w14:paraId="41953456">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乙方（盖章）：</w:t>
            </w:r>
          </w:p>
        </w:tc>
        <w:tc>
          <w:tcPr>
            <w:tcW w:w="2942" w:type="dxa"/>
            <w:vAlign w:val="center"/>
          </w:tcPr>
          <w:p w14:paraId="1405A355">
            <w:pPr>
              <w:spacing w:line="320" w:lineRule="exact"/>
              <w:ind w:leftChars="-2" w:hanging="4" w:hangingChars="2"/>
              <w:jc w:val="center"/>
              <w:rPr>
                <w:rFonts w:hint="eastAsia" w:ascii="华文宋体" w:hAnsi="华文宋体" w:eastAsia="华文宋体" w:cs="华文宋体"/>
                <w:szCs w:val="21"/>
              </w:rPr>
            </w:pPr>
          </w:p>
        </w:tc>
      </w:tr>
      <w:tr w14:paraId="2BAEB891">
        <w:tblPrEx>
          <w:tblCellMar>
            <w:top w:w="0" w:type="dxa"/>
            <w:left w:w="108" w:type="dxa"/>
            <w:bottom w:w="0" w:type="dxa"/>
            <w:right w:w="108" w:type="dxa"/>
          </w:tblCellMar>
        </w:tblPrEx>
        <w:trPr>
          <w:trHeight w:val="1087" w:hRule="atLeast"/>
          <w:jc w:val="center"/>
        </w:trPr>
        <w:tc>
          <w:tcPr>
            <w:tcW w:w="1600" w:type="dxa"/>
            <w:vAlign w:val="center"/>
          </w:tcPr>
          <w:p w14:paraId="3A17F015">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法定代表人</w:t>
            </w:r>
          </w:p>
          <w:p w14:paraId="43622F18">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75" w:type="dxa"/>
            <w:vAlign w:val="center"/>
          </w:tcPr>
          <w:p w14:paraId="28B580EA">
            <w:pPr>
              <w:spacing w:line="320" w:lineRule="exact"/>
              <w:rPr>
                <w:rFonts w:hint="eastAsia" w:ascii="华文宋体" w:hAnsi="华文宋体" w:eastAsia="华文宋体" w:cs="华文宋体"/>
                <w:szCs w:val="21"/>
              </w:rPr>
            </w:pPr>
          </w:p>
        </w:tc>
        <w:tc>
          <w:tcPr>
            <w:tcW w:w="1630" w:type="dxa"/>
            <w:vAlign w:val="center"/>
          </w:tcPr>
          <w:p w14:paraId="561F58A3">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法定代表人</w:t>
            </w:r>
          </w:p>
          <w:p w14:paraId="0B9857EF">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42" w:type="dxa"/>
            <w:vAlign w:val="center"/>
          </w:tcPr>
          <w:p w14:paraId="6E7222D2">
            <w:pPr>
              <w:spacing w:line="320" w:lineRule="exact"/>
              <w:rPr>
                <w:rFonts w:hint="eastAsia" w:ascii="华文宋体" w:hAnsi="华文宋体" w:eastAsia="华文宋体" w:cs="华文宋体"/>
                <w:szCs w:val="21"/>
              </w:rPr>
            </w:pPr>
          </w:p>
        </w:tc>
      </w:tr>
      <w:tr w14:paraId="57215C80">
        <w:tblPrEx>
          <w:tblCellMar>
            <w:top w:w="0" w:type="dxa"/>
            <w:left w:w="108" w:type="dxa"/>
            <w:bottom w:w="0" w:type="dxa"/>
            <w:right w:w="108" w:type="dxa"/>
          </w:tblCellMar>
        </w:tblPrEx>
        <w:trPr>
          <w:trHeight w:val="1087" w:hRule="atLeast"/>
          <w:jc w:val="center"/>
        </w:trPr>
        <w:tc>
          <w:tcPr>
            <w:tcW w:w="1600" w:type="dxa"/>
            <w:vAlign w:val="center"/>
          </w:tcPr>
          <w:p w14:paraId="68EB6A44">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委托代理人</w:t>
            </w:r>
          </w:p>
          <w:p w14:paraId="2A589982">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75" w:type="dxa"/>
            <w:vAlign w:val="center"/>
          </w:tcPr>
          <w:p w14:paraId="2405CBCC">
            <w:pPr>
              <w:spacing w:line="320" w:lineRule="exact"/>
              <w:rPr>
                <w:rFonts w:hint="eastAsia" w:ascii="华文宋体" w:hAnsi="华文宋体" w:eastAsia="华文宋体" w:cs="华文宋体"/>
                <w:szCs w:val="21"/>
              </w:rPr>
            </w:pPr>
          </w:p>
        </w:tc>
        <w:tc>
          <w:tcPr>
            <w:tcW w:w="1630" w:type="dxa"/>
            <w:vAlign w:val="center"/>
          </w:tcPr>
          <w:p w14:paraId="0D681419">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委托代理人</w:t>
            </w:r>
          </w:p>
          <w:p w14:paraId="6CD7C564">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42" w:type="dxa"/>
            <w:vAlign w:val="center"/>
          </w:tcPr>
          <w:p w14:paraId="2CBC8404">
            <w:pPr>
              <w:spacing w:line="320" w:lineRule="exact"/>
              <w:rPr>
                <w:rFonts w:hint="eastAsia" w:ascii="华文宋体" w:hAnsi="华文宋体" w:eastAsia="华文宋体" w:cs="华文宋体"/>
                <w:szCs w:val="21"/>
              </w:rPr>
            </w:pPr>
          </w:p>
        </w:tc>
      </w:tr>
      <w:tr w14:paraId="159806FD">
        <w:tblPrEx>
          <w:tblCellMar>
            <w:top w:w="0" w:type="dxa"/>
            <w:left w:w="108" w:type="dxa"/>
            <w:bottom w:w="0" w:type="dxa"/>
            <w:right w:w="108" w:type="dxa"/>
          </w:tblCellMar>
        </w:tblPrEx>
        <w:trPr>
          <w:trHeight w:val="1087" w:hRule="atLeast"/>
          <w:jc w:val="center"/>
        </w:trPr>
        <w:tc>
          <w:tcPr>
            <w:tcW w:w="1600" w:type="dxa"/>
            <w:vAlign w:val="center"/>
          </w:tcPr>
          <w:p w14:paraId="35E68C8B">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签订日期：</w:t>
            </w:r>
          </w:p>
        </w:tc>
        <w:tc>
          <w:tcPr>
            <w:tcW w:w="2975" w:type="dxa"/>
            <w:vAlign w:val="center"/>
          </w:tcPr>
          <w:p w14:paraId="68AA7581">
            <w:pPr>
              <w:spacing w:line="320" w:lineRule="exact"/>
              <w:jc w:val="right"/>
              <w:rPr>
                <w:rFonts w:hint="eastAsia" w:ascii="华文宋体" w:hAnsi="华文宋体" w:eastAsia="华文宋体" w:cs="华文宋体"/>
                <w:szCs w:val="21"/>
              </w:rPr>
            </w:pPr>
            <w:r>
              <w:rPr>
                <w:rFonts w:hint="eastAsia" w:ascii="华文宋体" w:hAnsi="华文宋体" w:eastAsia="华文宋体" w:cs="华文宋体"/>
                <w:szCs w:val="21"/>
              </w:rPr>
              <w:t>________年____月____日</w:t>
            </w:r>
          </w:p>
        </w:tc>
        <w:tc>
          <w:tcPr>
            <w:tcW w:w="1630" w:type="dxa"/>
            <w:vAlign w:val="center"/>
          </w:tcPr>
          <w:p w14:paraId="6E6ABADD">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签订日期：</w:t>
            </w:r>
          </w:p>
        </w:tc>
        <w:tc>
          <w:tcPr>
            <w:tcW w:w="2942" w:type="dxa"/>
            <w:vAlign w:val="center"/>
          </w:tcPr>
          <w:p w14:paraId="0F8FAACC">
            <w:pPr>
              <w:spacing w:line="320" w:lineRule="exact"/>
              <w:jc w:val="right"/>
              <w:rPr>
                <w:rFonts w:hint="eastAsia" w:ascii="华文宋体" w:hAnsi="华文宋体" w:eastAsia="华文宋体" w:cs="华文宋体"/>
                <w:szCs w:val="21"/>
              </w:rPr>
            </w:pPr>
            <w:r>
              <w:rPr>
                <w:rFonts w:hint="eastAsia" w:ascii="华文宋体" w:hAnsi="华文宋体" w:eastAsia="华文宋体" w:cs="华文宋体"/>
                <w:szCs w:val="21"/>
              </w:rPr>
              <w:t>________年____月____日</w:t>
            </w:r>
          </w:p>
        </w:tc>
      </w:tr>
    </w:tbl>
    <w:p w14:paraId="0450D834">
      <w:pPr>
        <w:spacing w:line="360" w:lineRule="auto"/>
        <w:rPr>
          <w:rFonts w:hint="eastAsia" w:ascii="宋体" w:hAnsi="宋体" w:cs="仿宋_GB2312"/>
          <w:sz w:val="24"/>
        </w:rPr>
      </w:pPr>
    </w:p>
    <w:p w14:paraId="2C82F086">
      <w:pPr>
        <w:autoSpaceDE w:val="0"/>
        <w:autoSpaceDN w:val="0"/>
        <w:adjustRightInd w:val="0"/>
        <w:jc w:val="left"/>
        <w:outlineLvl w:val="1"/>
        <w:rPr>
          <w:rFonts w:hint="eastAsia" w:ascii="宋体" w:hAnsi="宋体"/>
          <w:color w:val="FF0000"/>
          <w:sz w:val="24"/>
        </w:rPr>
      </w:pPr>
      <w:r>
        <w:rPr>
          <w:rFonts w:ascii="宋体" w:hAnsi="宋体"/>
          <w:color w:val="FF0000"/>
          <w:sz w:val="24"/>
        </w:rPr>
        <w:br w:type="page"/>
      </w:r>
      <w:bookmarkEnd w:id="879"/>
      <w:bookmarkEnd w:id="880"/>
      <w:r>
        <w:rPr>
          <w:rFonts w:hint="eastAsia" w:ascii="宋体" w:hAnsi="宋体" w:cs="宋体"/>
          <w:b/>
          <w:color w:val="000000"/>
          <w:sz w:val="28"/>
          <w:szCs w:val="28"/>
        </w:rPr>
        <w:t>第五包：</w:t>
      </w:r>
    </w:p>
    <w:p w14:paraId="36520FE9">
      <w:pPr>
        <w:spacing w:after="120" w:line="480" w:lineRule="exact"/>
        <w:jc w:val="center"/>
        <w:rPr>
          <w:rFonts w:hint="eastAsia" w:hAnsi="宋体" w:cs="宋体"/>
          <w:b/>
          <w:bCs/>
          <w:color w:val="000000"/>
          <w:sz w:val="28"/>
          <w:szCs w:val="28"/>
        </w:rPr>
      </w:pPr>
      <w:r>
        <w:rPr>
          <w:rFonts w:hAnsi="宋体" w:cs="宋体"/>
          <w:b/>
          <w:bCs/>
          <w:color w:val="000000"/>
          <w:sz w:val="28"/>
          <w:szCs w:val="28"/>
        </w:rPr>
        <w:t>政 府 采 购 合 同</w:t>
      </w:r>
    </w:p>
    <w:p w14:paraId="05391F36"/>
    <w:p w14:paraId="7B6F0B9E">
      <w:pPr>
        <w:jc w:val="right"/>
        <w:rPr>
          <w:rFonts w:hint="eastAsia" w:ascii="宋体" w:hAnsi="宋体" w:cs="宋体"/>
          <w:color w:val="000000"/>
          <w:sz w:val="24"/>
        </w:rPr>
      </w:pPr>
      <w:r>
        <w:rPr>
          <w:rFonts w:ascii="宋体" w:hAnsi="宋体" w:cs="宋体"/>
          <w:color w:val="000000"/>
          <w:sz w:val="24"/>
        </w:rPr>
        <w:t>合同编号：</w:t>
      </w:r>
    </w:p>
    <w:p w14:paraId="6E1DA4A8">
      <w:pPr>
        <w:rPr>
          <w:rFonts w:hint="eastAsia" w:ascii="宋体" w:hAnsi="宋体" w:cs="宋体"/>
          <w:color w:val="000000"/>
          <w:sz w:val="24"/>
        </w:rPr>
      </w:pPr>
    </w:p>
    <w:p w14:paraId="0242AF68">
      <w:pPr>
        <w:rPr>
          <w:rFonts w:hint="eastAsia" w:ascii="宋体" w:hAnsi="宋体" w:cs="宋体"/>
          <w:color w:val="000000"/>
          <w:sz w:val="24"/>
        </w:rPr>
      </w:pPr>
    </w:p>
    <w:p w14:paraId="534FCB53">
      <w:pPr>
        <w:rPr>
          <w:rFonts w:hint="eastAsia" w:ascii="宋体" w:hAnsi="宋体" w:cs="宋体"/>
          <w:color w:val="000000"/>
          <w:sz w:val="24"/>
        </w:rPr>
      </w:pPr>
    </w:p>
    <w:p w14:paraId="3737FEE1">
      <w:pPr>
        <w:rPr>
          <w:rFonts w:hint="eastAsia" w:ascii="宋体" w:hAnsi="宋体" w:cs="宋体"/>
          <w:color w:val="000000"/>
          <w:sz w:val="24"/>
        </w:rPr>
      </w:pPr>
    </w:p>
    <w:p w14:paraId="7A39D267">
      <w:pPr>
        <w:ind w:firstLine="1680" w:firstLineChars="700"/>
        <w:rPr>
          <w:rFonts w:hint="eastAsia" w:ascii="宋体" w:hAnsi="宋体" w:cs="宋体"/>
          <w:color w:val="000000"/>
          <w:sz w:val="24"/>
          <w:u w:val="single"/>
        </w:rPr>
      </w:pPr>
      <w:r>
        <w:rPr>
          <w:rFonts w:ascii="宋体" w:hAnsi="宋体" w:cs="宋体"/>
          <w:color w:val="000000"/>
          <w:sz w:val="24"/>
        </w:rPr>
        <w:t>项目名称：</w:t>
      </w:r>
      <w:r>
        <w:rPr>
          <w:rFonts w:hint="eastAsia" w:ascii="宋体" w:hAnsi="宋体" w:cs="宋体"/>
          <w:color w:val="000000"/>
          <w:sz w:val="24"/>
          <w:u w:val="single"/>
        </w:rPr>
        <w:t xml:space="preserve">                                  </w:t>
      </w:r>
    </w:p>
    <w:p w14:paraId="1749C35D">
      <w:pPr>
        <w:ind w:firstLine="1680" w:firstLineChars="700"/>
        <w:jc w:val="center"/>
        <w:rPr>
          <w:rFonts w:hint="eastAsia" w:ascii="宋体" w:hAnsi="宋体" w:cs="宋体"/>
          <w:color w:val="000000"/>
          <w:sz w:val="24"/>
        </w:rPr>
      </w:pPr>
    </w:p>
    <w:p w14:paraId="03D889B3">
      <w:pPr>
        <w:ind w:firstLine="1680" w:firstLineChars="700"/>
        <w:jc w:val="center"/>
        <w:rPr>
          <w:rFonts w:hint="eastAsia" w:ascii="宋体" w:hAnsi="宋体" w:cs="宋体"/>
          <w:color w:val="000000"/>
          <w:sz w:val="24"/>
        </w:rPr>
      </w:pPr>
    </w:p>
    <w:p w14:paraId="2527535F">
      <w:pPr>
        <w:ind w:firstLine="1680" w:firstLineChars="700"/>
        <w:jc w:val="center"/>
        <w:rPr>
          <w:rFonts w:hint="eastAsia" w:ascii="宋体" w:hAnsi="宋体" w:cs="宋体"/>
          <w:color w:val="000000"/>
          <w:sz w:val="24"/>
        </w:rPr>
      </w:pPr>
    </w:p>
    <w:p w14:paraId="70B637F4">
      <w:pPr>
        <w:ind w:firstLine="1680" w:firstLineChars="700"/>
        <w:rPr>
          <w:rFonts w:hint="eastAsia" w:ascii="宋体" w:hAnsi="宋体" w:cs="宋体"/>
          <w:color w:val="000000"/>
          <w:sz w:val="24"/>
          <w:u w:val="single"/>
        </w:rPr>
      </w:pPr>
      <w:r>
        <w:rPr>
          <w:rFonts w:ascii="宋体" w:hAnsi="宋体" w:cs="宋体"/>
          <w:color w:val="000000"/>
          <w:sz w:val="24"/>
        </w:rPr>
        <w:t>采购人：</w:t>
      </w:r>
      <w:r>
        <w:rPr>
          <w:rFonts w:hint="eastAsia" w:ascii="宋体" w:hAnsi="宋体" w:cs="宋体"/>
          <w:color w:val="000000"/>
          <w:sz w:val="24"/>
          <w:u w:val="single"/>
        </w:rPr>
        <w:t xml:space="preserve">                                    </w:t>
      </w:r>
    </w:p>
    <w:p w14:paraId="198D80AE">
      <w:pPr>
        <w:ind w:firstLine="1680" w:firstLineChars="700"/>
        <w:jc w:val="center"/>
        <w:rPr>
          <w:rFonts w:hint="eastAsia" w:ascii="宋体" w:hAnsi="宋体" w:cs="宋体"/>
          <w:color w:val="000000"/>
          <w:sz w:val="24"/>
        </w:rPr>
      </w:pPr>
    </w:p>
    <w:p w14:paraId="648E628F">
      <w:pPr>
        <w:ind w:firstLine="1680" w:firstLineChars="700"/>
        <w:jc w:val="center"/>
        <w:rPr>
          <w:rFonts w:hint="eastAsia" w:ascii="宋体" w:hAnsi="宋体" w:cs="宋体"/>
          <w:color w:val="000000"/>
          <w:sz w:val="24"/>
        </w:rPr>
      </w:pPr>
    </w:p>
    <w:p w14:paraId="4567EF80">
      <w:pPr>
        <w:ind w:firstLine="1680" w:firstLineChars="700"/>
        <w:jc w:val="center"/>
        <w:rPr>
          <w:rFonts w:hint="eastAsia" w:ascii="宋体" w:hAnsi="宋体" w:cs="宋体"/>
          <w:color w:val="000000"/>
          <w:sz w:val="24"/>
        </w:rPr>
      </w:pPr>
    </w:p>
    <w:p w14:paraId="3F5BDC63">
      <w:pPr>
        <w:ind w:firstLine="1680" w:firstLineChars="700"/>
        <w:jc w:val="center"/>
        <w:rPr>
          <w:rFonts w:hint="eastAsia" w:ascii="宋体" w:hAnsi="宋体" w:cs="宋体"/>
          <w:color w:val="000000"/>
          <w:sz w:val="24"/>
        </w:rPr>
      </w:pPr>
    </w:p>
    <w:p w14:paraId="4222A878">
      <w:pPr>
        <w:ind w:firstLine="1680" w:firstLineChars="700"/>
        <w:rPr>
          <w:rFonts w:hint="eastAsia" w:ascii="宋体" w:hAnsi="宋体" w:cs="宋体"/>
          <w:color w:val="000000"/>
          <w:sz w:val="24"/>
          <w:u w:val="single"/>
        </w:rPr>
      </w:pPr>
      <w:r>
        <w:rPr>
          <w:rFonts w:ascii="宋体" w:hAnsi="宋体" w:cs="宋体"/>
          <w:color w:val="000000"/>
          <w:sz w:val="24"/>
        </w:rPr>
        <w:t>中标供应商：</w:t>
      </w:r>
      <w:r>
        <w:rPr>
          <w:rFonts w:hint="eastAsia" w:ascii="宋体" w:hAnsi="宋体" w:cs="宋体"/>
          <w:color w:val="000000"/>
          <w:sz w:val="24"/>
          <w:u w:val="single"/>
        </w:rPr>
        <w:t xml:space="preserve">                         </w:t>
      </w:r>
    </w:p>
    <w:p w14:paraId="46A5C9A7">
      <w:pPr>
        <w:ind w:firstLine="1680" w:firstLineChars="700"/>
        <w:jc w:val="center"/>
        <w:rPr>
          <w:rFonts w:hint="eastAsia" w:ascii="宋体" w:hAnsi="宋体" w:cs="宋体"/>
          <w:color w:val="000000"/>
          <w:sz w:val="24"/>
        </w:rPr>
      </w:pPr>
    </w:p>
    <w:p w14:paraId="6135DF23">
      <w:pPr>
        <w:ind w:firstLine="1680" w:firstLineChars="700"/>
        <w:jc w:val="center"/>
        <w:rPr>
          <w:rFonts w:hint="eastAsia" w:ascii="宋体" w:hAnsi="宋体" w:cs="宋体"/>
          <w:color w:val="000000"/>
          <w:sz w:val="24"/>
        </w:rPr>
      </w:pPr>
    </w:p>
    <w:p w14:paraId="6ABE28E4">
      <w:pPr>
        <w:ind w:firstLine="1680" w:firstLineChars="700"/>
        <w:jc w:val="center"/>
        <w:rPr>
          <w:rFonts w:hint="eastAsia" w:ascii="宋体" w:hAnsi="宋体" w:cs="宋体"/>
          <w:color w:val="000000"/>
          <w:sz w:val="24"/>
        </w:rPr>
      </w:pPr>
    </w:p>
    <w:p w14:paraId="1C33913E">
      <w:pPr>
        <w:ind w:firstLine="1680" w:firstLineChars="700"/>
        <w:jc w:val="center"/>
        <w:rPr>
          <w:rFonts w:hint="eastAsia" w:ascii="宋体" w:hAnsi="宋体" w:cs="宋体"/>
          <w:color w:val="000000"/>
          <w:sz w:val="24"/>
        </w:rPr>
      </w:pPr>
    </w:p>
    <w:p w14:paraId="0157A5E9">
      <w:pPr>
        <w:ind w:firstLine="1680" w:firstLineChars="700"/>
        <w:rPr>
          <w:rFonts w:hint="eastAsia" w:ascii="宋体" w:hAnsi="宋体" w:cs="宋体"/>
          <w:color w:val="000000"/>
          <w:sz w:val="24"/>
          <w:u w:val="single"/>
        </w:rPr>
      </w:pPr>
      <w:r>
        <w:rPr>
          <w:rFonts w:ascii="宋体" w:hAnsi="宋体" w:cs="宋体"/>
          <w:color w:val="000000"/>
          <w:sz w:val="24"/>
        </w:rPr>
        <w:t>签署日期：</w:t>
      </w:r>
      <w:r>
        <w:rPr>
          <w:rFonts w:hint="eastAsia" w:ascii="宋体" w:hAnsi="宋体" w:cs="宋体"/>
          <w:color w:val="000000"/>
          <w:sz w:val="24"/>
          <w:u w:val="single"/>
        </w:rPr>
        <w:t xml:space="preserve">                         </w:t>
      </w:r>
    </w:p>
    <w:p w14:paraId="1A847978">
      <w:pPr>
        <w:rPr>
          <w:rFonts w:hint="eastAsia" w:ascii="宋体" w:hAnsi="宋体" w:cs="宋体"/>
          <w:color w:val="000000"/>
          <w:sz w:val="24"/>
        </w:rPr>
      </w:pPr>
    </w:p>
    <w:p w14:paraId="6734AF4F">
      <w:pPr>
        <w:jc w:val="center"/>
        <w:rPr>
          <w:rFonts w:hint="eastAsia" w:ascii="宋体" w:hAnsi="宋体" w:cs="宋体"/>
          <w:color w:val="000000"/>
          <w:sz w:val="24"/>
        </w:rPr>
      </w:pPr>
    </w:p>
    <w:p w14:paraId="6B365050">
      <w:pPr>
        <w:jc w:val="center"/>
        <w:rPr>
          <w:rFonts w:hint="eastAsia" w:ascii="宋体" w:hAnsi="宋体" w:cs="宋体"/>
          <w:color w:val="000000"/>
          <w:sz w:val="24"/>
        </w:rPr>
      </w:pPr>
    </w:p>
    <w:p w14:paraId="1DB3F0B8">
      <w:pPr>
        <w:jc w:val="center"/>
        <w:rPr>
          <w:rFonts w:hint="eastAsia" w:ascii="宋体" w:hAnsi="宋体" w:cs="宋体"/>
          <w:color w:val="000000"/>
          <w:sz w:val="24"/>
        </w:rPr>
      </w:pPr>
    </w:p>
    <w:p w14:paraId="1B268CCD">
      <w:pPr>
        <w:jc w:val="center"/>
        <w:rPr>
          <w:rFonts w:hint="eastAsia" w:ascii="宋体" w:hAnsi="宋体" w:cs="宋体"/>
          <w:color w:val="000000"/>
          <w:sz w:val="24"/>
        </w:rPr>
      </w:pPr>
    </w:p>
    <w:p w14:paraId="30F452AA">
      <w:pPr>
        <w:jc w:val="center"/>
        <w:rPr>
          <w:rFonts w:hint="eastAsia" w:ascii="宋体" w:hAnsi="宋体" w:cs="宋体"/>
          <w:color w:val="000000"/>
          <w:sz w:val="24"/>
        </w:rPr>
      </w:pPr>
    </w:p>
    <w:p w14:paraId="28141475">
      <w:pPr>
        <w:jc w:val="center"/>
        <w:rPr>
          <w:rFonts w:hint="eastAsia" w:ascii="宋体" w:hAnsi="宋体" w:cs="宋体"/>
          <w:color w:val="000000"/>
          <w:sz w:val="24"/>
        </w:rPr>
      </w:pPr>
      <w:r>
        <w:rPr>
          <w:rFonts w:hint="eastAsia" w:ascii="宋体" w:hAnsi="宋体" w:cs="宋体"/>
          <w:color w:val="000000"/>
          <w:sz w:val="24"/>
        </w:rPr>
        <w:t xml:space="preserve"> </w:t>
      </w:r>
    </w:p>
    <w:p w14:paraId="25619809">
      <w:pPr>
        <w:rPr>
          <w:rFonts w:hint="eastAsia" w:ascii="宋体" w:hAnsi="宋体" w:cs="宋体"/>
          <w:color w:val="000000"/>
          <w:sz w:val="24"/>
        </w:rPr>
      </w:pPr>
      <w:r>
        <w:rPr>
          <w:rFonts w:hint="eastAsia" w:ascii="宋体" w:hAnsi="宋体" w:cs="宋体"/>
          <w:color w:val="000000"/>
          <w:sz w:val="24"/>
        </w:rPr>
        <w:br w:type="page"/>
      </w:r>
    </w:p>
    <w:p w14:paraId="2C124858">
      <w:pPr>
        <w:jc w:val="center"/>
        <w:rPr>
          <w:rFonts w:hint="eastAsia" w:ascii="宋体" w:hAnsi="宋体" w:cs="宋体"/>
          <w:b/>
          <w:bCs/>
          <w:color w:val="000000"/>
          <w:sz w:val="28"/>
          <w:szCs w:val="28"/>
        </w:rPr>
      </w:pPr>
      <w:r>
        <w:rPr>
          <w:rFonts w:ascii="宋体" w:hAnsi="宋体" w:cs="宋体"/>
          <w:b/>
          <w:bCs/>
          <w:color w:val="000000"/>
          <w:sz w:val="28"/>
          <w:szCs w:val="28"/>
        </w:rPr>
        <w:t>合 同 书</w:t>
      </w:r>
    </w:p>
    <w:p w14:paraId="546E1EDA">
      <w:pPr>
        <w:rPr>
          <w:rFonts w:hint="eastAsia" w:ascii="宋体" w:hAnsi="宋体" w:cs="宋体"/>
          <w:b/>
          <w:bCs/>
          <w:color w:val="000000"/>
          <w:sz w:val="28"/>
          <w:szCs w:val="28"/>
        </w:rPr>
      </w:pPr>
    </w:p>
    <w:p w14:paraId="1FA26498">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(采购人)(项目名称)中所需(服务名称)经国信招标集团以（招标 编号）号招标文件公开招标。经评标委员会评定(公司名称)为中标供应商。采购人、 中标供应商同意按照下面的条款和条件，签署本合同。</w:t>
      </w:r>
    </w:p>
    <w:p w14:paraId="33F9D511">
      <w:pPr>
        <w:snapToGrid w:val="0"/>
        <w:spacing w:line="360" w:lineRule="auto"/>
        <w:ind w:firstLine="482" w:firstLineChars="200"/>
        <w:jc w:val="left"/>
        <w:rPr>
          <w:rFonts w:hint="eastAsia" w:ascii="宋体" w:hAnsi="宋体" w:cs="宋体"/>
          <w:b/>
          <w:bCs/>
          <w:color w:val="000000"/>
          <w:sz w:val="24"/>
        </w:rPr>
      </w:pPr>
    </w:p>
    <w:p w14:paraId="126FA959">
      <w:pPr>
        <w:numPr>
          <w:ilvl w:val="0"/>
          <w:numId w:val="32"/>
        </w:numPr>
        <w:snapToGrid w:val="0"/>
        <w:spacing w:line="360" w:lineRule="auto"/>
        <w:jc w:val="left"/>
        <w:rPr>
          <w:rFonts w:hint="eastAsia" w:ascii="宋体" w:hAnsi="宋体" w:cs="宋体"/>
          <w:b/>
          <w:bCs/>
          <w:color w:val="000000"/>
          <w:sz w:val="24"/>
        </w:rPr>
      </w:pPr>
      <w:r>
        <w:rPr>
          <w:rFonts w:hint="eastAsia" w:ascii="宋体" w:hAnsi="宋体" w:cs="宋体"/>
          <w:b/>
          <w:bCs/>
          <w:color w:val="000000"/>
          <w:sz w:val="24"/>
        </w:rPr>
        <w:t>合同文件</w:t>
      </w:r>
    </w:p>
    <w:p w14:paraId="60C06956">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下列文件构成本合同的组成部分，应当认为是一个整体，彼此相互解释，相互补 充。为便于解释，组成合同的多个文件的优先支配地位的次序如下： </w:t>
      </w:r>
    </w:p>
    <w:p w14:paraId="5095F650">
      <w:pPr>
        <w:numPr>
          <w:ilvl w:val="0"/>
          <w:numId w:val="33"/>
        </w:num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本合同书 </w:t>
      </w:r>
    </w:p>
    <w:p w14:paraId="24172E63">
      <w:pPr>
        <w:numPr>
          <w:ilvl w:val="0"/>
          <w:numId w:val="33"/>
        </w:num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中标通知书 </w:t>
      </w:r>
    </w:p>
    <w:p w14:paraId="285B3ED8">
      <w:pPr>
        <w:numPr>
          <w:ilvl w:val="0"/>
          <w:numId w:val="33"/>
        </w:num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合同书条款 </w:t>
      </w:r>
    </w:p>
    <w:p w14:paraId="4F86A4C2">
      <w:pPr>
        <w:numPr>
          <w:ilvl w:val="0"/>
          <w:numId w:val="33"/>
        </w:num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合同一般条款 </w:t>
      </w:r>
    </w:p>
    <w:p w14:paraId="7B6B7A78">
      <w:pPr>
        <w:numPr>
          <w:ilvl w:val="0"/>
          <w:numId w:val="33"/>
        </w:num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投标文件(含澄清文件) </w:t>
      </w:r>
    </w:p>
    <w:p w14:paraId="65463F2F">
      <w:pPr>
        <w:numPr>
          <w:ilvl w:val="0"/>
          <w:numId w:val="33"/>
        </w:num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招标文件其他内容（含招标文件补充通知）</w:t>
      </w:r>
    </w:p>
    <w:p w14:paraId="52F2D600">
      <w:pPr>
        <w:snapToGrid w:val="0"/>
        <w:spacing w:line="360" w:lineRule="auto"/>
        <w:jc w:val="left"/>
        <w:rPr>
          <w:rFonts w:hint="eastAsia" w:ascii="宋体" w:hAnsi="宋体" w:cs="宋体"/>
          <w:color w:val="000000"/>
          <w:sz w:val="24"/>
        </w:rPr>
      </w:pPr>
    </w:p>
    <w:p w14:paraId="4908955E">
      <w:pPr>
        <w:numPr>
          <w:ilvl w:val="0"/>
          <w:numId w:val="32"/>
        </w:numPr>
        <w:snapToGrid w:val="0"/>
        <w:spacing w:line="360" w:lineRule="auto"/>
        <w:jc w:val="left"/>
        <w:rPr>
          <w:rFonts w:hint="eastAsia" w:ascii="宋体" w:hAnsi="宋体" w:cs="宋体"/>
          <w:b/>
          <w:bCs/>
          <w:color w:val="000000"/>
          <w:sz w:val="24"/>
        </w:rPr>
      </w:pPr>
      <w:r>
        <w:rPr>
          <w:rFonts w:hint="eastAsia" w:ascii="宋体" w:hAnsi="宋体" w:cs="宋体"/>
          <w:b/>
          <w:bCs/>
          <w:color w:val="000000"/>
          <w:sz w:val="24"/>
        </w:rPr>
        <w:t xml:space="preserve">合同范围和条件 </w:t>
      </w:r>
    </w:p>
    <w:p w14:paraId="6957090B">
      <w:pPr>
        <w:snapToGrid w:val="0"/>
        <w:spacing w:line="360" w:lineRule="auto"/>
        <w:jc w:val="left"/>
        <w:rPr>
          <w:rFonts w:hint="eastAsia" w:ascii="宋体" w:hAnsi="宋体" w:cs="宋体"/>
          <w:color w:val="000000"/>
          <w:sz w:val="24"/>
        </w:rPr>
      </w:pPr>
      <w:r>
        <w:rPr>
          <w:rFonts w:hint="eastAsia" w:ascii="宋体" w:hAnsi="宋体" w:cs="宋体"/>
          <w:color w:val="000000"/>
          <w:sz w:val="24"/>
        </w:rPr>
        <w:t xml:space="preserve">本合同的范围和条件应与上述规定的合同文件内容一致。 </w:t>
      </w:r>
    </w:p>
    <w:p w14:paraId="4B02D94A">
      <w:pPr>
        <w:numPr>
          <w:ilvl w:val="0"/>
          <w:numId w:val="32"/>
        </w:numPr>
        <w:snapToGrid w:val="0"/>
        <w:spacing w:line="360" w:lineRule="auto"/>
        <w:jc w:val="left"/>
        <w:rPr>
          <w:rFonts w:hint="eastAsia" w:ascii="宋体" w:hAnsi="宋体" w:cs="宋体"/>
          <w:b/>
          <w:bCs/>
          <w:color w:val="000000"/>
          <w:sz w:val="24"/>
        </w:rPr>
      </w:pPr>
      <w:r>
        <w:rPr>
          <w:rFonts w:hint="eastAsia" w:ascii="宋体" w:hAnsi="宋体" w:cs="宋体"/>
          <w:b/>
          <w:bCs/>
          <w:color w:val="000000"/>
          <w:sz w:val="24"/>
        </w:rPr>
        <w:t xml:space="preserve">服务内容 </w:t>
      </w:r>
    </w:p>
    <w:p w14:paraId="4756D41C">
      <w:pPr>
        <w:pStyle w:val="72"/>
        <w:spacing w:line="440" w:lineRule="exact"/>
        <w:ind w:left="420" w:firstLine="0" w:firstLineChars="0"/>
        <w:rPr>
          <w:color w:val="000000" w:themeColor="text1"/>
          <w:sz w:val="24"/>
          <w14:textFill>
            <w14:solidFill>
              <w14:schemeClr w14:val="tx1"/>
            </w14:solidFill>
          </w14:textFill>
        </w:rPr>
      </w:pPr>
      <w:r>
        <w:rPr>
          <w:rFonts w:hint="eastAsia"/>
          <w:sz w:val="24"/>
        </w:rPr>
        <w:t>提供</w:t>
      </w:r>
      <w:r>
        <w:rPr>
          <w:rFonts w:hint="eastAsia"/>
          <w:color w:val="000000" w:themeColor="text1"/>
          <w:sz w:val="24"/>
          <w14:textFill>
            <w14:solidFill>
              <w14:schemeClr w14:val="tx1"/>
            </w14:solidFill>
          </w14:textFill>
        </w:rPr>
        <w:t>北京市突发地质灾害监测预警信息系统各子系统的运行和Oracle数据库维</w:t>
      </w:r>
    </w:p>
    <w:p w14:paraId="6914030C">
      <w:pPr>
        <w:spacing w:line="440" w:lineRule="exact"/>
        <w:rPr>
          <w:rFonts w:ascii="Calibri" w:hAnsi="Calibri"/>
          <w:sz w:val="24"/>
        </w:rPr>
      </w:pPr>
      <w:r>
        <w:rPr>
          <w:rFonts w:hint="eastAsia"/>
          <w:color w:val="000000" w:themeColor="text1"/>
          <w:sz w:val="24"/>
          <w14:textFill>
            <w14:solidFill>
              <w14:schemeClr w14:val="tx1"/>
            </w14:solidFill>
          </w14:textFill>
        </w:rPr>
        <w:t>护服务。</w:t>
      </w:r>
    </w:p>
    <w:p w14:paraId="3FC5CB23">
      <w:pPr>
        <w:numPr>
          <w:ilvl w:val="0"/>
          <w:numId w:val="32"/>
        </w:numPr>
        <w:snapToGrid w:val="0"/>
        <w:spacing w:line="360" w:lineRule="auto"/>
        <w:jc w:val="left"/>
        <w:rPr>
          <w:rFonts w:hint="eastAsia" w:ascii="宋体" w:hAnsi="宋体" w:cs="宋体"/>
          <w:b/>
          <w:bCs/>
          <w:color w:val="000000"/>
          <w:sz w:val="24"/>
        </w:rPr>
      </w:pPr>
      <w:r>
        <w:rPr>
          <w:rFonts w:hint="eastAsia" w:ascii="宋体" w:hAnsi="宋体" w:cs="宋体"/>
          <w:b/>
          <w:bCs/>
          <w:color w:val="000000"/>
          <w:sz w:val="24"/>
        </w:rPr>
        <w:t xml:space="preserve">提供服务期限、地点 </w:t>
      </w:r>
    </w:p>
    <w:p w14:paraId="220EC726">
      <w:pPr>
        <w:pStyle w:val="72"/>
        <w:spacing w:line="440" w:lineRule="exact"/>
        <w:ind w:left="420" w:firstLine="0" w:firstLineChars="0"/>
        <w:rPr>
          <w:sz w:val="24"/>
        </w:rPr>
      </w:pPr>
      <w:r>
        <w:rPr>
          <w:sz w:val="24"/>
        </w:rPr>
        <w:t>1）服务期要求：合同签订之日起至202</w:t>
      </w:r>
      <w:r>
        <w:rPr>
          <w:rFonts w:hint="eastAsia"/>
          <w:sz w:val="24"/>
        </w:rPr>
        <w:t>6</w:t>
      </w:r>
      <w:r>
        <w:rPr>
          <w:sz w:val="24"/>
        </w:rPr>
        <w:t>年12月31日前，完成本项目全部工作内容。</w:t>
      </w:r>
    </w:p>
    <w:p w14:paraId="2BFAB095">
      <w:pPr>
        <w:spacing w:line="440" w:lineRule="exact"/>
        <w:ind w:firstLine="480" w:firstLineChars="200"/>
        <w:rPr>
          <w:sz w:val="24"/>
        </w:rPr>
      </w:pPr>
      <w:r>
        <w:rPr>
          <w:sz w:val="24"/>
        </w:rPr>
        <w:t>2）地点：北京市范围内采购人指定的服务地点。</w:t>
      </w:r>
    </w:p>
    <w:p w14:paraId="4B550B4F">
      <w:pPr>
        <w:numPr>
          <w:ilvl w:val="0"/>
          <w:numId w:val="32"/>
        </w:numPr>
        <w:snapToGrid w:val="0"/>
        <w:spacing w:line="360" w:lineRule="auto"/>
        <w:jc w:val="left"/>
        <w:rPr>
          <w:rFonts w:hint="eastAsia" w:ascii="宋体" w:hAnsi="宋体" w:cs="宋体"/>
          <w:b/>
          <w:bCs/>
          <w:color w:val="000000"/>
          <w:sz w:val="24"/>
        </w:rPr>
      </w:pPr>
      <w:r>
        <w:rPr>
          <w:rFonts w:hint="eastAsia" w:ascii="宋体" w:hAnsi="宋体" w:cs="宋体"/>
          <w:b/>
          <w:bCs/>
          <w:color w:val="000000"/>
          <w:sz w:val="24"/>
        </w:rPr>
        <w:t xml:space="preserve">付款方式 </w:t>
      </w:r>
    </w:p>
    <w:p w14:paraId="189FC4F8">
      <w:pPr>
        <w:snapToGrid w:val="0"/>
        <w:spacing w:line="360" w:lineRule="auto"/>
        <w:jc w:val="left"/>
        <w:rPr>
          <w:rFonts w:hint="eastAsia" w:ascii="宋体" w:hAnsi="宋体" w:cs="宋体"/>
          <w:b/>
          <w:bCs/>
          <w:color w:val="000000"/>
          <w:sz w:val="24"/>
        </w:rPr>
      </w:pPr>
    </w:p>
    <w:p w14:paraId="44542DD1">
      <w:pPr>
        <w:numPr>
          <w:ilvl w:val="0"/>
          <w:numId w:val="32"/>
        </w:numPr>
        <w:snapToGrid w:val="0"/>
        <w:spacing w:line="360" w:lineRule="auto"/>
        <w:jc w:val="left"/>
        <w:rPr>
          <w:rFonts w:hint="eastAsia" w:ascii="宋体" w:hAnsi="宋体" w:cs="宋体"/>
          <w:b/>
          <w:bCs/>
          <w:color w:val="000000"/>
          <w:sz w:val="24"/>
        </w:rPr>
      </w:pPr>
      <w:r>
        <w:rPr>
          <w:rFonts w:hint="eastAsia" w:ascii="宋体" w:hAnsi="宋体" w:cs="宋体"/>
          <w:b/>
          <w:bCs/>
          <w:color w:val="000000"/>
          <w:sz w:val="24"/>
        </w:rPr>
        <w:t>履约保证金</w:t>
      </w:r>
    </w:p>
    <w:p w14:paraId="6C6E8EF4">
      <w:pPr>
        <w:snapToGrid w:val="0"/>
        <w:spacing w:line="360" w:lineRule="auto"/>
        <w:jc w:val="left"/>
        <w:rPr>
          <w:rFonts w:hint="eastAsia" w:ascii="宋体" w:hAnsi="宋体" w:cs="宋体"/>
          <w:color w:val="000000"/>
          <w:sz w:val="24"/>
        </w:rPr>
      </w:pPr>
      <w:r>
        <w:rPr>
          <w:rFonts w:hint="eastAsia" w:ascii="宋体" w:hAnsi="宋体" w:cs="宋体"/>
          <w:b/>
          <w:bCs/>
          <w:color w:val="000000"/>
          <w:sz w:val="24"/>
        </w:rPr>
        <w:t xml:space="preserve"> </w:t>
      </w:r>
      <w:r>
        <w:rPr>
          <w:rFonts w:hint="eastAsia" w:ascii="宋体" w:hAnsi="宋体" w:cs="宋体"/>
          <w:color w:val="000000"/>
          <w:sz w:val="24"/>
        </w:rPr>
        <w:t xml:space="preserve">/。 </w:t>
      </w:r>
    </w:p>
    <w:p w14:paraId="686F1349">
      <w:pPr>
        <w:snapToGrid w:val="0"/>
        <w:spacing w:line="360" w:lineRule="auto"/>
        <w:jc w:val="left"/>
        <w:rPr>
          <w:rFonts w:hint="eastAsia" w:ascii="宋体" w:hAnsi="宋体" w:cs="宋体"/>
          <w:color w:val="000000"/>
          <w:sz w:val="24"/>
        </w:rPr>
      </w:pPr>
      <w:r>
        <w:rPr>
          <w:rFonts w:hint="eastAsia" w:ascii="宋体" w:hAnsi="宋体" w:cs="宋体"/>
          <w:color w:val="000000"/>
          <w:sz w:val="24"/>
        </w:rPr>
        <w:t>形式为：支票/汇票/本票/采购人可接受的银行保函。</w:t>
      </w:r>
      <w:r>
        <w:rPr>
          <w:rFonts w:hint="eastAsia" w:ascii="宋体" w:hAnsi="宋体" w:cs="宋体"/>
          <w:b/>
          <w:bCs/>
          <w:color w:val="000000"/>
          <w:sz w:val="24"/>
        </w:rPr>
        <w:t xml:space="preserve"> </w:t>
      </w:r>
    </w:p>
    <w:p w14:paraId="0843C00C">
      <w:pPr>
        <w:numPr>
          <w:ilvl w:val="0"/>
          <w:numId w:val="32"/>
        </w:numPr>
        <w:snapToGrid w:val="0"/>
        <w:spacing w:line="360" w:lineRule="auto"/>
        <w:jc w:val="left"/>
        <w:rPr>
          <w:rFonts w:hint="eastAsia" w:ascii="宋体" w:hAnsi="宋体" w:cs="宋体"/>
          <w:b/>
          <w:bCs/>
          <w:color w:val="000000"/>
          <w:sz w:val="24"/>
        </w:rPr>
      </w:pPr>
      <w:r>
        <w:rPr>
          <w:rFonts w:hint="eastAsia" w:ascii="宋体" w:hAnsi="宋体" w:cs="宋体"/>
          <w:b/>
          <w:bCs/>
          <w:color w:val="000000"/>
          <w:sz w:val="24"/>
        </w:rPr>
        <w:t>合同的份数及生效</w:t>
      </w:r>
      <w:r>
        <w:rPr>
          <w:rFonts w:hint="eastAsia" w:ascii="宋体" w:hAnsi="宋体" w:cs="宋体"/>
          <w:b/>
          <w:bCs/>
          <w:color w:val="000000"/>
          <w:sz w:val="24"/>
        </w:rPr>
        <w:br w:type="page"/>
      </w:r>
    </w:p>
    <w:p w14:paraId="2A2B4EBF">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u w:val="single"/>
        </w:rPr>
        <w:t xml:space="preserve">    </w:t>
      </w:r>
      <w:r>
        <w:rPr>
          <w:rFonts w:hint="eastAsia" w:ascii="宋体" w:hAnsi="宋体" w:cs="宋体"/>
          <w:color w:val="000000"/>
          <w:sz w:val="24"/>
        </w:rPr>
        <w:t>份，具有同等法律效力。</w:t>
      </w:r>
      <w:r>
        <w:rPr>
          <w:rFonts w:hint="eastAsia" w:ascii="宋体" w:hAnsi="宋体" w:cs="宋体"/>
          <w:color w:val="000000"/>
          <w:sz w:val="24"/>
          <w:u w:val="single"/>
        </w:rPr>
        <w:t xml:space="preserve">    </w:t>
      </w:r>
      <w:r>
        <w:rPr>
          <w:rFonts w:hint="eastAsia" w:ascii="宋体" w:hAnsi="宋体" w:cs="宋体"/>
          <w:color w:val="000000"/>
          <w:sz w:val="24"/>
        </w:rPr>
        <w:t>和</w:t>
      </w:r>
      <w:r>
        <w:rPr>
          <w:rFonts w:hint="eastAsia" w:ascii="宋体" w:hAnsi="宋体" w:cs="宋体"/>
          <w:color w:val="000000"/>
          <w:sz w:val="24"/>
          <w:u w:val="single"/>
        </w:rPr>
        <w:t xml:space="preserve">    </w:t>
      </w:r>
      <w:r>
        <w:rPr>
          <w:rFonts w:hint="eastAsia" w:ascii="宋体" w:hAnsi="宋体" w:cs="宋体"/>
          <w:color w:val="000000"/>
          <w:sz w:val="24"/>
        </w:rPr>
        <w:t>各执</w:t>
      </w:r>
      <w:r>
        <w:rPr>
          <w:rFonts w:hint="eastAsia" w:ascii="宋体" w:hAnsi="宋体" w:cs="宋体"/>
          <w:color w:val="000000"/>
          <w:sz w:val="24"/>
          <w:u w:val="single"/>
        </w:rPr>
        <w:t xml:space="preserve">    </w:t>
      </w:r>
      <w:r>
        <w:rPr>
          <w:rFonts w:hint="eastAsia" w:ascii="宋体" w:hAnsi="宋体" w:cs="宋体"/>
          <w:color w:val="000000"/>
          <w:sz w:val="24"/>
        </w:rPr>
        <w:t xml:space="preserve">份，招标代理机构 执壹份。 </w:t>
      </w:r>
    </w:p>
    <w:p w14:paraId="5A78CCAD">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本合同经双方各自的法定代表人或授权代表签署、加盖单位公章或合同专用章 并由中标供应商递交履约保证金（如有）之日起生效。 </w:t>
      </w:r>
    </w:p>
    <w:p w14:paraId="6750FA23">
      <w:pPr>
        <w:spacing w:line="360" w:lineRule="auto"/>
        <w:rPr>
          <w:rFonts w:hint="eastAsia" w:ascii="宋体" w:hAnsi="宋体" w:cs="宋体"/>
          <w:color w:val="000000"/>
          <w:sz w:val="24"/>
        </w:rPr>
      </w:pPr>
    </w:p>
    <w:p w14:paraId="28990322">
      <w:pPr>
        <w:spacing w:line="360" w:lineRule="auto"/>
        <w:rPr>
          <w:rFonts w:hint="eastAsia" w:ascii="宋体" w:hAnsi="宋体" w:cs="宋体"/>
          <w:color w:val="000000"/>
          <w:sz w:val="24"/>
        </w:rPr>
      </w:pPr>
    </w:p>
    <w:p w14:paraId="1119F0D8">
      <w:pPr>
        <w:spacing w:line="360" w:lineRule="auto"/>
        <w:rPr>
          <w:rFonts w:hint="eastAsia" w:ascii="宋体" w:hAnsi="宋体" w:cs="宋体"/>
          <w:color w:val="000000"/>
          <w:sz w:val="24"/>
        </w:rPr>
      </w:pPr>
    </w:p>
    <w:p w14:paraId="2B393881">
      <w:pPr>
        <w:spacing w:line="360" w:lineRule="auto"/>
        <w:rPr>
          <w:rFonts w:hint="eastAsia" w:ascii="宋体" w:hAnsi="宋体" w:cs="宋体"/>
          <w:color w:val="000000"/>
          <w:sz w:val="24"/>
        </w:rPr>
      </w:pPr>
    </w:p>
    <w:p w14:paraId="4D3982E1">
      <w:pPr>
        <w:spacing w:line="360" w:lineRule="auto"/>
        <w:rPr>
          <w:rFonts w:hint="eastAsia" w:ascii="宋体" w:hAnsi="宋体" w:cs="宋体"/>
          <w:sz w:val="24"/>
        </w:rPr>
      </w:pPr>
    </w:p>
    <w:p w14:paraId="325EDFA9">
      <w:pPr>
        <w:spacing w:line="360" w:lineRule="auto"/>
        <w:rPr>
          <w:rFonts w:hint="eastAsia" w:ascii="宋体" w:hAnsi="宋体" w:cs="宋体"/>
          <w:color w:val="000000"/>
          <w:sz w:val="24"/>
        </w:rPr>
      </w:pPr>
      <w:r>
        <w:rPr>
          <w:rFonts w:hint="eastAsia" w:ascii="宋体" w:hAnsi="宋体" w:cs="宋体"/>
          <w:color w:val="000000"/>
          <w:sz w:val="24"/>
        </w:rPr>
        <w:t xml:space="preserve">采购人：                                   中标供应商： </w:t>
      </w:r>
    </w:p>
    <w:p w14:paraId="7CB71BC6">
      <w:pPr>
        <w:spacing w:line="360" w:lineRule="auto"/>
        <w:rPr>
          <w:rFonts w:hint="eastAsia" w:ascii="宋体" w:hAnsi="宋体" w:cs="宋体"/>
          <w:color w:val="000000"/>
          <w:sz w:val="24"/>
        </w:rPr>
      </w:pPr>
      <w:r>
        <w:rPr>
          <w:rFonts w:hint="eastAsia" w:ascii="宋体" w:hAnsi="宋体" w:cs="宋体"/>
          <w:color w:val="000000"/>
          <w:sz w:val="24"/>
        </w:rPr>
        <w:t xml:space="preserve">名称：(印章)                               名称：(印章) </w:t>
      </w:r>
    </w:p>
    <w:p w14:paraId="17B182C7">
      <w:pPr>
        <w:spacing w:line="360" w:lineRule="auto"/>
        <w:rPr>
          <w:rFonts w:hint="eastAsia" w:ascii="宋体" w:hAnsi="宋体" w:cs="宋体"/>
          <w:color w:val="000000"/>
          <w:sz w:val="24"/>
        </w:rPr>
      </w:pPr>
      <w:r>
        <w:rPr>
          <w:rFonts w:hint="eastAsia" w:ascii="宋体" w:hAnsi="宋体" w:cs="宋体"/>
          <w:color w:val="000000"/>
          <w:sz w:val="24"/>
        </w:rPr>
        <w:t>年 月 日                                    年 月 日</w:t>
      </w:r>
    </w:p>
    <w:p w14:paraId="0FF2CBE9">
      <w:pPr>
        <w:spacing w:line="360" w:lineRule="auto"/>
        <w:rPr>
          <w:rFonts w:hint="eastAsia" w:ascii="宋体" w:hAnsi="宋体" w:cs="宋体"/>
          <w:color w:val="000000"/>
          <w:sz w:val="24"/>
        </w:rPr>
      </w:pPr>
    </w:p>
    <w:p w14:paraId="70856549">
      <w:pPr>
        <w:spacing w:line="360" w:lineRule="auto"/>
        <w:rPr>
          <w:rFonts w:hint="eastAsia" w:ascii="宋体" w:hAnsi="宋体" w:cs="宋体"/>
          <w:color w:val="000000"/>
          <w:sz w:val="24"/>
        </w:rPr>
      </w:pPr>
      <w:r>
        <w:rPr>
          <w:rFonts w:hint="eastAsia" w:ascii="宋体" w:hAnsi="宋体" w:cs="宋体"/>
          <w:color w:val="000000"/>
          <w:sz w:val="24"/>
        </w:rPr>
        <w:t>法定代表人                                 法定代表人</w:t>
      </w:r>
    </w:p>
    <w:p w14:paraId="488B91D6">
      <w:pPr>
        <w:spacing w:line="360" w:lineRule="auto"/>
        <w:rPr>
          <w:rFonts w:hint="eastAsia" w:ascii="宋体" w:hAnsi="宋体" w:cs="宋体"/>
          <w:color w:val="000000"/>
          <w:sz w:val="24"/>
        </w:rPr>
      </w:pPr>
      <w:r>
        <w:rPr>
          <w:rFonts w:hint="eastAsia" w:ascii="宋体" w:hAnsi="宋体" w:cs="宋体"/>
          <w:color w:val="000000"/>
          <w:sz w:val="24"/>
        </w:rPr>
        <w:t>或授权代表(签字)：                         或授权代表(签字)：</w:t>
      </w:r>
    </w:p>
    <w:p w14:paraId="2D66A35F">
      <w:pPr>
        <w:spacing w:line="360" w:lineRule="auto"/>
        <w:rPr>
          <w:rFonts w:hint="eastAsia" w:ascii="宋体" w:hAnsi="宋体" w:cs="宋体"/>
          <w:color w:val="000000"/>
          <w:sz w:val="24"/>
        </w:rPr>
      </w:pPr>
      <w:r>
        <w:rPr>
          <w:rFonts w:hint="eastAsia" w:ascii="宋体" w:hAnsi="宋体" w:cs="宋体"/>
          <w:color w:val="000000"/>
          <w:sz w:val="24"/>
        </w:rPr>
        <w:t>地址：                                     地址：</w:t>
      </w:r>
    </w:p>
    <w:p w14:paraId="55964B2D">
      <w:pPr>
        <w:spacing w:line="360" w:lineRule="auto"/>
        <w:rPr>
          <w:rFonts w:hint="eastAsia" w:ascii="宋体" w:hAnsi="宋体" w:cs="宋体"/>
          <w:color w:val="000000"/>
          <w:sz w:val="24"/>
        </w:rPr>
      </w:pPr>
      <w:r>
        <w:rPr>
          <w:rFonts w:hint="eastAsia" w:ascii="宋体" w:hAnsi="宋体" w:cs="宋体"/>
          <w:color w:val="000000"/>
          <w:sz w:val="24"/>
        </w:rPr>
        <w:t>邮政编码：                                 邮政编码：</w:t>
      </w:r>
    </w:p>
    <w:p w14:paraId="01CEEB1F">
      <w:pPr>
        <w:spacing w:line="360" w:lineRule="auto"/>
        <w:rPr>
          <w:rFonts w:hint="eastAsia" w:ascii="宋体" w:hAnsi="宋体" w:cs="宋体"/>
          <w:color w:val="000000"/>
          <w:sz w:val="24"/>
        </w:rPr>
      </w:pPr>
      <w:r>
        <w:rPr>
          <w:rFonts w:hint="eastAsia" w:ascii="宋体" w:hAnsi="宋体" w:cs="宋体"/>
          <w:color w:val="000000"/>
          <w:sz w:val="24"/>
        </w:rPr>
        <w:t>电话：                                     电话：</w:t>
      </w:r>
    </w:p>
    <w:p w14:paraId="7A1EBBB5">
      <w:pPr>
        <w:spacing w:line="360" w:lineRule="auto"/>
        <w:rPr>
          <w:rFonts w:hint="eastAsia" w:ascii="宋体" w:hAnsi="宋体" w:cs="宋体"/>
          <w:color w:val="000000"/>
          <w:sz w:val="24"/>
        </w:rPr>
      </w:pPr>
      <w:r>
        <w:rPr>
          <w:rFonts w:hint="eastAsia" w:ascii="宋体" w:hAnsi="宋体" w:cs="宋体"/>
          <w:color w:val="000000"/>
          <w:sz w:val="24"/>
        </w:rPr>
        <w:t>开户银行：                                 开户银行：</w:t>
      </w:r>
    </w:p>
    <w:p w14:paraId="0813F87C">
      <w:pPr>
        <w:spacing w:line="360" w:lineRule="auto"/>
        <w:rPr>
          <w:rFonts w:hint="eastAsia" w:ascii="宋体" w:hAnsi="宋体" w:cs="宋体"/>
          <w:b/>
          <w:color w:val="000000"/>
          <w:sz w:val="24"/>
          <w:highlight w:val="yellow"/>
        </w:rPr>
      </w:pPr>
      <w:r>
        <w:rPr>
          <w:rFonts w:hint="eastAsia" w:ascii="宋体" w:hAnsi="宋体" w:cs="宋体"/>
          <w:color w:val="000000"/>
          <w:sz w:val="24"/>
        </w:rPr>
        <w:t>账号：                                     账号：</w:t>
      </w:r>
      <w:r>
        <w:rPr>
          <w:rFonts w:hint="eastAsia" w:ascii="宋体" w:hAnsi="宋体" w:cs="宋体"/>
          <w:b/>
          <w:color w:val="000000"/>
          <w:sz w:val="24"/>
          <w:highlight w:val="yellow"/>
        </w:rPr>
        <w:br w:type="page"/>
      </w:r>
    </w:p>
    <w:p w14:paraId="01305C7B">
      <w:pPr>
        <w:spacing w:line="360" w:lineRule="auto"/>
        <w:jc w:val="center"/>
        <w:rPr>
          <w:rFonts w:hint="eastAsia" w:ascii="宋体" w:hAnsi="宋体" w:cs="宋体"/>
          <w:b/>
          <w:bCs/>
          <w:color w:val="000000"/>
          <w:sz w:val="24"/>
        </w:rPr>
      </w:pPr>
      <w:r>
        <w:rPr>
          <w:rFonts w:hint="eastAsia" w:ascii="宋体" w:hAnsi="宋体" w:cs="宋体"/>
          <w:b/>
          <w:bCs/>
          <w:color w:val="000000"/>
          <w:sz w:val="24"/>
        </w:rPr>
        <w:t>合同特殊条款</w:t>
      </w:r>
    </w:p>
    <w:p w14:paraId="37588D56">
      <w:pPr>
        <w:spacing w:line="360" w:lineRule="auto"/>
        <w:rPr>
          <w:rFonts w:hint="eastAsia" w:ascii="宋体" w:hAnsi="宋体" w:cs="宋体"/>
          <w:sz w:val="24"/>
        </w:rPr>
      </w:pPr>
    </w:p>
    <w:p w14:paraId="5B32EDFD">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合同特殊条款是合同一般条款的补充和修改。如果两者之间有抵触，应当以特殊条款为准。合同特殊条款的序号将与招标文件第一册中第二章合同一般条款序号 相对应。</w:t>
      </w:r>
    </w:p>
    <w:p w14:paraId="4BE0EEBB">
      <w:pPr>
        <w:numPr>
          <w:ilvl w:val="0"/>
          <w:numId w:val="34"/>
        </w:num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定义 </w:t>
      </w:r>
    </w:p>
    <w:p w14:paraId="0F336463">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1.3 采购人：</w:t>
      </w:r>
      <w:r>
        <w:rPr>
          <w:rFonts w:hint="eastAsia" w:ascii="宋体" w:hAnsi="宋体" w:cs="宋体"/>
          <w:color w:val="000000"/>
          <w:sz w:val="24"/>
          <w:u w:val="single"/>
        </w:rPr>
        <w:t>北京市地质灾害防治研究所</w:t>
      </w:r>
      <w:r>
        <w:rPr>
          <w:rFonts w:hint="eastAsia" w:ascii="宋体" w:hAnsi="宋体" w:cs="宋体"/>
          <w:color w:val="000000"/>
          <w:sz w:val="24"/>
        </w:rPr>
        <w:t xml:space="preserve"> </w:t>
      </w:r>
    </w:p>
    <w:p w14:paraId="419EE562">
      <w:pPr>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1.4 中标供应商：</w:t>
      </w:r>
      <w:r>
        <w:rPr>
          <w:rFonts w:hint="eastAsia" w:ascii="宋体" w:hAnsi="宋体" w:cs="宋体"/>
          <w:color w:val="000000"/>
          <w:sz w:val="24"/>
          <w:u w:val="single"/>
        </w:rPr>
        <w:t xml:space="preserve"> 中标供应商 </w:t>
      </w:r>
    </w:p>
    <w:p w14:paraId="07D2BC05">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3、服务内容 </w:t>
      </w:r>
    </w:p>
    <w:p w14:paraId="3A83B002">
      <w:pPr>
        <w:spacing w:line="360" w:lineRule="auto"/>
        <w:ind w:firstLine="480" w:firstLineChars="200"/>
        <w:rPr>
          <w:rFonts w:hint="eastAsia" w:ascii="宋体" w:hAnsi="宋体" w:cs="宋体"/>
          <w:color w:val="000000"/>
          <w:sz w:val="24"/>
        </w:rPr>
      </w:pPr>
      <w:r>
        <w:rPr>
          <w:rFonts w:hint="eastAsia" w:ascii="宋体" w:hAnsi="宋体" w:cs="宋体"/>
          <w:color w:val="000000"/>
          <w:sz w:val="24"/>
          <w:u w:val="single"/>
        </w:rPr>
        <w:t>北京市突发地质灾害监测预警信息系统运行维护。</w:t>
      </w:r>
      <w:r>
        <w:rPr>
          <w:rFonts w:hint="eastAsia" w:ascii="宋体" w:hAnsi="宋体" w:cs="宋体"/>
          <w:color w:val="000000"/>
          <w:sz w:val="24"/>
        </w:rPr>
        <w:t xml:space="preserve"> </w:t>
      </w:r>
    </w:p>
    <w:p w14:paraId="69040C4C">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4、提供服务期限、地点 </w:t>
      </w:r>
    </w:p>
    <w:p w14:paraId="5B58BC10">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服务期要求：</w:t>
      </w:r>
      <w:r>
        <w:rPr>
          <w:rFonts w:hint="eastAsia" w:ascii="宋体" w:hAnsi="宋体" w:cs="宋体"/>
          <w:color w:val="000000"/>
          <w:sz w:val="24"/>
          <w:u w:val="single"/>
        </w:rPr>
        <w:t>合同签订之日起至 2026 年 12 月 31 日。</w:t>
      </w:r>
      <w:r>
        <w:rPr>
          <w:rFonts w:hint="eastAsia" w:ascii="宋体" w:hAnsi="宋体" w:cs="宋体"/>
          <w:b/>
          <w:bCs/>
          <w:color w:val="000000"/>
          <w:sz w:val="24"/>
        </w:rPr>
        <w:t xml:space="preserve"> </w:t>
      </w:r>
    </w:p>
    <w:p w14:paraId="7633A6B3">
      <w:pPr>
        <w:spacing w:line="360" w:lineRule="auto"/>
        <w:ind w:firstLine="482" w:firstLineChars="200"/>
        <w:rPr>
          <w:rFonts w:hint="eastAsia" w:ascii="宋体" w:hAnsi="宋体" w:cs="宋体"/>
          <w:color w:val="000000"/>
          <w:sz w:val="24"/>
        </w:rPr>
      </w:pPr>
      <w:r>
        <w:rPr>
          <w:rFonts w:hint="eastAsia" w:ascii="宋体" w:hAnsi="宋体" w:cs="宋体"/>
          <w:b/>
          <w:bCs/>
          <w:color w:val="000000"/>
          <w:sz w:val="24"/>
        </w:rPr>
        <w:t>地点：</w:t>
      </w:r>
      <w:r>
        <w:rPr>
          <w:rFonts w:hint="eastAsia" w:ascii="宋体" w:hAnsi="宋体" w:cs="宋体"/>
          <w:color w:val="000000"/>
          <w:sz w:val="24"/>
          <w:u w:val="single"/>
        </w:rPr>
        <w:t>甲方指定的服务地点。</w:t>
      </w:r>
      <w:r>
        <w:rPr>
          <w:rFonts w:hint="eastAsia" w:ascii="宋体" w:hAnsi="宋体" w:cs="宋体"/>
          <w:color w:val="000000"/>
          <w:sz w:val="24"/>
        </w:rPr>
        <w:t xml:space="preserve"> </w:t>
      </w:r>
    </w:p>
    <w:p w14:paraId="368F08A7">
      <w:pPr>
        <w:numPr>
          <w:ilvl w:val="0"/>
          <w:numId w:val="35"/>
        </w:num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付款方式 </w:t>
      </w:r>
    </w:p>
    <w:p w14:paraId="284BD09A">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5.1 付款方式：</w:t>
      </w:r>
      <w:r>
        <w:rPr>
          <w:rFonts w:hint="eastAsia" w:ascii="宋体" w:hAnsi="宋体" w:cs="宋体"/>
          <w:color w:val="000000"/>
          <w:sz w:val="24"/>
          <w:u w:val="single"/>
        </w:rPr>
        <w:t>采购人与中标供应商签订合同后二十个工作日内，采购人向中标供应商支付本项目中标金额 50%的预付款；汛期结束后二十个工作日内，采购人向中标供应商支付本项目中标金额 30%的合同款；信息系统运维工作结束，年度运维报告评审通过，全部成果经采购人验收合格，并提交全部系统运维过程资料后二十个工作日内，采购人向中标供应商一次性付清本次中标金额 20%的余款。</w:t>
      </w:r>
      <w:r>
        <w:rPr>
          <w:rFonts w:hint="eastAsia" w:ascii="宋体" w:hAnsi="宋体" w:cs="宋体"/>
          <w:color w:val="000000"/>
          <w:sz w:val="24"/>
        </w:rPr>
        <w:t xml:space="preserve"> </w:t>
      </w:r>
    </w:p>
    <w:p w14:paraId="7F8E66ED">
      <w:pPr>
        <w:numPr>
          <w:ilvl w:val="0"/>
          <w:numId w:val="32"/>
        </w:num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索赔：根据合同一般条款约定。 </w:t>
      </w:r>
    </w:p>
    <w:p w14:paraId="150FA124">
      <w:pPr>
        <w:numPr>
          <w:ilvl w:val="0"/>
          <w:numId w:val="32"/>
        </w:num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不可抗力：根据合同一般条款约定。 </w:t>
      </w:r>
    </w:p>
    <w:p w14:paraId="13A58C1E">
      <w:pPr>
        <w:numPr>
          <w:ilvl w:val="0"/>
          <w:numId w:val="36"/>
        </w:num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履约保证金：本项目不适用。 </w:t>
      </w:r>
    </w:p>
    <w:p w14:paraId="50FD0A8D">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22.3 本合同一式柒份，具有同等法律效力。采购人和中标供应商各执叁份，招标代理机构执壹份。</w:t>
      </w:r>
      <w:r>
        <w:rPr>
          <w:rFonts w:hint="eastAsia" w:ascii="宋体" w:hAnsi="宋体" w:cs="宋体"/>
          <w:color w:val="000000"/>
          <w:sz w:val="24"/>
        </w:rPr>
        <w:br w:type="page"/>
      </w:r>
    </w:p>
    <w:p w14:paraId="168AB125">
      <w:pPr>
        <w:spacing w:line="360" w:lineRule="auto"/>
        <w:jc w:val="center"/>
        <w:rPr>
          <w:rFonts w:hint="eastAsia" w:ascii="宋体" w:hAnsi="宋体" w:cs="宋体"/>
          <w:b/>
          <w:bCs/>
          <w:color w:val="000000"/>
          <w:sz w:val="24"/>
        </w:rPr>
      </w:pPr>
      <w:r>
        <w:rPr>
          <w:rFonts w:hint="eastAsia" w:ascii="宋体" w:hAnsi="宋体" w:cs="宋体"/>
          <w:b/>
          <w:bCs/>
          <w:color w:val="000000"/>
          <w:sz w:val="24"/>
        </w:rPr>
        <w:t>合同一般条款</w:t>
      </w:r>
    </w:p>
    <w:p w14:paraId="61BA9DD3">
      <w:pPr>
        <w:numPr>
          <w:ilvl w:val="0"/>
          <w:numId w:val="37"/>
        </w:num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 xml:space="preserve">定义 </w:t>
      </w:r>
    </w:p>
    <w:p w14:paraId="4F458922">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本合同中的下列术语应解释为： </w:t>
      </w:r>
    </w:p>
    <w:p w14:paraId="39AAC341">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1.1“合同”系指采购人与中标供应商签署的、合同格式中载明的采购人与中标供应 商所达成的合同，包括所有的附件、附录和构成合同的其它文件。 </w:t>
      </w:r>
    </w:p>
    <w:p w14:paraId="67116FA6">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1.2“服务”系指根据合同规定中标供应商承担的服务。 </w:t>
      </w:r>
    </w:p>
    <w:p w14:paraId="22F527BF">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1.3“采购人”系指与中标供应商签署采购合同的单位（含最终用户） </w:t>
      </w:r>
    </w:p>
    <w:p w14:paraId="32028834">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1.4“中标供应商”系指根据合同规定提供服务的中标供应商。 </w:t>
      </w:r>
    </w:p>
    <w:p w14:paraId="2630071D">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1.5“招标代理机构”系指国信招标集团。 </w:t>
      </w:r>
    </w:p>
    <w:p w14:paraId="1B8D9D4F">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1.6“现场”系指合同项下服务的实施地点。 </w:t>
      </w:r>
    </w:p>
    <w:p w14:paraId="22D894E7">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1.7“验收”系指合同双方依据规定的程序和条件确认合同项下的服务符合技术规范 的要求。 </w:t>
      </w:r>
    </w:p>
    <w:p w14:paraId="69D5140B">
      <w:pPr>
        <w:numPr>
          <w:ilvl w:val="0"/>
          <w:numId w:val="37"/>
        </w:num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 xml:space="preserve">技术规范 </w:t>
      </w:r>
    </w:p>
    <w:p w14:paraId="2E6ED7B1">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2.1 提交货物（如有）的技术规范应与招标文件规定的技术规范和技术规范附件 (如 果有的话)及其投标文件的规格偏差表(如果被采购人接受的话) 相一致。 2.2 若技术规范中无相应说明，则以国家有关部门最新颁布的相应标准及规范为准。 </w:t>
      </w:r>
    </w:p>
    <w:p w14:paraId="6D557824">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 xml:space="preserve">3、服务内容 </w:t>
      </w:r>
    </w:p>
    <w:p w14:paraId="02EEEAED">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详见合同书中规定。 </w:t>
      </w:r>
    </w:p>
    <w:p w14:paraId="22B744AA">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 xml:space="preserve">4、提供服务期限、地点 </w:t>
      </w:r>
    </w:p>
    <w:p w14:paraId="6BD1FAEF">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详见合同书中规定。 </w:t>
      </w:r>
    </w:p>
    <w:p w14:paraId="7194971C">
      <w:pPr>
        <w:numPr>
          <w:ilvl w:val="0"/>
          <w:numId w:val="38"/>
        </w:num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 xml:space="preserve">付款方式 </w:t>
      </w:r>
    </w:p>
    <w:p w14:paraId="6C7609C6">
      <w:pPr>
        <w:spacing w:line="360" w:lineRule="auto"/>
        <w:rPr>
          <w:rFonts w:hint="eastAsia" w:ascii="宋体" w:hAnsi="宋体" w:cs="宋体"/>
          <w:color w:val="000000"/>
          <w:sz w:val="24"/>
        </w:rPr>
      </w:pPr>
      <w:r>
        <w:rPr>
          <w:rFonts w:hint="eastAsia" w:ascii="宋体" w:hAnsi="宋体" w:cs="宋体"/>
          <w:color w:val="000000"/>
          <w:sz w:val="24"/>
        </w:rPr>
        <w:t xml:space="preserve">付款条件详见合同书中规定。 </w:t>
      </w:r>
    </w:p>
    <w:p w14:paraId="0761F3D5">
      <w:pPr>
        <w:numPr>
          <w:ilvl w:val="0"/>
          <w:numId w:val="39"/>
        </w:num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 xml:space="preserve">索赔 </w:t>
      </w:r>
    </w:p>
    <w:p w14:paraId="53D3F271">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如果中标供应商提供的服务质量与合同不符，采购人有权根据合同约定向中标 供应商提出索赔。 </w:t>
      </w:r>
    </w:p>
    <w:p w14:paraId="0508BE82">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 xml:space="preserve">7、延期提供服务 </w:t>
      </w:r>
    </w:p>
    <w:p w14:paraId="3B813274">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7.1 中标供应商应按照合同中规定的条款提供服务。 </w:t>
      </w:r>
    </w:p>
    <w:p w14:paraId="667972F1">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7.2 如果中标供应商延迟交货和/或提供服务并影响采购方正常履行合同的的，采购 人可采取以下制裁: 收取违约金、赔偿金，直至解除合同。</w:t>
      </w:r>
    </w:p>
    <w:p w14:paraId="5C3B697B">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 xml:space="preserve">8、违约赔偿 </w:t>
      </w:r>
    </w:p>
    <w:p w14:paraId="6E4A7D08">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如果中标供应商没有按照合同规定的时间交货或提供服务，采购人可从应付款 项中先行扣除违约金。违约金的计算标准为中标供应商每迟提供服务一天，按延迟提 供服务的价格的 1%计收。如果违约金不足以弥补甲方损失的，采购人有权要求中标供应商支付赔偿金，补足违约金不足部分。如果中标供应商在超过 </w:t>
      </w:r>
      <w:r>
        <w:rPr>
          <w:rFonts w:hint="eastAsia" w:ascii="宋体" w:hAnsi="宋体" w:cs="宋体"/>
          <w:b/>
          <w:bCs/>
          <w:color w:val="000000"/>
          <w:sz w:val="24"/>
        </w:rPr>
        <w:t xml:space="preserve">7 </w:t>
      </w:r>
      <w:r>
        <w:rPr>
          <w:rFonts w:hint="eastAsia" w:ascii="宋体" w:hAnsi="宋体" w:cs="宋体"/>
          <w:color w:val="000000"/>
          <w:sz w:val="24"/>
        </w:rPr>
        <w:t>天后仍不能交 货和/或提供服务，采购人有权单方解除合同。</w:t>
      </w:r>
    </w:p>
    <w:p w14:paraId="3AAB8495">
      <w:pPr>
        <w:spacing w:line="360" w:lineRule="auto"/>
        <w:rPr>
          <w:rFonts w:hint="eastAsia" w:ascii="宋体" w:hAnsi="宋体" w:cs="宋体"/>
          <w:b/>
          <w:bCs/>
          <w:color w:val="000000"/>
          <w:sz w:val="24"/>
        </w:rPr>
      </w:pPr>
      <w:r>
        <w:rPr>
          <w:rFonts w:hint="eastAsia" w:ascii="宋体" w:hAnsi="宋体" w:cs="宋体"/>
          <w:b/>
          <w:bCs/>
          <w:color w:val="000000"/>
          <w:sz w:val="24"/>
        </w:rPr>
        <w:t xml:space="preserve">9、验收 </w:t>
      </w:r>
    </w:p>
    <w:p w14:paraId="610A1886">
      <w:pPr>
        <w:spacing w:line="360" w:lineRule="auto"/>
        <w:rPr>
          <w:rFonts w:hint="eastAsia" w:ascii="宋体" w:hAnsi="宋体" w:cs="宋体"/>
          <w:color w:val="000000"/>
          <w:sz w:val="24"/>
        </w:rPr>
      </w:pPr>
      <w:r>
        <w:rPr>
          <w:rFonts w:hint="eastAsia" w:ascii="宋体" w:hAnsi="宋体" w:cs="宋体"/>
          <w:color w:val="000000"/>
          <w:sz w:val="24"/>
        </w:rPr>
        <w:t xml:space="preserve">由采购方进行数据精度检查和接收。 </w:t>
      </w:r>
    </w:p>
    <w:p w14:paraId="5B5BC90F">
      <w:pPr>
        <w:spacing w:line="360" w:lineRule="auto"/>
        <w:rPr>
          <w:rFonts w:hint="eastAsia" w:ascii="宋体" w:hAnsi="宋体" w:cs="宋体"/>
          <w:b/>
          <w:bCs/>
          <w:color w:val="000000"/>
          <w:sz w:val="24"/>
        </w:rPr>
      </w:pPr>
      <w:r>
        <w:rPr>
          <w:rFonts w:hint="eastAsia" w:ascii="宋体" w:hAnsi="宋体" w:cs="宋体"/>
          <w:b/>
          <w:bCs/>
          <w:color w:val="000000"/>
          <w:sz w:val="24"/>
        </w:rPr>
        <w:t xml:space="preserve">10、不可抗力 </w:t>
      </w:r>
    </w:p>
    <w:p w14:paraId="6B3D325E">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10.1 如果双方中任何一方由于战争、严重火灾、水灾、台风和地震以及其它经双方同意属于不可抗力的事故，致使合同履行受阻时，履行合同的期限应予延长，延长的 期限应相当于事故所影响的时间。 </w:t>
      </w:r>
    </w:p>
    <w:p w14:paraId="25C22BE6">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10.2 受事故影响的一方应在不可抗力的事故发生后尽快以书面形式通知另一方，并在事故发生后 14 天内，将有关部门出具的证明文件用挂号信航寄给或送给另一方。 </w:t>
      </w:r>
    </w:p>
    <w:p w14:paraId="251AD1D3">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10.3 因不可抗力不能履行合同的，根据不可抗力的影响，当事人双方部分或全部免除责任，但法律另有规定的除外。当事人延迟履行合同后发生不可抗力的，不能免除 责任。 </w:t>
      </w:r>
    </w:p>
    <w:p w14:paraId="10F05922">
      <w:pPr>
        <w:spacing w:line="360" w:lineRule="auto"/>
        <w:rPr>
          <w:rFonts w:hint="eastAsia" w:ascii="宋体" w:hAnsi="宋体" w:cs="宋体"/>
          <w:b/>
          <w:bCs/>
          <w:color w:val="000000"/>
          <w:sz w:val="24"/>
        </w:rPr>
      </w:pPr>
      <w:r>
        <w:rPr>
          <w:rFonts w:hint="eastAsia" w:ascii="宋体" w:hAnsi="宋体" w:cs="宋体"/>
          <w:b/>
          <w:bCs/>
          <w:color w:val="000000"/>
          <w:sz w:val="24"/>
        </w:rPr>
        <w:t xml:space="preserve">11、税费 </w:t>
      </w:r>
    </w:p>
    <w:p w14:paraId="6F9819C8">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与本合同有关的一切税费均适用中华人民共和国法律的相关规定。采购人与中标供应商按照中华人民共和国相关法律的规定各自承担其依法应承担的签订、履行本合同所需缴纳的税费。本合同价格为含税价格。 </w:t>
      </w:r>
    </w:p>
    <w:p w14:paraId="392202D8">
      <w:pPr>
        <w:numPr>
          <w:ilvl w:val="0"/>
          <w:numId w:val="40"/>
        </w:num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 xml:space="preserve">履约保证金 </w:t>
      </w:r>
    </w:p>
    <w:p w14:paraId="68D3F59A">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12.1 履约保证金应当使用本合同指定货币，具体规定详见合同书中规定。 12.2 履约保证金用于补偿采购人因中标供应商不能履行其合同义务而蒙受的损失。 </w:t>
      </w:r>
    </w:p>
    <w:p w14:paraId="26820CAF">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12.3 履约保证金在服务期满前完全有效。 </w:t>
      </w:r>
    </w:p>
    <w:p w14:paraId="662D5317">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12.4 如果中标供应商未能按合同规定履行其义务，采购人有权从履约保证金中取得补偿。服务期结束后 30 天内，采购人将把履约保证金的剩余部分退还中标供应商。 </w:t>
      </w:r>
    </w:p>
    <w:p w14:paraId="73D97810">
      <w:pPr>
        <w:spacing w:line="360" w:lineRule="auto"/>
        <w:rPr>
          <w:rFonts w:hint="eastAsia" w:ascii="宋体" w:hAnsi="宋体" w:cs="宋体"/>
          <w:b/>
          <w:bCs/>
          <w:color w:val="000000"/>
          <w:sz w:val="24"/>
        </w:rPr>
      </w:pPr>
      <w:r>
        <w:rPr>
          <w:rFonts w:hint="eastAsia" w:ascii="宋体" w:hAnsi="宋体" w:cs="宋体"/>
          <w:b/>
          <w:bCs/>
          <w:color w:val="000000"/>
          <w:sz w:val="24"/>
        </w:rPr>
        <w:t xml:space="preserve">13、合同争议的解决 </w:t>
      </w:r>
    </w:p>
    <w:p w14:paraId="78DFEE6D">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采购人、中标供应商双方应通过友好协商， 解决在执行合同中所发生的或与本合同有关的一切争端，如果协商仍得不到解决，双方同意向采购人所在地的人民法院起诉解决。</w:t>
      </w:r>
    </w:p>
    <w:p w14:paraId="41CACC1A">
      <w:pPr>
        <w:spacing w:line="360" w:lineRule="auto"/>
        <w:rPr>
          <w:rFonts w:hint="eastAsia" w:ascii="宋体" w:hAnsi="宋体" w:cs="宋体"/>
          <w:b/>
          <w:bCs/>
          <w:color w:val="000000"/>
          <w:sz w:val="24"/>
        </w:rPr>
      </w:pPr>
      <w:r>
        <w:rPr>
          <w:rFonts w:hint="eastAsia" w:ascii="宋体" w:hAnsi="宋体" w:cs="宋体"/>
          <w:b/>
          <w:bCs/>
          <w:color w:val="000000"/>
          <w:sz w:val="24"/>
        </w:rPr>
        <w:t xml:space="preserve">14、合同变更和终止 </w:t>
      </w:r>
    </w:p>
    <w:p w14:paraId="1C04C8B4">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14.1 在本合同有效期内，如合同与其生效后新颁布的有关法律、法规、政策规定不符，由甲、乙双方协商变更，如能协商一致，按照符合新颁法律、法规、政策规定拟定补充合同执行；如不能达成一致，本合同解除。合同解除后，尚未发生的业务，停止履行。 </w:t>
      </w:r>
    </w:p>
    <w:p w14:paraId="7E947143">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14.2 在中标供应商违约的情况下，采购人可向中标供应商发出书面通知，部分或全部终止合同。同时保留向中标供应商追诉的权利。 </w:t>
      </w:r>
    </w:p>
    <w:p w14:paraId="1FCA094F">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14.2.1 中标供应商未能在合同规定的限期或采购人同意延长的限期内提供全部或部分服务, 合同解除； </w:t>
      </w:r>
    </w:p>
    <w:p w14:paraId="24D3D9D1">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14.2.2 中标供应商未能履行合同规定的其它主要义务的； </w:t>
      </w:r>
    </w:p>
    <w:p w14:paraId="6E57F0A7">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14.2.3 在本合同履行过程中有腐败和欺诈行为的。 </w:t>
      </w:r>
    </w:p>
    <w:p w14:paraId="3EB82CAE">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14.2.3.1“腐败行为”和“欺诈行为”定义如下: </w:t>
      </w:r>
    </w:p>
    <w:p w14:paraId="3A96EC59">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14.2.3.1.1“腐败行为”是指提供/给予/接受或索取任何有价值的东西来影响甲方在合同签订、履行过程中的行为。 </w:t>
      </w:r>
    </w:p>
    <w:p w14:paraId="4AF5E3B4">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14.2.3.1.2“欺诈行为”是指为了影响合同签订、履行过程，以谎报事实的方法，损害采购人的利益的行为。</w:t>
      </w:r>
    </w:p>
    <w:p w14:paraId="562D5445">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14.3 合同履行期间，如因中标供应商违反相关规定及本合同约定，采购人终止合同履行的，采购人需以书面形式通知中标供应商，通知送达中标供应商后本合同解除；合同解除前，本合同继续有效。</w:t>
      </w:r>
    </w:p>
    <w:p w14:paraId="2406B9C7">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14.4 本合同终止后，需求与中标双方应对合同期间发生的应尽未尽事项负责结清，有关保密义务的条款对双方仍然有效。 </w:t>
      </w:r>
    </w:p>
    <w:p w14:paraId="3111D18C">
      <w:pPr>
        <w:spacing w:line="360" w:lineRule="auto"/>
        <w:rPr>
          <w:rFonts w:hint="eastAsia" w:ascii="宋体" w:hAnsi="宋体" w:cs="宋体"/>
          <w:b/>
          <w:bCs/>
          <w:color w:val="000000"/>
          <w:sz w:val="24"/>
        </w:rPr>
      </w:pPr>
      <w:r>
        <w:rPr>
          <w:rFonts w:hint="eastAsia" w:ascii="宋体" w:hAnsi="宋体" w:cs="宋体"/>
          <w:b/>
          <w:bCs/>
          <w:color w:val="000000"/>
          <w:sz w:val="24"/>
        </w:rPr>
        <w:t xml:space="preserve">15、破产终止合同 </w:t>
      </w:r>
    </w:p>
    <w:p w14:paraId="13A0C1ED">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如果中标供应商因破产、清算、注销、被吊销营业执照、停业等原因导致合同无法履行时，采购人可以书面形式通知中标供应商，单方解除合同而不给中标供应商补偿，但采购人必须以书面形式告知同级政府采购监督管理部门。该合同的解除将不损害或不影响采购人已经采取或将要采取的任何行动或补救措施的权利。 </w:t>
      </w:r>
    </w:p>
    <w:p w14:paraId="193C6150">
      <w:pPr>
        <w:spacing w:line="360" w:lineRule="auto"/>
        <w:rPr>
          <w:rFonts w:hint="eastAsia" w:ascii="宋体" w:hAnsi="宋体" w:cs="宋体"/>
          <w:b/>
          <w:bCs/>
          <w:color w:val="000000"/>
          <w:sz w:val="24"/>
        </w:rPr>
      </w:pPr>
      <w:r>
        <w:rPr>
          <w:rFonts w:hint="eastAsia" w:ascii="宋体" w:hAnsi="宋体" w:cs="宋体"/>
          <w:b/>
          <w:bCs/>
          <w:color w:val="000000"/>
          <w:sz w:val="24"/>
        </w:rPr>
        <w:t xml:space="preserve">16、转让和分包 </w:t>
      </w:r>
    </w:p>
    <w:p w14:paraId="3C6E0717">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未经采购人事先书面同意，中标供应商不得部分转让或全部转让其所享有的合 同权利或应履行的合同义务。并且，未经采购人事先书面同意，中标供应商不得将本合同项目中实质性内容分包给其他第三方完成。否则，中标供应商应当向采购人支付合同总金额 20%的违约金，并且，于此情形下，采购人还有权解除合同。</w:t>
      </w:r>
    </w:p>
    <w:p w14:paraId="6412CCB4">
      <w:pPr>
        <w:numPr>
          <w:ilvl w:val="0"/>
          <w:numId w:val="41"/>
        </w:num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 xml:space="preserve">合同修改 </w:t>
      </w:r>
    </w:p>
    <w:p w14:paraId="4043FCF1">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欲对合同条款进行任何改动，均须由采购人、中标供应商签署书面的合同修改书。 </w:t>
      </w:r>
    </w:p>
    <w:p w14:paraId="0B4B8471">
      <w:pPr>
        <w:numPr>
          <w:ilvl w:val="0"/>
          <w:numId w:val="41"/>
        </w:num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 xml:space="preserve">通知 </w:t>
      </w:r>
    </w:p>
    <w:p w14:paraId="6B24A330">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本合同任何一方给另一方的通知，都应以书面或传真的形式发送，而另一方应以书面形式确认并发送到对方明确的地址。 </w:t>
      </w:r>
    </w:p>
    <w:p w14:paraId="779554DB">
      <w:pPr>
        <w:numPr>
          <w:ilvl w:val="0"/>
          <w:numId w:val="41"/>
        </w:num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 xml:space="preserve">知识产权条款 </w:t>
      </w:r>
    </w:p>
    <w:p w14:paraId="36E54F78">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19.1 本项目成果的知识产权为采购人所有。未经采购人的许可，中标供应商不得向 第三方转让、传播、销售。否则，中标供应商应当向采购人支付合同总金额20%的违约金。 </w:t>
      </w:r>
    </w:p>
    <w:p w14:paraId="16267674">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19.2 中标供应商应保证采购人在使用该项目成果时免受任何第三方提出的侵犯著作权、专利权或其他知识产权的诉讼或指控。如果任何第三方提起基于知识产权的侵权诉讼，将由中标供应商负责处理并承担相关的一切法律责任和费用；由此给采购人造成的任何损失，中标供应商应负责赔偿。 </w:t>
      </w:r>
    </w:p>
    <w:p w14:paraId="5C9AFB08">
      <w:pPr>
        <w:spacing w:line="360" w:lineRule="auto"/>
        <w:rPr>
          <w:rFonts w:hint="eastAsia" w:ascii="宋体" w:hAnsi="宋体" w:cs="宋体"/>
          <w:b/>
          <w:bCs/>
          <w:color w:val="000000"/>
          <w:sz w:val="24"/>
        </w:rPr>
      </w:pPr>
      <w:r>
        <w:rPr>
          <w:rFonts w:hint="eastAsia" w:ascii="宋体" w:hAnsi="宋体" w:cs="宋体"/>
          <w:b/>
          <w:bCs/>
          <w:color w:val="000000"/>
          <w:sz w:val="24"/>
        </w:rPr>
        <w:t xml:space="preserve">20、技术情报和资料的保密 </w:t>
      </w:r>
    </w:p>
    <w:p w14:paraId="409D5944">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中标供应商应对合同执行过程中的技术情报及资料履行保密义务。 </w:t>
      </w:r>
    </w:p>
    <w:p w14:paraId="6F766D1A">
      <w:pPr>
        <w:spacing w:line="360" w:lineRule="auto"/>
        <w:rPr>
          <w:rFonts w:hint="eastAsia" w:ascii="宋体" w:hAnsi="宋体" w:cs="宋体"/>
          <w:b/>
          <w:bCs/>
          <w:color w:val="000000"/>
          <w:sz w:val="24"/>
        </w:rPr>
      </w:pPr>
      <w:r>
        <w:rPr>
          <w:rFonts w:hint="eastAsia" w:ascii="宋体" w:hAnsi="宋体" w:cs="宋体"/>
          <w:b/>
          <w:bCs/>
          <w:color w:val="000000"/>
          <w:sz w:val="24"/>
        </w:rPr>
        <w:t xml:space="preserve">21适用法律 </w:t>
      </w:r>
    </w:p>
    <w:p w14:paraId="2D4471C3">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本合同应按照中华人民共和国的法律进行解释。 </w:t>
      </w:r>
    </w:p>
    <w:p w14:paraId="35CD0E4C">
      <w:pPr>
        <w:spacing w:line="360" w:lineRule="auto"/>
        <w:rPr>
          <w:rFonts w:hint="eastAsia" w:ascii="宋体" w:hAnsi="宋体" w:cs="宋体"/>
          <w:b/>
          <w:bCs/>
          <w:color w:val="000000"/>
          <w:sz w:val="24"/>
        </w:rPr>
      </w:pPr>
      <w:r>
        <w:rPr>
          <w:rFonts w:hint="eastAsia" w:ascii="宋体" w:hAnsi="宋体" w:cs="宋体"/>
          <w:b/>
          <w:bCs/>
          <w:color w:val="000000"/>
          <w:sz w:val="24"/>
        </w:rPr>
        <w:t xml:space="preserve">22、其他 </w:t>
      </w:r>
    </w:p>
    <w:p w14:paraId="16AA45E4">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22.1 采购人应当自政府采购合同签订之日起 2 个工作日内，将政府采购合同在省级以上人民政府财政部门指定的媒体上公告，但政府采购合同中涉及国家秘密、商业秘密的内容除外。 </w:t>
      </w:r>
    </w:p>
    <w:p w14:paraId="1D47EBDC">
      <w:pPr>
        <w:tabs>
          <w:tab w:val="left" w:pos="567"/>
        </w:tabs>
        <w:spacing w:line="360" w:lineRule="auto"/>
        <w:ind w:firstLine="11"/>
        <w:rPr>
          <w:rFonts w:hint="eastAsia" w:ascii="宋体" w:hAnsi="宋体" w:cs="宋体"/>
          <w:color w:val="000000"/>
          <w:sz w:val="24"/>
        </w:rPr>
      </w:pPr>
      <w:r>
        <w:rPr>
          <w:rFonts w:hint="eastAsia" w:ascii="宋体" w:hAnsi="宋体" w:cs="宋体"/>
          <w:color w:val="000000"/>
          <w:sz w:val="24"/>
        </w:rPr>
        <w:t>22.2 如需修改或补充合同内容，经协商，采购人与中标供应商应签署书面修改或补充合同，该合同将作为本合同的一个组成部分。</w:t>
      </w:r>
    </w:p>
    <w:p w14:paraId="6B301AF4">
      <w:pPr>
        <w:rPr>
          <w:b/>
          <w:bCs/>
          <w:sz w:val="24"/>
        </w:rPr>
      </w:pPr>
      <w:r>
        <w:rPr>
          <w:rFonts w:hint="eastAsia" w:ascii="宋体" w:hAnsi="宋体" w:cs="宋体"/>
          <w:color w:val="000000"/>
          <w:sz w:val="24"/>
        </w:rPr>
        <w:br w:type="page"/>
      </w:r>
      <w:r>
        <w:rPr>
          <w:b/>
          <w:bCs/>
          <w:sz w:val="24"/>
        </w:rPr>
        <w:t>附件</w:t>
      </w:r>
      <w:r>
        <w:rPr>
          <w:rFonts w:hint="eastAsia"/>
          <w:b/>
          <w:bCs/>
          <w:sz w:val="24"/>
        </w:rPr>
        <w:t>1</w:t>
      </w:r>
      <w:r>
        <w:rPr>
          <w:b/>
          <w:bCs/>
          <w:sz w:val="24"/>
        </w:rPr>
        <w:t>：</w:t>
      </w:r>
    </w:p>
    <w:p w14:paraId="2F870026">
      <w:pPr>
        <w:autoSpaceDE w:val="0"/>
        <w:autoSpaceDN w:val="0"/>
        <w:adjustRightInd w:val="0"/>
        <w:spacing w:line="320" w:lineRule="exact"/>
        <w:jc w:val="center"/>
        <w:rPr>
          <w:kern w:val="0"/>
          <w:sz w:val="32"/>
          <w:szCs w:val="32"/>
        </w:rPr>
      </w:pPr>
      <w:r>
        <w:rPr>
          <w:b/>
          <w:bCs/>
          <w:kern w:val="0"/>
          <w:sz w:val="32"/>
          <w:szCs w:val="32"/>
        </w:rPr>
        <w:t>廉政承诺书</w:t>
      </w:r>
    </w:p>
    <w:p w14:paraId="691D6EDE">
      <w:pPr>
        <w:spacing w:line="460" w:lineRule="exact"/>
        <w:ind w:firstLine="480" w:firstLineChars="200"/>
        <w:rPr>
          <w:sz w:val="24"/>
          <w:u w:val="single"/>
        </w:rPr>
      </w:pPr>
      <w:r>
        <w:rPr>
          <w:sz w:val="24"/>
        </w:rPr>
        <w:t xml:space="preserve">项目/工程名称: </w:t>
      </w:r>
      <w:r>
        <w:rPr>
          <w:rFonts w:hint="eastAsia"/>
          <w:sz w:val="24"/>
          <w:u w:val="single"/>
        </w:rPr>
        <w:t xml:space="preserve">                       </w:t>
      </w:r>
    </w:p>
    <w:p w14:paraId="29333C47">
      <w:pPr>
        <w:autoSpaceDE w:val="0"/>
        <w:autoSpaceDN w:val="0"/>
        <w:spacing w:line="460" w:lineRule="exact"/>
        <w:ind w:firstLine="480" w:firstLineChars="200"/>
        <w:jc w:val="left"/>
        <w:rPr>
          <w:kern w:val="0"/>
          <w:sz w:val="24"/>
          <w:u w:val="single"/>
        </w:rPr>
      </w:pPr>
      <w:r>
        <w:rPr>
          <w:kern w:val="0"/>
          <w:sz w:val="24"/>
        </w:rPr>
        <w:t>甲方：</w:t>
      </w:r>
      <w:r>
        <w:rPr>
          <w:kern w:val="0"/>
          <w:sz w:val="24"/>
          <w:u w:val="single"/>
        </w:rPr>
        <w:t xml:space="preserve">北京市地质灾害防治研究所    </w:t>
      </w:r>
    </w:p>
    <w:p w14:paraId="2D9C2C69">
      <w:pPr>
        <w:spacing w:line="460" w:lineRule="exact"/>
        <w:ind w:firstLine="480" w:firstLineChars="200"/>
        <w:rPr>
          <w:kern w:val="0"/>
          <w:sz w:val="24"/>
          <w:u w:val="single"/>
        </w:rPr>
      </w:pPr>
      <w:r>
        <w:rPr>
          <w:kern w:val="0"/>
          <w:sz w:val="24"/>
        </w:rPr>
        <w:t>乙方：</w:t>
      </w:r>
      <w:r>
        <w:rPr>
          <w:rFonts w:hint="eastAsia"/>
          <w:kern w:val="0"/>
          <w:sz w:val="24"/>
          <w:u w:val="single"/>
        </w:rPr>
        <w:t xml:space="preserve">                           </w:t>
      </w:r>
      <w:r>
        <w:rPr>
          <w:kern w:val="0"/>
          <w:sz w:val="24"/>
          <w:u w:val="single"/>
        </w:rPr>
        <w:t xml:space="preserve"> </w:t>
      </w:r>
    </w:p>
    <w:p w14:paraId="5B608FF6">
      <w:pPr>
        <w:spacing w:line="460" w:lineRule="exact"/>
        <w:ind w:firstLine="480" w:firstLineChars="200"/>
        <w:rPr>
          <w:kern w:val="0"/>
          <w:sz w:val="24"/>
        </w:rPr>
      </w:pPr>
      <w:r>
        <w:rPr>
          <w:kern w:val="0"/>
          <w:sz w:val="24"/>
        </w:rPr>
        <w:t>为加强廉政建设，防止发生谋取不正当利益的违法违纪行为，保护国家、集体和当事人的合法权益，根据国家法律法规和廉洁自律有关规定，特订立本廉政承诺书。</w:t>
      </w:r>
    </w:p>
    <w:p w14:paraId="227FA5B6">
      <w:pPr>
        <w:autoSpaceDE w:val="0"/>
        <w:autoSpaceDN w:val="0"/>
        <w:spacing w:line="460" w:lineRule="exact"/>
        <w:ind w:firstLine="482" w:firstLineChars="200"/>
        <w:rPr>
          <w:kern w:val="0"/>
          <w:sz w:val="24"/>
        </w:rPr>
      </w:pPr>
      <w:r>
        <w:rPr>
          <w:b/>
          <w:bCs/>
          <w:kern w:val="0"/>
          <w:sz w:val="24"/>
        </w:rPr>
        <w:t>一、双方的责任</w:t>
      </w:r>
    </w:p>
    <w:p w14:paraId="16050CB0">
      <w:pPr>
        <w:spacing w:line="460" w:lineRule="exact"/>
        <w:ind w:firstLine="480" w:firstLineChars="200"/>
        <w:rPr>
          <w:kern w:val="0"/>
          <w:sz w:val="24"/>
        </w:rPr>
      </w:pPr>
      <w:r>
        <w:rPr>
          <w:kern w:val="0"/>
          <w:sz w:val="24"/>
        </w:rPr>
        <w:t>1.严格遵守党和国家法律法规的有关规定和廉政建设的各项要求。</w:t>
      </w:r>
    </w:p>
    <w:p w14:paraId="5AC4800C">
      <w:pPr>
        <w:spacing w:line="460" w:lineRule="exact"/>
        <w:ind w:firstLine="480" w:firstLineChars="200"/>
        <w:rPr>
          <w:kern w:val="0"/>
          <w:sz w:val="24"/>
        </w:rPr>
      </w:pPr>
      <w:r>
        <w:rPr>
          <w:kern w:val="0"/>
          <w:sz w:val="24"/>
        </w:rPr>
        <w:t>2.严格履行合同约定，自觉按合同办事。</w:t>
      </w:r>
    </w:p>
    <w:p w14:paraId="3F712A78">
      <w:pPr>
        <w:autoSpaceDE w:val="0"/>
        <w:autoSpaceDN w:val="0"/>
        <w:spacing w:line="460" w:lineRule="exact"/>
        <w:ind w:firstLine="480" w:firstLineChars="200"/>
        <w:rPr>
          <w:kern w:val="0"/>
          <w:sz w:val="24"/>
        </w:rPr>
      </w:pPr>
      <w:r>
        <w:rPr>
          <w:kern w:val="0"/>
          <w:sz w:val="24"/>
        </w:rPr>
        <w:t>3.坚持公开、公平、公正、诚信、透明的原则（除法律法规另有规定者外），不得为获取不正当的利益损害国家、集体和对方利益，不得违反行业规定、规范和相关法律法规。</w:t>
      </w:r>
    </w:p>
    <w:p w14:paraId="73771CD3">
      <w:pPr>
        <w:autoSpaceDE w:val="0"/>
        <w:autoSpaceDN w:val="0"/>
        <w:spacing w:line="460" w:lineRule="exact"/>
        <w:ind w:firstLine="480" w:firstLineChars="200"/>
        <w:rPr>
          <w:kern w:val="0"/>
          <w:sz w:val="24"/>
        </w:rPr>
      </w:pPr>
      <w:r>
        <w:rPr>
          <w:kern w:val="0"/>
          <w:sz w:val="24"/>
        </w:rPr>
        <w:t>4.发现对方在业务活动中有违规、违纪、违法行为的，应及时提醒对方，情节严重的，应向其上级主管部门或纪检监察、司法等有关机关举报。</w:t>
      </w:r>
    </w:p>
    <w:p w14:paraId="3B99C5AF">
      <w:pPr>
        <w:autoSpaceDE w:val="0"/>
        <w:autoSpaceDN w:val="0"/>
        <w:spacing w:line="460" w:lineRule="exact"/>
        <w:ind w:firstLine="482" w:firstLineChars="200"/>
        <w:rPr>
          <w:b/>
          <w:bCs/>
          <w:kern w:val="0"/>
          <w:sz w:val="24"/>
        </w:rPr>
      </w:pPr>
      <w:r>
        <w:rPr>
          <w:b/>
          <w:bCs/>
          <w:kern w:val="0"/>
          <w:sz w:val="24"/>
        </w:rPr>
        <w:t>二、甲方责任</w:t>
      </w:r>
    </w:p>
    <w:p w14:paraId="1541AE4F">
      <w:pPr>
        <w:autoSpaceDE w:val="0"/>
        <w:autoSpaceDN w:val="0"/>
        <w:spacing w:line="460" w:lineRule="exact"/>
        <w:ind w:firstLine="480" w:firstLineChars="200"/>
        <w:rPr>
          <w:kern w:val="0"/>
          <w:sz w:val="24"/>
        </w:rPr>
      </w:pPr>
      <w:r>
        <w:rPr>
          <w:kern w:val="0"/>
          <w:sz w:val="24"/>
        </w:rPr>
        <w:t>甲方的领导和具体工作人员，在事前、事中、事后应遵守以下规定：</w:t>
      </w:r>
    </w:p>
    <w:p w14:paraId="13C8B71D">
      <w:pPr>
        <w:autoSpaceDE w:val="0"/>
        <w:autoSpaceDN w:val="0"/>
        <w:spacing w:line="460" w:lineRule="exact"/>
        <w:ind w:firstLine="480" w:firstLineChars="200"/>
        <w:rPr>
          <w:kern w:val="0"/>
          <w:sz w:val="24"/>
        </w:rPr>
      </w:pPr>
      <w:r>
        <w:rPr>
          <w:kern w:val="0"/>
          <w:sz w:val="24"/>
        </w:rPr>
        <w:t>1.不得向乙方和相关单位索要或接受回扣、礼金、有价证券、贵重物品和好处费、感谢费等。</w:t>
      </w:r>
    </w:p>
    <w:p w14:paraId="16257FAC">
      <w:pPr>
        <w:autoSpaceDE w:val="0"/>
        <w:autoSpaceDN w:val="0"/>
        <w:spacing w:line="460" w:lineRule="exact"/>
        <w:ind w:firstLine="480" w:firstLineChars="200"/>
        <w:rPr>
          <w:kern w:val="0"/>
          <w:sz w:val="24"/>
        </w:rPr>
      </w:pPr>
      <w:r>
        <w:rPr>
          <w:kern w:val="0"/>
          <w:sz w:val="24"/>
        </w:rPr>
        <w:t>2.不得在乙方和相关单位报销任何应由甲方或个人支付的费用。</w:t>
      </w:r>
    </w:p>
    <w:p w14:paraId="379F9C70">
      <w:pPr>
        <w:autoSpaceDE w:val="0"/>
        <w:autoSpaceDN w:val="0"/>
        <w:spacing w:line="460" w:lineRule="exact"/>
        <w:ind w:firstLine="480" w:firstLineChars="200"/>
        <w:rPr>
          <w:kern w:val="0"/>
          <w:sz w:val="24"/>
        </w:rPr>
      </w:pPr>
      <w:r>
        <w:rPr>
          <w:kern w:val="0"/>
          <w:sz w:val="24"/>
        </w:rPr>
        <w:t>3</w:t>
      </w:r>
      <w:r>
        <w:rPr>
          <w:rFonts w:hint="eastAsia"/>
          <w:kern w:val="0"/>
          <w:sz w:val="24"/>
        </w:rPr>
        <w:t>.</w:t>
      </w:r>
      <w:r>
        <w:rPr>
          <w:kern w:val="0"/>
          <w:sz w:val="24"/>
        </w:rPr>
        <w:t>不得要求、暗示或接受乙方和相关单位为个人装修住房、婚丧嫁娶、配偶子女的工作安排以及出国（境）、旅游等提供方便。</w:t>
      </w:r>
    </w:p>
    <w:p w14:paraId="01413BF3">
      <w:pPr>
        <w:autoSpaceDE w:val="0"/>
        <w:autoSpaceDN w:val="0"/>
        <w:spacing w:line="460" w:lineRule="exact"/>
        <w:ind w:firstLine="480" w:firstLineChars="200"/>
        <w:rPr>
          <w:kern w:val="0"/>
          <w:sz w:val="24"/>
        </w:rPr>
      </w:pPr>
      <w:r>
        <w:rPr>
          <w:kern w:val="0"/>
          <w:sz w:val="24"/>
        </w:rPr>
        <w:t>4.不得以任何理由参加乙方、相关单位或个人组织提供有可能影响公正执行公务的宴请、健身、娱乐等活动。</w:t>
      </w:r>
    </w:p>
    <w:p w14:paraId="3EA582CA">
      <w:pPr>
        <w:autoSpaceDE w:val="0"/>
        <w:autoSpaceDN w:val="0"/>
        <w:spacing w:line="460" w:lineRule="exact"/>
        <w:ind w:firstLine="480" w:firstLineChars="200"/>
        <w:rPr>
          <w:kern w:val="0"/>
          <w:sz w:val="24"/>
        </w:rPr>
      </w:pPr>
      <w:r>
        <w:rPr>
          <w:kern w:val="0"/>
          <w:sz w:val="24"/>
        </w:rPr>
        <w:t>5.不得向乙方和相关单位介绍或为配偶、子女、亲属参与同甲方合同有关的业务活动；不得以任何理由要求乙方和相关单位使用某种产品、材料和设备。</w:t>
      </w:r>
    </w:p>
    <w:p w14:paraId="6E974AFC">
      <w:pPr>
        <w:autoSpaceDE w:val="0"/>
        <w:autoSpaceDN w:val="0"/>
        <w:spacing w:line="460" w:lineRule="exact"/>
        <w:ind w:firstLine="482" w:firstLineChars="200"/>
        <w:rPr>
          <w:kern w:val="0"/>
          <w:sz w:val="24"/>
        </w:rPr>
      </w:pPr>
      <w:r>
        <w:rPr>
          <w:b/>
          <w:bCs/>
          <w:kern w:val="0"/>
          <w:sz w:val="24"/>
        </w:rPr>
        <w:t>三、乙方责任</w:t>
      </w:r>
    </w:p>
    <w:p w14:paraId="3D24956A">
      <w:pPr>
        <w:autoSpaceDE w:val="0"/>
        <w:autoSpaceDN w:val="0"/>
        <w:spacing w:line="460" w:lineRule="exact"/>
        <w:ind w:firstLine="480" w:firstLineChars="200"/>
        <w:rPr>
          <w:kern w:val="0"/>
          <w:sz w:val="24"/>
        </w:rPr>
      </w:pPr>
      <w:r>
        <w:rPr>
          <w:kern w:val="0"/>
          <w:sz w:val="24"/>
        </w:rPr>
        <w:t>应与甲方保持正常的业务交往，按照有关法律法规和程序开展业务工作，严格执行行业规定、规范和相关法律法规，并遵守以下规定：</w:t>
      </w:r>
    </w:p>
    <w:p w14:paraId="3F84E4B1">
      <w:pPr>
        <w:autoSpaceDE w:val="0"/>
        <w:autoSpaceDN w:val="0"/>
        <w:spacing w:line="460" w:lineRule="exact"/>
        <w:ind w:firstLine="480" w:firstLineChars="200"/>
        <w:rPr>
          <w:kern w:val="0"/>
          <w:sz w:val="24"/>
        </w:rPr>
      </w:pPr>
      <w:r>
        <w:rPr>
          <w:kern w:val="0"/>
          <w:sz w:val="24"/>
        </w:rPr>
        <w:t>1.不得以任何理由向甲方及其工作人员索要、接受或赠送礼金、有价证券、贵重物品及回扣、好处费、感谢费等。</w:t>
      </w:r>
    </w:p>
    <w:p w14:paraId="68462454">
      <w:pPr>
        <w:autoSpaceDE w:val="0"/>
        <w:autoSpaceDN w:val="0"/>
        <w:spacing w:line="460" w:lineRule="exact"/>
        <w:ind w:firstLine="480" w:firstLineChars="200"/>
        <w:rPr>
          <w:kern w:val="0"/>
          <w:sz w:val="24"/>
        </w:rPr>
      </w:pPr>
      <w:r>
        <w:rPr>
          <w:kern w:val="0"/>
          <w:sz w:val="24"/>
        </w:rPr>
        <w:t>2.不得以任何理由为甲方和相关单位报销应由对方或个人支付的费用。</w:t>
      </w:r>
    </w:p>
    <w:p w14:paraId="65EC9609">
      <w:pPr>
        <w:autoSpaceDE w:val="0"/>
        <w:autoSpaceDN w:val="0"/>
        <w:spacing w:line="460" w:lineRule="exact"/>
        <w:ind w:firstLine="480" w:firstLineChars="200"/>
        <w:rPr>
          <w:kern w:val="0"/>
          <w:sz w:val="24"/>
        </w:rPr>
      </w:pPr>
      <w:r>
        <w:rPr>
          <w:kern w:val="0"/>
          <w:sz w:val="24"/>
        </w:rPr>
        <w:t>3.不得接受或暗示为甲方、相关单位或个人装修住房、婚丧嫁娶、配偶子女的工作安排以及出国（境）、旅游等提供方便。</w:t>
      </w:r>
    </w:p>
    <w:p w14:paraId="4044CA36">
      <w:pPr>
        <w:autoSpaceDE w:val="0"/>
        <w:autoSpaceDN w:val="0"/>
        <w:spacing w:line="460" w:lineRule="exact"/>
        <w:ind w:firstLine="480" w:firstLineChars="200"/>
        <w:rPr>
          <w:kern w:val="0"/>
          <w:sz w:val="24"/>
        </w:rPr>
      </w:pPr>
      <w:r>
        <w:rPr>
          <w:kern w:val="0"/>
          <w:sz w:val="24"/>
        </w:rPr>
        <w:t>4.不得以任何理由为甲方、相关单位或个人组织提供有可能影响公正执行公务的宴请、健身、娱乐等活动。</w:t>
      </w:r>
    </w:p>
    <w:p w14:paraId="2A0E4585">
      <w:pPr>
        <w:autoSpaceDE w:val="0"/>
        <w:autoSpaceDN w:val="0"/>
        <w:spacing w:line="460" w:lineRule="exact"/>
        <w:ind w:firstLine="482" w:firstLineChars="200"/>
        <w:rPr>
          <w:b/>
          <w:bCs/>
          <w:kern w:val="0"/>
          <w:sz w:val="24"/>
        </w:rPr>
      </w:pPr>
      <w:r>
        <w:rPr>
          <w:b/>
          <w:bCs/>
          <w:kern w:val="0"/>
          <w:sz w:val="24"/>
        </w:rPr>
        <w:t>四、违约责任</w:t>
      </w:r>
    </w:p>
    <w:p w14:paraId="008DD93C">
      <w:pPr>
        <w:autoSpaceDE w:val="0"/>
        <w:autoSpaceDN w:val="0"/>
        <w:spacing w:line="460" w:lineRule="exact"/>
        <w:ind w:firstLine="480" w:firstLineChars="200"/>
        <w:rPr>
          <w:kern w:val="0"/>
          <w:sz w:val="24"/>
        </w:rPr>
      </w:pPr>
      <w:r>
        <w:rPr>
          <w:kern w:val="0"/>
          <w:sz w:val="24"/>
        </w:rPr>
        <w:t>甲、乙双方相关人员要严格履行本廉政承诺书相关规定。如有违反依据有关法律、法规处理；涉嫌犯罪的，移交司法机关追究刑事责任；造成经济损失的，应予以赔偿。</w:t>
      </w:r>
    </w:p>
    <w:p w14:paraId="5CD38513">
      <w:pPr>
        <w:autoSpaceDE w:val="0"/>
        <w:autoSpaceDN w:val="0"/>
        <w:spacing w:line="460" w:lineRule="exact"/>
        <w:ind w:firstLine="482" w:firstLineChars="200"/>
        <w:rPr>
          <w:kern w:val="0"/>
          <w:sz w:val="24"/>
        </w:rPr>
      </w:pPr>
      <w:r>
        <w:rPr>
          <w:b/>
          <w:bCs/>
          <w:kern w:val="0"/>
          <w:sz w:val="24"/>
        </w:rPr>
        <w:t>五、其他约定</w:t>
      </w:r>
    </w:p>
    <w:p w14:paraId="39A4FF2C">
      <w:pPr>
        <w:autoSpaceDE w:val="0"/>
        <w:autoSpaceDN w:val="0"/>
        <w:spacing w:line="460" w:lineRule="exact"/>
        <w:ind w:firstLine="480" w:firstLineChars="200"/>
        <w:rPr>
          <w:kern w:val="0"/>
          <w:sz w:val="24"/>
        </w:rPr>
      </w:pPr>
      <w:r>
        <w:rPr>
          <w:kern w:val="0"/>
          <w:sz w:val="24"/>
        </w:rPr>
        <w:t>1.本承诺书由甲乙双方法定代表人或授权的委托代理人签字，并加盖双方公章或合同专用章后生效。</w:t>
      </w:r>
    </w:p>
    <w:p w14:paraId="09DE150D">
      <w:pPr>
        <w:autoSpaceDE w:val="0"/>
        <w:autoSpaceDN w:val="0"/>
        <w:spacing w:line="460" w:lineRule="exact"/>
        <w:ind w:firstLine="480" w:firstLineChars="200"/>
        <w:rPr>
          <w:kern w:val="0"/>
          <w:sz w:val="24"/>
        </w:rPr>
      </w:pPr>
      <w:r>
        <w:rPr>
          <w:kern w:val="0"/>
          <w:sz w:val="24"/>
        </w:rPr>
        <w:t>2.本承诺书总份数及甲乙双方执合同份数与主合同要求一致。</w:t>
      </w:r>
    </w:p>
    <w:p w14:paraId="27DA53F0">
      <w:pPr>
        <w:autoSpaceDE w:val="0"/>
        <w:autoSpaceDN w:val="0"/>
        <w:spacing w:line="460" w:lineRule="exact"/>
        <w:ind w:firstLine="480" w:firstLineChars="200"/>
        <w:rPr>
          <w:kern w:val="0"/>
          <w:sz w:val="24"/>
        </w:rPr>
      </w:pPr>
      <w:r>
        <w:rPr>
          <w:kern w:val="0"/>
          <w:sz w:val="24"/>
        </w:rPr>
        <w:t>3.本承诺书作为本合同的组成部分，与本合同具有同等法律效力。</w:t>
      </w:r>
    </w:p>
    <w:tbl>
      <w:tblPr>
        <w:tblStyle w:val="42"/>
        <w:tblW w:w="9147" w:type="dxa"/>
        <w:jc w:val="center"/>
        <w:tblLayout w:type="fixed"/>
        <w:tblCellMar>
          <w:top w:w="0" w:type="dxa"/>
          <w:left w:w="108" w:type="dxa"/>
          <w:bottom w:w="0" w:type="dxa"/>
          <w:right w:w="108" w:type="dxa"/>
        </w:tblCellMar>
      </w:tblPr>
      <w:tblGrid>
        <w:gridCol w:w="1600"/>
        <w:gridCol w:w="2975"/>
        <w:gridCol w:w="1630"/>
        <w:gridCol w:w="2942"/>
      </w:tblGrid>
      <w:tr w14:paraId="1F966C55">
        <w:tblPrEx>
          <w:tblCellMar>
            <w:top w:w="0" w:type="dxa"/>
            <w:left w:w="108" w:type="dxa"/>
            <w:bottom w:w="0" w:type="dxa"/>
            <w:right w:w="108" w:type="dxa"/>
          </w:tblCellMar>
        </w:tblPrEx>
        <w:trPr>
          <w:trHeight w:val="803" w:hRule="atLeast"/>
          <w:jc w:val="center"/>
        </w:trPr>
        <w:tc>
          <w:tcPr>
            <w:tcW w:w="9147" w:type="dxa"/>
            <w:gridSpan w:val="4"/>
            <w:vAlign w:val="center"/>
          </w:tcPr>
          <w:p w14:paraId="7DD2EB36">
            <w:pPr>
              <w:spacing w:line="320" w:lineRule="exact"/>
              <w:jc w:val="center"/>
              <w:rPr>
                <w:rFonts w:eastAsia="华文宋体"/>
                <w:b/>
                <w:szCs w:val="21"/>
              </w:rPr>
            </w:pPr>
            <w:r>
              <w:rPr>
                <w:rFonts w:eastAsia="华文宋体"/>
                <w:b/>
                <w:sz w:val="28"/>
                <w:szCs w:val="28"/>
              </w:rPr>
              <w:t>承诺书签订双方</w:t>
            </w:r>
          </w:p>
        </w:tc>
      </w:tr>
      <w:tr w14:paraId="1E5A6DE3">
        <w:tblPrEx>
          <w:tblCellMar>
            <w:top w:w="0" w:type="dxa"/>
            <w:left w:w="108" w:type="dxa"/>
            <w:bottom w:w="0" w:type="dxa"/>
            <w:right w:w="108" w:type="dxa"/>
          </w:tblCellMar>
        </w:tblPrEx>
        <w:trPr>
          <w:trHeight w:val="997" w:hRule="atLeast"/>
          <w:jc w:val="center"/>
        </w:trPr>
        <w:tc>
          <w:tcPr>
            <w:tcW w:w="1600" w:type="dxa"/>
            <w:vAlign w:val="center"/>
          </w:tcPr>
          <w:p w14:paraId="68C6BA24">
            <w:pPr>
              <w:spacing w:line="320" w:lineRule="exact"/>
              <w:jc w:val="center"/>
              <w:rPr>
                <w:rFonts w:eastAsia="华文宋体"/>
                <w:szCs w:val="21"/>
              </w:rPr>
            </w:pPr>
            <w:r>
              <w:rPr>
                <w:rFonts w:eastAsia="华文宋体"/>
                <w:szCs w:val="21"/>
              </w:rPr>
              <w:t>甲方（盖章）：</w:t>
            </w:r>
          </w:p>
        </w:tc>
        <w:tc>
          <w:tcPr>
            <w:tcW w:w="2975" w:type="dxa"/>
            <w:vAlign w:val="center"/>
          </w:tcPr>
          <w:p w14:paraId="2ADFD8F0">
            <w:pPr>
              <w:spacing w:line="320" w:lineRule="exact"/>
              <w:jc w:val="center"/>
              <w:rPr>
                <w:rFonts w:eastAsia="华文宋体"/>
                <w:szCs w:val="21"/>
              </w:rPr>
            </w:pPr>
            <w:r>
              <w:rPr>
                <w:rFonts w:eastAsia="华文宋体"/>
                <w:szCs w:val="21"/>
              </w:rPr>
              <w:t>北京市地质灾害防治研究所</w:t>
            </w:r>
          </w:p>
        </w:tc>
        <w:tc>
          <w:tcPr>
            <w:tcW w:w="1630" w:type="dxa"/>
            <w:vAlign w:val="center"/>
          </w:tcPr>
          <w:p w14:paraId="68922B34">
            <w:pPr>
              <w:spacing w:line="320" w:lineRule="exact"/>
              <w:jc w:val="center"/>
              <w:rPr>
                <w:rFonts w:eastAsia="华文宋体"/>
                <w:szCs w:val="21"/>
              </w:rPr>
            </w:pPr>
            <w:r>
              <w:rPr>
                <w:rFonts w:eastAsia="华文宋体"/>
                <w:szCs w:val="21"/>
              </w:rPr>
              <w:t>乙方（盖章）：</w:t>
            </w:r>
          </w:p>
        </w:tc>
        <w:tc>
          <w:tcPr>
            <w:tcW w:w="2942" w:type="dxa"/>
            <w:vAlign w:val="center"/>
          </w:tcPr>
          <w:p w14:paraId="4A9056B0">
            <w:pPr>
              <w:spacing w:line="320" w:lineRule="exact"/>
              <w:ind w:leftChars="-2" w:hanging="4" w:hangingChars="2"/>
              <w:jc w:val="center"/>
              <w:rPr>
                <w:rFonts w:eastAsia="华文宋体"/>
                <w:szCs w:val="21"/>
              </w:rPr>
            </w:pPr>
          </w:p>
        </w:tc>
      </w:tr>
      <w:tr w14:paraId="3F03A9C6">
        <w:tblPrEx>
          <w:tblCellMar>
            <w:top w:w="0" w:type="dxa"/>
            <w:left w:w="108" w:type="dxa"/>
            <w:bottom w:w="0" w:type="dxa"/>
            <w:right w:w="108" w:type="dxa"/>
          </w:tblCellMar>
        </w:tblPrEx>
        <w:trPr>
          <w:trHeight w:val="1087" w:hRule="atLeast"/>
          <w:jc w:val="center"/>
        </w:trPr>
        <w:tc>
          <w:tcPr>
            <w:tcW w:w="1600" w:type="dxa"/>
            <w:vAlign w:val="center"/>
          </w:tcPr>
          <w:p w14:paraId="0E36700A">
            <w:pPr>
              <w:spacing w:line="320" w:lineRule="exact"/>
              <w:jc w:val="center"/>
              <w:rPr>
                <w:rFonts w:eastAsia="华文宋体"/>
                <w:szCs w:val="21"/>
              </w:rPr>
            </w:pPr>
            <w:r>
              <w:rPr>
                <w:rFonts w:eastAsia="华文宋体"/>
                <w:szCs w:val="21"/>
              </w:rPr>
              <w:t>法定代表人</w:t>
            </w:r>
          </w:p>
          <w:p w14:paraId="5974E98D">
            <w:pPr>
              <w:spacing w:line="320" w:lineRule="exact"/>
              <w:jc w:val="center"/>
              <w:rPr>
                <w:rFonts w:eastAsia="华文宋体"/>
                <w:szCs w:val="21"/>
              </w:rPr>
            </w:pPr>
            <w:r>
              <w:rPr>
                <w:rFonts w:eastAsia="华文宋体"/>
                <w:szCs w:val="21"/>
              </w:rPr>
              <w:t>（签字）：</w:t>
            </w:r>
          </w:p>
        </w:tc>
        <w:tc>
          <w:tcPr>
            <w:tcW w:w="2975" w:type="dxa"/>
            <w:vAlign w:val="center"/>
          </w:tcPr>
          <w:p w14:paraId="7530AFB8">
            <w:pPr>
              <w:spacing w:line="320" w:lineRule="exact"/>
              <w:rPr>
                <w:rFonts w:eastAsia="华文宋体"/>
                <w:szCs w:val="21"/>
              </w:rPr>
            </w:pPr>
          </w:p>
        </w:tc>
        <w:tc>
          <w:tcPr>
            <w:tcW w:w="1630" w:type="dxa"/>
            <w:vAlign w:val="center"/>
          </w:tcPr>
          <w:p w14:paraId="67D21C74">
            <w:pPr>
              <w:spacing w:line="320" w:lineRule="exact"/>
              <w:jc w:val="center"/>
              <w:rPr>
                <w:rFonts w:eastAsia="华文宋体"/>
                <w:szCs w:val="21"/>
              </w:rPr>
            </w:pPr>
            <w:r>
              <w:rPr>
                <w:rFonts w:eastAsia="华文宋体"/>
                <w:szCs w:val="21"/>
              </w:rPr>
              <w:t>法定代表人</w:t>
            </w:r>
          </w:p>
          <w:p w14:paraId="029A7CAA">
            <w:pPr>
              <w:spacing w:line="320" w:lineRule="exact"/>
              <w:jc w:val="center"/>
              <w:rPr>
                <w:rFonts w:eastAsia="华文宋体"/>
                <w:szCs w:val="21"/>
              </w:rPr>
            </w:pPr>
            <w:r>
              <w:rPr>
                <w:rFonts w:eastAsia="华文宋体"/>
                <w:szCs w:val="21"/>
              </w:rPr>
              <w:t>（签字）：</w:t>
            </w:r>
          </w:p>
        </w:tc>
        <w:tc>
          <w:tcPr>
            <w:tcW w:w="2942" w:type="dxa"/>
            <w:vAlign w:val="center"/>
          </w:tcPr>
          <w:p w14:paraId="7BAD3628">
            <w:pPr>
              <w:spacing w:line="320" w:lineRule="exact"/>
              <w:rPr>
                <w:rFonts w:eastAsia="华文宋体"/>
                <w:szCs w:val="21"/>
              </w:rPr>
            </w:pPr>
          </w:p>
        </w:tc>
      </w:tr>
      <w:tr w14:paraId="3B2404DE">
        <w:tblPrEx>
          <w:tblCellMar>
            <w:top w:w="0" w:type="dxa"/>
            <w:left w:w="108" w:type="dxa"/>
            <w:bottom w:w="0" w:type="dxa"/>
            <w:right w:w="108" w:type="dxa"/>
          </w:tblCellMar>
        </w:tblPrEx>
        <w:trPr>
          <w:trHeight w:val="1087" w:hRule="atLeast"/>
          <w:jc w:val="center"/>
        </w:trPr>
        <w:tc>
          <w:tcPr>
            <w:tcW w:w="1600" w:type="dxa"/>
            <w:vAlign w:val="center"/>
          </w:tcPr>
          <w:p w14:paraId="0A94EA79">
            <w:pPr>
              <w:spacing w:line="320" w:lineRule="exact"/>
              <w:jc w:val="center"/>
              <w:rPr>
                <w:rFonts w:eastAsia="华文宋体"/>
                <w:szCs w:val="21"/>
              </w:rPr>
            </w:pPr>
            <w:r>
              <w:rPr>
                <w:rFonts w:eastAsia="华文宋体"/>
                <w:szCs w:val="21"/>
              </w:rPr>
              <w:t>委托代理人</w:t>
            </w:r>
          </w:p>
          <w:p w14:paraId="0DF3D9C2">
            <w:pPr>
              <w:spacing w:line="320" w:lineRule="exact"/>
              <w:jc w:val="center"/>
              <w:rPr>
                <w:rFonts w:eastAsia="华文宋体"/>
                <w:szCs w:val="21"/>
              </w:rPr>
            </w:pPr>
            <w:r>
              <w:rPr>
                <w:rFonts w:eastAsia="华文宋体"/>
                <w:szCs w:val="21"/>
              </w:rPr>
              <w:t>（签字）：</w:t>
            </w:r>
          </w:p>
        </w:tc>
        <w:tc>
          <w:tcPr>
            <w:tcW w:w="2975" w:type="dxa"/>
            <w:vAlign w:val="center"/>
          </w:tcPr>
          <w:p w14:paraId="5EF5AAFC">
            <w:pPr>
              <w:spacing w:line="320" w:lineRule="exact"/>
              <w:rPr>
                <w:rFonts w:eastAsia="华文宋体"/>
                <w:szCs w:val="21"/>
              </w:rPr>
            </w:pPr>
          </w:p>
        </w:tc>
        <w:tc>
          <w:tcPr>
            <w:tcW w:w="1630" w:type="dxa"/>
            <w:vAlign w:val="center"/>
          </w:tcPr>
          <w:p w14:paraId="11AD78A4">
            <w:pPr>
              <w:spacing w:line="320" w:lineRule="exact"/>
              <w:jc w:val="center"/>
              <w:rPr>
                <w:rFonts w:eastAsia="华文宋体"/>
                <w:szCs w:val="21"/>
              </w:rPr>
            </w:pPr>
            <w:r>
              <w:rPr>
                <w:rFonts w:eastAsia="华文宋体"/>
                <w:szCs w:val="21"/>
              </w:rPr>
              <w:t>委托代理人</w:t>
            </w:r>
          </w:p>
          <w:p w14:paraId="46F9DF0E">
            <w:pPr>
              <w:spacing w:line="320" w:lineRule="exact"/>
              <w:jc w:val="center"/>
              <w:rPr>
                <w:rFonts w:eastAsia="华文宋体"/>
                <w:szCs w:val="21"/>
              </w:rPr>
            </w:pPr>
            <w:r>
              <w:rPr>
                <w:rFonts w:eastAsia="华文宋体"/>
                <w:szCs w:val="21"/>
              </w:rPr>
              <w:t>（签字）：</w:t>
            </w:r>
          </w:p>
        </w:tc>
        <w:tc>
          <w:tcPr>
            <w:tcW w:w="2942" w:type="dxa"/>
            <w:vAlign w:val="center"/>
          </w:tcPr>
          <w:p w14:paraId="7AEEEDC1">
            <w:pPr>
              <w:spacing w:line="320" w:lineRule="exact"/>
              <w:rPr>
                <w:rFonts w:eastAsia="华文宋体"/>
                <w:szCs w:val="21"/>
              </w:rPr>
            </w:pPr>
          </w:p>
        </w:tc>
      </w:tr>
      <w:tr w14:paraId="13E5A2ED">
        <w:tblPrEx>
          <w:tblCellMar>
            <w:top w:w="0" w:type="dxa"/>
            <w:left w:w="108" w:type="dxa"/>
            <w:bottom w:w="0" w:type="dxa"/>
            <w:right w:w="108" w:type="dxa"/>
          </w:tblCellMar>
        </w:tblPrEx>
        <w:trPr>
          <w:trHeight w:val="1087" w:hRule="atLeast"/>
          <w:jc w:val="center"/>
        </w:trPr>
        <w:tc>
          <w:tcPr>
            <w:tcW w:w="1600" w:type="dxa"/>
            <w:vAlign w:val="center"/>
          </w:tcPr>
          <w:p w14:paraId="6FDB86F2">
            <w:pPr>
              <w:spacing w:line="320" w:lineRule="exact"/>
              <w:jc w:val="center"/>
              <w:rPr>
                <w:rFonts w:eastAsia="华文宋体"/>
                <w:szCs w:val="21"/>
              </w:rPr>
            </w:pPr>
            <w:r>
              <w:rPr>
                <w:rFonts w:eastAsia="华文宋体"/>
                <w:szCs w:val="21"/>
              </w:rPr>
              <w:t>签订日期：</w:t>
            </w:r>
          </w:p>
        </w:tc>
        <w:tc>
          <w:tcPr>
            <w:tcW w:w="2975" w:type="dxa"/>
            <w:vAlign w:val="center"/>
          </w:tcPr>
          <w:p w14:paraId="53D4EAFF">
            <w:pPr>
              <w:spacing w:line="320" w:lineRule="exact"/>
              <w:jc w:val="right"/>
              <w:rPr>
                <w:rFonts w:eastAsia="华文宋体"/>
                <w:szCs w:val="21"/>
              </w:rPr>
            </w:pPr>
            <w:r>
              <w:rPr>
                <w:rFonts w:eastAsia="华文宋体"/>
                <w:szCs w:val="21"/>
              </w:rPr>
              <w:t>________年____月____日</w:t>
            </w:r>
          </w:p>
        </w:tc>
        <w:tc>
          <w:tcPr>
            <w:tcW w:w="1630" w:type="dxa"/>
            <w:vAlign w:val="center"/>
          </w:tcPr>
          <w:p w14:paraId="2A4826DC">
            <w:pPr>
              <w:spacing w:line="320" w:lineRule="exact"/>
              <w:jc w:val="center"/>
              <w:rPr>
                <w:rFonts w:eastAsia="华文宋体"/>
                <w:szCs w:val="21"/>
              </w:rPr>
            </w:pPr>
            <w:r>
              <w:rPr>
                <w:rFonts w:eastAsia="华文宋体"/>
                <w:szCs w:val="21"/>
              </w:rPr>
              <w:t>签订日期：</w:t>
            </w:r>
          </w:p>
        </w:tc>
        <w:tc>
          <w:tcPr>
            <w:tcW w:w="2942" w:type="dxa"/>
            <w:vAlign w:val="center"/>
          </w:tcPr>
          <w:p w14:paraId="2D0780D1">
            <w:pPr>
              <w:spacing w:line="320" w:lineRule="exact"/>
              <w:jc w:val="right"/>
              <w:rPr>
                <w:rFonts w:eastAsia="华文宋体"/>
                <w:szCs w:val="21"/>
              </w:rPr>
            </w:pPr>
            <w:r>
              <w:rPr>
                <w:rFonts w:eastAsia="华文宋体"/>
                <w:szCs w:val="21"/>
              </w:rPr>
              <w:t>________年____月____日</w:t>
            </w:r>
          </w:p>
        </w:tc>
      </w:tr>
    </w:tbl>
    <w:p w14:paraId="6BA81F22"/>
    <w:p w14:paraId="2BBF4EAB"/>
    <w:p w14:paraId="6539BE93">
      <w:pPr>
        <w:spacing w:after="120" w:line="480" w:lineRule="exact"/>
        <w:ind w:left="420" w:leftChars="200" w:firstLine="480" w:firstLineChars="200"/>
        <w:rPr>
          <w:sz w:val="24"/>
          <w:szCs w:val="20"/>
        </w:rPr>
      </w:pPr>
    </w:p>
    <w:p w14:paraId="7351000A">
      <w:pPr>
        <w:rPr>
          <w:sz w:val="32"/>
          <w:szCs w:val="40"/>
        </w:rPr>
      </w:pPr>
      <w:r>
        <w:rPr>
          <w:rFonts w:hint="eastAsia"/>
          <w:sz w:val="32"/>
          <w:szCs w:val="40"/>
        </w:rPr>
        <w:br w:type="page"/>
      </w:r>
    </w:p>
    <w:p w14:paraId="057B7C64">
      <w:pPr>
        <w:rPr>
          <w:b/>
          <w:bCs/>
          <w:sz w:val="24"/>
        </w:rPr>
      </w:pPr>
      <w:r>
        <w:rPr>
          <w:rFonts w:hint="eastAsia"/>
          <w:b/>
          <w:bCs/>
          <w:sz w:val="24"/>
        </w:rPr>
        <w:t>附件2：</w:t>
      </w:r>
    </w:p>
    <w:p w14:paraId="6D5FCC6F">
      <w:pPr>
        <w:spacing w:line="500" w:lineRule="exact"/>
        <w:jc w:val="center"/>
        <w:rPr>
          <w:rFonts w:hint="eastAsia" w:ascii="宋体" w:hAnsi="宋体" w:cs="宋体"/>
          <w:b/>
          <w:bCs/>
          <w:sz w:val="32"/>
          <w:szCs w:val="21"/>
        </w:rPr>
      </w:pPr>
      <w:r>
        <w:rPr>
          <w:rFonts w:hint="eastAsia" w:ascii="宋体" w:hAnsi="宋体" w:cs="宋体"/>
          <w:b/>
          <w:bCs/>
          <w:sz w:val="32"/>
          <w:szCs w:val="21"/>
        </w:rPr>
        <w:t>施工安全协议书</w:t>
      </w:r>
    </w:p>
    <w:p w14:paraId="0F32C2CD">
      <w:pPr>
        <w:spacing w:line="500" w:lineRule="exact"/>
        <w:rPr>
          <w:rFonts w:eastAsia="仿宋"/>
          <w:sz w:val="28"/>
        </w:rPr>
      </w:pPr>
    </w:p>
    <w:p w14:paraId="2967EB58">
      <w:pPr>
        <w:spacing w:line="440" w:lineRule="exact"/>
        <w:rPr>
          <w:sz w:val="24"/>
          <w:u w:val="single"/>
        </w:rPr>
      </w:pPr>
      <w:r>
        <w:rPr>
          <w:sz w:val="24"/>
        </w:rPr>
        <w:t>甲方：</w:t>
      </w:r>
      <w:r>
        <w:rPr>
          <w:sz w:val="24"/>
          <w:u w:val="single"/>
        </w:rPr>
        <w:t xml:space="preserve">                                       </w:t>
      </w:r>
    </w:p>
    <w:p w14:paraId="12BC63A4">
      <w:pPr>
        <w:spacing w:line="440" w:lineRule="exact"/>
        <w:rPr>
          <w:sz w:val="24"/>
        </w:rPr>
      </w:pPr>
      <w:r>
        <w:rPr>
          <w:sz w:val="24"/>
        </w:rPr>
        <w:t>乙方：</w:t>
      </w:r>
      <w:r>
        <w:rPr>
          <w:sz w:val="24"/>
          <w:u w:val="single"/>
        </w:rPr>
        <w:t xml:space="preserve">                                       </w:t>
      </w:r>
    </w:p>
    <w:p w14:paraId="604747CB">
      <w:pPr>
        <w:spacing w:line="440" w:lineRule="exact"/>
        <w:rPr>
          <w:b/>
          <w:bCs/>
          <w:sz w:val="24"/>
        </w:rPr>
      </w:pPr>
      <w:r>
        <w:rPr>
          <w:b/>
          <w:bCs/>
          <w:sz w:val="24"/>
        </w:rPr>
        <w:t>一、目的</w:t>
      </w:r>
    </w:p>
    <w:p w14:paraId="299A1FF2">
      <w:pPr>
        <w:spacing w:line="440" w:lineRule="exact"/>
        <w:ind w:firstLine="480" w:firstLineChars="200"/>
        <w:rPr>
          <w:sz w:val="24"/>
        </w:rPr>
      </w:pPr>
      <w:r>
        <w:rPr>
          <w:sz w:val="24"/>
        </w:rPr>
        <w:t>为了维护甲乙双方的共同利益，保证施工安全，保持良好的工作秩序和施工场所的卫生环境，经甲乙双方平等协商，签订本安全协议。</w:t>
      </w:r>
    </w:p>
    <w:p w14:paraId="18C861A8">
      <w:pPr>
        <w:spacing w:line="440" w:lineRule="exact"/>
        <w:rPr>
          <w:b/>
          <w:bCs/>
          <w:sz w:val="24"/>
        </w:rPr>
      </w:pPr>
      <w:r>
        <w:rPr>
          <w:b/>
          <w:bCs/>
          <w:sz w:val="24"/>
        </w:rPr>
        <w:t>二、施工项目</w:t>
      </w:r>
    </w:p>
    <w:p w14:paraId="5A571C3B">
      <w:pPr>
        <w:spacing w:line="440" w:lineRule="exact"/>
        <w:ind w:firstLine="480" w:firstLineChars="200"/>
        <w:rPr>
          <w:sz w:val="24"/>
        </w:rPr>
      </w:pPr>
      <w:r>
        <w:rPr>
          <w:sz w:val="24"/>
        </w:rPr>
        <w:t xml:space="preserve"> </w:t>
      </w:r>
    </w:p>
    <w:p w14:paraId="5AE2F818">
      <w:pPr>
        <w:spacing w:line="440" w:lineRule="exact"/>
        <w:rPr>
          <w:b/>
          <w:bCs/>
          <w:sz w:val="24"/>
        </w:rPr>
      </w:pPr>
      <w:r>
        <w:rPr>
          <w:b/>
          <w:bCs/>
          <w:sz w:val="24"/>
        </w:rPr>
        <w:t>三、施工地点</w:t>
      </w:r>
    </w:p>
    <w:p w14:paraId="5054A9CD">
      <w:pPr>
        <w:spacing w:line="440" w:lineRule="exact"/>
        <w:ind w:firstLine="600" w:firstLineChars="250"/>
        <w:rPr>
          <w:sz w:val="24"/>
        </w:rPr>
      </w:pPr>
    </w:p>
    <w:p w14:paraId="5B030BB1">
      <w:pPr>
        <w:spacing w:line="440" w:lineRule="exact"/>
        <w:ind w:firstLine="602" w:firstLineChars="250"/>
        <w:rPr>
          <w:b/>
          <w:bCs/>
          <w:sz w:val="24"/>
        </w:rPr>
      </w:pPr>
      <w:r>
        <w:rPr>
          <w:b/>
          <w:bCs/>
          <w:sz w:val="24"/>
        </w:rPr>
        <w:t>四、施工时间</w:t>
      </w:r>
    </w:p>
    <w:p w14:paraId="1EE4668F">
      <w:pPr>
        <w:spacing w:line="440" w:lineRule="exact"/>
        <w:ind w:firstLine="480" w:firstLineChars="200"/>
        <w:rPr>
          <w:sz w:val="24"/>
        </w:rPr>
      </w:pPr>
      <w:r>
        <w:rPr>
          <w:sz w:val="24"/>
        </w:rPr>
        <w:t>以实际施工日期为准。</w:t>
      </w:r>
    </w:p>
    <w:p w14:paraId="3B3F4CF3">
      <w:pPr>
        <w:spacing w:line="440" w:lineRule="exact"/>
        <w:ind w:firstLine="482" w:firstLineChars="200"/>
        <w:rPr>
          <w:b/>
          <w:bCs/>
          <w:sz w:val="24"/>
        </w:rPr>
      </w:pPr>
      <w:r>
        <w:rPr>
          <w:b/>
          <w:bCs/>
          <w:sz w:val="24"/>
        </w:rPr>
        <w:t>五、施工方式</w:t>
      </w:r>
    </w:p>
    <w:p w14:paraId="0677C752">
      <w:pPr>
        <w:spacing w:line="440" w:lineRule="exact"/>
        <w:ind w:firstLine="480" w:firstLineChars="200"/>
        <w:rPr>
          <w:sz w:val="24"/>
        </w:rPr>
      </w:pPr>
      <w:r>
        <w:rPr>
          <w:sz w:val="24"/>
        </w:rPr>
        <w:t>按照双方签订同及技术要求施工（详见合同相关条款）。</w:t>
      </w:r>
    </w:p>
    <w:p w14:paraId="3C263B61">
      <w:pPr>
        <w:spacing w:line="440" w:lineRule="exact"/>
        <w:ind w:left="482" w:hanging="482" w:hangingChars="200"/>
        <w:rPr>
          <w:b/>
          <w:bCs/>
          <w:sz w:val="24"/>
        </w:rPr>
      </w:pPr>
      <w:r>
        <w:rPr>
          <w:b/>
          <w:bCs/>
          <w:sz w:val="24"/>
        </w:rPr>
        <w:t>六、协议内容</w:t>
      </w:r>
    </w:p>
    <w:p w14:paraId="21C0C09F">
      <w:pPr>
        <w:spacing w:line="440" w:lineRule="exact"/>
        <w:ind w:firstLine="480" w:firstLineChars="200"/>
        <w:rPr>
          <w:sz w:val="24"/>
        </w:rPr>
      </w:pPr>
      <w:r>
        <w:rPr>
          <w:sz w:val="24"/>
        </w:rPr>
        <w:t>1、乙方在甲方属地施工期间须指定现场施工负责人，施工现场还需设立安全监督员，便于施工过程中的协调、联系及安全监管工作。</w:t>
      </w:r>
    </w:p>
    <w:p w14:paraId="7AAA5911">
      <w:pPr>
        <w:spacing w:line="440" w:lineRule="exact"/>
        <w:ind w:firstLine="480" w:firstLineChars="200"/>
        <w:rPr>
          <w:sz w:val="24"/>
        </w:rPr>
      </w:pPr>
      <w:r>
        <w:rPr>
          <w:sz w:val="24"/>
        </w:rPr>
        <w:t>2、乙方施工人员进入施工现场必需佩戴施安全帽，穿戴完整的个人防护用品，携带完好的高空安全带，服从甲方安全管理人员的管理，未经甲方同意，严禁进入甲方生产区域.</w:t>
      </w:r>
    </w:p>
    <w:p w14:paraId="7427E20D">
      <w:pPr>
        <w:spacing w:line="440" w:lineRule="exact"/>
        <w:ind w:firstLine="480" w:firstLineChars="200"/>
        <w:rPr>
          <w:sz w:val="24"/>
        </w:rPr>
      </w:pPr>
      <w:r>
        <w:rPr>
          <w:sz w:val="24"/>
        </w:rPr>
        <w:t>3</w:t>
      </w:r>
      <w:r>
        <w:rPr>
          <w:rFonts w:hint="eastAsia"/>
          <w:sz w:val="24"/>
        </w:rPr>
        <w:t>、</w:t>
      </w:r>
      <w:r>
        <w:rPr>
          <w:sz w:val="24"/>
        </w:rPr>
        <w:t>在没有可靠安全防护设施的高处（2米以上含2米）和陡坡施工时，必须系好合格的安全带，安全带要系挂牢固，高挂低用，同时高处作业不得穿硬底和带钉易滑的鞋，穿防滑胶鞋；高空作业时，不准往下或向上抛材料和工具等物件，应做好安全提示。</w:t>
      </w:r>
    </w:p>
    <w:p w14:paraId="3917F6BF">
      <w:pPr>
        <w:spacing w:line="440" w:lineRule="exact"/>
        <w:ind w:firstLine="480" w:firstLineChars="200"/>
        <w:rPr>
          <w:sz w:val="24"/>
        </w:rPr>
      </w:pPr>
      <w:r>
        <w:rPr>
          <w:sz w:val="24"/>
        </w:rPr>
        <w:t>4</w:t>
      </w:r>
      <w:r>
        <w:rPr>
          <w:rFonts w:hint="eastAsia"/>
          <w:sz w:val="24"/>
        </w:rPr>
        <w:t>、</w:t>
      </w:r>
      <w:r>
        <w:rPr>
          <w:sz w:val="24"/>
        </w:rPr>
        <w:t>高空作业所用材料要堆放平稳，工具应随手放入工具袋内，上下传递物体禁止抛掷。</w:t>
      </w:r>
    </w:p>
    <w:p w14:paraId="6761D81F">
      <w:pPr>
        <w:spacing w:line="440" w:lineRule="exact"/>
        <w:ind w:firstLine="480" w:firstLineChars="200"/>
        <w:rPr>
          <w:sz w:val="24"/>
        </w:rPr>
      </w:pPr>
      <w:r>
        <w:rPr>
          <w:sz w:val="24"/>
        </w:rPr>
        <w:t>5</w:t>
      </w:r>
      <w:r>
        <w:rPr>
          <w:rFonts w:hint="eastAsia"/>
          <w:sz w:val="24"/>
        </w:rPr>
        <w:t>、</w:t>
      </w:r>
      <w:r>
        <w:rPr>
          <w:sz w:val="24"/>
        </w:rPr>
        <w:t>悬空作业应有牢靠的立足处，并必须视具体情况，配置防护网、栏杆或其他安全设施。凡不符合作业的人员，一律禁止高处作业。并严禁酒后高处作业。</w:t>
      </w:r>
    </w:p>
    <w:p w14:paraId="2FAD1C31">
      <w:pPr>
        <w:spacing w:line="440" w:lineRule="exact"/>
        <w:ind w:firstLine="480" w:firstLineChars="200"/>
        <w:rPr>
          <w:sz w:val="24"/>
        </w:rPr>
      </w:pPr>
      <w:r>
        <w:rPr>
          <w:sz w:val="24"/>
        </w:rPr>
        <w:t>6</w:t>
      </w:r>
      <w:r>
        <w:rPr>
          <w:rFonts w:hint="eastAsia"/>
          <w:sz w:val="24"/>
        </w:rPr>
        <w:t>、</w:t>
      </w:r>
      <w:r>
        <w:rPr>
          <w:sz w:val="24"/>
        </w:rPr>
        <w:t>施工人员进行特种作业必须持有效证件（电气焊操作证、电工操作证、起重操作证等），并由甲方审核作业人员资质，审核通过后方可施工。同时，由乙方负责在施工前将相关证件复印件（加盖公司公章）交至甲方安全保卫科存档。</w:t>
      </w:r>
    </w:p>
    <w:p w14:paraId="1F1F521A">
      <w:pPr>
        <w:spacing w:line="440" w:lineRule="exact"/>
        <w:ind w:firstLine="480" w:firstLineChars="200"/>
        <w:rPr>
          <w:sz w:val="24"/>
        </w:rPr>
      </w:pPr>
      <w:r>
        <w:rPr>
          <w:sz w:val="24"/>
        </w:rPr>
        <w:t>7、乙方应在施工区域设置明显警示标志，对于时间较长的集中性施工项目必要时做到封闭处理。施工人员应在施工区域内活动，不得随意进入非施工区域，不得擅动与施工无关的设施及设备，施工中对施工区域内的甲方设备应采取保护措施，不得造成甲方设备损坏，因乙方施工原因引起乙方人员、施工设备事故的一切损失由乙方承担。</w:t>
      </w:r>
    </w:p>
    <w:p w14:paraId="0F9D822B">
      <w:pPr>
        <w:spacing w:line="440" w:lineRule="exact"/>
        <w:ind w:firstLine="480" w:firstLineChars="200"/>
        <w:rPr>
          <w:sz w:val="24"/>
        </w:rPr>
      </w:pPr>
      <w:r>
        <w:rPr>
          <w:sz w:val="24"/>
        </w:rPr>
        <w:t>8、对于由乙方原因造成甲方人员伤害，引起火灾、设备事故的，一切损失由乙方负责。</w:t>
      </w:r>
    </w:p>
    <w:p w14:paraId="2897737B">
      <w:pPr>
        <w:spacing w:line="440" w:lineRule="exact"/>
        <w:ind w:firstLine="480" w:firstLineChars="200"/>
        <w:rPr>
          <w:sz w:val="24"/>
        </w:rPr>
      </w:pPr>
      <w:r>
        <w:rPr>
          <w:sz w:val="24"/>
        </w:rPr>
        <w:t>9</w:t>
      </w:r>
      <w:r>
        <w:rPr>
          <w:rFonts w:hint="eastAsia"/>
          <w:sz w:val="24"/>
        </w:rPr>
        <w:t>、</w:t>
      </w:r>
      <w:r>
        <w:rPr>
          <w:sz w:val="24"/>
        </w:rPr>
        <w:t>施工现场临时用电安全规定</w:t>
      </w:r>
    </w:p>
    <w:p w14:paraId="5535F094">
      <w:pPr>
        <w:spacing w:line="440" w:lineRule="exact"/>
        <w:ind w:firstLine="480" w:firstLineChars="200"/>
        <w:rPr>
          <w:sz w:val="24"/>
        </w:rPr>
      </w:pPr>
      <w:r>
        <w:rPr>
          <w:rFonts w:hint="eastAsia"/>
          <w:sz w:val="24"/>
        </w:rPr>
        <w:t>（</w:t>
      </w:r>
      <w:r>
        <w:rPr>
          <w:sz w:val="24"/>
        </w:rPr>
        <w:t>1</w:t>
      </w:r>
      <w:r>
        <w:rPr>
          <w:rFonts w:hint="eastAsia"/>
          <w:sz w:val="24"/>
        </w:rPr>
        <w:t>）</w:t>
      </w:r>
      <w:r>
        <w:rPr>
          <w:sz w:val="24"/>
        </w:rPr>
        <w:t>电工必须持证上岗作业，操作证必须有效，严禁无证操作上岗。</w:t>
      </w:r>
    </w:p>
    <w:p w14:paraId="115B2EC4">
      <w:pPr>
        <w:spacing w:line="440" w:lineRule="exact"/>
        <w:ind w:firstLine="480" w:firstLineChars="200"/>
        <w:rPr>
          <w:sz w:val="24"/>
        </w:rPr>
      </w:pPr>
      <w:r>
        <w:rPr>
          <w:rFonts w:hint="eastAsia"/>
          <w:sz w:val="24"/>
        </w:rPr>
        <w:t>（</w:t>
      </w:r>
      <w:r>
        <w:rPr>
          <w:sz w:val="24"/>
        </w:rPr>
        <w:t>2</w:t>
      </w:r>
      <w:r>
        <w:rPr>
          <w:rFonts w:hint="eastAsia"/>
          <w:sz w:val="24"/>
        </w:rPr>
        <w:t>）</w:t>
      </w:r>
      <w:r>
        <w:rPr>
          <w:sz w:val="24"/>
        </w:rPr>
        <w:t>上班时，必须坚守本职工作岗位，认真操作，不得离岗串岗，不得让非电工人员乱拉乱接电线，严禁带电作业。</w:t>
      </w:r>
    </w:p>
    <w:p w14:paraId="721DD63D">
      <w:pPr>
        <w:spacing w:line="440" w:lineRule="exact"/>
        <w:ind w:firstLine="480" w:firstLineChars="200"/>
        <w:rPr>
          <w:sz w:val="24"/>
        </w:rPr>
      </w:pPr>
      <w:r>
        <w:rPr>
          <w:rFonts w:hint="eastAsia"/>
          <w:sz w:val="24"/>
        </w:rPr>
        <w:t>（</w:t>
      </w:r>
      <w:r>
        <w:rPr>
          <w:sz w:val="24"/>
        </w:rPr>
        <w:t>3</w:t>
      </w:r>
      <w:r>
        <w:rPr>
          <w:rFonts w:hint="eastAsia"/>
          <w:sz w:val="24"/>
        </w:rPr>
        <w:t>）</w:t>
      </w:r>
      <w:r>
        <w:rPr>
          <w:sz w:val="24"/>
        </w:rPr>
        <w:t>在施工现场不准乱拉乱接线，严禁在现场煮饭以及电热水壶。</w:t>
      </w:r>
    </w:p>
    <w:p w14:paraId="7DB0D579">
      <w:pPr>
        <w:spacing w:line="440" w:lineRule="exact"/>
        <w:ind w:firstLine="480" w:firstLineChars="200"/>
        <w:rPr>
          <w:sz w:val="24"/>
        </w:rPr>
      </w:pPr>
      <w:r>
        <w:rPr>
          <w:rFonts w:hint="eastAsia"/>
          <w:sz w:val="24"/>
        </w:rPr>
        <w:t>（</w:t>
      </w:r>
      <w:r>
        <w:rPr>
          <w:sz w:val="24"/>
        </w:rPr>
        <w:t>4</w:t>
      </w:r>
      <w:r>
        <w:rPr>
          <w:rFonts w:hint="eastAsia"/>
          <w:sz w:val="24"/>
        </w:rPr>
        <w:t>）</w:t>
      </w:r>
      <w:r>
        <w:rPr>
          <w:sz w:val="24"/>
        </w:rPr>
        <w:t>再用点处离电源比较远时应架空。</w:t>
      </w:r>
    </w:p>
    <w:p w14:paraId="03FA71C8">
      <w:pPr>
        <w:spacing w:line="440" w:lineRule="exact"/>
        <w:ind w:firstLine="480" w:firstLineChars="200"/>
        <w:rPr>
          <w:sz w:val="24"/>
        </w:rPr>
      </w:pPr>
      <w:r>
        <w:rPr>
          <w:rFonts w:hint="eastAsia"/>
          <w:sz w:val="24"/>
        </w:rPr>
        <w:t>（</w:t>
      </w:r>
      <w:r>
        <w:rPr>
          <w:sz w:val="24"/>
        </w:rPr>
        <w:t>5</w:t>
      </w:r>
      <w:r>
        <w:rPr>
          <w:rFonts w:hint="eastAsia"/>
          <w:sz w:val="24"/>
        </w:rPr>
        <w:t>）</w:t>
      </w:r>
      <w:r>
        <w:rPr>
          <w:sz w:val="24"/>
        </w:rPr>
        <w:t>严禁使用无漏电开关插座以及非皮套线。</w:t>
      </w:r>
    </w:p>
    <w:p w14:paraId="39EBABA5">
      <w:pPr>
        <w:spacing w:line="440" w:lineRule="exact"/>
        <w:ind w:firstLine="480" w:firstLineChars="200"/>
        <w:rPr>
          <w:sz w:val="24"/>
        </w:rPr>
      </w:pPr>
      <w:r>
        <w:rPr>
          <w:sz w:val="24"/>
        </w:rPr>
        <w:t>10</w:t>
      </w:r>
      <w:r>
        <w:rPr>
          <w:rFonts w:hint="eastAsia"/>
          <w:sz w:val="24"/>
        </w:rPr>
        <w:t>、</w:t>
      </w:r>
      <w:r>
        <w:rPr>
          <w:sz w:val="24"/>
        </w:rPr>
        <w:t>施工现场气割、电焊作业安全规定</w:t>
      </w:r>
    </w:p>
    <w:p w14:paraId="2124B64E">
      <w:pPr>
        <w:spacing w:line="440" w:lineRule="exact"/>
        <w:ind w:firstLine="480" w:firstLineChars="200"/>
        <w:rPr>
          <w:sz w:val="24"/>
        </w:rPr>
      </w:pPr>
      <w:r>
        <w:rPr>
          <w:rFonts w:hint="eastAsia"/>
          <w:sz w:val="24"/>
        </w:rPr>
        <w:t>（</w:t>
      </w:r>
      <w:r>
        <w:rPr>
          <w:sz w:val="24"/>
        </w:rPr>
        <w:t>1</w:t>
      </w:r>
      <w:r>
        <w:rPr>
          <w:rFonts w:hint="eastAsia"/>
          <w:sz w:val="24"/>
        </w:rPr>
        <w:t>）</w:t>
      </w:r>
      <w:r>
        <w:rPr>
          <w:sz w:val="24"/>
        </w:rPr>
        <w:t>焊工必须持证上岗，无特种作业人员安全操作证的人员，不准进行焊、割作业。</w:t>
      </w:r>
    </w:p>
    <w:p w14:paraId="18728E41">
      <w:pPr>
        <w:spacing w:line="440" w:lineRule="exact"/>
        <w:ind w:firstLine="480" w:firstLineChars="200"/>
        <w:rPr>
          <w:sz w:val="24"/>
        </w:rPr>
      </w:pPr>
      <w:r>
        <w:rPr>
          <w:rFonts w:hint="eastAsia"/>
          <w:sz w:val="24"/>
        </w:rPr>
        <w:t>（</w:t>
      </w:r>
      <w:r>
        <w:rPr>
          <w:sz w:val="24"/>
        </w:rPr>
        <w:t>2</w:t>
      </w:r>
      <w:r>
        <w:rPr>
          <w:rFonts w:hint="eastAsia"/>
          <w:sz w:val="24"/>
        </w:rPr>
        <w:t>）</w:t>
      </w:r>
      <w:r>
        <w:rPr>
          <w:sz w:val="24"/>
        </w:rPr>
        <w:t>凡属一、二、三级动火范围的焊、割作业，未经办理动火审批手续，不准进行焊、割。</w:t>
      </w:r>
    </w:p>
    <w:p w14:paraId="7DC804C3">
      <w:pPr>
        <w:spacing w:line="440" w:lineRule="exact"/>
        <w:ind w:firstLine="480" w:firstLineChars="200"/>
        <w:rPr>
          <w:sz w:val="24"/>
        </w:rPr>
      </w:pPr>
      <w:r>
        <w:rPr>
          <w:rFonts w:hint="eastAsia"/>
          <w:sz w:val="24"/>
        </w:rPr>
        <w:t>（</w:t>
      </w:r>
      <w:r>
        <w:rPr>
          <w:sz w:val="24"/>
        </w:rPr>
        <w:t>3</w:t>
      </w:r>
      <w:r>
        <w:rPr>
          <w:rFonts w:hint="eastAsia"/>
          <w:sz w:val="24"/>
        </w:rPr>
        <w:t>）</w:t>
      </w:r>
      <w:r>
        <w:rPr>
          <w:sz w:val="24"/>
        </w:rPr>
        <w:t>焊工不了解焊、割现场周围情况，不得进行焊、割。</w:t>
      </w:r>
    </w:p>
    <w:p w14:paraId="7D6BB308">
      <w:pPr>
        <w:spacing w:line="440" w:lineRule="exact"/>
        <w:ind w:firstLine="480" w:firstLineChars="200"/>
        <w:rPr>
          <w:sz w:val="24"/>
        </w:rPr>
      </w:pPr>
      <w:r>
        <w:rPr>
          <w:rFonts w:hint="eastAsia"/>
          <w:sz w:val="24"/>
        </w:rPr>
        <w:t>（</w:t>
      </w:r>
      <w:r>
        <w:rPr>
          <w:sz w:val="24"/>
        </w:rPr>
        <w:t>4</w:t>
      </w:r>
      <w:r>
        <w:rPr>
          <w:rFonts w:hint="eastAsia"/>
          <w:sz w:val="24"/>
        </w:rPr>
        <w:t>）</w:t>
      </w:r>
      <w:r>
        <w:rPr>
          <w:sz w:val="24"/>
        </w:rPr>
        <w:t>焊工不了解焊件内部是否安全时，不得进行焊、割。</w:t>
      </w:r>
    </w:p>
    <w:p w14:paraId="27C04666">
      <w:pPr>
        <w:spacing w:line="440" w:lineRule="exact"/>
        <w:ind w:firstLine="480" w:firstLineChars="200"/>
        <w:rPr>
          <w:sz w:val="24"/>
        </w:rPr>
      </w:pPr>
      <w:r>
        <w:rPr>
          <w:rFonts w:hint="eastAsia"/>
          <w:sz w:val="24"/>
        </w:rPr>
        <w:t>（</w:t>
      </w:r>
      <w:r>
        <w:rPr>
          <w:sz w:val="24"/>
        </w:rPr>
        <w:t>5</w:t>
      </w:r>
      <w:r>
        <w:rPr>
          <w:rFonts w:hint="eastAsia"/>
          <w:sz w:val="24"/>
        </w:rPr>
        <w:t>）</w:t>
      </w:r>
      <w:r>
        <w:rPr>
          <w:sz w:val="24"/>
        </w:rPr>
        <w:t>各种装过可燃气体、易燃液体和有毒物质的容器，未经彻底清洗，排除危险性之前，不准进行焊、割。</w:t>
      </w:r>
    </w:p>
    <w:p w14:paraId="165980B6">
      <w:pPr>
        <w:spacing w:line="440" w:lineRule="exact"/>
        <w:ind w:firstLine="480" w:firstLineChars="200"/>
        <w:rPr>
          <w:sz w:val="24"/>
        </w:rPr>
      </w:pPr>
      <w:r>
        <w:rPr>
          <w:rFonts w:hint="eastAsia"/>
          <w:sz w:val="24"/>
        </w:rPr>
        <w:t>（</w:t>
      </w:r>
      <w:r>
        <w:rPr>
          <w:sz w:val="24"/>
        </w:rPr>
        <w:t>6</w:t>
      </w:r>
      <w:r>
        <w:rPr>
          <w:rFonts w:hint="eastAsia"/>
          <w:sz w:val="24"/>
        </w:rPr>
        <w:t>）</w:t>
      </w:r>
      <w:r>
        <w:rPr>
          <w:sz w:val="24"/>
        </w:rPr>
        <w:t>用可燃材料作保温层、冷却层、隔音、隔热设备的部位，或火星能飞溅到的地方，在未采取切实可靠的安全措施之前，不准焊、割。</w:t>
      </w:r>
    </w:p>
    <w:p w14:paraId="02AB8ECD">
      <w:pPr>
        <w:spacing w:line="440" w:lineRule="exact"/>
        <w:ind w:firstLine="480" w:firstLineChars="200"/>
        <w:rPr>
          <w:sz w:val="24"/>
        </w:rPr>
      </w:pPr>
      <w:r>
        <w:rPr>
          <w:rFonts w:hint="eastAsia"/>
          <w:sz w:val="24"/>
        </w:rPr>
        <w:t>（</w:t>
      </w:r>
      <w:r>
        <w:rPr>
          <w:sz w:val="24"/>
        </w:rPr>
        <w:t>7</w:t>
      </w:r>
      <w:r>
        <w:rPr>
          <w:rFonts w:hint="eastAsia"/>
          <w:sz w:val="24"/>
        </w:rPr>
        <w:t>）</w:t>
      </w:r>
      <w:r>
        <w:rPr>
          <w:sz w:val="24"/>
        </w:rPr>
        <w:t>有压力或密闭的管道、容器，不准焊、割。</w:t>
      </w:r>
    </w:p>
    <w:p w14:paraId="0A92094C">
      <w:pPr>
        <w:spacing w:line="440" w:lineRule="exact"/>
        <w:ind w:firstLine="480" w:firstLineChars="200"/>
        <w:rPr>
          <w:sz w:val="24"/>
        </w:rPr>
      </w:pPr>
      <w:r>
        <w:rPr>
          <w:rFonts w:hint="eastAsia"/>
          <w:sz w:val="24"/>
        </w:rPr>
        <w:t>（</w:t>
      </w:r>
      <w:r>
        <w:rPr>
          <w:sz w:val="24"/>
        </w:rPr>
        <w:t>8</w:t>
      </w:r>
      <w:r>
        <w:rPr>
          <w:rFonts w:hint="eastAsia"/>
          <w:sz w:val="24"/>
        </w:rPr>
        <w:t>）</w:t>
      </w:r>
      <w:r>
        <w:rPr>
          <w:sz w:val="24"/>
        </w:rPr>
        <w:t>焊、割部位附近有易燃易爆物品，在未作清理或未采取有效的安全措施之前，不准焊、割。</w:t>
      </w:r>
    </w:p>
    <w:p w14:paraId="1F7B4C48">
      <w:pPr>
        <w:spacing w:line="440" w:lineRule="exact"/>
        <w:ind w:firstLine="480" w:firstLineChars="200"/>
        <w:rPr>
          <w:sz w:val="24"/>
        </w:rPr>
      </w:pPr>
      <w:r>
        <w:rPr>
          <w:sz w:val="24"/>
        </w:rPr>
        <w:t>11</w:t>
      </w:r>
      <w:r>
        <w:rPr>
          <w:rFonts w:hint="eastAsia"/>
          <w:sz w:val="24"/>
        </w:rPr>
        <w:t>、</w:t>
      </w:r>
      <w:r>
        <w:rPr>
          <w:sz w:val="24"/>
        </w:rPr>
        <w:t>附近有与明火作业相抵触的工种在作业时，不准焊、割。乙方施工队伍的安全防护器材必须配置到位，安全措施得力，乙方对其所有施工人员及相关联人员的人身安全负全部责任，甲方不承担任何责任。</w:t>
      </w:r>
    </w:p>
    <w:p w14:paraId="582A1BF2">
      <w:pPr>
        <w:spacing w:line="440" w:lineRule="exact"/>
        <w:ind w:firstLine="480" w:firstLineChars="200"/>
        <w:rPr>
          <w:sz w:val="24"/>
        </w:rPr>
      </w:pPr>
      <w:r>
        <w:rPr>
          <w:sz w:val="24"/>
        </w:rPr>
        <w:t>12、施工车辆进出及转弯时必须减速行驶（低于5km/h）.</w:t>
      </w:r>
    </w:p>
    <w:p w14:paraId="627EED8A">
      <w:pPr>
        <w:spacing w:line="440" w:lineRule="exact"/>
        <w:ind w:firstLine="480" w:firstLineChars="200"/>
        <w:rPr>
          <w:sz w:val="24"/>
        </w:rPr>
      </w:pPr>
      <w:r>
        <w:rPr>
          <w:sz w:val="24"/>
        </w:rPr>
        <w:t>13、如因乙方违法相关法律、法规及以上规定，所造成的一切不良后果（人员伤亡、财产损失等）均由乙方全部负责，与甲方无关。</w:t>
      </w:r>
    </w:p>
    <w:p w14:paraId="3A6BA864">
      <w:pPr>
        <w:spacing w:line="440" w:lineRule="exact"/>
        <w:ind w:firstLine="480" w:firstLineChars="200"/>
        <w:rPr>
          <w:sz w:val="24"/>
        </w:rPr>
      </w:pPr>
      <w:r>
        <w:rPr>
          <w:sz w:val="24"/>
        </w:rPr>
        <w:t>14、其它未尽事宜由甲乙双方协商解决。</w:t>
      </w:r>
    </w:p>
    <w:p w14:paraId="4F27D553">
      <w:pPr>
        <w:spacing w:line="440" w:lineRule="exact"/>
        <w:rPr>
          <w:b/>
          <w:bCs/>
          <w:sz w:val="24"/>
        </w:rPr>
      </w:pPr>
      <w:r>
        <w:rPr>
          <w:b/>
          <w:bCs/>
          <w:sz w:val="24"/>
        </w:rPr>
        <w:t>七、其他</w:t>
      </w:r>
    </w:p>
    <w:p w14:paraId="462FB88E">
      <w:pPr>
        <w:spacing w:line="440" w:lineRule="exact"/>
        <w:ind w:firstLine="480" w:firstLineChars="200"/>
        <w:rPr>
          <w:sz w:val="24"/>
        </w:rPr>
      </w:pPr>
      <w:r>
        <w:rPr>
          <w:sz w:val="24"/>
        </w:rPr>
        <w:t>本协议</w:t>
      </w:r>
      <w:r>
        <w:rPr>
          <w:rFonts w:hint="eastAsia"/>
          <w:sz w:val="24"/>
        </w:rPr>
        <w:t>份数与主合同相同</w:t>
      </w:r>
      <w:r>
        <w:rPr>
          <w:sz w:val="24"/>
        </w:rPr>
        <w:t>，自甲乙双方法定代表人或经授权的委托代理人签字并加盖双方公章或合同专用章之日起生效，各份协议具有同等法律效力。</w:t>
      </w:r>
    </w:p>
    <w:p w14:paraId="2FC7EC8A">
      <w:pPr>
        <w:spacing w:line="440" w:lineRule="exact"/>
        <w:rPr>
          <w:sz w:val="24"/>
        </w:rPr>
      </w:pPr>
      <w:r>
        <w:rPr>
          <w:sz w:val="24"/>
        </w:rPr>
        <w:t>（以下无正文）</w:t>
      </w:r>
    </w:p>
    <w:tbl>
      <w:tblPr>
        <w:tblStyle w:val="42"/>
        <w:tblW w:w="9147" w:type="dxa"/>
        <w:jc w:val="center"/>
        <w:tblLayout w:type="fixed"/>
        <w:tblCellMar>
          <w:top w:w="0" w:type="dxa"/>
          <w:left w:w="108" w:type="dxa"/>
          <w:bottom w:w="0" w:type="dxa"/>
          <w:right w:w="108" w:type="dxa"/>
        </w:tblCellMar>
      </w:tblPr>
      <w:tblGrid>
        <w:gridCol w:w="1600"/>
        <w:gridCol w:w="2975"/>
        <w:gridCol w:w="1630"/>
        <w:gridCol w:w="2942"/>
      </w:tblGrid>
      <w:tr w14:paraId="1F00B744">
        <w:tblPrEx>
          <w:tblCellMar>
            <w:top w:w="0" w:type="dxa"/>
            <w:left w:w="108" w:type="dxa"/>
            <w:bottom w:w="0" w:type="dxa"/>
            <w:right w:w="108" w:type="dxa"/>
          </w:tblCellMar>
        </w:tblPrEx>
        <w:trPr>
          <w:trHeight w:val="803" w:hRule="atLeast"/>
          <w:jc w:val="center"/>
        </w:trPr>
        <w:tc>
          <w:tcPr>
            <w:tcW w:w="9147" w:type="dxa"/>
            <w:gridSpan w:val="4"/>
            <w:vAlign w:val="center"/>
          </w:tcPr>
          <w:p w14:paraId="23CA3284">
            <w:pPr>
              <w:spacing w:line="320" w:lineRule="exact"/>
              <w:jc w:val="center"/>
              <w:rPr>
                <w:rFonts w:hint="eastAsia" w:ascii="华文宋体" w:hAnsi="华文宋体" w:eastAsia="华文宋体" w:cs="华文宋体"/>
                <w:b/>
                <w:szCs w:val="21"/>
              </w:rPr>
            </w:pPr>
            <w:r>
              <w:rPr>
                <w:rFonts w:hint="eastAsia" w:ascii="华文宋体" w:hAnsi="华文宋体" w:eastAsia="华文宋体" w:cs="华文宋体"/>
                <w:b/>
                <w:sz w:val="28"/>
                <w:szCs w:val="28"/>
              </w:rPr>
              <w:t>协议签订双方</w:t>
            </w:r>
          </w:p>
        </w:tc>
      </w:tr>
      <w:tr w14:paraId="268E8177">
        <w:tblPrEx>
          <w:tblCellMar>
            <w:top w:w="0" w:type="dxa"/>
            <w:left w:w="108" w:type="dxa"/>
            <w:bottom w:w="0" w:type="dxa"/>
            <w:right w:w="108" w:type="dxa"/>
          </w:tblCellMar>
        </w:tblPrEx>
        <w:trPr>
          <w:trHeight w:val="997" w:hRule="atLeast"/>
          <w:jc w:val="center"/>
        </w:trPr>
        <w:tc>
          <w:tcPr>
            <w:tcW w:w="1600" w:type="dxa"/>
            <w:vAlign w:val="center"/>
          </w:tcPr>
          <w:p w14:paraId="79835FDA">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甲方（盖章）：</w:t>
            </w:r>
          </w:p>
        </w:tc>
        <w:tc>
          <w:tcPr>
            <w:tcW w:w="2975" w:type="dxa"/>
            <w:vAlign w:val="center"/>
          </w:tcPr>
          <w:p w14:paraId="40011838">
            <w:pPr>
              <w:spacing w:line="320" w:lineRule="exact"/>
              <w:jc w:val="center"/>
              <w:rPr>
                <w:rFonts w:hint="eastAsia" w:ascii="华文宋体" w:hAnsi="华文宋体" w:eastAsia="华文宋体" w:cs="华文宋体"/>
                <w:szCs w:val="21"/>
              </w:rPr>
            </w:pPr>
          </w:p>
        </w:tc>
        <w:tc>
          <w:tcPr>
            <w:tcW w:w="1630" w:type="dxa"/>
            <w:vAlign w:val="center"/>
          </w:tcPr>
          <w:p w14:paraId="050AF716">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乙方（盖章）：</w:t>
            </w:r>
          </w:p>
        </w:tc>
        <w:tc>
          <w:tcPr>
            <w:tcW w:w="2942" w:type="dxa"/>
            <w:vAlign w:val="center"/>
          </w:tcPr>
          <w:p w14:paraId="10B5B933">
            <w:pPr>
              <w:spacing w:line="320" w:lineRule="exact"/>
              <w:ind w:leftChars="-2" w:hanging="4" w:hangingChars="2"/>
              <w:jc w:val="center"/>
              <w:rPr>
                <w:rFonts w:hint="eastAsia" w:ascii="华文宋体" w:hAnsi="华文宋体" w:eastAsia="华文宋体" w:cs="华文宋体"/>
                <w:szCs w:val="21"/>
              </w:rPr>
            </w:pPr>
          </w:p>
        </w:tc>
      </w:tr>
      <w:tr w14:paraId="03370756">
        <w:tblPrEx>
          <w:tblCellMar>
            <w:top w:w="0" w:type="dxa"/>
            <w:left w:w="108" w:type="dxa"/>
            <w:bottom w:w="0" w:type="dxa"/>
            <w:right w:w="108" w:type="dxa"/>
          </w:tblCellMar>
        </w:tblPrEx>
        <w:trPr>
          <w:trHeight w:val="1087" w:hRule="atLeast"/>
          <w:jc w:val="center"/>
        </w:trPr>
        <w:tc>
          <w:tcPr>
            <w:tcW w:w="1600" w:type="dxa"/>
            <w:vAlign w:val="center"/>
          </w:tcPr>
          <w:p w14:paraId="440984F4">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法定代表人</w:t>
            </w:r>
          </w:p>
          <w:p w14:paraId="3C3E4C7F">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75" w:type="dxa"/>
            <w:vAlign w:val="center"/>
          </w:tcPr>
          <w:p w14:paraId="3D098565">
            <w:pPr>
              <w:spacing w:line="320" w:lineRule="exact"/>
              <w:rPr>
                <w:rFonts w:hint="eastAsia" w:ascii="华文宋体" w:hAnsi="华文宋体" w:eastAsia="华文宋体" w:cs="华文宋体"/>
                <w:szCs w:val="21"/>
              </w:rPr>
            </w:pPr>
          </w:p>
        </w:tc>
        <w:tc>
          <w:tcPr>
            <w:tcW w:w="1630" w:type="dxa"/>
            <w:vAlign w:val="center"/>
          </w:tcPr>
          <w:p w14:paraId="314F44B1">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法定代表人</w:t>
            </w:r>
          </w:p>
          <w:p w14:paraId="490AFB57">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42" w:type="dxa"/>
            <w:vAlign w:val="center"/>
          </w:tcPr>
          <w:p w14:paraId="4559058F">
            <w:pPr>
              <w:spacing w:line="320" w:lineRule="exact"/>
              <w:rPr>
                <w:rFonts w:hint="eastAsia" w:ascii="华文宋体" w:hAnsi="华文宋体" w:eastAsia="华文宋体" w:cs="华文宋体"/>
                <w:szCs w:val="21"/>
              </w:rPr>
            </w:pPr>
          </w:p>
        </w:tc>
      </w:tr>
      <w:tr w14:paraId="055A468C">
        <w:tblPrEx>
          <w:tblCellMar>
            <w:top w:w="0" w:type="dxa"/>
            <w:left w:w="108" w:type="dxa"/>
            <w:bottom w:w="0" w:type="dxa"/>
            <w:right w:w="108" w:type="dxa"/>
          </w:tblCellMar>
        </w:tblPrEx>
        <w:trPr>
          <w:trHeight w:val="1087" w:hRule="atLeast"/>
          <w:jc w:val="center"/>
        </w:trPr>
        <w:tc>
          <w:tcPr>
            <w:tcW w:w="1600" w:type="dxa"/>
            <w:vAlign w:val="center"/>
          </w:tcPr>
          <w:p w14:paraId="71210D2F">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委托代理人</w:t>
            </w:r>
          </w:p>
          <w:p w14:paraId="1C03C4F5">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75" w:type="dxa"/>
            <w:vAlign w:val="center"/>
          </w:tcPr>
          <w:p w14:paraId="57A79F61">
            <w:pPr>
              <w:spacing w:line="320" w:lineRule="exact"/>
              <w:rPr>
                <w:rFonts w:hint="eastAsia" w:ascii="华文宋体" w:hAnsi="华文宋体" w:eastAsia="华文宋体" w:cs="华文宋体"/>
                <w:szCs w:val="21"/>
              </w:rPr>
            </w:pPr>
          </w:p>
        </w:tc>
        <w:tc>
          <w:tcPr>
            <w:tcW w:w="1630" w:type="dxa"/>
            <w:vAlign w:val="center"/>
          </w:tcPr>
          <w:p w14:paraId="549A24CD">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委托代理人</w:t>
            </w:r>
          </w:p>
          <w:p w14:paraId="3882C123">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42" w:type="dxa"/>
            <w:vAlign w:val="center"/>
          </w:tcPr>
          <w:p w14:paraId="0B382E70">
            <w:pPr>
              <w:spacing w:line="320" w:lineRule="exact"/>
              <w:rPr>
                <w:rFonts w:hint="eastAsia" w:ascii="华文宋体" w:hAnsi="华文宋体" w:eastAsia="华文宋体" w:cs="华文宋体"/>
                <w:szCs w:val="21"/>
              </w:rPr>
            </w:pPr>
          </w:p>
        </w:tc>
      </w:tr>
      <w:tr w14:paraId="2C2CBE55">
        <w:tblPrEx>
          <w:tblCellMar>
            <w:top w:w="0" w:type="dxa"/>
            <w:left w:w="108" w:type="dxa"/>
            <w:bottom w:w="0" w:type="dxa"/>
            <w:right w:w="108" w:type="dxa"/>
          </w:tblCellMar>
        </w:tblPrEx>
        <w:trPr>
          <w:trHeight w:val="1087" w:hRule="atLeast"/>
          <w:jc w:val="center"/>
        </w:trPr>
        <w:tc>
          <w:tcPr>
            <w:tcW w:w="1600" w:type="dxa"/>
            <w:vAlign w:val="center"/>
          </w:tcPr>
          <w:p w14:paraId="735123C0">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签订日期：</w:t>
            </w:r>
          </w:p>
        </w:tc>
        <w:tc>
          <w:tcPr>
            <w:tcW w:w="2975" w:type="dxa"/>
            <w:vAlign w:val="center"/>
          </w:tcPr>
          <w:p w14:paraId="0AD5741D">
            <w:pPr>
              <w:spacing w:line="320" w:lineRule="exact"/>
              <w:jc w:val="right"/>
              <w:rPr>
                <w:rFonts w:hint="eastAsia" w:ascii="华文宋体" w:hAnsi="华文宋体" w:eastAsia="华文宋体" w:cs="华文宋体"/>
                <w:szCs w:val="21"/>
              </w:rPr>
            </w:pPr>
            <w:r>
              <w:rPr>
                <w:rFonts w:hint="eastAsia" w:ascii="华文宋体" w:hAnsi="华文宋体" w:eastAsia="华文宋体" w:cs="华文宋体"/>
                <w:szCs w:val="21"/>
              </w:rPr>
              <w:t>________年____月____日</w:t>
            </w:r>
          </w:p>
        </w:tc>
        <w:tc>
          <w:tcPr>
            <w:tcW w:w="1630" w:type="dxa"/>
            <w:vAlign w:val="center"/>
          </w:tcPr>
          <w:p w14:paraId="39D43DA6">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签订日期：</w:t>
            </w:r>
          </w:p>
        </w:tc>
        <w:tc>
          <w:tcPr>
            <w:tcW w:w="2942" w:type="dxa"/>
            <w:vAlign w:val="center"/>
          </w:tcPr>
          <w:p w14:paraId="1E4DDD3A">
            <w:pPr>
              <w:spacing w:line="320" w:lineRule="exact"/>
              <w:jc w:val="right"/>
              <w:rPr>
                <w:rFonts w:hint="eastAsia" w:ascii="华文宋体" w:hAnsi="华文宋体" w:eastAsia="华文宋体" w:cs="华文宋体"/>
                <w:szCs w:val="21"/>
              </w:rPr>
            </w:pPr>
            <w:r>
              <w:rPr>
                <w:rFonts w:hint="eastAsia" w:ascii="华文宋体" w:hAnsi="华文宋体" w:eastAsia="华文宋体" w:cs="华文宋体"/>
                <w:szCs w:val="21"/>
              </w:rPr>
              <w:t>________年____月____日</w:t>
            </w:r>
          </w:p>
        </w:tc>
      </w:tr>
    </w:tbl>
    <w:p w14:paraId="4B8E8890">
      <w:pPr>
        <w:tabs>
          <w:tab w:val="left" w:pos="567"/>
        </w:tabs>
        <w:spacing w:line="360" w:lineRule="auto"/>
        <w:ind w:firstLine="11"/>
        <w:outlineLvl w:val="1"/>
        <w:rPr>
          <w:rFonts w:hint="eastAsia" w:ascii="宋体" w:hAnsi="宋体" w:cs="宋体"/>
          <w:sz w:val="24"/>
        </w:rPr>
      </w:pPr>
      <w:r>
        <w:rPr>
          <w:rFonts w:hint="eastAsia" w:ascii="宋体" w:hAnsi="宋体" w:cs="宋体"/>
          <w:sz w:val="24"/>
        </w:rPr>
        <w:br w:type="page"/>
      </w:r>
      <w:r>
        <w:rPr>
          <w:rFonts w:hint="eastAsia" w:ascii="宋体" w:hAnsi="宋体" w:cs="宋体"/>
          <w:b/>
          <w:color w:val="000000"/>
          <w:sz w:val="28"/>
          <w:szCs w:val="28"/>
        </w:rPr>
        <w:t>第六包：</w:t>
      </w:r>
    </w:p>
    <w:p w14:paraId="3619D34E">
      <w:pPr>
        <w:spacing w:after="120" w:line="480" w:lineRule="exact"/>
        <w:jc w:val="center"/>
        <w:rPr>
          <w:rFonts w:hint="eastAsia" w:ascii="宋体" w:hAnsi="宋体" w:cs="宋体"/>
          <w:bCs/>
          <w:color w:val="FF0000"/>
          <w:sz w:val="28"/>
          <w:szCs w:val="28"/>
        </w:rPr>
      </w:pPr>
    </w:p>
    <w:p w14:paraId="17CC2CC2">
      <w:pPr>
        <w:spacing w:after="120" w:line="480" w:lineRule="exact"/>
        <w:jc w:val="center"/>
        <w:rPr>
          <w:rFonts w:hint="eastAsia" w:ascii="宋体" w:hAnsi="宋体" w:cs="宋体"/>
          <w:bCs/>
          <w:color w:val="FF0000"/>
          <w:sz w:val="28"/>
          <w:szCs w:val="28"/>
        </w:rPr>
      </w:pPr>
    </w:p>
    <w:p w14:paraId="0EDDC4A7">
      <w:pPr>
        <w:spacing w:after="120" w:line="480" w:lineRule="exact"/>
        <w:jc w:val="center"/>
        <w:rPr>
          <w:rFonts w:hint="eastAsia" w:ascii="宋体" w:hAnsi="宋体" w:cs="宋体"/>
          <w:bCs/>
          <w:color w:val="FF0000"/>
          <w:sz w:val="28"/>
          <w:szCs w:val="28"/>
        </w:rPr>
      </w:pPr>
    </w:p>
    <w:p w14:paraId="6CCDFAA8">
      <w:pPr>
        <w:spacing w:after="120" w:line="480" w:lineRule="exact"/>
        <w:jc w:val="center"/>
        <w:rPr>
          <w:rFonts w:hint="eastAsia" w:ascii="宋体" w:hAnsi="宋体" w:cs="宋体"/>
          <w:bCs/>
          <w:sz w:val="28"/>
          <w:szCs w:val="28"/>
        </w:rPr>
      </w:pPr>
      <w:r>
        <w:rPr>
          <w:rFonts w:hint="eastAsia" w:ascii="宋体" w:hAnsi="宋体" w:cs="宋体"/>
          <w:bCs/>
          <w:sz w:val="28"/>
          <w:szCs w:val="28"/>
        </w:rPr>
        <w:t>政 府 采 购 合 同</w:t>
      </w:r>
    </w:p>
    <w:p w14:paraId="3515DD84">
      <w:pPr>
        <w:rPr>
          <w:rFonts w:hint="eastAsia" w:ascii="宋体" w:hAnsi="宋体" w:cs="宋体"/>
        </w:rPr>
      </w:pPr>
    </w:p>
    <w:p w14:paraId="22DFECBE">
      <w:pPr>
        <w:jc w:val="right"/>
        <w:rPr>
          <w:rFonts w:hint="eastAsia" w:ascii="宋体" w:hAnsi="宋体" w:cs="宋体"/>
          <w:sz w:val="24"/>
        </w:rPr>
      </w:pPr>
      <w:r>
        <w:rPr>
          <w:rFonts w:hint="eastAsia" w:ascii="宋体" w:hAnsi="宋体" w:cs="宋体"/>
          <w:sz w:val="24"/>
        </w:rPr>
        <w:t>合同编号：</w:t>
      </w:r>
    </w:p>
    <w:p w14:paraId="0389FC0F">
      <w:pPr>
        <w:rPr>
          <w:rFonts w:hint="eastAsia" w:ascii="宋体" w:hAnsi="宋体" w:cs="宋体"/>
          <w:sz w:val="24"/>
        </w:rPr>
      </w:pPr>
    </w:p>
    <w:p w14:paraId="5F97866B">
      <w:pPr>
        <w:rPr>
          <w:rFonts w:hint="eastAsia" w:ascii="宋体" w:hAnsi="宋体" w:cs="宋体"/>
          <w:sz w:val="24"/>
        </w:rPr>
      </w:pPr>
    </w:p>
    <w:p w14:paraId="530C8ED6">
      <w:pPr>
        <w:rPr>
          <w:rFonts w:hint="eastAsia" w:ascii="宋体" w:hAnsi="宋体" w:cs="宋体"/>
          <w:sz w:val="24"/>
        </w:rPr>
      </w:pPr>
    </w:p>
    <w:p w14:paraId="23D08B06">
      <w:pPr>
        <w:rPr>
          <w:rFonts w:hint="eastAsia" w:ascii="宋体" w:hAnsi="宋体" w:cs="宋体"/>
          <w:sz w:val="24"/>
        </w:rPr>
      </w:pPr>
    </w:p>
    <w:p w14:paraId="12723282">
      <w:pPr>
        <w:ind w:firstLine="1680" w:firstLineChars="700"/>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p>
    <w:p w14:paraId="42086A16">
      <w:pPr>
        <w:ind w:firstLine="1680" w:firstLineChars="700"/>
        <w:jc w:val="center"/>
        <w:rPr>
          <w:rFonts w:hint="eastAsia" w:ascii="宋体" w:hAnsi="宋体" w:cs="宋体"/>
          <w:sz w:val="24"/>
        </w:rPr>
      </w:pPr>
    </w:p>
    <w:p w14:paraId="57DAA50F">
      <w:pPr>
        <w:ind w:firstLine="1680" w:firstLineChars="700"/>
        <w:jc w:val="center"/>
        <w:rPr>
          <w:rFonts w:hint="eastAsia" w:ascii="宋体" w:hAnsi="宋体" w:cs="宋体"/>
          <w:sz w:val="24"/>
        </w:rPr>
      </w:pPr>
    </w:p>
    <w:p w14:paraId="79FB0CD5">
      <w:pPr>
        <w:ind w:firstLine="1680" w:firstLineChars="700"/>
        <w:jc w:val="center"/>
        <w:rPr>
          <w:rFonts w:hint="eastAsia" w:ascii="宋体" w:hAnsi="宋体" w:cs="宋体"/>
          <w:sz w:val="24"/>
        </w:rPr>
      </w:pPr>
    </w:p>
    <w:p w14:paraId="2F284629">
      <w:pPr>
        <w:ind w:firstLine="1680" w:firstLineChars="700"/>
        <w:rPr>
          <w:rFonts w:hint="eastAsia" w:ascii="宋体" w:hAnsi="宋体" w:cs="宋体"/>
          <w:sz w:val="24"/>
          <w:u w:val="single"/>
        </w:rPr>
      </w:pPr>
      <w:r>
        <w:rPr>
          <w:rFonts w:hint="eastAsia" w:ascii="宋体" w:hAnsi="宋体" w:cs="宋体"/>
          <w:sz w:val="24"/>
        </w:rPr>
        <w:t>采购人：</w:t>
      </w:r>
      <w:r>
        <w:rPr>
          <w:rFonts w:hint="eastAsia" w:ascii="宋体" w:hAnsi="宋体" w:cs="宋体"/>
          <w:sz w:val="24"/>
          <w:u w:val="single"/>
        </w:rPr>
        <w:t xml:space="preserve">                         </w:t>
      </w:r>
    </w:p>
    <w:p w14:paraId="37185342">
      <w:pPr>
        <w:ind w:firstLine="1680" w:firstLineChars="700"/>
        <w:jc w:val="center"/>
        <w:rPr>
          <w:rFonts w:hint="eastAsia" w:ascii="宋体" w:hAnsi="宋体" w:cs="宋体"/>
          <w:sz w:val="24"/>
        </w:rPr>
      </w:pPr>
    </w:p>
    <w:p w14:paraId="3B3EE5F1">
      <w:pPr>
        <w:ind w:firstLine="1680" w:firstLineChars="700"/>
        <w:jc w:val="center"/>
        <w:rPr>
          <w:rFonts w:hint="eastAsia" w:ascii="宋体" w:hAnsi="宋体" w:cs="宋体"/>
          <w:sz w:val="24"/>
        </w:rPr>
      </w:pPr>
    </w:p>
    <w:p w14:paraId="770815A8">
      <w:pPr>
        <w:ind w:firstLine="1680" w:firstLineChars="700"/>
        <w:jc w:val="center"/>
        <w:rPr>
          <w:rFonts w:hint="eastAsia" w:ascii="宋体" w:hAnsi="宋体" w:cs="宋体"/>
          <w:sz w:val="24"/>
        </w:rPr>
      </w:pPr>
    </w:p>
    <w:p w14:paraId="0C33B656">
      <w:pPr>
        <w:ind w:firstLine="1680" w:firstLineChars="700"/>
        <w:jc w:val="center"/>
        <w:rPr>
          <w:rFonts w:hint="eastAsia" w:ascii="宋体" w:hAnsi="宋体" w:cs="宋体"/>
          <w:sz w:val="24"/>
        </w:rPr>
      </w:pPr>
    </w:p>
    <w:p w14:paraId="36E6AEB9">
      <w:pPr>
        <w:ind w:firstLine="1680" w:firstLineChars="700"/>
        <w:rPr>
          <w:rFonts w:hint="eastAsia" w:ascii="宋体" w:hAnsi="宋体" w:cs="宋体"/>
          <w:sz w:val="24"/>
          <w:u w:val="single"/>
        </w:rPr>
      </w:pPr>
      <w:r>
        <w:rPr>
          <w:rFonts w:hint="eastAsia" w:ascii="宋体" w:hAnsi="宋体" w:cs="宋体"/>
          <w:sz w:val="24"/>
        </w:rPr>
        <w:t>中标供应商：</w:t>
      </w:r>
      <w:r>
        <w:rPr>
          <w:rFonts w:hint="eastAsia" w:ascii="宋体" w:hAnsi="宋体" w:cs="宋体"/>
          <w:sz w:val="24"/>
          <w:u w:val="single"/>
        </w:rPr>
        <w:t xml:space="preserve">                         </w:t>
      </w:r>
    </w:p>
    <w:p w14:paraId="4AC9D2DC">
      <w:pPr>
        <w:ind w:firstLine="1680" w:firstLineChars="700"/>
        <w:jc w:val="center"/>
        <w:rPr>
          <w:rFonts w:hint="eastAsia" w:ascii="宋体" w:hAnsi="宋体" w:cs="宋体"/>
          <w:sz w:val="24"/>
        </w:rPr>
      </w:pPr>
    </w:p>
    <w:p w14:paraId="3BAB3217">
      <w:pPr>
        <w:ind w:firstLine="1680" w:firstLineChars="700"/>
        <w:jc w:val="center"/>
        <w:rPr>
          <w:rFonts w:hint="eastAsia" w:ascii="宋体" w:hAnsi="宋体" w:cs="宋体"/>
          <w:sz w:val="24"/>
        </w:rPr>
      </w:pPr>
    </w:p>
    <w:p w14:paraId="31AD72F9">
      <w:pPr>
        <w:ind w:firstLine="1680" w:firstLineChars="700"/>
        <w:jc w:val="center"/>
        <w:rPr>
          <w:rFonts w:hint="eastAsia" w:ascii="宋体" w:hAnsi="宋体" w:cs="宋体"/>
          <w:sz w:val="24"/>
        </w:rPr>
      </w:pPr>
    </w:p>
    <w:p w14:paraId="66209365">
      <w:pPr>
        <w:ind w:firstLine="1680" w:firstLineChars="700"/>
        <w:jc w:val="center"/>
        <w:rPr>
          <w:rFonts w:hint="eastAsia" w:ascii="宋体" w:hAnsi="宋体" w:cs="宋体"/>
          <w:sz w:val="24"/>
        </w:rPr>
      </w:pPr>
    </w:p>
    <w:p w14:paraId="0AC37AD6">
      <w:pPr>
        <w:ind w:firstLine="1680" w:firstLineChars="700"/>
        <w:rPr>
          <w:rFonts w:hint="eastAsia" w:ascii="宋体" w:hAnsi="宋体" w:cs="宋体"/>
          <w:sz w:val="24"/>
          <w:u w:val="single"/>
        </w:rPr>
      </w:pPr>
      <w:r>
        <w:rPr>
          <w:rFonts w:hint="eastAsia" w:ascii="宋体" w:hAnsi="宋体" w:cs="宋体"/>
          <w:sz w:val="24"/>
        </w:rPr>
        <w:t>签署日期：</w:t>
      </w:r>
      <w:r>
        <w:rPr>
          <w:rFonts w:hint="eastAsia" w:ascii="宋体" w:hAnsi="宋体" w:cs="宋体"/>
          <w:sz w:val="24"/>
          <w:u w:val="single"/>
        </w:rPr>
        <w:t xml:space="preserve">                         </w:t>
      </w:r>
    </w:p>
    <w:p w14:paraId="084C21DD">
      <w:pPr>
        <w:rPr>
          <w:rFonts w:hint="eastAsia" w:ascii="宋体" w:hAnsi="宋体" w:cs="宋体"/>
          <w:sz w:val="24"/>
        </w:rPr>
      </w:pPr>
    </w:p>
    <w:p w14:paraId="6BBBBEA6">
      <w:pPr>
        <w:jc w:val="center"/>
        <w:rPr>
          <w:rFonts w:hint="eastAsia" w:ascii="宋体" w:hAnsi="宋体" w:cs="宋体"/>
          <w:sz w:val="24"/>
        </w:rPr>
      </w:pPr>
    </w:p>
    <w:p w14:paraId="1C8DDC52">
      <w:pPr>
        <w:jc w:val="center"/>
        <w:rPr>
          <w:rFonts w:hint="eastAsia" w:ascii="宋体" w:hAnsi="宋体" w:cs="宋体"/>
          <w:sz w:val="24"/>
        </w:rPr>
      </w:pPr>
    </w:p>
    <w:p w14:paraId="0949EC91">
      <w:pPr>
        <w:jc w:val="center"/>
        <w:rPr>
          <w:rFonts w:hint="eastAsia" w:ascii="宋体" w:hAnsi="宋体" w:cs="宋体"/>
          <w:sz w:val="24"/>
        </w:rPr>
      </w:pPr>
    </w:p>
    <w:p w14:paraId="740521AF">
      <w:pPr>
        <w:jc w:val="center"/>
        <w:rPr>
          <w:rFonts w:hint="eastAsia" w:ascii="宋体" w:hAnsi="宋体" w:cs="宋体"/>
          <w:sz w:val="24"/>
        </w:rPr>
      </w:pPr>
    </w:p>
    <w:p w14:paraId="03EA1A75">
      <w:pPr>
        <w:jc w:val="center"/>
        <w:rPr>
          <w:rFonts w:hint="eastAsia" w:ascii="宋体" w:hAnsi="宋体" w:cs="宋体"/>
          <w:sz w:val="24"/>
        </w:rPr>
      </w:pPr>
    </w:p>
    <w:p w14:paraId="4705B2ED">
      <w:pPr>
        <w:jc w:val="center"/>
        <w:rPr>
          <w:rFonts w:hint="eastAsia" w:ascii="宋体" w:hAnsi="宋体" w:cs="宋体"/>
          <w:sz w:val="24"/>
        </w:rPr>
      </w:pPr>
      <w:r>
        <w:rPr>
          <w:rFonts w:hint="eastAsia" w:ascii="宋体" w:hAnsi="宋体" w:cs="宋体"/>
          <w:sz w:val="24"/>
        </w:rPr>
        <w:t xml:space="preserve"> </w:t>
      </w:r>
    </w:p>
    <w:p w14:paraId="40ADFF52">
      <w:pPr>
        <w:rPr>
          <w:rFonts w:hint="eastAsia" w:ascii="宋体" w:hAnsi="宋体" w:cs="宋体"/>
          <w:sz w:val="24"/>
        </w:rPr>
      </w:pPr>
      <w:r>
        <w:rPr>
          <w:rFonts w:hint="eastAsia" w:ascii="宋体" w:hAnsi="宋体" w:cs="宋体"/>
          <w:sz w:val="24"/>
        </w:rPr>
        <w:br w:type="page"/>
      </w:r>
    </w:p>
    <w:p w14:paraId="6E28C2BB">
      <w:pPr>
        <w:jc w:val="center"/>
        <w:rPr>
          <w:rFonts w:hint="eastAsia" w:ascii="宋体" w:hAnsi="宋体" w:cs="宋体"/>
          <w:bCs/>
          <w:sz w:val="28"/>
          <w:szCs w:val="28"/>
        </w:rPr>
      </w:pPr>
      <w:r>
        <w:rPr>
          <w:rFonts w:hint="eastAsia" w:ascii="宋体" w:hAnsi="宋体" w:cs="宋体"/>
          <w:bCs/>
          <w:sz w:val="28"/>
          <w:szCs w:val="28"/>
        </w:rPr>
        <w:t>合 同 书</w:t>
      </w:r>
    </w:p>
    <w:p w14:paraId="2CC366E3">
      <w:pPr>
        <w:rPr>
          <w:rFonts w:hint="eastAsia" w:ascii="宋体" w:hAnsi="宋体" w:cs="宋体"/>
          <w:bCs/>
          <w:sz w:val="28"/>
          <w:szCs w:val="28"/>
        </w:rPr>
      </w:pPr>
    </w:p>
    <w:p w14:paraId="5F4EDC1E">
      <w:pPr>
        <w:snapToGrid w:val="0"/>
        <w:spacing w:line="360" w:lineRule="auto"/>
        <w:ind w:firstLine="480" w:firstLineChars="200"/>
        <w:jc w:val="left"/>
        <w:rPr>
          <w:rFonts w:hint="eastAsia" w:ascii="宋体" w:hAnsi="宋体" w:cs="宋体"/>
          <w:sz w:val="24"/>
        </w:rPr>
      </w:pPr>
      <w:r>
        <w:rPr>
          <w:rFonts w:hint="eastAsia" w:ascii="宋体" w:hAnsi="宋体" w:cs="宋体"/>
          <w:sz w:val="24"/>
        </w:rPr>
        <w:t>(采购人)(项目名称)中所需(服务名称)经国信招标集团以（招标 编号）号招标文件公开招标。经评标委员会评定(公司名称)为中标供应商。采购人、 中标供应商同意按照下面的条款和条件，签署本合同。</w:t>
      </w:r>
    </w:p>
    <w:p w14:paraId="6F5F59F1">
      <w:pPr>
        <w:snapToGrid w:val="0"/>
        <w:spacing w:line="360" w:lineRule="auto"/>
        <w:ind w:firstLine="480" w:firstLineChars="200"/>
        <w:jc w:val="left"/>
        <w:rPr>
          <w:rFonts w:hint="eastAsia" w:ascii="宋体" w:hAnsi="宋体" w:cs="宋体"/>
          <w:bCs/>
          <w:sz w:val="24"/>
        </w:rPr>
      </w:pPr>
    </w:p>
    <w:p w14:paraId="380A53BC">
      <w:pPr>
        <w:numPr>
          <w:ilvl w:val="0"/>
          <w:numId w:val="42"/>
        </w:numPr>
        <w:snapToGrid w:val="0"/>
        <w:spacing w:line="360" w:lineRule="auto"/>
        <w:jc w:val="left"/>
        <w:rPr>
          <w:rFonts w:hint="eastAsia" w:ascii="宋体" w:hAnsi="宋体" w:cs="宋体"/>
          <w:bCs/>
          <w:sz w:val="24"/>
        </w:rPr>
      </w:pPr>
      <w:r>
        <w:rPr>
          <w:rFonts w:hint="eastAsia" w:ascii="宋体" w:hAnsi="宋体" w:cs="宋体"/>
          <w:bCs/>
          <w:sz w:val="24"/>
        </w:rPr>
        <w:t>合同文件</w:t>
      </w:r>
    </w:p>
    <w:p w14:paraId="7F3B1D66">
      <w:pPr>
        <w:snapToGrid w:val="0"/>
        <w:spacing w:line="360" w:lineRule="auto"/>
        <w:ind w:firstLine="480" w:firstLineChars="200"/>
        <w:jc w:val="left"/>
        <w:rPr>
          <w:rFonts w:hint="eastAsia" w:ascii="宋体" w:hAnsi="宋体" w:cs="宋体"/>
          <w:sz w:val="24"/>
        </w:rPr>
      </w:pPr>
      <w:r>
        <w:rPr>
          <w:rFonts w:hint="eastAsia" w:ascii="宋体" w:hAnsi="宋体" w:cs="宋体"/>
          <w:sz w:val="24"/>
        </w:rPr>
        <w:t xml:space="preserve">下列文件构成本合同的组成部分，应当认为是一个整体，彼此相互解释，相互补 充。为便于解释，组成合同的多个文件的优先支配地位的次序如下： </w:t>
      </w:r>
    </w:p>
    <w:p w14:paraId="19E3C48C">
      <w:pPr>
        <w:numPr>
          <w:ilvl w:val="0"/>
          <w:numId w:val="43"/>
        </w:numPr>
        <w:snapToGrid w:val="0"/>
        <w:spacing w:line="360" w:lineRule="auto"/>
        <w:ind w:firstLine="480" w:firstLineChars="200"/>
        <w:jc w:val="left"/>
        <w:rPr>
          <w:rFonts w:hint="eastAsia" w:ascii="宋体" w:hAnsi="宋体" w:cs="宋体"/>
          <w:sz w:val="24"/>
        </w:rPr>
      </w:pPr>
      <w:r>
        <w:rPr>
          <w:rFonts w:hint="eastAsia" w:ascii="宋体" w:hAnsi="宋体" w:cs="宋体"/>
          <w:sz w:val="24"/>
        </w:rPr>
        <w:t xml:space="preserve">本合同书 </w:t>
      </w:r>
    </w:p>
    <w:p w14:paraId="51F7F750">
      <w:pPr>
        <w:numPr>
          <w:ilvl w:val="0"/>
          <w:numId w:val="43"/>
        </w:numPr>
        <w:snapToGrid w:val="0"/>
        <w:spacing w:line="360" w:lineRule="auto"/>
        <w:ind w:firstLine="480" w:firstLineChars="200"/>
        <w:jc w:val="left"/>
        <w:rPr>
          <w:rFonts w:hint="eastAsia" w:ascii="宋体" w:hAnsi="宋体" w:cs="宋体"/>
          <w:sz w:val="24"/>
        </w:rPr>
      </w:pPr>
      <w:r>
        <w:rPr>
          <w:rFonts w:hint="eastAsia" w:ascii="宋体" w:hAnsi="宋体" w:cs="宋体"/>
          <w:sz w:val="24"/>
        </w:rPr>
        <w:t xml:space="preserve">中标通知书 </w:t>
      </w:r>
    </w:p>
    <w:p w14:paraId="30D7AAB4">
      <w:pPr>
        <w:numPr>
          <w:ilvl w:val="0"/>
          <w:numId w:val="43"/>
        </w:numPr>
        <w:snapToGrid w:val="0"/>
        <w:spacing w:line="360" w:lineRule="auto"/>
        <w:ind w:firstLine="480" w:firstLineChars="200"/>
        <w:jc w:val="left"/>
        <w:rPr>
          <w:rFonts w:hint="eastAsia" w:ascii="宋体" w:hAnsi="宋体" w:cs="宋体"/>
          <w:sz w:val="24"/>
        </w:rPr>
      </w:pPr>
      <w:r>
        <w:rPr>
          <w:rFonts w:hint="eastAsia" w:ascii="宋体" w:hAnsi="宋体" w:cs="宋体"/>
          <w:sz w:val="24"/>
        </w:rPr>
        <w:t xml:space="preserve">合同书条款 </w:t>
      </w:r>
    </w:p>
    <w:p w14:paraId="5CBC91C8">
      <w:pPr>
        <w:numPr>
          <w:ilvl w:val="0"/>
          <w:numId w:val="43"/>
        </w:numPr>
        <w:snapToGrid w:val="0"/>
        <w:spacing w:line="360" w:lineRule="auto"/>
        <w:ind w:firstLine="480" w:firstLineChars="200"/>
        <w:jc w:val="left"/>
        <w:rPr>
          <w:rFonts w:hint="eastAsia" w:ascii="宋体" w:hAnsi="宋体" w:cs="宋体"/>
          <w:sz w:val="24"/>
        </w:rPr>
      </w:pPr>
      <w:r>
        <w:rPr>
          <w:rFonts w:hint="eastAsia" w:ascii="宋体" w:hAnsi="宋体" w:cs="宋体"/>
          <w:sz w:val="24"/>
        </w:rPr>
        <w:t xml:space="preserve">合同一般条款 </w:t>
      </w:r>
    </w:p>
    <w:p w14:paraId="4931900E">
      <w:pPr>
        <w:numPr>
          <w:ilvl w:val="0"/>
          <w:numId w:val="43"/>
        </w:numPr>
        <w:snapToGrid w:val="0"/>
        <w:spacing w:line="360" w:lineRule="auto"/>
        <w:ind w:firstLine="480" w:firstLineChars="200"/>
        <w:jc w:val="left"/>
        <w:rPr>
          <w:rFonts w:hint="eastAsia" w:ascii="宋体" w:hAnsi="宋体" w:cs="宋体"/>
          <w:sz w:val="24"/>
        </w:rPr>
      </w:pPr>
      <w:r>
        <w:rPr>
          <w:rFonts w:hint="eastAsia" w:ascii="宋体" w:hAnsi="宋体" w:cs="宋体"/>
          <w:sz w:val="24"/>
        </w:rPr>
        <w:t xml:space="preserve">投标文件(含澄清文件) </w:t>
      </w:r>
    </w:p>
    <w:p w14:paraId="0D70403B">
      <w:pPr>
        <w:numPr>
          <w:ilvl w:val="0"/>
          <w:numId w:val="43"/>
        </w:numPr>
        <w:snapToGrid w:val="0"/>
        <w:spacing w:line="360" w:lineRule="auto"/>
        <w:ind w:firstLine="480" w:firstLineChars="200"/>
        <w:jc w:val="left"/>
        <w:rPr>
          <w:rFonts w:hint="eastAsia" w:ascii="宋体" w:hAnsi="宋体" w:cs="宋体"/>
          <w:sz w:val="24"/>
        </w:rPr>
      </w:pPr>
      <w:r>
        <w:rPr>
          <w:rFonts w:hint="eastAsia" w:ascii="宋体" w:hAnsi="宋体" w:cs="宋体"/>
          <w:sz w:val="24"/>
        </w:rPr>
        <w:t>招标文件其他内容（含招标文件补充通知）</w:t>
      </w:r>
    </w:p>
    <w:p w14:paraId="265CD46D">
      <w:pPr>
        <w:snapToGrid w:val="0"/>
        <w:spacing w:line="360" w:lineRule="auto"/>
        <w:jc w:val="left"/>
        <w:rPr>
          <w:rFonts w:hint="eastAsia" w:ascii="宋体" w:hAnsi="宋体" w:cs="宋体"/>
          <w:sz w:val="24"/>
        </w:rPr>
      </w:pPr>
    </w:p>
    <w:p w14:paraId="524E2DE4">
      <w:pPr>
        <w:numPr>
          <w:ilvl w:val="0"/>
          <w:numId w:val="42"/>
        </w:numPr>
        <w:snapToGrid w:val="0"/>
        <w:spacing w:line="360" w:lineRule="auto"/>
        <w:jc w:val="left"/>
        <w:rPr>
          <w:rFonts w:hint="eastAsia" w:ascii="宋体" w:hAnsi="宋体" w:cs="宋体"/>
          <w:bCs/>
          <w:sz w:val="24"/>
        </w:rPr>
      </w:pPr>
      <w:r>
        <w:rPr>
          <w:rFonts w:hint="eastAsia" w:ascii="宋体" w:hAnsi="宋体" w:cs="宋体"/>
          <w:bCs/>
          <w:sz w:val="24"/>
        </w:rPr>
        <w:t xml:space="preserve">合同范围和条件 </w:t>
      </w:r>
    </w:p>
    <w:p w14:paraId="1C436AEF">
      <w:pPr>
        <w:snapToGrid w:val="0"/>
        <w:spacing w:line="360" w:lineRule="auto"/>
        <w:jc w:val="left"/>
        <w:rPr>
          <w:rFonts w:hint="eastAsia" w:ascii="宋体" w:hAnsi="宋体" w:cs="宋体"/>
          <w:sz w:val="24"/>
        </w:rPr>
      </w:pPr>
      <w:r>
        <w:rPr>
          <w:rFonts w:hint="eastAsia" w:ascii="宋体" w:hAnsi="宋体" w:cs="宋体"/>
          <w:sz w:val="24"/>
        </w:rPr>
        <w:t xml:space="preserve">本合同的范围和条件应与上述规定的合同文件内容一致。 </w:t>
      </w:r>
    </w:p>
    <w:p w14:paraId="616A03E7">
      <w:pPr>
        <w:numPr>
          <w:ilvl w:val="0"/>
          <w:numId w:val="42"/>
        </w:numPr>
        <w:snapToGrid w:val="0"/>
        <w:spacing w:line="360" w:lineRule="auto"/>
        <w:jc w:val="left"/>
        <w:rPr>
          <w:rFonts w:hint="eastAsia" w:ascii="宋体" w:hAnsi="宋体" w:cs="宋体"/>
          <w:bCs/>
          <w:sz w:val="24"/>
        </w:rPr>
      </w:pPr>
      <w:r>
        <w:rPr>
          <w:rFonts w:hint="eastAsia" w:ascii="宋体" w:hAnsi="宋体" w:cs="宋体"/>
          <w:bCs/>
          <w:sz w:val="24"/>
        </w:rPr>
        <w:t xml:space="preserve">服务内容 </w:t>
      </w:r>
    </w:p>
    <w:p w14:paraId="3B248DC9">
      <w:pPr>
        <w:spacing w:before="120" w:line="360" w:lineRule="auto"/>
        <w:ind w:firstLine="480" w:firstLineChars="200"/>
        <w:rPr>
          <w:rFonts w:hint="eastAsia" w:ascii="宋体" w:hAnsi="宋体" w:cs="宋体"/>
          <w:sz w:val="24"/>
        </w:rPr>
      </w:pPr>
      <w:r>
        <w:rPr>
          <w:rFonts w:hint="eastAsia" w:ascii="宋体" w:hAnsi="宋体" w:cs="宋体"/>
          <w:sz w:val="24"/>
        </w:rPr>
        <w:t>本次遥感数据采购及预处理服务包括：</w:t>
      </w:r>
    </w:p>
    <w:p w14:paraId="04601BD5">
      <w:pPr>
        <w:spacing w:before="120" w:line="360" w:lineRule="auto"/>
        <w:ind w:firstLine="480" w:firstLineChars="200"/>
        <w:rPr>
          <w:rFonts w:hint="eastAsia" w:ascii="宋体" w:hAnsi="宋体" w:cs="宋体"/>
          <w:sz w:val="24"/>
        </w:rPr>
      </w:pPr>
      <w:r>
        <w:rPr>
          <w:rFonts w:hint="eastAsia" w:ascii="宋体" w:hAnsi="宋体" w:cs="宋体"/>
          <w:sz w:val="24"/>
        </w:rPr>
        <w:t>1.获取北京市平谷区、怀柔区、延庆区、昌平区、海淀区、石景山区、丰台区、房山区、门头沟区、密云区山区及浅山区2024年度空间分辨率0.5m的卫星遥感数据，共计11134km</w:t>
      </w:r>
      <w:r>
        <w:rPr>
          <w:rFonts w:hint="eastAsia" w:ascii="宋体" w:hAnsi="宋体" w:cs="宋体"/>
          <w:sz w:val="24"/>
          <w:vertAlign w:val="superscript"/>
        </w:rPr>
        <w:t>2</w:t>
      </w:r>
      <w:r>
        <w:rPr>
          <w:rFonts w:hint="eastAsia" w:ascii="宋体" w:hAnsi="宋体" w:cs="宋体"/>
          <w:sz w:val="24"/>
        </w:rPr>
        <w:t>；对获取的数据进行融合、正射、配准、拼接等预处理。</w:t>
      </w:r>
    </w:p>
    <w:p w14:paraId="76187C9D">
      <w:pPr>
        <w:spacing w:before="120" w:line="360" w:lineRule="auto"/>
        <w:ind w:firstLine="480" w:firstLineChars="200"/>
        <w:rPr>
          <w:rFonts w:hint="eastAsia" w:ascii="宋体" w:hAnsi="宋体" w:cs="宋体"/>
          <w:sz w:val="24"/>
        </w:rPr>
      </w:pPr>
      <w:r>
        <w:rPr>
          <w:rFonts w:hint="eastAsia" w:ascii="宋体" w:hAnsi="宋体" w:cs="宋体"/>
          <w:sz w:val="24"/>
        </w:rPr>
        <w:t>2.获取2024年度北京市范围内5m多视精细模式sar影像数据12景，超宽精细模式sar数据36景。</w:t>
      </w:r>
    </w:p>
    <w:p w14:paraId="247182C1">
      <w:pPr>
        <w:spacing w:before="120" w:line="360" w:lineRule="auto"/>
        <w:ind w:firstLine="480" w:firstLineChars="200"/>
        <w:rPr>
          <w:rFonts w:hint="eastAsia" w:ascii="宋体" w:hAnsi="宋体" w:cs="宋体"/>
          <w:bCs/>
          <w:sz w:val="24"/>
        </w:rPr>
      </w:pPr>
      <w:r>
        <w:rPr>
          <w:rFonts w:hint="eastAsia" w:ascii="宋体" w:hAnsi="宋体" w:cs="宋体"/>
          <w:bCs/>
          <w:sz w:val="24"/>
        </w:rPr>
        <w:t>1）影像基础信息</w:t>
      </w:r>
    </w:p>
    <w:tbl>
      <w:tblPr>
        <w:tblStyle w:val="42"/>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892"/>
      </w:tblGrid>
      <w:tr w14:paraId="13B8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22" w:type="dxa"/>
            <w:gridSpan w:val="2"/>
            <w:vAlign w:val="center"/>
          </w:tcPr>
          <w:p w14:paraId="31B1F95C">
            <w:pPr>
              <w:spacing w:before="120" w:line="360" w:lineRule="auto"/>
              <w:jc w:val="center"/>
              <w:rPr>
                <w:rFonts w:hint="eastAsia" w:ascii="宋体" w:hAnsi="宋体" w:cs="宋体"/>
                <w:bCs/>
                <w:szCs w:val="21"/>
              </w:rPr>
            </w:pPr>
            <w:r>
              <w:rPr>
                <w:rFonts w:hint="eastAsia" w:ascii="宋体" w:hAnsi="宋体" w:cs="宋体"/>
                <w:bCs/>
                <w:szCs w:val="21"/>
              </w:rPr>
              <w:t>影像基础信息</w:t>
            </w:r>
          </w:p>
        </w:tc>
      </w:tr>
      <w:tr w14:paraId="61D7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14:paraId="17654114">
            <w:pPr>
              <w:spacing w:before="120" w:line="360" w:lineRule="auto"/>
              <w:jc w:val="center"/>
              <w:rPr>
                <w:rFonts w:hint="eastAsia" w:ascii="宋体" w:hAnsi="宋体" w:cs="宋体"/>
                <w:szCs w:val="21"/>
              </w:rPr>
            </w:pPr>
            <w:r>
              <w:rPr>
                <w:rFonts w:hint="eastAsia" w:ascii="宋体" w:hAnsi="宋体" w:cs="宋体"/>
                <w:szCs w:val="21"/>
              </w:rPr>
              <w:t>影像类型</w:t>
            </w:r>
          </w:p>
        </w:tc>
        <w:tc>
          <w:tcPr>
            <w:tcW w:w="5892" w:type="dxa"/>
            <w:vAlign w:val="center"/>
          </w:tcPr>
          <w:p w14:paraId="227E4986">
            <w:pPr>
              <w:spacing w:before="120" w:line="360" w:lineRule="auto"/>
              <w:jc w:val="center"/>
              <w:rPr>
                <w:rFonts w:hint="eastAsia" w:ascii="宋体" w:hAnsi="宋体" w:cs="宋体"/>
                <w:szCs w:val="21"/>
              </w:rPr>
            </w:pPr>
          </w:p>
        </w:tc>
      </w:tr>
      <w:tr w14:paraId="1C23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14:paraId="1FCE1A21">
            <w:pPr>
              <w:spacing w:before="120" w:line="360" w:lineRule="auto"/>
              <w:jc w:val="center"/>
              <w:rPr>
                <w:rFonts w:hint="eastAsia" w:ascii="宋体" w:hAnsi="宋体" w:cs="宋体"/>
                <w:szCs w:val="21"/>
              </w:rPr>
            </w:pPr>
            <w:r>
              <w:rPr>
                <w:rFonts w:hint="eastAsia" w:ascii="宋体" w:hAnsi="宋体" w:cs="宋体"/>
                <w:szCs w:val="21"/>
              </w:rPr>
              <w:t>空间分辨率</w:t>
            </w:r>
          </w:p>
        </w:tc>
        <w:tc>
          <w:tcPr>
            <w:tcW w:w="5892" w:type="dxa"/>
            <w:vAlign w:val="center"/>
          </w:tcPr>
          <w:p w14:paraId="40CD397B">
            <w:pPr>
              <w:spacing w:before="120" w:line="360" w:lineRule="auto"/>
              <w:jc w:val="center"/>
              <w:rPr>
                <w:rFonts w:hint="eastAsia" w:ascii="宋体" w:hAnsi="宋体" w:cs="宋体"/>
                <w:szCs w:val="21"/>
              </w:rPr>
            </w:pPr>
          </w:p>
        </w:tc>
      </w:tr>
    </w:tbl>
    <w:p w14:paraId="06D79EAC">
      <w:pPr>
        <w:spacing w:before="120" w:line="360" w:lineRule="auto"/>
        <w:ind w:firstLine="480" w:firstLineChars="200"/>
        <w:rPr>
          <w:rFonts w:hint="eastAsia" w:ascii="宋体" w:hAnsi="宋体" w:cs="宋体"/>
          <w:bCs/>
          <w:sz w:val="24"/>
        </w:rPr>
      </w:pPr>
      <w:r>
        <w:rPr>
          <w:rFonts w:hint="eastAsia" w:ascii="宋体" w:hAnsi="宋体" w:cs="宋体"/>
          <w:bCs/>
          <w:sz w:val="24"/>
        </w:rPr>
        <w:t>2）合同成果参数</w:t>
      </w:r>
    </w:p>
    <w:tbl>
      <w:tblPr>
        <w:tblStyle w:val="42"/>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3"/>
        <w:gridCol w:w="2264"/>
        <w:gridCol w:w="234"/>
        <w:gridCol w:w="1250"/>
        <w:gridCol w:w="217"/>
        <w:gridCol w:w="323"/>
        <w:gridCol w:w="2423"/>
      </w:tblGrid>
      <w:tr w14:paraId="1FD3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8784" w:type="dxa"/>
            <w:gridSpan w:val="7"/>
            <w:tcBorders>
              <w:top w:val="single" w:color="auto" w:sz="4" w:space="0"/>
              <w:left w:val="single" w:color="auto" w:sz="4" w:space="0"/>
              <w:bottom w:val="single" w:color="auto" w:sz="4" w:space="0"/>
              <w:right w:val="single" w:color="auto" w:sz="4" w:space="0"/>
            </w:tcBorders>
            <w:shd w:val="clear" w:color="auto" w:fill="C0C0C0"/>
            <w:vAlign w:val="center"/>
          </w:tcPr>
          <w:p w14:paraId="18EEE4FC">
            <w:pPr>
              <w:snapToGrid w:val="0"/>
              <w:jc w:val="center"/>
              <w:rPr>
                <w:rFonts w:hint="eastAsia" w:ascii="宋体" w:hAnsi="宋体" w:cs="宋体"/>
                <w:bCs/>
              </w:rPr>
            </w:pPr>
            <w:r>
              <w:rPr>
                <w:rFonts w:hint="eastAsia" w:ascii="宋体" w:hAnsi="宋体" w:cs="宋体"/>
                <w:bCs/>
              </w:rPr>
              <w:t>光学数据参数信息</w:t>
            </w:r>
          </w:p>
        </w:tc>
      </w:tr>
      <w:tr w14:paraId="5D4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73" w:type="dxa"/>
            <w:tcBorders>
              <w:top w:val="single" w:color="auto" w:sz="4" w:space="0"/>
              <w:left w:val="single" w:color="auto" w:sz="4" w:space="0"/>
              <w:bottom w:val="single" w:color="auto" w:sz="4" w:space="0"/>
              <w:right w:val="single" w:color="auto" w:sz="4" w:space="0"/>
            </w:tcBorders>
            <w:vAlign w:val="center"/>
          </w:tcPr>
          <w:p w14:paraId="07B2B9B3">
            <w:pPr>
              <w:snapToGrid w:val="0"/>
              <w:rPr>
                <w:rFonts w:hint="eastAsia" w:ascii="宋体" w:hAnsi="宋体" w:cs="宋体"/>
                <w:bCs/>
              </w:rPr>
            </w:pPr>
            <w:r>
              <w:rPr>
                <w:rFonts w:hint="eastAsia" w:ascii="宋体" w:hAnsi="宋体" w:cs="宋体"/>
              </w:rPr>
              <w:t>数据类型</w:t>
            </w:r>
          </w:p>
        </w:tc>
        <w:tc>
          <w:tcPr>
            <w:tcW w:w="6711" w:type="dxa"/>
            <w:gridSpan w:val="6"/>
            <w:tcBorders>
              <w:top w:val="single" w:color="auto" w:sz="4" w:space="0"/>
              <w:left w:val="single" w:color="auto" w:sz="4" w:space="0"/>
              <w:bottom w:val="single" w:color="auto" w:sz="4" w:space="0"/>
              <w:right w:val="single" w:color="auto" w:sz="4" w:space="0"/>
            </w:tcBorders>
            <w:vAlign w:val="center"/>
          </w:tcPr>
          <w:p w14:paraId="6E8AC8FD">
            <w:pPr>
              <w:snapToGrid w:val="0"/>
              <w:rPr>
                <w:rFonts w:hint="eastAsia" w:ascii="宋体" w:hAnsi="宋体" w:cs="宋体"/>
                <w:bCs/>
              </w:rPr>
            </w:pPr>
          </w:p>
        </w:tc>
      </w:tr>
      <w:tr w14:paraId="7F4C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73" w:type="dxa"/>
            <w:tcBorders>
              <w:top w:val="single" w:color="auto" w:sz="4" w:space="0"/>
              <w:left w:val="single" w:color="auto" w:sz="4" w:space="0"/>
              <w:bottom w:val="single" w:color="auto" w:sz="4" w:space="0"/>
              <w:right w:val="single" w:color="auto" w:sz="4" w:space="0"/>
            </w:tcBorders>
            <w:vAlign w:val="center"/>
          </w:tcPr>
          <w:p w14:paraId="00F176A2">
            <w:pPr>
              <w:snapToGrid w:val="0"/>
              <w:rPr>
                <w:rFonts w:hint="eastAsia" w:ascii="宋体" w:hAnsi="宋体" w:cs="宋体"/>
                <w:bCs/>
              </w:rPr>
            </w:pPr>
            <w:r>
              <w:rPr>
                <w:rFonts w:hint="eastAsia" w:ascii="宋体" w:hAnsi="宋体" w:cs="宋体"/>
              </w:rPr>
              <w:t>选择像元大小（米）</w:t>
            </w:r>
          </w:p>
        </w:tc>
        <w:tc>
          <w:tcPr>
            <w:tcW w:w="6711" w:type="dxa"/>
            <w:gridSpan w:val="6"/>
            <w:tcBorders>
              <w:top w:val="single" w:color="auto" w:sz="4" w:space="0"/>
              <w:left w:val="single" w:color="auto" w:sz="4" w:space="0"/>
              <w:bottom w:val="single" w:color="auto" w:sz="4" w:space="0"/>
              <w:right w:val="single" w:color="auto" w:sz="4" w:space="0"/>
            </w:tcBorders>
            <w:vAlign w:val="center"/>
          </w:tcPr>
          <w:p w14:paraId="4A60D15C">
            <w:pPr>
              <w:snapToGrid w:val="0"/>
              <w:rPr>
                <w:rFonts w:hint="eastAsia" w:ascii="宋体" w:hAnsi="宋体" w:cs="宋体"/>
                <w:bCs/>
              </w:rPr>
            </w:pPr>
          </w:p>
        </w:tc>
      </w:tr>
      <w:tr w14:paraId="6498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73" w:type="dxa"/>
            <w:tcBorders>
              <w:top w:val="single" w:color="auto" w:sz="4" w:space="0"/>
              <w:left w:val="single" w:color="auto" w:sz="4" w:space="0"/>
              <w:bottom w:val="single" w:color="auto" w:sz="4" w:space="0"/>
              <w:right w:val="single" w:color="auto" w:sz="4" w:space="0"/>
            </w:tcBorders>
            <w:vAlign w:val="center"/>
          </w:tcPr>
          <w:p w14:paraId="36ABFE76">
            <w:pPr>
              <w:snapToGrid w:val="0"/>
              <w:rPr>
                <w:rFonts w:hint="eastAsia" w:ascii="宋体" w:hAnsi="宋体" w:cs="宋体"/>
              </w:rPr>
            </w:pPr>
            <w:r>
              <w:rPr>
                <w:rFonts w:hint="eastAsia" w:ascii="宋体" w:hAnsi="宋体" w:cs="宋体"/>
              </w:rPr>
              <w:t>谱段数</w:t>
            </w:r>
          </w:p>
        </w:tc>
        <w:tc>
          <w:tcPr>
            <w:tcW w:w="6711" w:type="dxa"/>
            <w:gridSpan w:val="6"/>
            <w:tcBorders>
              <w:top w:val="single" w:color="auto" w:sz="4" w:space="0"/>
              <w:left w:val="single" w:color="auto" w:sz="4" w:space="0"/>
              <w:bottom w:val="single" w:color="auto" w:sz="4" w:space="0"/>
              <w:right w:val="single" w:color="auto" w:sz="4" w:space="0"/>
            </w:tcBorders>
            <w:vAlign w:val="center"/>
          </w:tcPr>
          <w:p w14:paraId="7F4DBEAB">
            <w:pPr>
              <w:snapToGrid w:val="0"/>
              <w:rPr>
                <w:rFonts w:hint="eastAsia" w:ascii="宋体" w:hAnsi="宋体" w:cs="宋体"/>
                <w:bCs/>
              </w:rPr>
            </w:pPr>
          </w:p>
        </w:tc>
      </w:tr>
      <w:tr w14:paraId="0F0F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2073" w:type="dxa"/>
            <w:tcBorders>
              <w:top w:val="single" w:color="auto" w:sz="4" w:space="0"/>
              <w:left w:val="single" w:color="auto" w:sz="4" w:space="0"/>
              <w:bottom w:val="single" w:color="auto" w:sz="4" w:space="0"/>
              <w:right w:val="single" w:color="auto" w:sz="4" w:space="0"/>
            </w:tcBorders>
            <w:vAlign w:val="center"/>
          </w:tcPr>
          <w:p w14:paraId="4EB5F562">
            <w:pPr>
              <w:snapToGrid w:val="0"/>
              <w:rPr>
                <w:rFonts w:hint="eastAsia" w:ascii="宋体" w:hAnsi="宋体" w:cs="宋体"/>
              </w:rPr>
            </w:pPr>
            <w:r>
              <w:rPr>
                <w:rFonts w:hint="eastAsia" w:ascii="宋体" w:hAnsi="宋体" w:cs="宋体"/>
              </w:rPr>
              <w:t>处理级别</w:t>
            </w:r>
          </w:p>
        </w:tc>
        <w:tc>
          <w:tcPr>
            <w:tcW w:w="2498" w:type="dxa"/>
            <w:gridSpan w:val="2"/>
            <w:tcBorders>
              <w:top w:val="single" w:color="auto" w:sz="4" w:space="0"/>
              <w:left w:val="single" w:color="auto" w:sz="4" w:space="0"/>
              <w:bottom w:val="single" w:color="auto" w:sz="4" w:space="0"/>
              <w:right w:val="single" w:color="auto" w:sz="4" w:space="0"/>
            </w:tcBorders>
            <w:vAlign w:val="center"/>
          </w:tcPr>
          <w:p w14:paraId="3593A1BF">
            <w:pPr>
              <w:snapToGrid w:val="0"/>
              <w:rPr>
                <w:rFonts w:hint="eastAsia" w:ascii="宋体" w:hAnsi="宋体" w:cs="宋体"/>
              </w:rPr>
            </w:pPr>
          </w:p>
        </w:tc>
        <w:tc>
          <w:tcPr>
            <w:tcW w:w="1790" w:type="dxa"/>
            <w:gridSpan w:val="3"/>
            <w:tcBorders>
              <w:top w:val="single" w:color="auto" w:sz="4" w:space="0"/>
              <w:left w:val="single" w:color="auto" w:sz="4" w:space="0"/>
              <w:bottom w:val="single" w:color="auto" w:sz="4" w:space="0"/>
              <w:right w:val="single" w:color="auto" w:sz="4" w:space="0"/>
            </w:tcBorders>
            <w:vAlign w:val="center"/>
          </w:tcPr>
          <w:p w14:paraId="7BB0DA80">
            <w:pPr>
              <w:snapToGrid w:val="0"/>
              <w:rPr>
                <w:rFonts w:hint="eastAsia" w:ascii="宋体" w:hAnsi="宋体" w:cs="宋体"/>
              </w:rPr>
            </w:pPr>
          </w:p>
        </w:tc>
        <w:tc>
          <w:tcPr>
            <w:tcW w:w="2423" w:type="dxa"/>
            <w:tcBorders>
              <w:top w:val="single" w:color="auto" w:sz="4" w:space="0"/>
              <w:left w:val="single" w:color="auto" w:sz="4" w:space="0"/>
              <w:bottom w:val="single" w:color="auto" w:sz="4" w:space="0"/>
              <w:right w:val="single" w:color="auto" w:sz="4" w:space="0"/>
            </w:tcBorders>
            <w:vAlign w:val="center"/>
          </w:tcPr>
          <w:p w14:paraId="4ABB5098">
            <w:pPr>
              <w:snapToGrid w:val="0"/>
              <w:rPr>
                <w:rFonts w:hint="eastAsia" w:ascii="宋体" w:hAnsi="宋体" w:cs="宋体"/>
              </w:rPr>
            </w:pPr>
          </w:p>
        </w:tc>
      </w:tr>
      <w:tr w14:paraId="46A1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73" w:type="dxa"/>
            <w:tcBorders>
              <w:top w:val="single" w:color="auto" w:sz="4" w:space="0"/>
              <w:left w:val="single" w:color="auto" w:sz="4" w:space="0"/>
              <w:bottom w:val="single" w:color="auto" w:sz="4" w:space="0"/>
              <w:right w:val="single" w:color="auto" w:sz="4" w:space="0"/>
            </w:tcBorders>
            <w:vAlign w:val="center"/>
          </w:tcPr>
          <w:p w14:paraId="66816FB5">
            <w:pPr>
              <w:snapToGrid w:val="0"/>
              <w:rPr>
                <w:rFonts w:hint="eastAsia" w:ascii="宋体" w:hAnsi="宋体" w:cs="宋体"/>
              </w:rPr>
            </w:pPr>
            <w:r>
              <w:rPr>
                <w:rFonts w:hint="eastAsia" w:ascii="宋体" w:hAnsi="宋体" w:cs="宋体"/>
              </w:rPr>
              <w:t>数据位深</w:t>
            </w:r>
          </w:p>
        </w:tc>
        <w:tc>
          <w:tcPr>
            <w:tcW w:w="6711" w:type="dxa"/>
            <w:gridSpan w:val="6"/>
            <w:tcBorders>
              <w:top w:val="single" w:color="auto" w:sz="4" w:space="0"/>
              <w:left w:val="single" w:color="auto" w:sz="4" w:space="0"/>
              <w:bottom w:val="single" w:color="auto" w:sz="4" w:space="0"/>
              <w:right w:val="single" w:color="auto" w:sz="4" w:space="0"/>
            </w:tcBorders>
            <w:vAlign w:val="center"/>
          </w:tcPr>
          <w:p w14:paraId="0EA76386">
            <w:pPr>
              <w:snapToGrid w:val="0"/>
              <w:rPr>
                <w:rFonts w:hint="eastAsia" w:ascii="宋体" w:hAnsi="宋体" w:cs="宋体"/>
              </w:rPr>
            </w:pPr>
          </w:p>
        </w:tc>
      </w:tr>
      <w:tr w14:paraId="122A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73" w:type="dxa"/>
            <w:tcBorders>
              <w:top w:val="single" w:color="auto" w:sz="4" w:space="0"/>
              <w:left w:val="single" w:color="auto" w:sz="4" w:space="0"/>
              <w:bottom w:val="single" w:color="auto" w:sz="4" w:space="0"/>
              <w:right w:val="single" w:color="auto" w:sz="4" w:space="0"/>
            </w:tcBorders>
            <w:vAlign w:val="center"/>
          </w:tcPr>
          <w:p w14:paraId="484E7AC3">
            <w:pPr>
              <w:snapToGrid w:val="0"/>
              <w:rPr>
                <w:rFonts w:hint="eastAsia" w:ascii="宋体" w:hAnsi="宋体" w:cs="宋体"/>
              </w:rPr>
            </w:pPr>
            <w:r>
              <w:rPr>
                <w:rFonts w:hint="eastAsia" w:ascii="宋体" w:hAnsi="宋体" w:cs="宋体"/>
              </w:rPr>
              <w:t>数据介质</w:t>
            </w:r>
          </w:p>
        </w:tc>
        <w:tc>
          <w:tcPr>
            <w:tcW w:w="2498" w:type="dxa"/>
            <w:gridSpan w:val="2"/>
            <w:tcBorders>
              <w:top w:val="single" w:color="auto" w:sz="4" w:space="0"/>
              <w:left w:val="single" w:color="auto" w:sz="4" w:space="0"/>
              <w:bottom w:val="single" w:color="auto" w:sz="4" w:space="0"/>
              <w:right w:val="single" w:color="auto" w:sz="4" w:space="0"/>
            </w:tcBorders>
            <w:vAlign w:val="center"/>
          </w:tcPr>
          <w:p w14:paraId="05C8589F">
            <w:pPr>
              <w:snapToGrid w:val="0"/>
              <w:rPr>
                <w:rFonts w:hint="eastAsia" w:ascii="宋体" w:hAnsi="宋体" w:cs="宋体"/>
              </w:rPr>
            </w:pPr>
          </w:p>
        </w:tc>
        <w:tc>
          <w:tcPr>
            <w:tcW w:w="1250" w:type="dxa"/>
            <w:tcBorders>
              <w:top w:val="single" w:color="auto" w:sz="4" w:space="0"/>
              <w:left w:val="single" w:color="auto" w:sz="4" w:space="0"/>
              <w:bottom w:val="single" w:color="auto" w:sz="4" w:space="0"/>
              <w:right w:val="single" w:color="auto" w:sz="4" w:space="0"/>
            </w:tcBorders>
            <w:vAlign w:val="center"/>
          </w:tcPr>
          <w:p w14:paraId="71FC6DB4">
            <w:pPr>
              <w:snapToGrid w:val="0"/>
              <w:rPr>
                <w:rFonts w:hint="eastAsia" w:ascii="宋体" w:hAnsi="宋体" w:cs="宋体"/>
              </w:rPr>
            </w:pPr>
          </w:p>
        </w:tc>
        <w:tc>
          <w:tcPr>
            <w:tcW w:w="2963" w:type="dxa"/>
            <w:gridSpan w:val="3"/>
            <w:tcBorders>
              <w:top w:val="single" w:color="auto" w:sz="4" w:space="0"/>
              <w:left w:val="single" w:color="auto" w:sz="4" w:space="0"/>
              <w:bottom w:val="single" w:color="auto" w:sz="4" w:space="0"/>
              <w:right w:val="single" w:color="auto" w:sz="4" w:space="0"/>
            </w:tcBorders>
            <w:vAlign w:val="center"/>
          </w:tcPr>
          <w:p w14:paraId="7C097717">
            <w:pPr>
              <w:snapToGrid w:val="0"/>
              <w:rPr>
                <w:rFonts w:hint="eastAsia" w:ascii="宋体" w:hAnsi="宋体" w:cs="宋体"/>
              </w:rPr>
            </w:pPr>
          </w:p>
        </w:tc>
      </w:tr>
      <w:tr w14:paraId="6CBA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73" w:type="dxa"/>
            <w:tcBorders>
              <w:top w:val="single" w:color="auto" w:sz="4" w:space="0"/>
              <w:left w:val="single" w:color="auto" w:sz="4" w:space="0"/>
              <w:bottom w:val="single" w:color="auto" w:sz="4" w:space="0"/>
              <w:right w:val="single" w:color="auto" w:sz="4" w:space="0"/>
            </w:tcBorders>
            <w:vAlign w:val="center"/>
          </w:tcPr>
          <w:p w14:paraId="0B09106C">
            <w:pPr>
              <w:snapToGrid w:val="0"/>
              <w:rPr>
                <w:rFonts w:hint="eastAsia" w:ascii="宋体" w:hAnsi="宋体" w:cs="宋体"/>
              </w:rPr>
            </w:pPr>
            <w:r>
              <w:rPr>
                <w:rFonts w:hint="eastAsia" w:ascii="宋体" w:hAnsi="宋体" w:cs="宋体"/>
              </w:rPr>
              <w:t>许可类型</w:t>
            </w:r>
          </w:p>
        </w:tc>
        <w:tc>
          <w:tcPr>
            <w:tcW w:w="2498" w:type="dxa"/>
            <w:gridSpan w:val="2"/>
            <w:tcBorders>
              <w:top w:val="single" w:color="auto" w:sz="4" w:space="0"/>
              <w:left w:val="single" w:color="auto" w:sz="4" w:space="0"/>
              <w:bottom w:val="single" w:color="auto" w:sz="4" w:space="0"/>
              <w:right w:val="single" w:color="auto" w:sz="4" w:space="0"/>
            </w:tcBorders>
            <w:vAlign w:val="center"/>
          </w:tcPr>
          <w:p w14:paraId="75C7BE05">
            <w:pPr>
              <w:snapToGrid w:val="0"/>
              <w:rPr>
                <w:rFonts w:hint="eastAsia" w:ascii="宋体" w:hAnsi="宋体" w:cs="宋体"/>
              </w:rPr>
            </w:pPr>
          </w:p>
        </w:tc>
        <w:tc>
          <w:tcPr>
            <w:tcW w:w="1250" w:type="dxa"/>
            <w:tcBorders>
              <w:top w:val="single" w:color="auto" w:sz="4" w:space="0"/>
              <w:left w:val="single" w:color="auto" w:sz="4" w:space="0"/>
              <w:bottom w:val="single" w:color="auto" w:sz="4" w:space="0"/>
              <w:right w:val="single" w:color="auto" w:sz="4" w:space="0"/>
            </w:tcBorders>
            <w:vAlign w:val="center"/>
          </w:tcPr>
          <w:p w14:paraId="0AD1CE44">
            <w:pPr>
              <w:snapToGrid w:val="0"/>
              <w:rPr>
                <w:rFonts w:hint="eastAsia" w:ascii="宋体" w:hAnsi="宋体" w:cs="宋体"/>
              </w:rPr>
            </w:pPr>
          </w:p>
        </w:tc>
        <w:tc>
          <w:tcPr>
            <w:tcW w:w="2963" w:type="dxa"/>
            <w:gridSpan w:val="3"/>
            <w:tcBorders>
              <w:top w:val="single" w:color="auto" w:sz="4" w:space="0"/>
              <w:left w:val="single" w:color="auto" w:sz="4" w:space="0"/>
              <w:bottom w:val="single" w:color="auto" w:sz="4" w:space="0"/>
              <w:right w:val="single" w:color="auto" w:sz="4" w:space="0"/>
            </w:tcBorders>
            <w:vAlign w:val="center"/>
          </w:tcPr>
          <w:p w14:paraId="2DE2B157">
            <w:pPr>
              <w:snapToGrid w:val="0"/>
              <w:rPr>
                <w:rFonts w:hint="eastAsia" w:ascii="宋体" w:hAnsi="宋体" w:cs="宋体"/>
              </w:rPr>
            </w:pPr>
          </w:p>
        </w:tc>
      </w:tr>
      <w:tr w14:paraId="73CB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84" w:type="dxa"/>
            <w:gridSpan w:val="7"/>
            <w:tcBorders>
              <w:top w:val="single" w:color="auto" w:sz="4" w:space="0"/>
              <w:left w:val="single" w:color="auto" w:sz="4" w:space="0"/>
              <w:bottom w:val="single" w:color="auto" w:sz="4" w:space="0"/>
              <w:right w:val="single" w:color="auto" w:sz="4" w:space="0"/>
            </w:tcBorders>
            <w:shd w:val="clear" w:color="auto" w:fill="C0C0C0"/>
            <w:vAlign w:val="center"/>
          </w:tcPr>
          <w:p w14:paraId="3A29E1E5">
            <w:pPr>
              <w:snapToGrid w:val="0"/>
              <w:jc w:val="center"/>
              <w:rPr>
                <w:rFonts w:hint="eastAsia" w:ascii="宋体" w:hAnsi="宋体" w:cs="宋体"/>
                <w:bCs/>
              </w:rPr>
            </w:pPr>
            <w:r>
              <w:rPr>
                <w:rFonts w:hint="eastAsia" w:ascii="宋体" w:hAnsi="宋体" w:cs="宋体"/>
                <w:bCs/>
              </w:rPr>
              <w:t>合同信息</w:t>
            </w:r>
          </w:p>
        </w:tc>
      </w:tr>
      <w:tr w14:paraId="652A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73" w:type="dxa"/>
            <w:tcBorders>
              <w:top w:val="single" w:color="auto" w:sz="4" w:space="0"/>
              <w:left w:val="single" w:color="auto" w:sz="4" w:space="0"/>
              <w:bottom w:val="single" w:color="auto" w:sz="4" w:space="0"/>
              <w:right w:val="single" w:color="auto" w:sz="4" w:space="0"/>
            </w:tcBorders>
            <w:vAlign w:val="center"/>
          </w:tcPr>
          <w:p w14:paraId="6DF66A94">
            <w:pPr>
              <w:snapToGrid w:val="0"/>
              <w:rPr>
                <w:rFonts w:hint="eastAsia" w:ascii="宋体" w:hAnsi="宋体" w:cs="宋体"/>
              </w:rPr>
            </w:pPr>
            <w:r>
              <w:rPr>
                <w:rFonts w:hint="eastAsia" w:ascii="宋体" w:hAnsi="宋体" w:cs="宋体"/>
              </w:rPr>
              <w:t>合同类型</w:t>
            </w:r>
          </w:p>
        </w:tc>
        <w:tc>
          <w:tcPr>
            <w:tcW w:w="2264" w:type="dxa"/>
            <w:tcBorders>
              <w:top w:val="single" w:color="auto" w:sz="4" w:space="0"/>
              <w:left w:val="single" w:color="auto" w:sz="4" w:space="0"/>
              <w:bottom w:val="single" w:color="auto" w:sz="4" w:space="0"/>
              <w:right w:val="single" w:color="auto" w:sz="4" w:space="0"/>
            </w:tcBorders>
            <w:vAlign w:val="center"/>
          </w:tcPr>
          <w:p w14:paraId="2163ACAC">
            <w:pPr>
              <w:snapToGrid w:val="0"/>
              <w:rPr>
                <w:rFonts w:hint="eastAsia" w:ascii="宋体" w:hAnsi="宋体" w:cs="宋体"/>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07E41489">
            <w:pPr>
              <w:snapToGrid w:val="0"/>
              <w:rPr>
                <w:rFonts w:hint="eastAsia" w:ascii="宋体" w:hAnsi="宋体" w:cs="宋体"/>
              </w:rPr>
            </w:pPr>
          </w:p>
        </w:tc>
        <w:tc>
          <w:tcPr>
            <w:tcW w:w="2746" w:type="dxa"/>
            <w:gridSpan w:val="2"/>
            <w:tcBorders>
              <w:top w:val="single" w:color="auto" w:sz="4" w:space="0"/>
              <w:left w:val="single" w:color="auto" w:sz="4" w:space="0"/>
              <w:bottom w:val="single" w:color="auto" w:sz="4" w:space="0"/>
              <w:right w:val="single" w:color="auto" w:sz="4" w:space="0"/>
            </w:tcBorders>
            <w:vAlign w:val="center"/>
          </w:tcPr>
          <w:p w14:paraId="53F47B46">
            <w:pPr>
              <w:snapToGrid w:val="0"/>
              <w:rPr>
                <w:rFonts w:hint="eastAsia" w:ascii="宋体" w:hAnsi="宋体" w:cs="宋体"/>
              </w:rPr>
            </w:pPr>
          </w:p>
        </w:tc>
      </w:tr>
      <w:tr w14:paraId="5A85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73" w:type="dxa"/>
            <w:tcBorders>
              <w:top w:val="single" w:color="auto" w:sz="4" w:space="0"/>
              <w:left w:val="single" w:color="auto" w:sz="4" w:space="0"/>
              <w:bottom w:val="single" w:color="auto" w:sz="4" w:space="0"/>
              <w:right w:val="single" w:color="auto" w:sz="4" w:space="0"/>
            </w:tcBorders>
            <w:vAlign w:val="center"/>
          </w:tcPr>
          <w:p w14:paraId="192B0C23">
            <w:pPr>
              <w:snapToGrid w:val="0"/>
              <w:rPr>
                <w:rFonts w:hint="eastAsia" w:ascii="宋体" w:hAnsi="宋体" w:cs="宋体"/>
              </w:rPr>
            </w:pPr>
            <w:r>
              <w:rPr>
                <w:rFonts w:hint="eastAsia" w:ascii="宋体" w:hAnsi="宋体" w:cs="宋体"/>
              </w:rPr>
              <w:t>拍摄角度</w:t>
            </w:r>
          </w:p>
        </w:tc>
        <w:tc>
          <w:tcPr>
            <w:tcW w:w="2264" w:type="dxa"/>
            <w:tcBorders>
              <w:top w:val="single" w:color="auto" w:sz="4" w:space="0"/>
              <w:left w:val="single" w:color="auto" w:sz="4" w:space="0"/>
              <w:bottom w:val="single" w:color="auto" w:sz="4" w:space="0"/>
              <w:right w:val="single" w:color="auto" w:sz="4" w:space="0"/>
            </w:tcBorders>
            <w:vAlign w:val="center"/>
          </w:tcPr>
          <w:p w14:paraId="237D5516">
            <w:pPr>
              <w:snapToGrid w:val="0"/>
              <w:rPr>
                <w:rFonts w:hint="eastAsia" w:ascii="宋体" w:hAnsi="宋体" w:cs="宋体"/>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1A35F394">
            <w:pPr>
              <w:snapToGrid w:val="0"/>
              <w:rPr>
                <w:rFonts w:hint="eastAsia" w:ascii="宋体" w:hAnsi="宋体" w:cs="宋体"/>
              </w:rPr>
            </w:pPr>
          </w:p>
        </w:tc>
        <w:tc>
          <w:tcPr>
            <w:tcW w:w="2746" w:type="dxa"/>
            <w:gridSpan w:val="2"/>
            <w:tcBorders>
              <w:top w:val="single" w:color="auto" w:sz="4" w:space="0"/>
              <w:left w:val="single" w:color="auto" w:sz="4" w:space="0"/>
              <w:bottom w:val="single" w:color="auto" w:sz="4" w:space="0"/>
              <w:right w:val="single" w:color="auto" w:sz="4" w:space="0"/>
            </w:tcBorders>
            <w:vAlign w:val="center"/>
          </w:tcPr>
          <w:p w14:paraId="22CE2C4A">
            <w:pPr>
              <w:snapToGrid w:val="0"/>
              <w:rPr>
                <w:rFonts w:hint="eastAsia" w:ascii="宋体" w:hAnsi="宋体" w:cs="宋体"/>
              </w:rPr>
            </w:pPr>
          </w:p>
        </w:tc>
      </w:tr>
      <w:tr w14:paraId="5981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73" w:type="dxa"/>
            <w:tcBorders>
              <w:top w:val="single" w:color="auto" w:sz="4" w:space="0"/>
              <w:left w:val="single" w:color="auto" w:sz="4" w:space="0"/>
              <w:bottom w:val="single" w:color="auto" w:sz="4" w:space="0"/>
              <w:right w:val="single" w:color="auto" w:sz="4" w:space="0"/>
            </w:tcBorders>
            <w:vAlign w:val="center"/>
          </w:tcPr>
          <w:p w14:paraId="5C8441A6">
            <w:pPr>
              <w:snapToGrid w:val="0"/>
              <w:rPr>
                <w:rFonts w:hint="eastAsia" w:ascii="宋体" w:hAnsi="宋体" w:cs="宋体"/>
              </w:rPr>
            </w:pPr>
            <w:r>
              <w:rPr>
                <w:rFonts w:hint="eastAsia" w:ascii="宋体" w:hAnsi="宋体" w:cs="宋体"/>
              </w:rPr>
              <w:t>交付方式</w:t>
            </w:r>
          </w:p>
        </w:tc>
        <w:tc>
          <w:tcPr>
            <w:tcW w:w="6711" w:type="dxa"/>
            <w:gridSpan w:val="6"/>
            <w:tcBorders>
              <w:top w:val="single" w:color="auto" w:sz="4" w:space="0"/>
              <w:left w:val="single" w:color="auto" w:sz="4" w:space="0"/>
              <w:bottom w:val="single" w:color="auto" w:sz="4" w:space="0"/>
              <w:right w:val="single" w:color="auto" w:sz="4" w:space="0"/>
            </w:tcBorders>
            <w:vAlign w:val="center"/>
          </w:tcPr>
          <w:p w14:paraId="58D75FC2">
            <w:pPr>
              <w:snapToGrid w:val="0"/>
              <w:rPr>
                <w:rFonts w:hint="eastAsia" w:ascii="宋体" w:hAnsi="宋体" w:cs="宋体"/>
              </w:rPr>
            </w:pPr>
          </w:p>
        </w:tc>
      </w:tr>
      <w:tr w14:paraId="593D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84" w:type="dxa"/>
            <w:gridSpan w:val="7"/>
            <w:tcBorders>
              <w:top w:val="single" w:color="auto" w:sz="4" w:space="0"/>
              <w:left w:val="single" w:color="auto" w:sz="4" w:space="0"/>
              <w:bottom w:val="single" w:color="auto" w:sz="4" w:space="0"/>
              <w:right w:val="single" w:color="auto" w:sz="4" w:space="0"/>
            </w:tcBorders>
            <w:shd w:val="clear" w:color="auto" w:fill="BEBEBE"/>
            <w:vAlign w:val="center"/>
          </w:tcPr>
          <w:p w14:paraId="597ADB5A">
            <w:pPr>
              <w:snapToGrid w:val="0"/>
              <w:jc w:val="center"/>
              <w:rPr>
                <w:rFonts w:hint="eastAsia" w:ascii="宋体" w:hAnsi="宋体" w:cs="宋体"/>
                <w:bCs/>
              </w:rPr>
            </w:pPr>
            <w:r>
              <w:rPr>
                <w:rFonts w:hint="eastAsia" w:ascii="宋体" w:hAnsi="宋体" w:cs="宋体"/>
                <w:bCs/>
              </w:rPr>
              <w:t>目标区域信息</w:t>
            </w:r>
          </w:p>
        </w:tc>
      </w:tr>
      <w:tr w14:paraId="66CC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8784" w:type="dxa"/>
            <w:gridSpan w:val="7"/>
            <w:tcBorders>
              <w:top w:val="single" w:color="auto" w:sz="4" w:space="0"/>
              <w:left w:val="single" w:color="auto" w:sz="4" w:space="0"/>
              <w:bottom w:val="single" w:color="auto" w:sz="4" w:space="0"/>
              <w:right w:val="single" w:color="auto" w:sz="4" w:space="0"/>
            </w:tcBorders>
            <w:vAlign w:val="center"/>
          </w:tcPr>
          <w:p w14:paraId="35931657">
            <w:pPr>
              <w:snapToGrid w:val="0"/>
              <w:rPr>
                <w:rFonts w:hint="eastAsia" w:ascii="宋体" w:hAnsi="宋体" w:cs="宋体"/>
              </w:rPr>
            </w:pPr>
          </w:p>
        </w:tc>
      </w:tr>
    </w:tbl>
    <w:p w14:paraId="5C33EC9F">
      <w:pPr>
        <w:spacing w:before="120" w:line="360" w:lineRule="auto"/>
        <w:ind w:firstLine="480" w:firstLineChars="200"/>
        <w:rPr>
          <w:rFonts w:hint="eastAsia" w:ascii="宋体" w:hAnsi="宋体" w:cs="宋体"/>
          <w:bCs/>
          <w:sz w:val="24"/>
        </w:rPr>
      </w:pPr>
    </w:p>
    <w:tbl>
      <w:tblPr>
        <w:tblStyle w:val="42"/>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3"/>
        <w:gridCol w:w="2264"/>
        <w:gridCol w:w="234"/>
        <w:gridCol w:w="1250"/>
        <w:gridCol w:w="217"/>
        <w:gridCol w:w="2746"/>
      </w:tblGrid>
      <w:tr w14:paraId="3798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8784" w:type="dxa"/>
            <w:gridSpan w:val="6"/>
            <w:tcBorders>
              <w:top w:val="single" w:color="auto" w:sz="4" w:space="0"/>
              <w:left w:val="single" w:color="auto" w:sz="4" w:space="0"/>
              <w:bottom w:val="single" w:color="auto" w:sz="4" w:space="0"/>
              <w:right w:val="single" w:color="auto" w:sz="4" w:space="0"/>
            </w:tcBorders>
            <w:shd w:val="clear" w:color="auto" w:fill="C0C0C0"/>
            <w:vAlign w:val="center"/>
          </w:tcPr>
          <w:p w14:paraId="4F096C99">
            <w:pPr>
              <w:snapToGrid w:val="0"/>
              <w:jc w:val="center"/>
              <w:rPr>
                <w:rFonts w:hint="eastAsia" w:ascii="宋体" w:hAnsi="宋体" w:cs="宋体"/>
                <w:bCs/>
              </w:rPr>
            </w:pPr>
            <w:r>
              <w:rPr>
                <w:rFonts w:hint="eastAsia" w:ascii="宋体" w:hAnsi="宋体" w:cs="宋体"/>
                <w:bCs/>
              </w:rPr>
              <w:t>参数信息</w:t>
            </w:r>
          </w:p>
        </w:tc>
      </w:tr>
      <w:tr w14:paraId="69E2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73" w:type="dxa"/>
            <w:tcBorders>
              <w:top w:val="single" w:color="auto" w:sz="4" w:space="0"/>
              <w:left w:val="single" w:color="auto" w:sz="4" w:space="0"/>
              <w:bottom w:val="single" w:color="auto" w:sz="4" w:space="0"/>
              <w:right w:val="single" w:color="auto" w:sz="4" w:space="0"/>
            </w:tcBorders>
            <w:vAlign w:val="center"/>
          </w:tcPr>
          <w:p w14:paraId="5E15B46A">
            <w:pPr>
              <w:snapToGrid w:val="0"/>
              <w:rPr>
                <w:rFonts w:hint="eastAsia" w:ascii="宋体" w:hAnsi="宋体" w:cs="宋体"/>
                <w:bCs/>
              </w:rPr>
            </w:pPr>
            <w:r>
              <w:rPr>
                <w:rFonts w:hint="eastAsia" w:ascii="宋体" w:hAnsi="宋体" w:cs="宋体"/>
              </w:rPr>
              <w:t>数据类型</w:t>
            </w:r>
          </w:p>
        </w:tc>
        <w:tc>
          <w:tcPr>
            <w:tcW w:w="6711" w:type="dxa"/>
            <w:gridSpan w:val="5"/>
            <w:tcBorders>
              <w:top w:val="single" w:color="auto" w:sz="4" w:space="0"/>
              <w:left w:val="single" w:color="auto" w:sz="4" w:space="0"/>
              <w:bottom w:val="single" w:color="auto" w:sz="4" w:space="0"/>
              <w:right w:val="single" w:color="auto" w:sz="4" w:space="0"/>
            </w:tcBorders>
            <w:vAlign w:val="center"/>
          </w:tcPr>
          <w:p w14:paraId="01B723B9">
            <w:pPr>
              <w:snapToGrid w:val="0"/>
              <w:rPr>
                <w:rFonts w:hint="eastAsia" w:ascii="宋体" w:hAnsi="宋体" w:cs="宋体"/>
                <w:bCs/>
              </w:rPr>
            </w:pPr>
          </w:p>
        </w:tc>
      </w:tr>
      <w:tr w14:paraId="7231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73" w:type="dxa"/>
            <w:tcBorders>
              <w:top w:val="single" w:color="auto" w:sz="4" w:space="0"/>
              <w:left w:val="single" w:color="auto" w:sz="4" w:space="0"/>
              <w:bottom w:val="single" w:color="auto" w:sz="4" w:space="0"/>
              <w:right w:val="single" w:color="auto" w:sz="4" w:space="0"/>
            </w:tcBorders>
            <w:vAlign w:val="center"/>
          </w:tcPr>
          <w:p w14:paraId="234644D6">
            <w:pPr>
              <w:snapToGrid w:val="0"/>
              <w:rPr>
                <w:rFonts w:hint="eastAsia" w:ascii="宋体" w:hAnsi="宋体" w:cs="宋体"/>
                <w:bCs/>
              </w:rPr>
            </w:pPr>
            <w:r>
              <w:rPr>
                <w:rFonts w:hint="eastAsia" w:ascii="宋体" w:hAnsi="宋体" w:cs="宋体"/>
              </w:rPr>
              <w:t>选择像元大小（米）</w:t>
            </w:r>
          </w:p>
        </w:tc>
        <w:tc>
          <w:tcPr>
            <w:tcW w:w="6711" w:type="dxa"/>
            <w:gridSpan w:val="5"/>
            <w:tcBorders>
              <w:top w:val="single" w:color="auto" w:sz="4" w:space="0"/>
              <w:left w:val="single" w:color="auto" w:sz="4" w:space="0"/>
              <w:bottom w:val="single" w:color="auto" w:sz="4" w:space="0"/>
              <w:right w:val="single" w:color="auto" w:sz="4" w:space="0"/>
            </w:tcBorders>
            <w:vAlign w:val="center"/>
          </w:tcPr>
          <w:p w14:paraId="59CB9577">
            <w:pPr>
              <w:snapToGrid w:val="0"/>
              <w:rPr>
                <w:rFonts w:hint="eastAsia" w:ascii="宋体" w:hAnsi="宋体" w:cs="宋体"/>
                <w:bCs/>
              </w:rPr>
            </w:pPr>
          </w:p>
        </w:tc>
      </w:tr>
      <w:tr w14:paraId="13B8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73" w:type="dxa"/>
            <w:tcBorders>
              <w:top w:val="single" w:color="auto" w:sz="4" w:space="0"/>
              <w:left w:val="single" w:color="auto" w:sz="4" w:space="0"/>
              <w:bottom w:val="single" w:color="auto" w:sz="4" w:space="0"/>
              <w:right w:val="single" w:color="auto" w:sz="4" w:space="0"/>
            </w:tcBorders>
            <w:vAlign w:val="center"/>
          </w:tcPr>
          <w:p w14:paraId="7D8F029F">
            <w:pPr>
              <w:snapToGrid w:val="0"/>
              <w:rPr>
                <w:rFonts w:hint="eastAsia" w:ascii="宋体" w:hAnsi="宋体" w:cs="宋体"/>
              </w:rPr>
            </w:pPr>
            <w:r>
              <w:rPr>
                <w:rFonts w:hint="eastAsia" w:ascii="宋体" w:hAnsi="宋体" w:cs="宋体"/>
              </w:rPr>
              <w:t>数据介质</w:t>
            </w:r>
          </w:p>
        </w:tc>
        <w:tc>
          <w:tcPr>
            <w:tcW w:w="2498" w:type="dxa"/>
            <w:gridSpan w:val="2"/>
            <w:tcBorders>
              <w:top w:val="single" w:color="auto" w:sz="4" w:space="0"/>
              <w:left w:val="single" w:color="auto" w:sz="4" w:space="0"/>
              <w:bottom w:val="single" w:color="auto" w:sz="4" w:space="0"/>
              <w:right w:val="single" w:color="auto" w:sz="4" w:space="0"/>
            </w:tcBorders>
            <w:vAlign w:val="center"/>
          </w:tcPr>
          <w:p w14:paraId="72647649">
            <w:pPr>
              <w:snapToGrid w:val="0"/>
              <w:rPr>
                <w:rFonts w:hint="eastAsia" w:ascii="宋体" w:hAnsi="宋体" w:cs="宋体"/>
              </w:rPr>
            </w:pPr>
          </w:p>
        </w:tc>
        <w:tc>
          <w:tcPr>
            <w:tcW w:w="1250" w:type="dxa"/>
            <w:tcBorders>
              <w:top w:val="single" w:color="auto" w:sz="4" w:space="0"/>
              <w:left w:val="single" w:color="auto" w:sz="4" w:space="0"/>
              <w:bottom w:val="single" w:color="auto" w:sz="4" w:space="0"/>
              <w:right w:val="single" w:color="auto" w:sz="4" w:space="0"/>
            </w:tcBorders>
            <w:vAlign w:val="center"/>
          </w:tcPr>
          <w:p w14:paraId="131AB759">
            <w:pPr>
              <w:snapToGrid w:val="0"/>
              <w:rPr>
                <w:rFonts w:hint="eastAsia" w:ascii="宋体" w:hAnsi="宋体" w:cs="宋体"/>
              </w:rPr>
            </w:pPr>
          </w:p>
        </w:tc>
        <w:tc>
          <w:tcPr>
            <w:tcW w:w="2963" w:type="dxa"/>
            <w:gridSpan w:val="2"/>
            <w:tcBorders>
              <w:top w:val="single" w:color="auto" w:sz="4" w:space="0"/>
              <w:left w:val="single" w:color="auto" w:sz="4" w:space="0"/>
              <w:bottom w:val="single" w:color="auto" w:sz="4" w:space="0"/>
              <w:right w:val="single" w:color="auto" w:sz="4" w:space="0"/>
            </w:tcBorders>
            <w:vAlign w:val="center"/>
          </w:tcPr>
          <w:p w14:paraId="02F8894F">
            <w:pPr>
              <w:snapToGrid w:val="0"/>
              <w:rPr>
                <w:rFonts w:hint="eastAsia" w:ascii="宋体" w:hAnsi="宋体" w:cs="宋体"/>
              </w:rPr>
            </w:pPr>
          </w:p>
        </w:tc>
      </w:tr>
      <w:tr w14:paraId="22F2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73" w:type="dxa"/>
            <w:tcBorders>
              <w:top w:val="single" w:color="auto" w:sz="4" w:space="0"/>
              <w:left w:val="single" w:color="auto" w:sz="4" w:space="0"/>
              <w:bottom w:val="single" w:color="auto" w:sz="4" w:space="0"/>
              <w:right w:val="single" w:color="auto" w:sz="4" w:space="0"/>
            </w:tcBorders>
            <w:vAlign w:val="center"/>
          </w:tcPr>
          <w:p w14:paraId="1EF377D8">
            <w:pPr>
              <w:snapToGrid w:val="0"/>
              <w:rPr>
                <w:rFonts w:hint="eastAsia" w:ascii="宋体" w:hAnsi="宋体" w:cs="宋体"/>
              </w:rPr>
            </w:pPr>
            <w:r>
              <w:rPr>
                <w:rFonts w:hint="eastAsia" w:ascii="宋体" w:hAnsi="宋体" w:cs="宋体"/>
              </w:rPr>
              <w:t>许可类型</w:t>
            </w:r>
          </w:p>
        </w:tc>
        <w:tc>
          <w:tcPr>
            <w:tcW w:w="2498" w:type="dxa"/>
            <w:gridSpan w:val="2"/>
            <w:tcBorders>
              <w:top w:val="single" w:color="auto" w:sz="4" w:space="0"/>
              <w:left w:val="single" w:color="auto" w:sz="4" w:space="0"/>
              <w:bottom w:val="single" w:color="auto" w:sz="4" w:space="0"/>
              <w:right w:val="single" w:color="auto" w:sz="4" w:space="0"/>
            </w:tcBorders>
            <w:vAlign w:val="center"/>
          </w:tcPr>
          <w:p w14:paraId="7D496ECF">
            <w:pPr>
              <w:snapToGrid w:val="0"/>
              <w:rPr>
                <w:rFonts w:hint="eastAsia" w:ascii="宋体" w:hAnsi="宋体" w:cs="宋体"/>
              </w:rPr>
            </w:pPr>
          </w:p>
        </w:tc>
        <w:tc>
          <w:tcPr>
            <w:tcW w:w="1250" w:type="dxa"/>
            <w:tcBorders>
              <w:top w:val="single" w:color="auto" w:sz="4" w:space="0"/>
              <w:left w:val="single" w:color="auto" w:sz="4" w:space="0"/>
              <w:bottom w:val="single" w:color="auto" w:sz="4" w:space="0"/>
              <w:right w:val="single" w:color="auto" w:sz="4" w:space="0"/>
            </w:tcBorders>
            <w:vAlign w:val="center"/>
          </w:tcPr>
          <w:p w14:paraId="052CF722">
            <w:pPr>
              <w:snapToGrid w:val="0"/>
              <w:rPr>
                <w:rFonts w:hint="eastAsia" w:ascii="宋体" w:hAnsi="宋体" w:cs="宋体"/>
              </w:rPr>
            </w:pPr>
          </w:p>
        </w:tc>
        <w:tc>
          <w:tcPr>
            <w:tcW w:w="2963" w:type="dxa"/>
            <w:gridSpan w:val="2"/>
            <w:tcBorders>
              <w:top w:val="single" w:color="auto" w:sz="4" w:space="0"/>
              <w:left w:val="single" w:color="auto" w:sz="4" w:space="0"/>
              <w:bottom w:val="single" w:color="auto" w:sz="4" w:space="0"/>
              <w:right w:val="single" w:color="auto" w:sz="4" w:space="0"/>
            </w:tcBorders>
            <w:vAlign w:val="center"/>
          </w:tcPr>
          <w:p w14:paraId="2911979D">
            <w:pPr>
              <w:snapToGrid w:val="0"/>
              <w:rPr>
                <w:rFonts w:hint="eastAsia" w:ascii="宋体" w:hAnsi="宋体" w:cs="宋体"/>
              </w:rPr>
            </w:pPr>
          </w:p>
        </w:tc>
      </w:tr>
      <w:tr w14:paraId="485C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84" w:type="dxa"/>
            <w:gridSpan w:val="6"/>
            <w:tcBorders>
              <w:top w:val="single" w:color="auto" w:sz="4" w:space="0"/>
              <w:left w:val="single" w:color="auto" w:sz="4" w:space="0"/>
              <w:bottom w:val="single" w:color="auto" w:sz="4" w:space="0"/>
              <w:right w:val="single" w:color="auto" w:sz="4" w:space="0"/>
            </w:tcBorders>
            <w:shd w:val="clear" w:color="auto" w:fill="C0C0C0"/>
            <w:vAlign w:val="center"/>
          </w:tcPr>
          <w:p w14:paraId="3EEA94D6">
            <w:pPr>
              <w:snapToGrid w:val="0"/>
              <w:jc w:val="center"/>
              <w:rPr>
                <w:rFonts w:hint="eastAsia" w:ascii="宋体" w:hAnsi="宋体" w:cs="宋体"/>
                <w:bCs/>
              </w:rPr>
            </w:pPr>
            <w:r>
              <w:rPr>
                <w:rFonts w:hint="eastAsia" w:ascii="宋体" w:hAnsi="宋体" w:cs="宋体"/>
                <w:bCs/>
              </w:rPr>
              <w:t>存档/编程合同信息</w:t>
            </w:r>
          </w:p>
        </w:tc>
      </w:tr>
      <w:tr w14:paraId="68D0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73" w:type="dxa"/>
            <w:tcBorders>
              <w:top w:val="single" w:color="auto" w:sz="4" w:space="0"/>
              <w:left w:val="single" w:color="auto" w:sz="4" w:space="0"/>
              <w:bottom w:val="single" w:color="auto" w:sz="4" w:space="0"/>
              <w:right w:val="single" w:color="auto" w:sz="4" w:space="0"/>
            </w:tcBorders>
            <w:vAlign w:val="center"/>
          </w:tcPr>
          <w:p w14:paraId="261F206F">
            <w:pPr>
              <w:snapToGrid w:val="0"/>
              <w:rPr>
                <w:rFonts w:hint="eastAsia" w:ascii="宋体" w:hAnsi="宋体" w:cs="宋体"/>
              </w:rPr>
            </w:pPr>
            <w:r>
              <w:rPr>
                <w:rFonts w:hint="eastAsia" w:ascii="宋体" w:hAnsi="宋体" w:cs="宋体"/>
              </w:rPr>
              <w:t>合同类型</w:t>
            </w:r>
          </w:p>
        </w:tc>
        <w:tc>
          <w:tcPr>
            <w:tcW w:w="2264" w:type="dxa"/>
            <w:tcBorders>
              <w:top w:val="single" w:color="auto" w:sz="4" w:space="0"/>
              <w:left w:val="single" w:color="auto" w:sz="4" w:space="0"/>
              <w:bottom w:val="single" w:color="auto" w:sz="4" w:space="0"/>
              <w:right w:val="single" w:color="auto" w:sz="4" w:space="0"/>
            </w:tcBorders>
            <w:vAlign w:val="center"/>
          </w:tcPr>
          <w:p w14:paraId="132C0251">
            <w:pPr>
              <w:snapToGrid w:val="0"/>
              <w:rPr>
                <w:rFonts w:hint="eastAsia" w:ascii="宋体" w:hAnsi="宋体" w:cs="宋体"/>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1A61958D">
            <w:pPr>
              <w:snapToGrid w:val="0"/>
              <w:rPr>
                <w:rFonts w:hint="eastAsia" w:ascii="宋体" w:hAnsi="宋体" w:cs="宋体"/>
              </w:rPr>
            </w:pPr>
          </w:p>
        </w:tc>
        <w:tc>
          <w:tcPr>
            <w:tcW w:w="2746" w:type="dxa"/>
            <w:tcBorders>
              <w:top w:val="single" w:color="auto" w:sz="4" w:space="0"/>
              <w:left w:val="single" w:color="auto" w:sz="4" w:space="0"/>
              <w:bottom w:val="single" w:color="auto" w:sz="4" w:space="0"/>
              <w:right w:val="single" w:color="auto" w:sz="4" w:space="0"/>
            </w:tcBorders>
            <w:vAlign w:val="center"/>
          </w:tcPr>
          <w:p w14:paraId="2CB2F793">
            <w:pPr>
              <w:snapToGrid w:val="0"/>
              <w:rPr>
                <w:rFonts w:hint="eastAsia" w:ascii="宋体" w:hAnsi="宋体" w:cs="宋体"/>
              </w:rPr>
            </w:pPr>
          </w:p>
        </w:tc>
      </w:tr>
      <w:tr w14:paraId="1CDE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73" w:type="dxa"/>
            <w:tcBorders>
              <w:top w:val="single" w:color="auto" w:sz="4" w:space="0"/>
              <w:left w:val="single" w:color="auto" w:sz="4" w:space="0"/>
              <w:bottom w:val="single" w:color="auto" w:sz="4" w:space="0"/>
              <w:right w:val="single" w:color="auto" w:sz="4" w:space="0"/>
            </w:tcBorders>
            <w:vAlign w:val="center"/>
          </w:tcPr>
          <w:p w14:paraId="2229F4AF">
            <w:pPr>
              <w:snapToGrid w:val="0"/>
              <w:rPr>
                <w:rFonts w:hint="eastAsia" w:ascii="宋体" w:hAnsi="宋体" w:cs="宋体"/>
              </w:rPr>
            </w:pPr>
            <w:r>
              <w:rPr>
                <w:rFonts w:hint="eastAsia" w:ascii="宋体" w:hAnsi="宋体" w:cs="宋体"/>
              </w:rPr>
              <w:t>交付方式</w:t>
            </w:r>
          </w:p>
        </w:tc>
        <w:tc>
          <w:tcPr>
            <w:tcW w:w="6711" w:type="dxa"/>
            <w:gridSpan w:val="5"/>
            <w:tcBorders>
              <w:top w:val="single" w:color="auto" w:sz="4" w:space="0"/>
              <w:left w:val="single" w:color="auto" w:sz="4" w:space="0"/>
              <w:bottom w:val="single" w:color="auto" w:sz="4" w:space="0"/>
              <w:right w:val="single" w:color="auto" w:sz="4" w:space="0"/>
            </w:tcBorders>
            <w:vAlign w:val="center"/>
          </w:tcPr>
          <w:p w14:paraId="3E9CB52A">
            <w:pPr>
              <w:snapToGrid w:val="0"/>
              <w:rPr>
                <w:rFonts w:hint="eastAsia" w:ascii="宋体" w:hAnsi="宋体" w:cs="宋体"/>
              </w:rPr>
            </w:pPr>
          </w:p>
        </w:tc>
      </w:tr>
      <w:tr w14:paraId="3FF4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84" w:type="dxa"/>
            <w:gridSpan w:val="6"/>
            <w:tcBorders>
              <w:top w:val="single" w:color="auto" w:sz="4" w:space="0"/>
              <w:left w:val="single" w:color="auto" w:sz="4" w:space="0"/>
              <w:bottom w:val="single" w:color="auto" w:sz="4" w:space="0"/>
              <w:right w:val="single" w:color="auto" w:sz="4" w:space="0"/>
            </w:tcBorders>
            <w:shd w:val="clear" w:color="auto" w:fill="BEBEBE"/>
            <w:vAlign w:val="center"/>
          </w:tcPr>
          <w:p w14:paraId="301F6862">
            <w:pPr>
              <w:snapToGrid w:val="0"/>
              <w:jc w:val="center"/>
              <w:rPr>
                <w:rFonts w:hint="eastAsia" w:ascii="宋体" w:hAnsi="宋体" w:cs="宋体"/>
                <w:bCs/>
              </w:rPr>
            </w:pPr>
            <w:r>
              <w:rPr>
                <w:rFonts w:hint="eastAsia" w:ascii="宋体" w:hAnsi="宋体" w:cs="宋体"/>
                <w:bCs/>
              </w:rPr>
              <w:t>目标区域信息</w:t>
            </w:r>
          </w:p>
        </w:tc>
      </w:tr>
      <w:tr w14:paraId="0333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8784" w:type="dxa"/>
            <w:gridSpan w:val="6"/>
            <w:tcBorders>
              <w:top w:val="single" w:color="auto" w:sz="4" w:space="0"/>
              <w:left w:val="single" w:color="auto" w:sz="4" w:space="0"/>
              <w:bottom w:val="single" w:color="auto" w:sz="4" w:space="0"/>
              <w:right w:val="single" w:color="auto" w:sz="4" w:space="0"/>
            </w:tcBorders>
            <w:vAlign w:val="center"/>
          </w:tcPr>
          <w:p w14:paraId="1778752B">
            <w:pPr>
              <w:snapToGrid w:val="0"/>
              <w:rPr>
                <w:rFonts w:hint="eastAsia" w:ascii="宋体" w:hAnsi="宋体" w:cs="宋体"/>
              </w:rPr>
            </w:pPr>
          </w:p>
        </w:tc>
      </w:tr>
    </w:tbl>
    <w:p w14:paraId="73CA8CF6">
      <w:pPr>
        <w:snapToGrid w:val="0"/>
        <w:spacing w:line="360" w:lineRule="auto"/>
        <w:jc w:val="left"/>
        <w:rPr>
          <w:rFonts w:hint="eastAsia" w:ascii="宋体" w:hAnsi="宋体" w:cs="宋体"/>
          <w:sz w:val="24"/>
        </w:rPr>
      </w:pPr>
      <w:r>
        <w:rPr>
          <w:rFonts w:hint="eastAsia" w:ascii="宋体" w:hAnsi="宋体" w:cs="宋体"/>
          <w:sz w:val="24"/>
        </w:rPr>
        <w:t xml:space="preserve"> </w:t>
      </w:r>
    </w:p>
    <w:p w14:paraId="3C8EAB69">
      <w:pPr>
        <w:numPr>
          <w:ilvl w:val="0"/>
          <w:numId w:val="42"/>
        </w:numPr>
        <w:snapToGrid w:val="0"/>
        <w:spacing w:line="360" w:lineRule="auto"/>
        <w:jc w:val="left"/>
        <w:rPr>
          <w:rFonts w:hint="eastAsia" w:ascii="宋体" w:hAnsi="宋体" w:cs="宋体"/>
          <w:bCs/>
          <w:sz w:val="24"/>
        </w:rPr>
      </w:pPr>
      <w:r>
        <w:rPr>
          <w:rFonts w:hint="eastAsia" w:ascii="宋体" w:hAnsi="宋体" w:cs="宋体"/>
          <w:bCs/>
          <w:sz w:val="24"/>
        </w:rPr>
        <w:t xml:space="preserve">提供服务期限、地点 </w:t>
      </w:r>
    </w:p>
    <w:p w14:paraId="4852B73B">
      <w:pPr>
        <w:spacing w:before="120" w:line="360" w:lineRule="auto"/>
        <w:ind w:firstLine="480" w:firstLineChars="200"/>
        <w:rPr>
          <w:rFonts w:hint="eastAsia" w:ascii="宋体" w:hAnsi="宋体" w:cs="宋体"/>
          <w:sz w:val="24"/>
        </w:rPr>
      </w:pPr>
      <w:r>
        <w:rPr>
          <w:rFonts w:hint="eastAsia" w:ascii="宋体" w:hAnsi="宋体" w:cs="宋体"/>
          <w:sz w:val="24"/>
        </w:rPr>
        <w:t>服务期要求：</w:t>
      </w:r>
      <w:r>
        <w:rPr>
          <w:rFonts w:hint="eastAsia" w:ascii="宋体" w:hAnsi="宋体" w:cs="宋体"/>
          <w:sz w:val="24"/>
          <w:u w:val="single"/>
        </w:rPr>
        <w:t>合同签订之日起至2026年11月30日前，完成本项目全部工作内容。</w:t>
      </w:r>
    </w:p>
    <w:p w14:paraId="284C3557">
      <w:pPr>
        <w:spacing w:before="120" w:line="360" w:lineRule="auto"/>
        <w:ind w:firstLine="480" w:firstLineChars="200"/>
        <w:rPr>
          <w:rFonts w:hint="eastAsia" w:ascii="宋体" w:hAnsi="宋体" w:cs="宋体"/>
          <w:sz w:val="24"/>
          <w:u w:val="single"/>
        </w:rPr>
      </w:pPr>
      <w:r>
        <w:rPr>
          <w:rFonts w:hint="eastAsia" w:ascii="宋体" w:hAnsi="宋体" w:cs="宋体"/>
          <w:sz w:val="24"/>
          <w:u w:val="single"/>
        </w:rPr>
        <w:t>服务期内重要节点要求：</w:t>
      </w:r>
    </w:p>
    <w:p w14:paraId="0EA71B75">
      <w:pPr>
        <w:spacing w:before="120" w:line="360" w:lineRule="auto"/>
        <w:ind w:firstLine="480" w:firstLineChars="200"/>
        <w:rPr>
          <w:rFonts w:hint="eastAsia" w:ascii="宋体" w:hAnsi="宋体" w:cs="宋体"/>
          <w:sz w:val="24"/>
          <w:u w:val="single"/>
        </w:rPr>
      </w:pPr>
      <w:r>
        <w:rPr>
          <w:rFonts w:hint="eastAsia" w:ascii="宋体" w:hAnsi="宋体" w:cs="宋体"/>
          <w:sz w:val="24"/>
          <w:u w:val="single"/>
        </w:rPr>
        <w:t>1）光学卫星数据在2026年4月30日前提交所有成果。</w:t>
      </w:r>
    </w:p>
    <w:p w14:paraId="3BD50A9B">
      <w:pPr>
        <w:spacing w:before="120" w:line="360" w:lineRule="auto"/>
        <w:ind w:firstLine="480" w:firstLineChars="200"/>
        <w:rPr>
          <w:rFonts w:hint="eastAsia" w:ascii="宋体" w:hAnsi="宋体" w:cs="宋体"/>
          <w:sz w:val="24"/>
          <w:u w:val="single"/>
        </w:rPr>
      </w:pPr>
      <w:r>
        <w:rPr>
          <w:rFonts w:hint="eastAsia" w:ascii="宋体" w:hAnsi="宋体" w:cs="宋体"/>
          <w:sz w:val="24"/>
          <w:u w:val="single"/>
        </w:rPr>
        <w:t>2）SAR数据在2026年11月30日前提交所有成果。</w:t>
      </w:r>
    </w:p>
    <w:p w14:paraId="7704B180">
      <w:pPr>
        <w:snapToGrid w:val="0"/>
        <w:spacing w:line="360" w:lineRule="auto"/>
        <w:jc w:val="left"/>
        <w:rPr>
          <w:rFonts w:hint="eastAsia" w:ascii="宋体" w:hAnsi="宋体" w:cs="宋体"/>
          <w:bCs/>
          <w:sz w:val="24"/>
        </w:rPr>
      </w:pPr>
    </w:p>
    <w:p w14:paraId="0A1A6980">
      <w:pPr>
        <w:numPr>
          <w:ilvl w:val="0"/>
          <w:numId w:val="42"/>
        </w:numPr>
        <w:snapToGrid w:val="0"/>
        <w:spacing w:line="360" w:lineRule="auto"/>
        <w:jc w:val="left"/>
        <w:rPr>
          <w:rFonts w:hint="eastAsia" w:ascii="宋体" w:hAnsi="宋体" w:cs="宋体"/>
          <w:bCs/>
          <w:sz w:val="24"/>
        </w:rPr>
      </w:pPr>
      <w:r>
        <w:rPr>
          <w:rFonts w:hint="eastAsia" w:ascii="宋体" w:hAnsi="宋体" w:cs="宋体"/>
          <w:bCs/>
          <w:sz w:val="24"/>
        </w:rPr>
        <w:t xml:space="preserve">付款方式 </w:t>
      </w:r>
    </w:p>
    <w:p w14:paraId="324DF97D">
      <w:pPr>
        <w:spacing w:before="120" w:line="360" w:lineRule="auto"/>
        <w:ind w:firstLine="480" w:firstLineChars="200"/>
        <w:rPr>
          <w:rFonts w:hint="eastAsia" w:ascii="宋体" w:hAnsi="宋体" w:cs="宋体"/>
          <w:sz w:val="24"/>
        </w:rPr>
      </w:pPr>
      <w:r>
        <w:rPr>
          <w:rFonts w:hint="eastAsia" w:ascii="宋体" w:hAnsi="宋体" w:cs="宋体"/>
          <w:sz w:val="24"/>
        </w:rPr>
        <w:t>本合同总金额为</w:t>
      </w:r>
      <w:r>
        <w:rPr>
          <w:rFonts w:hint="eastAsia" w:ascii="宋体" w:hAnsi="宋体" w:cs="宋体"/>
          <w:sz w:val="24"/>
          <w:u w:val="single"/>
        </w:rPr>
        <w:t>¥          元（大写：人民币          元整）</w:t>
      </w:r>
      <w:r>
        <w:rPr>
          <w:rFonts w:hint="eastAsia" w:ascii="宋体" w:hAnsi="宋体" w:cs="宋体"/>
          <w:sz w:val="24"/>
        </w:rPr>
        <w:t>。</w:t>
      </w:r>
    </w:p>
    <w:p w14:paraId="74690DC5">
      <w:pPr>
        <w:spacing w:before="120" w:line="360" w:lineRule="auto"/>
        <w:ind w:firstLine="480" w:firstLineChars="200"/>
        <w:rPr>
          <w:rFonts w:hint="eastAsia" w:ascii="宋体" w:hAnsi="宋体" w:cs="宋体"/>
          <w:sz w:val="24"/>
        </w:rPr>
      </w:pPr>
      <w:r>
        <w:rPr>
          <w:rFonts w:hint="eastAsia" w:ascii="宋体" w:hAnsi="宋体" w:cs="宋体"/>
          <w:sz w:val="24"/>
        </w:rPr>
        <w:t>采购人与中标供应商签订合同后20个工作日内，采购人向中标供应商支付本项目中标金额</w:t>
      </w:r>
      <w:r>
        <w:rPr>
          <w:rFonts w:hint="eastAsia" w:ascii="宋体" w:hAnsi="宋体" w:cs="宋体"/>
          <w:sz w:val="24"/>
          <w:u w:val="single"/>
        </w:rPr>
        <w:t>50%</w:t>
      </w:r>
      <w:r>
        <w:rPr>
          <w:rFonts w:hint="eastAsia" w:ascii="宋体" w:hAnsi="宋体" w:cs="宋体"/>
          <w:sz w:val="24"/>
        </w:rPr>
        <w:t>的预付款，即</w:t>
      </w:r>
      <w:r>
        <w:rPr>
          <w:rFonts w:hint="eastAsia" w:ascii="宋体" w:hAnsi="宋体" w:cs="宋体"/>
          <w:sz w:val="24"/>
          <w:u w:val="single"/>
        </w:rPr>
        <w:t>¥          元（大写：人民币          元整）</w:t>
      </w:r>
      <w:r>
        <w:rPr>
          <w:rFonts w:hint="eastAsia" w:ascii="宋体" w:hAnsi="宋体" w:cs="宋体"/>
          <w:sz w:val="24"/>
        </w:rPr>
        <w:t>；</w:t>
      </w:r>
    </w:p>
    <w:p w14:paraId="7D4224D7">
      <w:pPr>
        <w:spacing w:before="120" w:line="360" w:lineRule="auto"/>
        <w:ind w:firstLine="480" w:firstLineChars="200"/>
        <w:rPr>
          <w:rFonts w:hint="eastAsia" w:ascii="宋体" w:hAnsi="宋体" w:cs="宋体"/>
          <w:sz w:val="24"/>
        </w:rPr>
      </w:pPr>
      <w:r>
        <w:rPr>
          <w:rFonts w:hint="eastAsia" w:ascii="宋体" w:hAnsi="宋体" w:cs="宋体"/>
          <w:sz w:val="24"/>
        </w:rPr>
        <w:t>光学数据成果提交后，采购人对中标供应商提供的数据和服务进行检查，检查合格后，采购人向中标供应商支付合同总金额的</w:t>
      </w:r>
      <w:r>
        <w:rPr>
          <w:rFonts w:hint="eastAsia" w:ascii="宋体" w:hAnsi="宋体" w:cs="宋体"/>
          <w:sz w:val="24"/>
          <w:u w:val="single"/>
        </w:rPr>
        <w:t>40%</w:t>
      </w:r>
      <w:r>
        <w:rPr>
          <w:rFonts w:hint="eastAsia" w:ascii="宋体" w:hAnsi="宋体" w:cs="宋体"/>
          <w:sz w:val="24"/>
        </w:rPr>
        <w:t>，即</w:t>
      </w:r>
      <w:r>
        <w:rPr>
          <w:rFonts w:hint="eastAsia" w:ascii="宋体" w:hAnsi="宋体" w:cs="宋体"/>
          <w:sz w:val="24"/>
          <w:u w:val="single"/>
        </w:rPr>
        <w:t>¥          元（大写：人民币          元整）</w:t>
      </w:r>
      <w:r>
        <w:rPr>
          <w:rFonts w:hint="eastAsia" w:ascii="宋体" w:hAnsi="宋体" w:cs="宋体"/>
          <w:sz w:val="24"/>
        </w:rPr>
        <w:t>；</w:t>
      </w:r>
    </w:p>
    <w:p w14:paraId="6D8C4A0F">
      <w:pPr>
        <w:spacing w:before="120" w:line="360" w:lineRule="auto"/>
        <w:ind w:firstLine="480" w:firstLineChars="200"/>
        <w:rPr>
          <w:rFonts w:hint="eastAsia" w:ascii="宋体" w:hAnsi="宋体" w:cs="宋体"/>
          <w:sz w:val="24"/>
        </w:rPr>
      </w:pPr>
      <w:r>
        <w:rPr>
          <w:rFonts w:hint="eastAsia" w:ascii="宋体" w:hAnsi="宋体" w:cs="宋体"/>
          <w:sz w:val="24"/>
        </w:rPr>
        <w:t>余款待中标供应商提交全部成果，并经采购人验收合格后，一次性付清，即</w:t>
      </w:r>
      <w:r>
        <w:rPr>
          <w:rFonts w:hint="eastAsia" w:ascii="宋体" w:hAnsi="宋体" w:cs="宋体"/>
          <w:sz w:val="24"/>
          <w:u w:val="single"/>
        </w:rPr>
        <w:t>¥          元（大写：人民币          元整）</w:t>
      </w:r>
      <w:r>
        <w:rPr>
          <w:rFonts w:hint="eastAsia" w:ascii="宋体" w:hAnsi="宋体" w:cs="宋体"/>
          <w:sz w:val="24"/>
        </w:rPr>
        <w:t>。</w:t>
      </w:r>
    </w:p>
    <w:p w14:paraId="3A020854">
      <w:pPr>
        <w:snapToGrid w:val="0"/>
        <w:spacing w:line="360" w:lineRule="auto"/>
        <w:ind w:firstLine="480" w:firstLineChars="200"/>
        <w:jc w:val="left"/>
        <w:rPr>
          <w:rFonts w:hint="eastAsia" w:ascii="宋体" w:hAnsi="宋体" w:cs="宋体"/>
          <w:bCs/>
          <w:sz w:val="24"/>
        </w:rPr>
      </w:pPr>
      <w:r>
        <w:rPr>
          <w:rFonts w:hint="eastAsia" w:ascii="宋体" w:hAnsi="宋体" w:cs="宋体"/>
          <w:sz w:val="24"/>
        </w:rPr>
        <w:t>采购人在支付中标供应商合同款前，中标供应商应向采购人开具等额、正式的发票。</w:t>
      </w:r>
    </w:p>
    <w:p w14:paraId="7B064120">
      <w:pPr>
        <w:numPr>
          <w:ilvl w:val="0"/>
          <w:numId w:val="42"/>
        </w:numPr>
        <w:snapToGrid w:val="0"/>
        <w:spacing w:line="360" w:lineRule="auto"/>
        <w:jc w:val="left"/>
        <w:rPr>
          <w:rFonts w:hint="eastAsia" w:ascii="宋体" w:hAnsi="宋体" w:cs="宋体"/>
          <w:bCs/>
          <w:sz w:val="24"/>
        </w:rPr>
      </w:pPr>
      <w:r>
        <w:rPr>
          <w:rFonts w:hint="eastAsia" w:ascii="宋体" w:hAnsi="宋体" w:cs="宋体"/>
          <w:bCs/>
          <w:sz w:val="24"/>
        </w:rPr>
        <w:t>履约保证金</w:t>
      </w:r>
    </w:p>
    <w:p w14:paraId="39FD54D2">
      <w:pPr>
        <w:snapToGrid w:val="0"/>
        <w:spacing w:line="360" w:lineRule="auto"/>
        <w:jc w:val="left"/>
        <w:rPr>
          <w:rFonts w:hint="eastAsia" w:ascii="宋体" w:hAnsi="宋体" w:cs="宋体"/>
          <w:sz w:val="24"/>
        </w:rPr>
      </w:pPr>
      <w:r>
        <w:rPr>
          <w:rFonts w:hint="eastAsia" w:ascii="宋体" w:hAnsi="宋体" w:cs="宋体"/>
          <w:sz w:val="24"/>
        </w:rPr>
        <w:t>本项目不适用。</w:t>
      </w:r>
      <w:r>
        <w:rPr>
          <w:rFonts w:hint="eastAsia" w:ascii="宋体" w:hAnsi="宋体" w:cs="宋体"/>
          <w:bCs/>
          <w:sz w:val="24"/>
        </w:rPr>
        <w:t xml:space="preserve"> </w:t>
      </w:r>
    </w:p>
    <w:p w14:paraId="46ABE138">
      <w:pPr>
        <w:numPr>
          <w:ilvl w:val="0"/>
          <w:numId w:val="42"/>
        </w:numPr>
        <w:snapToGrid w:val="0"/>
        <w:spacing w:line="360" w:lineRule="auto"/>
        <w:jc w:val="left"/>
        <w:rPr>
          <w:rFonts w:hint="eastAsia" w:ascii="宋体" w:hAnsi="宋体" w:cs="宋体"/>
          <w:bCs/>
          <w:sz w:val="24"/>
        </w:rPr>
      </w:pPr>
      <w:r>
        <w:rPr>
          <w:rFonts w:hint="eastAsia" w:ascii="宋体" w:hAnsi="宋体" w:cs="宋体"/>
          <w:bCs/>
          <w:sz w:val="24"/>
        </w:rPr>
        <w:t>合同的份数及生效</w:t>
      </w:r>
    </w:p>
    <w:p w14:paraId="4AEBEE85">
      <w:pPr>
        <w:spacing w:line="360" w:lineRule="auto"/>
        <w:ind w:firstLine="480" w:firstLineChars="200"/>
        <w:rPr>
          <w:rFonts w:hint="eastAsia" w:ascii="宋体" w:hAnsi="宋体" w:cs="宋体"/>
          <w:sz w:val="24"/>
        </w:rPr>
      </w:pPr>
      <w:r>
        <w:rPr>
          <w:rFonts w:hint="eastAsia" w:ascii="宋体" w:hAnsi="宋体" w:cs="宋体"/>
          <w:sz w:val="24"/>
        </w:rPr>
        <w:t>本合同一式</w:t>
      </w:r>
      <w:r>
        <w:rPr>
          <w:rFonts w:hint="eastAsia" w:ascii="宋体" w:hAnsi="宋体" w:cs="宋体"/>
          <w:sz w:val="24"/>
          <w:u w:val="single"/>
        </w:rPr>
        <w:t>柒</w:t>
      </w:r>
      <w:r>
        <w:rPr>
          <w:rFonts w:hint="eastAsia" w:ascii="宋体" w:hAnsi="宋体" w:cs="宋体"/>
          <w:sz w:val="24"/>
        </w:rPr>
        <w:t>份，具有同等法律效力。</w:t>
      </w:r>
      <w:r>
        <w:rPr>
          <w:rFonts w:hint="eastAsia" w:ascii="宋体" w:hAnsi="宋体" w:cs="宋体"/>
          <w:sz w:val="24"/>
          <w:u w:val="single"/>
        </w:rPr>
        <w:t>采购人</w:t>
      </w:r>
      <w:r>
        <w:rPr>
          <w:rFonts w:hint="eastAsia" w:ascii="宋体" w:hAnsi="宋体" w:cs="宋体"/>
          <w:sz w:val="24"/>
        </w:rPr>
        <w:t>和</w:t>
      </w:r>
      <w:r>
        <w:rPr>
          <w:rFonts w:hint="eastAsia" w:ascii="宋体" w:hAnsi="宋体" w:cs="宋体"/>
          <w:sz w:val="24"/>
          <w:u w:val="single"/>
        </w:rPr>
        <w:t>中标供应商</w:t>
      </w:r>
      <w:r>
        <w:rPr>
          <w:rFonts w:hint="eastAsia" w:ascii="宋体" w:hAnsi="宋体" w:cs="宋体"/>
          <w:sz w:val="24"/>
        </w:rPr>
        <w:t>各执</w:t>
      </w:r>
      <w:r>
        <w:rPr>
          <w:rFonts w:hint="eastAsia" w:ascii="宋体" w:hAnsi="宋体" w:cs="宋体"/>
          <w:sz w:val="24"/>
          <w:u w:val="single"/>
        </w:rPr>
        <w:t>叁</w:t>
      </w:r>
      <w:r>
        <w:rPr>
          <w:rFonts w:hint="eastAsia" w:ascii="宋体" w:hAnsi="宋体" w:cs="宋体"/>
          <w:sz w:val="24"/>
        </w:rPr>
        <w:t>份，招标代理机构执</w:t>
      </w:r>
      <w:r>
        <w:rPr>
          <w:rFonts w:hint="eastAsia" w:ascii="宋体" w:hAnsi="宋体" w:cs="宋体"/>
          <w:sz w:val="24"/>
          <w:u w:val="single"/>
        </w:rPr>
        <w:t>壹</w:t>
      </w:r>
      <w:r>
        <w:rPr>
          <w:rFonts w:hint="eastAsia" w:ascii="宋体" w:hAnsi="宋体" w:cs="宋体"/>
          <w:sz w:val="24"/>
        </w:rPr>
        <w:t>份。</w:t>
      </w:r>
    </w:p>
    <w:p w14:paraId="582A419A">
      <w:pPr>
        <w:spacing w:line="360" w:lineRule="auto"/>
        <w:ind w:firstLine="480" w:firstLineChars="200"/>
        <w:rPr>
          <w:rFonts w:hint="eastAsia" w:ascii="宋体" w:hAnsi="宋体" w:cs="宋体"/>
          <w:sz w:val="24"/>
        </w:rPr>
      </w:pPr>
      <w:r>
        <w:rPr>
          <w:rFonts w:hint="eastAsia" w:ascii="宋体" w:hAnsi="宋体" w:cs="宋体"/>
          <w:sz w:val="24"/>
        </w:rPr>
        <w:t>本合同经双方各自的法定代表人或授权代表签署、加盖单位公章或合同专用章并由中标供应商递交履约保证金（如有）之日起生效。</w:t>
      </w:r>
    </w:p>
    <w:p w14:paraId="68239041">
      <w:pPr>
        <w:spacing w:line="360" w:lineRule="auto"/>
        <w:ind w:firstLine="480" w:firstLineChars="200"/>
        <w:rPr>
          <w:rFonts w:hint="eastAsia" w:ascii="宋体" w:hAnsi="宋体" w:cs="宋体"/>
          <w:sz w:val="24"/>
        </w:rPr>
      </w:pPr>
      <w:r>
        <w:rPr>
          <w:rFonts w:hint="eastAsia" w:ascii="宋体" w:hAnsi="宋体" w:cs="宋体"/>
          <w:sz w:val="24"/>
        </w:rPr>
        <w:t>（以下无正文）</w:t>
      </w:r>
      <w:r>
        <w:rPr>
          <w:rFonts w:hint="eastAsia" w:ascii="宋体" w:hAnsi="宋体" w:cs="宋体"/>
          <w:sz w:val="24"/>
        </w:rPr>
        <w:br w:type="page"/>
      </w:r>
    </w:p>
    <w:tbl>
      <w:tblPr>
        <w:tblStyle w:val="42"/>
        <w:tblW w:w="9094" w:type="dxa"/>
        <w:jc w:val="center"/>
        <w:tblLayout w:type="fixed"/>
        <w:tblCellMar>
          <w:top w:w="0" w:type="dxa"/>
          <w:left w:w="108" w:type="dxa"/>
          <w:bottom w:w="0" w:type="dxa"/>
          <w:right w:w="108" w:type="dxa"/>
        </w:tblCellMar>
      </w:tblPr>
      <w:tblGrid>
        <w:gridCol w:w="1882"/>
        <w:gridCol w:w="2653"/>
        <w:gridCol w:w="1866"/>
        <w:gridCol w:w="2693"/>
      </w:tblGrid>
      <w:tr w14:paraId="423E1BB5">
        <w:tblPrEx>
          <w:tblCellMar>
            <w:top w:w="0" w:type="dxa"/>
            <w:left w:w="108" w:type="dxa"/>
            <w:bottom w:w="0" w:type="dxa"/>
            <w:right w:w="108" w:type="dxa"/>
          </w:tblCellMar>
        </w:tblPrEx>
        <w:trPr>
          <w:trHeight w:val="741" w:hRule="atLeast"/>
          <w:jc w:val="center"/>
        </w:trPr>
        <w:tc>
          <w:tcPr>
            <w:tcW w:w="9094" w:type="dxa"/>
            <w:gridSpan w:val="4"/>
            <w:vAlign w:val="center"/>
          </w:tcPr>
          <w:p w14:paraId="3761E940">
            <w:pPr>
              <w:spacing w:line="360" w:lineRule="exact"/>
              <w:jc w:val="center"/>
              <w:rPr>
                <w:rFonts w:hint="eastAsia" w:ascii="宋体" w:hAnsi="宋体" w:cs="宋体"/>
                <w:sz w:val="28"/>
                <w:szCs w:val="28"/>
              </w:rPr>
            </w:pPr>
            <w:r>
              <w:rPr>
                <w:rFonts w:hint="eastAsia" w:ascii="宋体" w:hAnsi="宋体" w:cs="宋体"/>
                <w:sz w:val="28"/>
                <w:szCs w:val="28"/>
              </w:rPr>
              <w:t>合同签订双方</w:t>
            </w:r>
          </w:p>
        </w:tc>
      </w:tr>
      <w:tr w14:paraId="2D3D0FBB">
        <w:tblPrEx>
          <w:tblCellMar>
            <w:top w:w="0" w:type="dxa"/>
            <w:left w:w="108" w:type="dxa"/>
            <w:bottom w:w="0" w:type="dxa"/>
            <w:right w:w="108" w:type="dxa"/>
          </w:tblCellMar>
        </w:tblPrEx>
        <w:trPr>
          <w:trHeight w:val="1042" w:hRule="atLeast"/>
          <w:jc w:val="center"/>
        </w:trPr>
        <w:tc>
          <w:tcPr>
            <w:tcW w:w="1882" w:type="dxa"/>
            <w:vAlign w:val="center"/>
          </w:tcPr>
          <w:p w14:paraId="63B9D853">
            <w:pPr>
              <w:spacing w:line="360" w:lineRule="exact"/>
              <w:jc w:val="center"/>
              <w:rPr>
                <w:rFonts w:hint="eastAsia" w:ascii="宋体" w:hAnsi="宋体" w:cs="宋体"/>
                <w:sz w:val="24"/>
              </w:rPr>
            </w:pPr>
            <w:r>
              <w:rPr>
                <w:rFonts w:hint="eastAsia" w:ascii="宋体" w:hAnsi="宋体" w:cs="宋体"/>
                <w:sz w:val="24"/>
              </w:rPr>
              <w:t>甲方：</w:t>
            </w:r>
          </w:p>
          <w:p w14:paraId="6BACE5BB">
            <w:pPr>
              <w:spacing w:line="360" w:lineRule="exact"/>
              <w:jc w:val="center"/>
              <w:rPr>
                <w:rFonts w:hint="eastAsia" w:ascii="宋体" w:hAnsi="宋体" w:cs="宋体"/>
                <w:sz w:val="24"/>
              </w:rPr>
            </w:pPr>
            <w:r>
              <w:rPr>
                <w:rFonts w:hint="eastAsia" w:ascii="宋体" w:hAnsi="宋体" w:cs="宋体"/>
                <w:sz w:val="18"/>
              </w:rPr>
              <w:t>（合同章或公章）</w:t>
            </w:r>
          </w:p>
        </w:tc>
        <w:tc>
          <w:tcPr>
            <w:tcW w:w="2653" w:type="dxa"/>
            <w:vAlign w:val="center"/>
          </w:tcPr>
          <w:p w14:paraId="62F62141">
            <w:pPr>
              <w:spacing w:line="360" w:lineRule="exact"/>
              <w:jc w:val="left"/>
              <w:rPr>
                <w:rFonts w:hint="eastAsia" w:ascii="宋体" w:hAnsi="宋体" w:cs="宋体"/>
                <w:sz w:val="24"/>
                <w:u w:val="single"/>
              </w:rPr>
            </w:pPr>
            <w:r>
              <w:rPr>
                <w:rFonts w:hint="eastAsia" w:ascii="宋体" w:hAnsi="宋体" w:cs="宋体"/>
                <w:sz w:val="24"/>
                <w:u w:val="single"/>
              </w:rPr>
              <w:t xml:space="preserve">北京市地质灾害防治研究所                </w:t>
            </w:r>
          </w:p>
        </w:tc>
        <w:tc>
          <w:tcPr>
            <w:tcW w:w="1866" w:type="dxa"/>
            <w:vAlign w:val="center"/>
          </w:tcPr>
          <w:p w14:paraId="1766B13A">
            <w:pPr>
              <w:spacing w:line="360" w:lineRule="exact"/>
              <w:jc w:val="center"/>
              <w:rPr>
                <w:rFonts w:hint="eastAsia" w:ascii="宋体" w:hAnsi="宋体" w:cs="宋体"/>
                <w:sz w:val="24"/>
              </w:rPr>
            </w:pPr>
            <w:r>
              <w:rPr>
                <w:rFonts w:hint="eastAsia" w:ascii="宋体" w:hAnsi="宋体" w:cs="宋体"/>
                <w:sz w:val="24"/>
              </w:rPr>
              <w:t>乙方：</w:t>
            </w:r>
          </w:p>
          <w:p w14:paraId="59A9C626">
            <w:pPr>
              <w:spacing w:line="360" w:lineRule="exact"/>
              <w:jc w:val="center"/>
              <w:rPr>
                <w:rFonts w:hint="eastAsia" w:ascii="宋体" w:hAnsi="宋体" w:cs="宋体"/>
                <w:sz w:val="18"/>
                <w:szCs w:val="18"/>
              </w:rPr>
            </w:pPr>
            <w:r>
              <w:rPr>
                <w:rFonts w:hint="eastAsia" w:ascii="宋体" w:hAnsi="宋体" w:cs="宋体"/>
                <w:sz w:val="18"/>
                <w:szCs w:val="18"/>
              </w:rPr>
              <w:t>（合同章或公章）</w:t>
            </w:r>
          </w:p>
        </w:tc>
        <w:tc>
          <w:tcPr>
            <w:tcW w:w="2693" w:type="dxa"/>
            <w:vAlign w:val="center"/>
          </w:tcPr>
          <w:p w14:paraId="612395F7">
            <w:pPr>
              <w:spacing w:line="360" w:lineRule="exact"/>
              <w:ind w:left="0" w:leftChars="-2" w:hanging="4" w:hangingChars="2"/>
              <w:rPr>
                <w:rFonts w:hint="eastAsia" w:ascii="宋体" w:hAnsi="宋体" w:cs="宋体"/>
                <w:sz w:val="24"/>
              </w:rPr>
            </w:pPr>
            <w:r>
              <w:rPr>
                <w:rFonts w:hint="eastAsia" w:ascii="宋体" w:hAnsi="宋体" w:cs="宋体"/>
                <w:sz w:val="24"/>
                <w:u w:val="single"/>
              </w:rPr>
              <w:t xml:space="preserve">                 </w:t>
            </w:r>
          </w:p>
        </w:tc>
      </w:tr>
      <w:tr w14:paraId="667CB3BE">
        <w:tblPrEx>
          <w:tblCellMar>
            <w:top w:w="0" w:type="dxa"/>
            <w:left w:w="108" w:type="dxa"/>
            <w:bottom w:w="0" w:type="dxa"/>
            <w:right w:w="108" w:type="dxa"/>
          </w:tblCellMar>
        </w:tblPrEx>
        <w:trPr>
          <w:trHeight w:val="526" w:hRule="atLeast"/>
          <w:jc w:val="center"/>
        </w:trPr>
        <w:tc>
          <w:tcPr>
            <w:tcW w:w="1882" w:type="dxa"/>
            <w:vAlign w:val="center"/>
          </w:tcPr>
          <w:p w14:paraId="1A913B19">
            <w:pPr>
              <w:spacing w:line="360" w:lineRule="exact"/>
              <w:jc w:val="center"/>
              <w:rPr>
                <w:rFonts w:hint="eastAsia" w:ascii="宋体" w:hAnsi="宋体" w:cs="宋体"/>
                <w:sz w:val="18"/>
              </w:rPr>
            </w:pPr>
            <w:r>
              <w:rPr>
                <w:rFonts w:hint="eastAsia" w:ascii="宋体" w:hAnsi="宋体" w:cs="宋体"/>
                <w:sz w:val="24"/>
              </w:rPr>
              <w:t>名称：（印章）</w:t>
            </w:r>
          </w:p>
        </w:tc>
        <w:tc>
          <w:tcPr>
            <w:tcW w:w="2653" w:type="dxa"/>
            <w:vAlign w:val="center"/>
          </w:tcPr>
          <w:p w14:paraId="5094F078">
            <w:pPr>
              <w:spacing w:line="360" w:lineRule="exact"/>
              <w:jc w:val="left"/>
              <w:rPr>
                <w:rFonts w:hint="eastAsia" w:ascii="宋体" w:hAnsi="宋体" w:cs="宋体"/>
                <w:sz w:val="24"/>
              </w:rPr>
            </w:pPr>
            <w:r>
              <w:rPr>
                <w:rFonts w:hint="eastAsia" w:ascii="宋体" w:hAnsi="宋体" w:cs="宋体"/>
                <w:sz w:val="24"/>
                <w:u w:val="single"/>
              </w:rPr>
              <w:t xml:space="preserve">                    </w:t>
            </w:r>
          </w:p>
        </w:tc>
        <w:tc>
          <w:tcPr>
            <w:tcW w:w="1866" w:type="dxa"/>
            <w:vAlign w:val="center"/>
          </w:tcPr>
          <w:p w14:paraId="7CDA02E2">
            <w:pPr>
              <w:spacing w:line="360" w:lineRule="exact"/>
              <w:jc w:val="center"/>
              <w:rPr>
                <w:rFonts w:hint="eastAsia" w:ascii="宋体" w:hAnsi="宋体" w:cs="宋体"/>
                <w:sz w:val="18"/>
                <w:szCs w:val="18"/>
              </w:rPr>
            </w:pPr>
            <w:r>
              <w:rPr>
                <w:rFonts w:hint="eastAsia" w:ascii="宋体" w:hAnsi="宋体" w:cs="宋体"/>
                <w:sz w:val="24"/>
              </w:rPr>
              <w:t>名称：（印章）</w:t>
            </w:r>
          </w:p>
        </w:tc>
        <w:tc>
          <w:tcPr>
            <w:tcW w:w="2693" w:type="dxa"/>
            <w:vAlign w:val="center"/>
          </w:tcPr>
          <w:p w14:paraId="52AD8964">
            <w:pPr>
              <w:spacing w:line="360" w:lineRule="exact"/>
              <w:jc w:val="left"/>
              <w:rPr>
                <w:rFonts w:hint="eastAsia" w:ascii="宋体" w:hAnsi="宋体" w:cs="宋体"/>
                <w:sz w:val="24"/>
                <w:u w:val="single"/>
              </w:rPr>
            </w:pPr>
            <w:r>
              <w:rPr>
                <w:rFonts w:hint="eastAsia" w:ascii="宋体" w:hAnsi="宋体" w:cs="宋体"/>
                <w:sz w:val="24"/>
                <w:u w:val="single"/>
              </w:rPr>
              <w:t xml:space="preserve">                     </w:t>
            </w:r>
          </w:p>
        </w:tc>
      </w:tr>
      <w:tr w14:paraId="65EAE920">
        <w:tblPrEx>
          <w:tblCellMar>
            <w:top w:w="0" w:type="dxa"/>
            <w:left w:w="108" w:type="dxa"/>
            <w:bottom w:w="0" w:type="dxa"/>
            <w:right w:w="108" w:type="dxa"/>
          </w:tblCellMar>
        </w:tblPrEx>
        <w:trPr>
          <w:trHeight w:val="847" w:hRule="atLeast"/>
          <w:jc w:val="center"/>
        </w:trPr>
        <w:tc>
          <w:tcPr>
            <w:tcW w:w="1882" w:type="dxa"/>
            <w:vAlign w:val="center"/>
          </w:tcPr>
          <w:p w14:paraId="590867DF">
            <w:pPr>
              <w:spacing w:line="360" w:lineRule="exact"/>
              <w:jc w:val="center"/>
              <w:rPr>
                <w:rFonts w:hint="eastAsia" w:ascii="宋体" w:hAnsi="宋体" w:cs="宋体"/>
                <w:sz w:val="24"/>
              </w:rPr>
            </w:pPr>
          </w:p>
        </w:tc>
        <w:tc>
          <w:tcPr>
            <w:tcW w:w="2653" w:type="dxa"/>
            <w:vAlign w:val="center"/>
          </w:tcPr>
          <w:p w14:paraId="3285CCC6">
            <w:pPr>
              <w:spacing w:line="360" w:lineRule="exact"/>
              <w:jc w:val="right"/>
              <w:rPr>
                <w:rFonts w:hint="eastAsia" w:ascii="宋体" w:hAnsi="宋体" w:cs="宋体"/>
                <w:sz w:val="24"/>
                <w:u w:val="single"/>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tc>
        <w:tc>
          <w:tcPr>
            <w:tcW w:w="1866" w:type="dxa"/>
            <w:vAlign w:val="center"/>
          </w:tcPr>
          <w:p w14:paraId="520D9DF2">
            <w:pPr>
              <w:spacing w:line="360" w:lineRule="exact"/>
              <w:jc w:val="right"/>
              <w:rPr>
                <w:rFonts w:hint="eastAsia" w:ascii="宋体" w:hAnsi="宋体" w:cs="宋体"/>
                <w:sz w:val="24"/>
              </w:rPr>
            </w:pPr>
          </w:p>
        </w:tc>
        <w:tc>
          <w:tcPr>
            <w:tcW w:w="2693" w:type="dxa"/>
            <w:vAlign w:val="center"/>
          </w:tcPr>
          <w:p w14:paraId="6F713AD5">
            <w:pPr>
              <w:spacing w:line="360" w:lineRule="exact"/>
              <w:ind w:left="0" w:leftChars="-2" w:hanging="4" w:hangingChars="2"/>
              <w:jc w:val="right"/>
              <w:rPr>
                <w:rFonts w:hint="eastAsia" w:ascii="宋体" w:hAnsi="宋体" w:cs="宋体"/>
                <w:sz w:val="24"/>
                <w:u w:val="single"/>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tc>
      </w:tr>
      <w:tr w14:paraId="59ABBCAB">
        <w:tblPrEx>
          <w:tblCellMar>
            <w:top w:w="0" w:type="dxa"/>
            <w:left w:w="108" w:type="dxa"/>
            <w:bottom w:w="0" w:type="dxa"/>
            <w:right w:w="108" w:type="dxa"/>
          </w:tblCellMar>
        </w:tblPrEx>
        <w:trPr>
          <w:trHeight w:val="1162" w:hRule="atLeast"/>
          <w:jc w:val="center"/>
        </w:trPr>
        <w:tc>
          <w:tcPr>
            <w:tcW w:w="1882" w:type="dxa"/>
            <w:vAlign w:val="center"/>
          </w:tcPr>
          <w:p w14:paraId="7FFE5241">
            <w:pPr>
              <w:spacing w:line="360" w:lineRule="exact"/>
              <w:jc w:val="center"/>
              <w:rPr>
                <w:rFonts w:hint="eastAsia" w:ascii="宋体" w:hAnsi="宋体" w:cs="宋体"/>
                <w:sz w:val="24"/>
              </w:rPr>
            </w:pPr>
            <w:r>
              <w:rPr>
                <w:rFonts w:hint="eastAsia" w:ascii="宋体" w:hAnsi="宋体" w:cs="宋体"/>
                <w:sz w:val="24"/>
              </w:rPr>
              <w:t>法定代表人</w:t>
            </w:r>
          </w:p>
          <w:p w14:paraId="5AA67B73">
            <w:pPr>
              <w:spacing w:line="360" w:lineRule="exact"/>
              <w:jc w:val="center"/>
              <w:rPr>
                <w:rFonts w:hint="eastAsia" w:ascii="宋体" w:hAnsi="宋体" w:cs="宋体"/>
                <w:sz w:val="24"/>
              </w:rPr>
            </w:pPr>
            <w:r>
              <w:rPr>
                <w:rFonts w:hint="eastAsia" w:ascii="宋体" w:hAnsi="宋体" w:cs="宋体"/>
                <w:sz w:val="20"/>
              </w:rPr>
              <w:t>（签字）</w:t>
            </w:r>
            <w:r>
              <w:rPr>
                <w:rFonts w:hint="eastAsia" w:ascii="宋体" w:hAnsi="宋体" w:cs="宋体"/>
                <w:sz w:val="24"/>
              </w:rPr>
              <w:t>：</w:t>
            </w:r>
          </w:p>
        </w:tc>
        <w:tc>
          <w:tcPr>
            <w:tcW w:w="2653" w:type="dxa"/>
            <w:vAlign w:val="bottom"/>
          </w:tcPr>
          <w:p w14:paraId="3FDAE416">
            <w:pPr>
              <w:spacing w:line="360" w:lineRule="exact"/>
              <w:rPr>
                <w:rFonts w:hint="eastAsia" w:ascii="宋体" w:hAnsi="宋体" w:cs="宋体"/>
                <w:sz w:val="24"/>
                <w:u w:val="single"/>
              </w:rPr>
            </w:pPr>
            <w:r>
              <w:rPr>
                <w:rFonts w:hint="eastAsia" w:ascii="宋体" w:hAnsi="宋体" w:cs="宋体"/>
                <w:sz w:val="24"/>
                <w:u w:val="single"/>
              </w:rPr>
              <w:t xml:space="preserve">                    </w:t>
            </w:r>
          </w:p>
        </w:tc>
        <w:tc>
          <w:tcPr>
            <w:tcW w:w="1866" w:type="dxa"/>
            <w:vAlign w:val="center"/>
          </w:tcPr>
          <w:p w14:paraId="4B6CFCC1">
            <w:pPr>
              <w:spacing w:line="360" w:lineRule="exact"/>
              <w:jc w:val="center"/>
              <w:rPr>
                <w:rFonts w:hint="eastAsia" w:ascii="宋体" w:hAnsi="宋体" w:cs="宋体"/>
                <w:sz w:val="24"/>
              </w:rPr>
            </w:pPr>
            <w:r>
              <w:rPr>
                <w:rFonts w:hint="eastAsia" w:ascii="宋体" w:hAnsi="宋体" w:cs="宋体"/>
                <w:sz w:val="24"/>
              </w:rPr>
              <w:t>法定代表人</w:t>
            </w:r>
          </w:p>
          <w:p w14:paraId="2F294D02">
            <w:pPr>
              <w:spacing w:line="360" w:lineRule="exact"/>
              <w:jc w:val="center"/>
              <w:rPr>
                <w:rFonts w:hint="eastAsia" w:ascii="宋体" w:hAnsi="宋体" w:cs="宋体"/>
                <w:sz w:val="24"/>
              </w:rPr>
            </w:pPr>
            <w:r>
              <w:rPr>
                <w:rFonts w:hint="eastAsia" w:ascii="宋体" w:hAnsi="宋体" w:cs="宋体"/>
                <w:sz w:val="20"/>
              </w:rPr>
              <w:t>（签字）</w:t>
            </w:r>
            <w:r>
              <w:rPr>
                <w:rFonts w:hint="eastAsia" w:ascii="宋体" w:hAnsi="宋体" w:cs="宋体"/>
                <w:sz w:val="24"/>
              </w:rPr>
              <w:t>：</w:t>
            </w:r>
          </w:p>
        </w:tc>
        <w:tc>
          <w:tcPr>
            <w:tcW w:w="2693" w:type="dxa"/>
            <w:vAlign w:val="bottom"/>
          </w:tcPr>
          <w:p w14:paraId="5E7C17D9">
            <w:pPr>
              <w:spacing w:line="360" w:lineRule="exact"/>
              <w:rPr>
                <w:rFonts w:hint="eastAsia" w:ascii="宋体" w:hAnsi="宋体" w:cs="宋体"/>
                <w:sz w:val="24"/>
                <w:u w:val="single"/>
              </w:rPr>
            </w:pPr>
            <w:r>
              <w:rPr>
                <w:rFonts w:hint="eastAsia" w:ascii="宋体" w:hAnsi="宋体" w:cs="宋体"/>
                <w:sz w:val="24"/>
                <w:u w:val="single"/>
              </w:rPr>
              <w:t xml:space="preserve">                     </w:t>
            </w:r>
          </w:p>
        </w:tc>
      </w:tr>
      <w:tr w14:paraId="4FC58170">
        <w:tblPrEx>
          <w:tblCellMar>
            <w:top w:w="0" w:type="dxa"/>
            <w:left w:w="108" w:type="dxa"/>
            <w:bottom w:w="0" w:type="dxa"/>
            <w:right w:w="108" w:type="dxa"/>
          </w:tblCellMar>
        </w:tblPrEx>
        <w:trPr>
          <w:trHeight w:val="1144" w:hRule="atLeast"/>
          <w:jc w:val="center"/>
        </w:trPr>
        <w:tc>
          <w:tcPr>
            <w:tcW w:w="1882" w:type="dxa"/>
            <w:vAlign w:val="center"/>
          </w:tcPr>
          <w:p w14:paraId="2C71C7FC">
            <w:pPr>
              <w:spacing w:line="360" w:lineRule="exact"/>
              <w:jc w:val="center"/>
              <w:rPr>
                <w:rFonts w:hint="eastAsia" w:ascii="宋体" w:hAnsi="宋体" w:cs="宋体"/>
                <w:sz w:val="24"/>
              </w:rPr>
            </w:pPr>
            <w:r>
              <w:rPr>
                <w:rFonts w:hint="eastAsia" w:ascii="宋体" w:hAnsi="宋体" w:cs="宋体"/>
                <w:sz w:val="24"/>
              </w:rPr>
              <w:t>委托代理人</w:t>
            </w:r>
          </w:p>
          <w:p w14:paraId="2411DC8D">
            <w:pPr>
              <w:spacing w:line="360" w:lineRule="exact"/>
              <w:jc w:val="center"/>
              <w:rPr>
                <w:rFonts w:hint="eastAsia" w:ascii="宋体" w:hAnsi="宋体" w:cs="宋体"/>
                <w:sz w:val="24"/>
              </w:rPr>
            </w:pPr>
            <w:r>
              <w:rPr>
                <w:rFonts w:hint="eastAsia" w:ascii="宋体" w:hAnsi="宋体" w:cs="宋体"/>
                <w:sz w:val="20"/>
              </w:rPr>
              <w:t>（签字）</w:t>
            </w:r>
            <w:r>
              <w:rPr>
                <w:rFonts w:hint="eastAsia" w:ascii="宋体" w:hAnsi="宋体" w:cs="宋体"/>
                <w:sz w:val="24"/>
              </w:rPr>
              <w:t>：</w:t>
            </w:r>
          </w:p>
        </w:tc>
        <w:tc>
          <w:tcPr>
            <w:tcW w:w="2653" w:type="dxa"/>
            <w:vAlign w:val="bottom"/>
          </w:tcPr>
          <w:p w14:paraId="5C46C412">
            <w:pPr>
              <w:spacing w:line="360" w:lineRule="exact"/>
              <w:rPr>
                <w:rFonts w:hint="eastAsia" w:ascii="宋体" w:hAnsi="宋体" w:cs="宋体"/>
                <w:sz w:val="24"/>
              </w:rPr>
            </w:pPr>
            <w:r>
              <w:rPr>
                <w:rFonts w:hint="eastAsia" w:ascii="宋体" w:hAnsi="宋体" w:cs="宋体"/>
                <w:sz w:val="24"/>
                <w:u w:val="single"/>
              </w:rPr>
              <w:t xml:space="preserve">                    </w:t>
            </w:r>
          </w:p>
        </w:tc>
        <w:tc>
          <w:tcPr>
            <w:tcW w:w="1866" w:type="dxa"/>
            <w:vAlign w:val="center"/>
          </w:tcPr>
          <w:p w14:paraId="21DCBEE2">
            <w:pPr>
              <w:spacing w:line="360" w:lineRule="exact"/>
              <w:jc w:val="center"/>
              <w:rPr>
                <w:rFonts w:hint="eastAsia" w:ascii="宋体" w:hAnsi="宋体" w:cs="宋体"/>
                <w:sz w:val="24"/>
              </w:rPr>
            </w:pPr>
            <w:r>
              <w:rPr>
                <w:rFonts w:hint="eastAsia" w:ascii="宋体" w:hAnsi="宋体" w:cs="宋体"/>
                <w:sz w:val="24"/>
              </w:rPr>
              <w:t>委托代理人</w:t>
            </w:r>
          </w:p>
          <w:p w14:paraId="2C939D80">
            <w:pPr>
              <w:spacing w:line="360" w:lineRule="exact"/>
              <w:jc w:val="center"/>
              <w:rPr>
                <w:rFonts w:hint="eastAsia" w:ascii="宋体" w:hAnsi="宋体" w:cs="宋体"/>
                <w:sz w:val="24"/>
              </w:rPr>
            </w:pPr>
            <w:r>
              <w:rPr>
                <w:rFonts w:hint="eastAsia" w:ascii="宋体" w:hAnsi="宋体" w:cs="宋体"/>
                <w:sz w:val="20"/>
              </w:rPr>
              <w:t>（签字）</w:t>
            </w:r>
            <w:r>
              <w:rPr>
                <w:rFonts w:hint="eastAsia" w:ascii="宋体" w:hAnsi="宋体" w:cs="宋体"/>
                <w:sz w:val="24"/>
              </w:rPr>
              <w:t>：</w:t>
            </w:r>
          </w:p>
        </w:tc>
        <w:tc>
          <w:tcPr>
            <w:tcW w:w="2693" w:type="dxa"/>
            <w:vAlign w:val="bottom"/>
          </w:tcPr>
          <w:p w14:paraId="360DF039">
            <w:pPr>
              <w:spacing w:line="360" w:lineRule="exact"/>
              <w:rPr>
                <w:rFonts w:hint="eastAsia" w:ascii="宋体" w:hAnsi="宋体" w:cs="宋体"/>
                <w:sz w:val="24"/>
                <w:u w:val="single"/>
              </w:rPr>
            </w:pPr>
            <w:r>
              <w:rPr>
                <w:rFonts w:hint="eastAsia" w:ascii="宋体" w:hAnsi="宋体" w:cs="宋体"/>
                <w:sz w:val="24"/>
                <w:u w:val="single"/>
              </w:rPr>
              <w:t xml:space="preserve">                     </w:t>
            </w:r>
          </w:p>
        </w:tc>
      </w:tr>
      <w:tr w14:paraId="35A8A579">
        <w:tblPrEx>
          <w:tblCellMar>
            <w:top w:w="0" w:type="dxa"/>
            <w:left w:w="108" w:type="dxa"/>
            <w:bottom w:w="0" w:type="dxa"/>
            <w:right w:w="108" w:type="dxa"/>
          </w:tblCellMar>
        </w:tblPrEx>
        <w:trPr>
          <w:trHeight w:val="1120" w:hRule="atLeast"/>
          <w:jc w:val="center"/>
        </w:trPr>
        <w:tc>
          <w:tcPr>
            <w:tcW w:w="1882" w:type="dxa"/>
            <w:vAlign w:val="center"/>
          </w:tcPr>
          <w:p w14:paraId="67039182">
            <w:pPr>
              <w:spacing w:line="360" w:lineRule="exact"/>
              <w:jc w:val="center"/>
              <w:rPr>
                <w:rFonts w:hint="eastAsia" w:ascii="宋体" w:hAnsi="宋体" w:cs="宋体"/>
                <w:sz w:val="24"/>
              </w:rPr>
            </w:pPr>
            <w:r>
              <w:rPr>
                <w:rFonts w:hint="eastAsia" w:ascii="宋体" w:hAnsi="宋体" w:cs="宋体"/>
                <w:sz w:val="24"/>
              </w:rPr>
              <w:t>地    址：</w:t>
            </w:r>
          </w:p>
        </w:tc>
        <w:tc>
          <w:tcPr>
            <w:tcW w:w="2653" w:type="dxa"/>
            <w:vAlign w:val="center"/>
          </w:tcPr>
          <w:p w14:paraId="0EF210AE">
            <w:pPr>
              <w:spacing w:line="360" w:lineRule="exact"/>
              <w:rPr>
                <w:rFonts w:hint="eastAsia" w:ascii="宋体" w:hAnsi="宋体" w:cs="宋体"/>
                <w:sz w:val="24"/>
                <w:u w:val="single"/>
              </w:rPr>
            </w:pPr>
            <w:r>
              <w:rPr>
                <w:rFonts w:hint="eastAsia" w:ascii="宋体" w:hAnsi="宋体" w:cs="宋体"/>
                <w:sz w:val="24"/>
                <w:u w:val="single"/>
              </w:rPr>
              <w:t xml:space="preserve">北京市西城区黄寺大街24号（22号楼）     </w:t>
            </w:r>
          </w:p>
        </w:tc>
        <w:tc>
          <w:tcPr>
            <w:tcW w:w="1866" w:type="dxa"/>
            <w:vAlign w:val="center"/>
          </w:tcPr>
          <w:p w14:paraId="77769EA0">
            <w:pPr>
              <w:spacing w:line="360" w:lineRule="exact"/>
              <w:jc w:val="center"/>
              <w:rPr>
                <w:rFonts w:hint="eastAsia" w:ascii="宋体" w:hAnsi="宋体" w:cs="宋体"/>
                <w:sz w:val="24"/>
              </w:rPr>
            </w:pPr>
            <w:r>
              <w:rPr>
                <w:rFonts w:hint="eastAsia" w:ascii="宋体" w:hAnsi="宋体" w:cs="宋体"/>
                <w:sz w:val="24"/>
              </w:rPr>
              <w:t>地    址：</w:t>
            </w:r>
          </w:p>
        </w:tc>
        <w:tc>
          <w:tcPr>
            <w:tcW w:w="2693" w:type="dxa"/>
            <w:vAlign w:val="center"/>
          </w:tcPr>
          <w:p w14:paraId="1CB061E7">
            <w:pPr>
              <w:spacing w:line="360" w:lineRule="exact"/>
              <w:rPr>
                <w:rFonts w:hint="eastAsia" w:ascii="宋体" w:hAnsi="宋体" w:cs="宋体"/>
                <w:sz w:val="24"/>
              </w:rPr>
            </w:pPr>
            <w:r>
              <w:rPr>
                <w:rFonts w:hint="eastAsia" w:ascii="宋体" w:hAnsi="宋体" w:cs="宋体"/>
                <w:sz w:val="24"/>
                <w:u w:val="single"/>
              </w:rPr>
              <w:t xml:space="preserve">                     </w:t>
            </w:r>
          </w:p>
        </w:tc>
      </w:tr>
      <w:tr w14:paraId="5BA873B1">
        <w:tblPrEx>
          <w:tblCellMar>
            <w:top w:w="0" w:type="dxa"/>
            <w:left w:w="108" w:type="dxa"/>
            <w:bottom w:w="0" w:type="dxa"/>
            <w:right w:w="108" w:type="dxa"/>
          </w:tblCellMar>
        </w:tblPrEx>
        <w:trPr>
          <w:trHeight w:val="850" w:hRule="exact"/>
          <w:jc w:val="center"/>
        </w:trPr>
        <w:tc>
          <w:tcPr>
            <w:tcW w:w="1882" w:type="dxa"/>
            <w:vAlign w:val="center"/>
          </w:tcPr>
          <w:p w14:paraId="21E0E288">
            <w:pPr>
              <w:spacing w:line="360" w:lineRule="exact"/>
              <w:jc w:val="center"/>
              <w:rPr>
                <w:rFonts w:hint="eastAsia" w:ascii="宋体" w:hAnsi="宋体" w:cs="宋体"/>
                <w:sz w:val="24"/>
              </w:rPr>
            </w:pPr>
            <w:r>
              <w:rPr>
                <w:rFonts w:hint="eastAsia" w:ascii="宋体" w:hAnsi="宋体" w:cs="宋体"/>
                <w:sz w:val="24"/>
              </w:rPr>
              <w:t>邮政编码：</w:t>
            </w:r>
          </w:p>
        </w:tc>
        <w:tc>
          <w:tcPr>
            <w:tcW w:w="2653" w:type="dxa"/>
            <w:vAlign w:val="center"/>
          </w:tcPr>
          <w:p w14:paraId="4B5F5180">
            <w:pPr>
              <w:spacing w:line="360" w:lineRule="exact"/>
              <w:rPr>
                <w:rFonts w:hint="eastAsia" w:ascii="宋体" w:hAnsi="宋体" w:cs="宋体"/>
                <w:sz w:val="24"/>
              </w:rPr>
            </w:pPr>
            <w:r>
              <w:rPr>
                <w:rFonts w:hint="eastAsia" w:ascii="宋体" w:hAnsi="宋体" w:cs="宋体"/>
                <w:sz w:val="24"/>
                <w:u w:val="single"/>
                <w:lang w:bidi="ar"/>
              </w:rPr>
              <w:t xml:space="preserve">100120              </w:t>
            </w:r>
          </w:p>
        </w:tc>
        <w:tc>
          <w:tcPr>
            <w:tcW w:w="1866" w:type="dxa"/>
            <w:vAlign w:val="center"/>
          </w:tcPr>
          <w:p w14:paraId="22C66A07">
            <w:pPr>
              <w:spacing w:line="360" w:lineRule="exact"/>
              <w:jc w:val="center"/>
              <w:rPr>
                <w:rFonts w:hint="eastAsia" w:ascii="宋体" w:hAnsi="宋体" w:cs="宋体"/>
                <w:sz w:val="24"/>
              </w:rPr>
            </w:pPr>
            <w:r>
              <w:rPr>
                <w:rFonts w:hint="eastAsia" w:ascii="宋体" w:hAnsi="宋体" w:cs="宋体"/>
                <w:sz w:val="24"/>
              </w:rPr>
              <w:t>邮政编码：</w:t>
            </w:r>
          </w:p>
        </w:tc>
        <w:tc>
          <w:tcPr>
            <w:tcW w:w="2693" w:type="dxa"/>
            <w:vAlign w:val="center"/>
          </w:tcPr>
          <w:p w14:paraId="30DE4FCF">
            <w:pPr>
              <w:spacing w:line="360" w:lineRule="exact"/>
              <w:rPr>
                <w:rFonts w:hint="eastAsia" w:ascii="宋体" w:hAnsi="宋体" w:cs="宋体"/>
                <w:sz w:val="24"/>
                <w:u w:val="single"/>
              </w:rPr>
            </w:pPr>
            <w:r>
              <w:rPr>
                <w:rFonts w:hint="eastAsia" w:ascii="宋体" w:hAnsi="宋体" w:cs="宋体"/>
                <w:sz w:val="24"/>
                <w:u w:val="single"/>
              </w:rPr>
              <w:t xml:space="preserve">                     </w:t>
            </w:r>
          </w:p>
        </w:tc>
      </w:tr>
      <w:tr w14:paraId="46B18719">
        <w:tblPrEx>
          <w:tblCellMar>
            <w:top w:w="0" w:type="dxa"/>
            <w:left w:w="108" w:type="dxa"/>
            <w:bottom w:w="0" w:type="dxa"/>
            <w:right w:w="108" w:type="dxa"/>
          </w:tblCellMar>
        </w:tblPrEx>
        <w:trPr>
          <w:trHeight w:val="850" w:hRule="exact"/>
          <w:jc w:val="center"/>
        </w:trPr>
        <w:tc>
          <w:tcPr>
            <w:tcW w:w="1882" w:type="dxa"/>
            <w:vAlign w:val="center"/>
          </w:tcPr>
          <w:p w14:paraId="686B2FAE">
            <w:pPr>
              <w:spacing w:line="360" w:lineRule="exact"/>
              <w:jc w:val="center"/>
              <w:rPr>
                <w:rFonts w:hint="eastAsia" w:ascii="宋体" w:hAnsi="宋体" w:cs="宋体"/>
                <w:sz w:val="24"/>
              </w:rPr>
            </w:pPr>
            <w:r>
              <w:rPr>
                <w:rFonts w:hint="eastAsia" w:ascii="宋体" w:hAnsi="宋体" w:cs="宋体"/>
                <w:sz w:val="24"/>
              </w:rPr>
              <w:t>联系电话：</w:t>
            </w:r>
          </w:p>
        </w:tc>
        <w:tc>
          <w:tcPr>
            <w:tcW w:w="2653" w:type="dxa"/>
            <w:vAlign w:val="center"/>
          </w:tcPr>
          <w:p w14:paraId="73111301">
            <w:pPr>
              <w:spacing w:line="360" w:lineRule="exact"/>
              <w:rPr>
                <w:rFonts w:hint="eastAsia" w:ascii="宋体" w:hAnsi="宋体" w:cs="宋体"/>
                <w:sz w:val="24"/>
              </w:rPr>
            </w:pPr>
            <w:r>
              <w:rPr>
                <w:rFonts w:hint="eastAsia" w:ascii="宋体" w:hAnsi="宋体" w:cs="宋体"/>
                <w:sz w:val="24"/>
                <w:u w:val="single"/>
                <w:lang w:bidi="ar"/>
              </w:rPr>
              <w:t xml:space="preserve">010-51632203         </w:t>
            </w:r>
          </w:p>
        </w:tc>
        <w:tc>
          <w:tcPr>
            <w:tcW w:w="1866" w:type="dxa"/>
            <w:vAlign w:val="center"/>
          </w:tcPr>
          <w:p w14:paraId="711303AC">
            <w:pPr>
              <w:spacing w:line="360" w:lineRule="exact"/>
              <w:jc w:val="center"/>
              <w:rPr>
                <w:rFonts w:hint="eastAsia" w:ascii="宋体" w:hAnsi="宋体" w:cs="宋体"/>
                <w:sz w:val="24"/>
              </w:rPr>
            </w:pPr>
            <w:r>
              <w:rPr>
                <w:rFonts w:hint="eastAsia" w:ascii="宋体" w:hAnsi="宋体" w:cs="宋体"/>
                <w:sz w:val="24"/>
              </w:rPr>
              <w:t>联系电话：</w:t>
            </w:r>
          </w:p>
        </w:tc>
        <w:tc>
          <w:tcPr>
            <w:tcW w:w="2693" w:type="dxa"/>
            <w:vAlign w:val="center"/>
          </w:tcPr>
          <w:p w14:paraId="0180D67F">
            <w:pPr>
              <w:spacing w:line="360" w:lineRule="exact"/>
              <w:rPr>
                <w:rFonts w:hint="eastAsia" w:ascii="宋体" w:hAnsi="宋体" w:cs="宋体"/>
                <w:sz w:val="24"/>
              </w:rPr>
            </w:pPr>
            <w:r>
              <w:rPr>
                <w:rFonts w:hint="eastAsia" w:ascii="宋体" w:hAnsi="宋体" w:cs="宋体"/>
                <w:sz w:val="24"/>
                <w:u w:val="single"/>
              </w:rPr>
              <w:t xml:space="preserve">                     </w:t>
            </w:r>
          </w:p>
        </w:tc>
      </w:tr>
      <w:tr w14:paraId="0B31D18A">
        <w:tblPrEx>
          <w:tblCellMar>
            <w:top w:w="0" w:type="dxa"/>
            <w:left w:w="108" w:type="dxa"/>
            <w:bottom w:w="0" w:type="dxa"/>
            <w:right w:w="108" w:type="dxa"/>
          </w:tblCellMar>
        </w:tblPrEx>
        <w:trPr>
          <w:trHeight w:val="850" w:hRule="exact"/>
          <w:jc w:val="center"/>
        </w:trPr>
        <w:tc>
          <w:tcPr>
            <w:tcW w:w="1882" w:type="dxa"/>
            <w:vAlign w:val="center"/>
          </w:tcPr>
          <w:p w14:paraId="2398B66E">
            <w:pPr>
              <w:spacing w:line="360" w:lineRule="exact"/>
              <w:jc w:val="center"/>
              <w:rPr>
                <w:rFonts w:hint="eastAsia" w:ascii="宋体" w:hAnsi="宋体" w:cs="宋体"/>
                <w:sz w:val="24"/>
              </w:rPr>
            </w:pPr>
            <w:r>
              <w:rPr>
                <w:rFonts w:hint="eastAsia" w:ascii="宋体" w:hAnsi="宋体" w:cs="宋体"/>
                <w:sz w:val="24"/>
              </w:rPr>
              <w:t>开 户 行：</w:t>
            </w:r>
          </w:p>
        </w:tc>
        <w:tc>
          <w:tcPr>
            <w:tcW w:w="2653" w:type="dxa"/>
            <w:vAlign w:val="center"/>
          </w:tcPr>
          <w:p w14:paraId="349B71EE">
            <w:pPr>
              <w:spacing w:line="360" w:lineRule="exact"/>
              <w:rPr>
                <w:rFonts w:hint="eastAsia" w:ascii="宋体" w:hAnsi="宋体" w:cs="宋体"/>
                <w:sz w:val="24"/>
                <w:u w:val="single"/>
              </w:rPr>
            </w:pPr>
            <w:r>
              <w:rPr>
                <w:rFonts w:hint="eastAsia" w:ascii="宋体" w:hAnsi="宋体" w:cs="宋体"/>
                <w:sz w:val="24"/>
                <w:u w:val="single"/>
              </w:rPr>
              <w:t xml:space="preserve">中国银行北京黄寺支行 </w:t>
            </w:r>
          </w:p>
        </w:tc>
        <w:tc>
          <w:tcPr>
            <w:tcW w:w="1866" w:type="dxa"/>
            <w:vAlign w:val="center"/>
          </w:tcPr>
          <w:p w14:paraId="4A6E7461">
            <w:pPr>
              <w:spacing w:line="360" w:lineRule="exact"/>
              <w:jc w:val="center"/>
              <w:rPr>
                <w:rFonts w:hint="eastAsia" w:ascii="宋体" w:hAnsi="宋体" w:cs="宋体"/>
                <w:sz w:val="24"/>
              </w:rPr>
            </w:pPr>
            <w:r>
              <w:rPr>
                <w:rFonts w:hint="eastAsia" w:ascii="宋体" w:hAnsi="宋体" w:cs="宋体"/>
                <w:sz w:val="24"/>
              </w:rPr>
              <w:t>开 户 行：</w:t>
            </w:r>
          </w:p>
        </w:tc>
        <w:tc>
          <w:tcPr>
            <w:tcW w:w="2693" w:type="dxa"/>
            <w:vAlign w:val="center"/>
          </w:tcPr>
          <w:p w14:paraId="0A737A91">
            <w:pPr>
              <w:spacing w:line="360" w:lineRule="exact"/>
              <w:rPr>
                <w:rFonts w:hint="eastAsia" w:ascii="宋体" w:hAnsi="宋体" w:cs="宋体"/>
                <w:sz w:val="24"/>
              </w:rPr>
            </w:pPr>
            <w:r>
              <w:rPr>
                <w:rFonts w:hint="eastAsia" w:ascii="宋体" w:hAnsi="宋体" w:cs="宋体"/>
                <w:sz w:val="24"/>
                <w:u w:val="single"/>
              </w:rPr>
              <w:t xml:space="preserve">                     </w:t>
            </w:r>
          </w:p>
        </w:tc>
      </w:tr>
      <w:tr w14:paraId="7805AFC3">
        <w:tblPrEx>
          <w:tblCellMar>
            <w:top w:w="0" w:type="dxa"/>
            <w:left w:w="108" w:type="dxa"/>
            <w:bottom w:w="0" w:type="dxa"/>
            <w:right w:w="108" w:type="dxa"/>
          </w:tblCellMar>
        </w:tblPrEx>
        <w:trPr>
          <w:trHeight w:val="850" w:hRule="exact"/>
          <w:jc w:val="center"/>
        </w:trPr>
        <w:tc>
          <w:tcPr>
            <w:tcW w:w="1882" w:type="dxa"/>
            <w:vAlign w:val="center"/>
          </w:tcPr>
          <w:p w14:paraId="11404BD7">
            <w:pPr>
              <w:spacing w:line="360" w:lineRule="exact"/>
              <w:jc w:val="center"/>
              <w:rPr>
                <w:rFonts w:hint="eastAsia" w:ascii="宋体" w:hAnsi="宋体" w:cs="宋体"/>
                <w:sz w:val="24"/>
              </w:rPr>
            </w:pPr>
            <w:r>
              <w:rPr>
                <w:rFonts w:hint="eastAsia" w:ascii="宋体" w:hAnsi="宋体" w:cs="宋体"/>
                <w:sz w:val="24"/>
              </w:rPr>
              <w:t>帐     号：</w:t>
            </w:r>
          </w:p>
        </w:tc>
        <w:tc>
          <w:tcPr>
            <w:tcW w:w="2653" w:type="dxa"/>
            <w:vAlign w:val="center"/>
          </w:tcPr>
          <w:p w14:paraId="6AAA2D20">
            <w:pPr>
              <w:spacing w:line="360" w:lineRule="exact"/>
              <w:rPr>
                <w:rFonts w:hint="eastAsia" w:ascii="宋体" w:hAnsi="宋体" w:cs="宋体"/>
                <w:sz w:val="24"/>
                <w:u w:val="single"/>
              </w:rPr>
            </w:pPr>
            <w:r>
              <w:rPr>
                <w:rFonts w:hint="eastAsia" w:ascii="宋体" w:hAnsi="宋体" w:cs="宋体"/>
                <w:sz w:val="24"/>
                <w:u w:val="single"/>
              </w:rPr>
              <w:t xml:space="preserve">333761859012        </w:t>
            </w:r>
          </w:p>
        </w:tc>
        <w:tc>
          <w:tcPr>
            <w:tcW w:w="1866" w:type="dxa"/>
            <w:vAlign w:val="center"/>
          </w:tcPr>
          <w:p w14:paraId="1D922368">
            <w:pPr>
              <w:spacing w:line="360" w:lineRule="exact"/>
              <w:jc w:val="center"/>
              <w:rPr>
                <w:rFonts w:hint="eastAsia" w:ascii="宋体" w:hAnsi="宋体" w:cs="宋体"/>
                <w:sz w:val="24"/>
              </w:rPr>
            </w:pPr>
            <w:r>
              <w:rPr>
                <w:rFonts w:hint="eastAsia" w:ascii="宋体" w:hAnsi="宋体" w:cs="宋体"/>
                <w:sz w:val="24"/>
              </w:rPr>
              <w:t>帐     号：</w:t>
            </w:r>
          </w:p>
        </w:tc>
        <w:tc>
          <w:tcPr>
            <w:tcW w:w="2693" w:type="dxa"/>
            <w:vAlign w:val="center"/>
          </w:tcPr>
          <w:tbl>
            <w:tblPr>
              <w:tblStyle w:val="42"/>
              <w:tblW w:w="9094" w:type="dxa"/>
              <w:jc w:val="center"/>
              <w:tblLayout w:type="fixed"/>
              <w:tblCellMar>
                <w:top w:w="0" w:type="dxa"/>
                <w:left w:w="108" w:type="dxa"/>
                <w:bottom w:w="0" w:type="dxa"/>
                <w:right w:w="108" w:type="dxa"/>
              </w:tblCellMar>
            </w:tblPr>
            <w:tblGrid>
              <w:gridCol w:w="9094"/>
            </w:tblGrid>
            <w:tr w14:paraId="61B61F67">
              <w:trPr>
                <w:trHeight w:val="850" w:hRule="exact"/>
                <w:jc w:val="center"/>
              </w:trPr>
              <w:tc>
                <w:tcPr>
                  <w:tcW w:w="2693" w:type="dxa"/>
                  <w:vAlign w:val="center"/>
                </w:tcPr>
                <w:p w14:paraId="0A650D26">
                  <w:pPr>
                    <w:spacing w:line="360" w:lineRule="exact"/>
                    <w:rPr>
                      <w:rFonts w:hint="eastAsia" w:ascii="宋体" w:hAnsi="宋体" w:cs="宋体"/>
                      <w:sz w:val="24"/>
                      <w:u w:val="single"/>
                    </w:rPr>
                  </w:pPr>
                  <w:r>
                    <w:rPr>
                      <w:rFonts w:hint="eastAsia" w:ascii="宋体" w:hAnsi="宋体" w:cs="宋体"/>
                      <w:sz w:val="24"/>
                      <w:u w:val="single"/>
                    </w:rPr>
                    <w:t xml:space="preserve">                     </w:t>
                  </w:r>
                </w:p>
              </w:tc>
            </w:tr>
          </w:tbl>
          <w:p w14:paraId="22DF9FE4">
            <w:pPr>
              <w:spacing w:line="360" w:lineRule="exact"/>
              <w:rPr>
                <w:rFonts w:hint="eastAsia" w:ascii="宋体" w:hAnsi="宋体" w:cs="宋体"/>
                <w:sz w:val="24"/>
              </w:rPr>
            </w:pPr>
          </w:p>
        </w:tc>
      </w:tr>
      <w:tr w14:paraId="2670535D">
        <w:tblPrEx>
          <w:tblCellMar>
            <w:top w:w="0" w:type="dxa"/>
            <w:left w:w="108" w:type="dxa"/>
            <w:bottom w:w="0" w:type="dxa"/>
            <w:right w:w="108" w:type="dxa"/>
          </w:tblCellMar>
        </w:tblPrEx>
        <w:trPr>
          <w:trHeight w:val="850" w:hRule="exact"/>
          <w:jc w:val="center"/>
        </w:trPr>
        <w:tc>
          <w:tcPr>
            <w:tcW w:w="1882" w:type="dxa"/>
            <w:vAlign w:val="center"/>
          </w:tcPr>
          <w:p w14:paraId="0D34C60D">
            <w:pPr>
              <w:spacing w:line="360" w:lineRule="exact"/>
              <w:jc w:val="center"/>
              <w:rPr>
                <w:rFonts w:hint="eastAsia" w:ascii="宋体" w:hAnsi="宋体" w:cs="宋体"/>
                <w:sz w:val="24"/>
              </w:rPr>
            </w:pPr>
            <w:r>
              <w:rPr>
                <w:rFonts w:hint="eastAsia" w:ascii="宋体" w:hAnsi="宋体" w:cs="宋体"/>
                <w:sz w:val="24"/>
              </w:rPr>
              <w:t>纳税人识别号：</w:t>
            </w:r>
          </w:p>
        </w:tc>
        <w:tc>
          <w:tcPr>
            <w:tcW w:w="2653" w:type="dxa"/>
            <w:vAlign w:val="center"/>
          </w:tcPr>
          <w:p w14:paraId="3C9E9E17">
            <w:pPr>
              <w:spacing w:line="360" w:lineRule="exact"/>
              <w:rPr>
                <w:rFonts w:hint="eastAsia" w:ascii="宋体" w:hAnsi="宋体" w:cs="宋体"/>
                <w:sz w:val="24"/>
                <w:u w:val="single"/>
              </w:rPr>
            </w:pPr>
            <w:r>
              <w:rPr>
                <w:rFonts w:hint="eastAsia" w:ascii="宋体" w:hAnsi="宋体" w:cs="宋体"/>
                <w:sz w:val="24"/>
                <w:u w:val="single"/>
              </w:rPr>
              <w:t xml:space="preserve">121100004000030913  </w:t>
            </w:r>
          </w:p>
        </w:tc>
        <w:tc>
          <w:tcPr>
            <w:tcW w:w="1866" w:type="dxa"/>
            <w:vAlign w:val="center"/>
          </w:tcPr>
          <w:p w14:paraId="2C23A921">
            <w:pPr>
              <w:spacing w:line="360" w:lineRule="exact"/>
              <w:jc w:val="center"/>
              <w:rPr>
                <w:rFonts w:hint="eastAsia" w:ascii="宋体" w:hAnsi="宋体" w:cs="宋体"/>
                <w:sz w:val="24"/>
              </w:rPr>
            </w:pPr>
            <w:r>
              <w:rPr>
                <w:rFonts w:hint="eastAsia" w:ascii="宋体" w:hAnsi="宋体" w:cs="宋体"/>
                <w:sz w:val="24"/>
              </w:rPr>
              <w:t>纳税人识别号：</w:t>
            </w:r>
          </w:p>
        </w:tc>
        <w:tc>
          <w:tcPr>
            <w:tcW w:w="2693" w:type="dxa"/>
            <w:vAlign w:val="center"/>
          </w:tcPr>
          <w:p w14:paraId="6F1C297B">
            <w:pPr>
              <w:spacing w:line="360" w:lineRule="exact"/>
              <w:rPr>
                <w:rFonts w:hint="eastAsia" w:ascii="宋体" w:hAnsi="宋体" w:cs="宋体"/>
                <w:sz w:val="24"/>
                <w:u w:val="single"/>
              </w:rPr>
            </w:pPr>
            <w:r>
              <w:rPr>
                <w:rFonts w:hint="eastAsia" w:ascii="宋体" w:hAnsi="宋体" w:cs="宋体"/>
                <w:sz w:val="24"/>
                <w:u w:val="single"/>
              </w:rPr>
              <w:t xml:space="preserve">                     </w:t>
            </w:r>
          </w:p>
        </w:tc>
      </w:tr>
    </w:tbl>
    <w:p w14:paraId="3E3ADE0B">
      <w:pPr>
        <w:spacing w:line="360" w:lineRule="auto"/>
        <w:rPr>
          <w:rFonts w:hint="eastAsia" w:ascii="宋体" w:hAnsi="宋体" w:cs="宋体"/>
          <w:sz w:val="28"/>
          <w:szCs w:val="28"/>
          <w:highlight w:val="yellow"/>
        </w:rPr>
      </w:pPr>
      <w:r>
        <w:rPr>
          <w:rFonts w:hint="eastAsia" w:ascii="宋体" w:hAnsi="宋体" w:cs="宋体"/>
          <w:sz w:val="28"/>
          <w:szCs w:val="28"/>
          <w:highlight w:val="yellow"/>
        </w:rPr>
        <w:br w:type="page"/>
      </w:r>
    </w:p>
    <w:p w14:paraId="73651BDE">
      <w:pPr>
        <w:jc w:val="center"/>
        <w:rPr>
          <w:rFonts w:hint="eastAsia" w:ascii="宋体" w:hAnsi="宋体" w:cs="宋体"/>
          <w:bCs/>
          <w:sz w:val="24"/>
        </w:rPr>
      </w:pPr>
      <w:r>
        <w:rPr>
          <w:rFonts w:hint="eastAsia" w:ascii="宋体" w:hAnsi="宋体" w:cs="宋体"/>
          <w:bCs/>
          <w:sz w:val="24"/>
        </w:rPr>
        <w:t>合同特殊条款</w:t>
      </w:r>
    </w:p>
    <w:p w14:paraId="08EB059E">
      <w:pPr>
        <w:rPr>
          <w:rFonts w:hint="eastAsia" w:ascii="宋体" w:hAnsi="宋体" w:cs="宋体"/>
          <w:sz w:val="28"/>
        </w:rPr>
      </w:pPr>
    </w:p>
    <w:p w14:paraId="3B433C84">
      <w:pPr>
        <w:spacing w:before="120" w:line="360" w:lineRule="auto"/>
        <w:ind w:firstLine="508" w:firstLineChars="212"/>
        <w:rPr>
          <w:rFonts w:hint="eastAsia" w:ascii="宋体" w:hAnsi="宋体" w:cs="宋体"/>
          <w:sz w:val="24"/>
        </w:rPr>
      </w:pPr>
      <w:r>
        <w:rPr>
          <w:rFonts w:hint="eastAsia" w:ascii="宋体" w:hAnsi="宋体" w:cs="宋体"/>
          <w:sz w:val="24"/>
        </w:rPr>
        <w:t>合同特殊条款是合同一般条款的补充和修改。如果两者之间有抵触，应当以特殊条款为准。合同特殊条款的序号将与招标文件第一册中第二章合同一般条款序号相对应。</w:t>
      </w:r>
    </w:p>
    <w:p w14:paraId="1D755DAF">
      <w:pPr>
        <w:spacing w:before="120" w:line="360" w:lineRule="auto"/>
        <w:rPr>
          <w:rFonts w:hint="eastAsia" w:ascii="宋体" w:hAnsi="宋体" w:cs="宋体"/>
          <w:sz w:val="24"/>
        </w:rPr>
      </w:pPr>
      <w:r>
        <w:rPr>
          <w:rFonts w:hint="eastAsia" w:ascii="宋体" w:hAnsi="宋体" w:cs="宋体"/>
          <w:sz w:val="24"/>
        </w:rPr>
        <w:t>1、定义</w:t>
      </w:r>
    </w:p>
    <w:p w14:paraId="3A97D239">
      <w:pPr>
        <w:spacing w:before="120" w:line="360" w:lineRule="auto"/>
        <w:rPr>
          <w:rFonts w:hint="eastAsia" w:ascii="宋体" w:hAnsi="宋体" w:cs="宋体"/>
          <w:sz w:val="24"/>
        </w:rPr>
      </w:pPr>
      <w:r>
        <w:rPr>
          <w:rFonts w:hint="eastAsia" w:ascii="宋体" w:hAnsi="宋体" w:cs="宋体"/>
          <w:sz w:val="24"/>
        </w:rPr>
        <w:t>1.3  采购人：</w:t>
      </w:r>
      <w:r>
        <w:rPr>
          <w:rFonts w:hint="eastAsia" w:ascii="宋体" w:hAnsi="宋体" w:cs="宋体"/>
          <w:sz w:val="24"/>
          <w:u w:val="single"/>
        </w:rPr>
        <w:t>北京市地质灾害防治研究所</w:t>
      </w:r>
    </w:p>
    <w:p w14:paraId="6D68B1C4">
      <w:pPr>
        <w:spacing w:before="120" w:line="360" w:lineRule="auto"/>
        <w:rPr>
          <w:rFonts w:hint="eastAsia" w:ascii="宋体" w:hAnsi="宋体" w:cs="宋体"/>
          <w:sz w:val="24"/>
        </w:rPr>
      </w:pPr>
      <w:r>
        <w:rPr>
          <w:rFonts w:hint="eastAsia" w:ascii="宋体" w:hAnsi="宋体" w:cs="宋体"/>
          <w:sz w:val="24"/>
        </w:rPr>
        <w:t>1.4  中标供应商：</w:t>
      </w:r>
      <w:r>
        <w:rPr>
          <w:rFonts w:hint="eastAsia" w:ascii="宋体" w:hAnsi="宋体" w:cs="宋体"/>
          <w:sz w:val="24"/>
          <w:u w:val="single"/>
        </w:rPr>
        <w:t xml:space="preserve">                    </w:t>
      </w:r>
    </w:p>
    <w:p w14:paraId="64789CF8">
      <w:pPr>
        <w:spacing w:line="360" w:lineRule="auto"/>
        <w:rPr>
          <w:rFonts w:hint="eastAsia" w:ascii="宋体" w:hAnsi="宋体" w:cs="宋体"/>
          <w:sz w:val="24"/>
        </w:rPr>
      </w:pPr>
      <w:r>
        <w:rPr>
          <w:rFonts w:hint="eastAsia" w:ascii="宋体" w:hAnsi="宋体" w:cs="宋体"/>
          <w:sz w:val="24"/>
        </w:rPr>
        <w:t>3、服务内容</w:t>
      </w:r>
    </w:p>
    <w:p w14:paraId="022ABE2C">
      <w:pPr>
        <w:spacing w:line="360" w:lineRule="auto"/>
        <w:ind w:firstLine="480" w:firstLineChars="200"/>
        <w:rPr>
          <w:rFonts w:hint="eastAsia" w:ascii="宋体" w:hAnsi="宋体" w:cs="宋体"/>
          <w:sz w:val="24"/>
        </w:rPr>
      </w:pPr>
      <w:r>
        <w:rPr>
          <w:rFonts w:hint="eastAsia" w:ascii="宋体" w:hAnsi="宋体" w:cs="宋体"/>
          <w:sz w:val="24"/>
          <w:u w:val="single"/>
        </w:rPr>
        <w:t>遥感数据采购及预处理服务</w:t>
      </w:r>
    </w:p>
    <w:p w14:paraId="3CCE5CED">
      <w:pPr>
        <w:spacing w:line="360" w:lineRule="auto"/>
        <w:rPr>
          <w:rFonts w:hint="eastAsia" w:ascii="宋体" w:hAnsi="宋体" w:cs="宋体"/>
          <w:sz w:val="24"/>
        </w:rPr>
      </w:pPr>
      <w:r>
        <w:rPr>
          <w:rFonts w:hint="eastAsia" w:ascii="宋体" w:hAnsi="宋体" w:cs="宋体"/>
          <w:sz w:val="24"/>
        </w:rPr>
        <w:t>4、提供服务期限、地点</w:t>
      </w:r>
    </w:p>
    <w:p w14:paraId="53CFB9C1">
      <w:pPr>
        <w:spacing w:before="120" w:line="360" w:lineRule="auto"/>
        <w:ind w:left="1" w:firstLine="480" w:firstLineChars="200"/>
        <w:rPr>
          <w:rFonts w:hint="eastAsia" w:ascii="宋体" w:hAnsi="宋体" w:cs="宋体"/>
          <w:sz w:val="24"/>
          <w:u w:val="single"/>
        </w:rPr>
      </w:pPr>
      <w:r>
        <w:rPr>
          <w:rFonts w:hint="eastAsia" w:ascii="宋体" w:hAnsi="宋体" w:cs="宋体"/>
          <w:sz w:val="24"/>
          <w:u w:val="single"/>
        </w:rPr>
        <w:t>服务期要求：合同签订之日起至2026年11月30日前，完成本包全部工作内容。</w:t>
      </w:r>
    </w:p>
    <w:p w14:paraId="631600CB">
      <w:pPr>
        <w:spacing w:before="120" w:line="360" w:lineRule="auto"/>
        <w:ind w:left="1" w:firstLine="480" w:firstLineChars="200"/>
        <w:rPr>
          <w:rFonts w:hint="eastAsia" w:ascii="宋体" w:hAnsi="宋体" w:cs="宋体"/>
          <w:sz w:val="24"/>
          <w:u w:val="single"/>
        </w:rPr>
      </w:pPr>
      <w:r>
        <w:rPr>
          <w:rFonts w:hint="eastAsia" w:ascii="宋体" w:hAnsi="宋体" w:cs="宋体"/>
          <w:sz w:val="24"/>
          <w:u w:val="single"/>
        </w:rPr>
        <w:t>服务期内重要节点要求：</w:t>
      </w:r>
    </w:p>
    <w:p w14:paraId="5E296A39">
      <w:pPr>
        <w:spacing w:before="120" w:line="360" w:lineRule="auto"/>
        <w:ind w:left="1" w:firstLine="480" w:firstLineChars="200"/>
        <w:rPr>
          <w:rFonts w:hint="eastAsia" w:ascii="宋体" w:hAnsi="宋体" w:cs="宋体"/>
          <w:sz w:val="24"/>
        </w:rPr>
      </w:pPr>
      <w:r>
        <w:rPr>
          <w:rFonts w:hint="eastAsia" w:ascii="宋体" w:hAnsi="宋体" w:cs="宋体"/>
          <w:sz w:val="24"/>
        </w:rPr>
        <w:t>1）光学卫星数据应在2026年4月30日前提交所有成果。</w:t>
      </w:r>
    </w:p>
    <w:p w14:paraId="75DCFDEC">
      <w:pPr>
        <w:spacing w:before="120" w:line="360" w:lineRule="auto"/>
        <w:ind w:left="1" w:firstLine="480" w:firstLineChars="200"/>
        <w:rPr>
          <w:rFonts w:hint="eastAsia" w:ascii="宋体" w:hAnsi="宋体" w:cs="宋体"/>
          <w:sz w:val="24"/>
          <w:u w:val="single"/>
        </w:rPr>
      </w:pPr>
      <w:r>
        <w:rPr>
          <w:rFonts w:hint="eastAsia" w:ascii="宋体" w:hAnsi="宋体" w:cs="宋体"/>
          <w:sz w:val="24"/>
        </w:rPr>
        <w:t>2）SAR数据应在2026年11月30日前提交所有成果。</w:t>
      </w:r>
    </w:p>
    <w:p w14:paraId="3A06322F">
      <w:pPr>
        <w:spacing w:before="120" w:line="360" w:lineRule="auto"/>
        <w:ind w:left="1" w:firstLine="480" w:firstLineChars="200"/>
        <w:rPr>
          <w:rFonts w:hint="eastAsia" w:ascii="宋体" w:hAnsi="宋体" w:cs="宋体"/>
          <w:sz w:val="24"/>
        </w:rPr>
      </w:pPr>
      <w:r>
        <w:rPr>
          <w:rFonts w:hint="eastAsia" w:ascii="宋体" w:hAnsi="宋体" w:cs="宋体"/>
          <w:sz w:val="24"/>
          <w:u w:val="single"/>
        </w:rPr>
        <w:t>地点：将原始数据及处理成果提交北京市地质灾害防治研究所。</w:t>
      </w:r>
    </w:p>
    <w:p w14:paraId="1ABFFAD6">
      <w:pPr>
        <w:spacing w:line="360" w:lineRule="auto"/>
        <w:rPr>
          <w:rFonts w:hint="eastAsia" w:ascii="宋体" w:hAnsi="宋体" w:cs="宋体"/>
          <w:sz w:val="24"/>
        </w:rPr>
      </w:pPr>
      <w:r>
        <w:rPr>
          <w:rFonts w:hint="eastAsia" w:ascii="宋体" w:hAnsi="宋体" w:cs="宋体"/>
          <w:sz w:val="24"/>
        </w:rPr>
        <w:t>5、付款方式</w:t>
      </w:r>
    </w:p>
    <w:p w14:paraId="52069B57">
      <w:pPr>
        <w:spacing w:before="120" w:line="360" w:lineRule="auto"/>
        <w:ind w:firstLine="480" w:firstLineChars="200"/>
        <w:rPr>
          <w:rFonts w:hint="eastAsia" w:ascii="宋体" w:hAnsi="宋体" w:cs="宋体"/>
          <w:sz w:val="24"/>
        </w:rPr>
      </w:pPr>
      <w:r>
        <w:rPr>
          <w:rFonts w:hint="eastAsia" w:ascii="宋体" w:hAnsi="宋体" w:cs="宋体"/>
          <w:sz w:val="24"/>
          <w:u w:val="single"/>
        </w:rPr>
        <w:t>采购人与中标供应商签订合同后二十个工作日内，采购人向中标供应商支付本项目中标金额50%的预付款；光学数据成果提交后，采购人对中标供应商提供的数据和服务进行检查，检查合格后，采购人向中标供应商支付合同总金额的40%；余款待中标供应商提交全部成果，并经采购人验收合格后，一次性付清。</w:t>
      </w:r>
    </w:p>
    <w:p w14:paraId="628229E7">
      <w:pPr>
        <w:spacing w:before="120" w:line="360" w:lineRule="auto"/>
        <w:rPr>
          <w:rFonts w:hint="eastAsia" w:ascii="宋体" w:hAnsi="宋体" w:cs="宋体"/>
          <w:sz w:val="24"/>
        </w:rPr>
      </w:pPr>
      <w:r>
        <w:rPr>
          <w:rFonts w:hint="eastAsia" w:ascii="宋体" w:hAnsi="宋体" w:cs="宋体"/>
          <w:sz w:val="24"/>
        </w:rPr>
        <w:t>6、索赔：根据合同一般条款约定。</w:t>
      </w:r>
    </w:p>
    <w:p w14:paraId="368E5FD4">
      <w:pPr>
        <w:spacing w:before="120" w:line="360" w:lineRule="auto"/>
        <w:rPr>
          <w:rFonts w:hint="eastAsia" w:ascii="宋体" w:hAnsi="宋体" w:cs="宋体"/>
          <w:sz w:val="24"/>
        </w:rPr>
      </w:pPr>
      <w:r>
        <w:rPr>
          <w:rFonts w:hint="eastAsia" w:ascii="宋体" w:hAnsi="宋体" w:cs="宋体"/>
          <w:sz w:val="24"/>
        </w:rPr>
        <w:t>7、不可抗力：根据合同一般条款约定。</w:t>
      </w:r>
    </w:p>
    <w:p w14:paraId="0EFF2AD9">
      <w:pPr>
        <w:spacing w:before="120" w:line="360" w:lineRule="auto"/>
        <w:jc w:val="left"/>
        <w:rPr>
          <w:rFonts w:hint="eastAsia" w:ascii="宋体" w:hAnsi="宋体" w:cs="宋体"/>
          <w:sz w:val="24"/>
        </w:rPr>
      </w:pPr>
      <w:r>
        <w:rPr>
          <w:rFonts w:hint="eastAsia" w:ascii="宋体" w:hAnsi="宋体" w:cs="宋体"/>
          <w:sz w:val="24"/>
        </w:rPr>
        <w:t>8、履约保证金：本项目不适用。</w:t>
      </w:r>
    </w:p>
    <w:p w14:paraId="6E1B90B5">
      <w:pPr>
        <w:spacing w:line="360" w:lineRule="auto"/>
        <w:ind w:firstLine="480" w:firstLineChars="200"/>
        <w:rPr>
          <w:rFonts w:hint="eastAsia" w:ascii="宋体" w:hAnsi="宋体" w:cs="宋体"/>
          <w:sz w:val="24"/>
        </w:rPr>
      </w:pPr>
      <w:r>
        <w:rPr>
          <w:rFonts w:hint="eastAsia" w:ascii="宋体" w:hAnsi="宋体" w:cs="宋体"/>
          <w:sz w:val="24"/>
        </w:rPr>
        <w:t>9、本合同一式</w:t>
      </w:r>
      <w:r>
        <w:rPr>
          <w:rFonts w:hint="eastAsia" w:ascii="宋体" w:hAnsi="宋体" w:cs="宋体"/>
          <w:sz w:val="24"/>
          <w:u w:val="single"/>
        </w:rPr>
        <w:t>柒</w:t>
      </w:r>
      <w:r>
        <w:rPr>
          <w:rFonts w:hint="eastAsia" w:ascii="宋体" w:hAnsi="宋体" w:cs="宋体"/>
          <w:sz w:val="24"/>
        </w:rPr>
        <w:t>份，具有同等法律效力。</w:t>
      </w:r>
      <w:r>
        <w:rPr>
          <w:rFonts w:hint="eastAsia" w:ascii="宋体" w:hAnsi="宋体" w:cs="宋体"/>
          <w:sz w:val="24"/>
          <w:u w:val="single"/>
        </w:rPr>
        <w:t>采购人</w:t>
      </w:r>
      <w:r>
        <w:rPr>
          <w:rFonts w:hint="eastAsia" w:ascii="宋体" w:hAnsi="宋体" w:cs="宋体"/>
          <w:sz w:val="24"/>
        </w:rPr>
        <w:t>和</w:t>
      </w:r>
      <w:r>
        <w:rPr>
          <w:rFonts w:hint="eastAsia" w:ascii="宋体" w:hAnsi="宋体" w:cs="宋体"/>
          <w:sz w:val="24"/>
          <w:u w:val="single"/>
        </w:rPr>
        <w:t>中标供应商</w:t>
      </w:r>
      <w:r>
        <w:rPr>
          <w:rFonts w:hint="eastAsia" w:ascii="宋体" w:hAnsi="宋体" w:cs="宋体"/>
          <w:sz w:val="24"/>
        </w:rPr>
        <w:t>各执</w:t>
      </w:r>
      <w:r>
        <w:rPr>
          <w:rFonts w:hint="eastAsia" w:ascii="宋体" w:hAnsi="宋体" w:cs="宋体"/>
          <w:sz w:val="24"/>
          <w:u w:val="single"/>
        </w:rPr>
        <w:t>叁</w:t>
      </w:r>
      <w:r>
        <w:rPr>
          <w:rFonts w:hint="eastAsia" w:ascii="宋体" w:hAnsi="宋体" w:cs="宋体"/>
          <w:sz w:val="24"/>
        </w:rPr>
        <w:t>份，招标代理机构执壹份。</w:t>
      </w:r>
      <w:r>
        <w:rPr>
          <w:rFonts w:hint="eastAsia" w:ascii="宋体" w:hAnsi="宋体" w:cs="宋体"/>
          <w:sz w:val="24"/>
        </w:rPr>
        <w:br w:type="page"/>
      </w:r>
    </w:p>
    <w:p w14:paraId="328B73B4">
      <w:pPr>
        <w:jc w:val="center"/>
        <w:rPr>
          <w:rFonts w:hint="eastAsia" w:ascii="宋体" w:hAnsi="宋体" w:cs="宋体"/>
          <w:bCs/>
          <w:sz w:val="24"/>
        </w:rPr>
      </w:pPr>
      <w:r>
        <w:rPr>
          <w:rFonts w:hint="eastAsia" w:ascii="宋体" w:hAnsi="宋体" w:cs="宋体"/>
          <w:bCs/>
          <w:sz w:val="24"/>
        </w:rPr>
        <w:t>合同一般条款</w:t>
      </w:r>
    </w:p>
    <w:p w14:paraId="2AE29549">
      <w:pPr>
        <w:spacing w:line="360" w:lineRule="auto"/>
        <w:rPr>
          <w:rFonts w:hint="eastAsia" w:ascii="宋体" w:hAnsi="宋体" w:cs="宋体"/>
          <w:bCs/>
          <w:sz w:val="24"/>
        </w:rPr>
      </w:pPr>
      <w:r>
        <w:rPr>
          <w:rFonts w:hint="eastAsia" w:ascii="宋体" w:hAnsi="宋体" w:cs="宋体"/>
          <w:bCs/>
          <w:sz w:val="24"/>
        </w:rPr>
        <w:t>1、定义</w:t>
      </w:r>
    </w:p>
    <w:p w14:paraId="5185E3A4">
      <w:pPr>
        <w:spacing w:line="360" w:lineRule="auto"/>
        <w:ind w:firstLine="480" w:firstLineChars="200"/>
        <w:rPr>
          <w:rFonts w:hint="eastAsia" w:ascii="宋体" w:hAnsi="宋体" w:cs="宋体"/>
          <w:sz w:val="24"/>
        </w:rPr>
      </w:pPr>
      <w:r>
        <w:rPr>
          <w:rFonts w:hint="eastAsia" w:ascii="宋体" w:hAnsi="宋体" w:cs="宋体"/>
          <w:sz w:val="24"/>
        </w:rPr>
        <w:t>本合同中的下列术语应解释为：</w:t>
      </w:r>
    </w:p>
    <w:p w14:paraId="187AE76B">
      <w:pPr>
        <w:spacing w:line="360" w:lineRule="auto"/>
        <w:ind w:firstLine="480" w:firstLineChars="200"/>
        <w:rPr>
          <w:rFonts w:hint="eastAsia" w:ascii="宋体" w:hAnsi="宋体" w:cs="宋体"/>
          <w:sz w:val="24"/>
        </w:rPr>
      </w:pPr>
      <w:r>
        <w:rPr>
          <w:rFonts w:hint="eastAsia" w:ascii="宋体" w:hAnsi="宋体" w:cs="宋体"/>
          <w:sz w:val="24"/>
        </w:rPr>
        <w:t>1.1“合同”系指采购人与中标供应商签署的、合同格式中载明的采购人与中标供应商所达成的合同，包括所有的附件、附录和构成合同的其它文件。</w:t>
      </w:r>
    </w:p>
    <w:p w14:paraId="3E0CA95F">
      <w:pPr>
        <w:spacing w:line="360" w:lineRule="auto"/>
        <w:ind w:firstLine="480" w:firstLineChars="200"/>
        <w:rPr>
          <w:rFonts w:hint="eastAsia" w:ascii="宋体" w:hAnsi="宋体" w:cs="宋体"/>
          <w:sz w:val="24"/>
          <w:u w:val="single"/>
        </w:rPr>
      </w:pPr>
      <w:r>
        <w:rPr>
          <w:rFonts w:hint="eastAsia" w:ascii="宋体" w:hAnsi="宋体" w:cs="宋体"/>
          <w:sz w:val="24"/>
        </w:rPr>
        <w:t>1.2“服务”系指根据合同规定中标供应商承担的服务。</w:t>
      </w:r>
    </w:p>
    <w:p w14:paraId="06CA6F84">
      <w:pPr>
        <w:spacing w:line="360" w:lineRule="auto"/>
        <w:ind w:firstLine="480" w:firstLineChars="200"/>
        <w:rPr>
          <w:rFonts w:hint="eastAsia" w:ascii="宋体" w:hAnsi="宋体" w:cs="宋体"/>
          <w:sz w:val="24"/>
        </w:rPr>
      </w:pPr>
      <w:r>
        <w:rPr>
          <w:rFonts w:hint="eastAsia" w:ascii="宋体" w:hAnsi="宋体" w:cs="宋体"/>
          <w:sz w:val="24"/>
        </w:rPr>
        <w:t>1.3“采购人”系指与中标供应商签署采购合同的单位（含最终用户）</w:t>
      </w:r>
    </w:p>
    <w:p w14:paraId="1F24D1CE">
      <w:pPr>
        <w:spacing w:line="360" w:lineRule="auto"/>
        <w:ind w:firstLine="480" w:firstLineChars="200"/>
        <w:rPr>
          <w:rFonts w:hint="eastAsia" w:ascii="宋体" w:hAnsi="宋体" w:cs="宋体"/>
          <w:sz w:val="24"/>
          <w:u w:val="single"/>
        </w:rPr>
      </w:pPr>
      <w:r>
        <w:rPr>
          <w:rFonts w:hint="eastAsia" w:ascii="宋体" w:hAnsi="宋体" w:cs="宋体"/>
          <w:sz w:val="24"/>
        </w:rPr>
        <w:t>1.4“中标供应商”系指</w:t>
      </w:r>
      <w:r>
        <w:rPr>
          <w:rFonts w:hint="eastAsia" w:ascii="宋体" w:hAnsi="宋体" w:cs="宋体"/>
          <w:sz w:val="24"/>
          <w:u w:val="single"/>
        </w:rPr>
        <w:t>根据合同规定提供服务的中标供应商。</w:t>
      </w:r>
    </w:p>
    <w:p w14:paraId="62917DD0">
      <w:pPr>
        <w:spacing w:line="360" w:lineRule="auto"/>
        <w:ind w:firstLine="480" w:firstLineChars="200"/>
        <w:rPr>
          <w:rFonts w:hint="eastAsia" w:ascii="宋体" w:hAnsi="宋体" w:cs="宋体"/>
          <w:sz w:val="24"/>
        </w:rPr>
      </w:pPr>
      <w:r>
        <w:rPr>
          <w:rFonts w:hint="eastAsia" w:ascii="宋体" w:hAnsi="宋体" w:cs="宋体"/>
          <w:sz w:val="24"/>
        </w:rPr>
        <w:t>1.5“招标代理机构”系</w:t>
      </w:r>
      <w:r>
        <w:rPr>
          <w:rFonts w:hint="eastAsia" w:ascii="宋体" w:hAnsi="宋体" w:cs="宋体"/>
          <w:sz w:val="24"/>
          <w:u w:val="single"/>
        </w:rPr>
        <w:t>指国信招标集团。</w:t>
      </w:r>
    </w:p>
    <w:p w14:paraId="02947453">
      <w:pPr>
        <w:spacing w:line="360" w:lineRule="auto"/>
        <w:ind w:firstLine="480" w:firstLineChars="200"/>
        <w:rPr>
          <w:rFonts w:hint="eastAsia" w:ascii="宋体" w:hAnsi="宋体" w:cs="宋体"/>
          <w:sz w:val="24"/>
        </w:rPr>
      </w:pPr>
      <w:r>
        <w:rPr>
          <w:rFonts w:hint="eastAsia" w:ascii="宋体" w:hAnsi="宋体" w:cs="宋体"/>
          <w:sz w:val="24"/>
        </w:rPr>
        <w:t>1.6“现场”系指</w:t>
      </w:r>
      <w:r>
        <w:rPr>
          <w:rFonts w:hint="eastAsia" w:ascii="宋体" w:hAnsi="宋体" w:cs="宋体"/>
          <w:sz w:val="24"/>
          <w:u w:val="single"/>
        </w:rPr>
        <w:t>合同项下服务的实施地点。</w:t>
      </w:r>
    </w:p>
    <w:p w14:paraId="143F4CE0">
      <w:pPr>
        <w:spacing w:line="360" w:lineRule="auto"/>
        <w:ind w:firstLine="480" w:firstLineChars="200"/>
        <w:rPr>
          <w:rFonts w:hint="eastAsia" w:ascii="宋体" w:hAnsi="宋体" w:cs="宋体"/>
          <w:sz w:val="24"/>
          <w:u w:val="single"/>
        </w:rPr>
      </w:pPr>
      <w:r>
        <w:rPr>
          <w:rFonts w:hint="eastAsia" w:ascii="宋体" w:hAnsi="宋体" w:cs="宋体"/>
          <w:sz w:val="24"/>
        </w:rPr>
        <w:t>1.7“验收”系指</w:t>
      </w:r>
      <w:r>
        <w:rPr>
          <w:rFonts w:hint="eastAsia" w:ascii="宋体" w:hAnsi="宋体" w:cs="宋体"/>
          <w:sz w:val="24"/>
          <w:u w:val="single"/>
        </w:rPr>
        <w:t>合同双方依据规定的程序和条件确认合同项下的服务符合技术规范的要求。</w:t>
      </w:r>
    </w:p>
    <w:p w14:paraId="5B74F41C">
      <w:pPr>
        <w:spacing w:line="360" w:lineRule="auto"/>
        <w:rPr>
          <w:rFonts w:hint="eastAsia" w:ascii="宋体" w:hAnsi="宋体" w:cs="宋体"/>
          <w:bCs/>
          <w:sz w:val="24"/>
        </w:rPr>
      </w:pPr>
      <w:r>
        <w:rPr>
          <w:rFonts w:hint="eastAsia" w:ascii="宋体" w:hAnsi="宋体" w:cs="宋体"/>
          <w:bCs/>
          <w:sz w:val="24"/>
        </w:rPr>
        <w:t>2、技术规范</w:t>
      </w:r>
    </w:p>
    <w:p w14:paraId="30C5B2A2">
      <w:pPr>
        <w:spacing w:line="360" w:lineRule="auto"/>
        <w:ind w:firstLine="480" w:firstLineChars="200"/>
        <w:rPr>
          <w:rFonts w:hint="eastAsia" w:ascii="宋体" w:hAnsi="宋体" w:cs="宋体"/>
          <w:sz w:val="24"/>
        </w:rPr>
      </w:pPr>
      <w:r>
        <w:rPr>
          <w:rFonts w:hint="eastAsia" w:ascii="宋体" w:hAnsi="宋体" w:cs="宋体"/>
          <w:sz w:val="24"/>
        </w:rPr>
        <w:t>2.1提交货物（如有）的技术规范应与招标文件规定的技术规范和技术规范附件（如果有的话）及其投标文件的规格偏差表（如果被采购人接受的话）相一致。</w:t>
      </w:r>
    </w:p>
    <w:p w14:paraId="2B62D03D">
      <w:pPr>
        <w:spacing w:line="360" w:lineRule="auto"/>
        <w:ind w:firstLine="480" w:firstLineChars="200"/>
        <w:rPr>
          <w:rFonts w:hint="eastAsia" w:ascii="宋体" w:hAnsi="宋体" w:cs="宋体"/>
          <w:sz w:val="24"/>
        </w:rPr>
      </w:pPr>
      <w:r>
        <w:rPr>
          <w:rFonts w:hint="eastAsia" w:ascii="宋体" w:hAnsi="宋体" w:cs="宋体"/>
          <w:sz w:val="24"/>
        </w:rPr>
        <w:t>2.2若技术规范中无相应说明，则以国家有关部门最新颁布的相应标准及规范为准。</w:t>
      </w:r>
    </w:p>
    <w:p w14:paraId="08DB7068">
      <w:pPr>
        <w:numPr>
          <w:ilvl w:val="0"/>
          <w:numId w:val="24"/>
        </w:numPr>
        <w:spacing w:line="360" w:lineRule="auto"/>
        <w:rPr>
          <w:rFonts w:hint="eastAsia" w:ascii="宋体" w:hAnsi="宋体" w:cs="宋体"/>
          <w:bCs/>
          <w:sz w:val="24"/>
        </w:rPr>
      </w:pPr>
      <w:r>
        <w:rPr>
          <w:rFonts w:hint="eastAsia" w:ascii="宋体" w:hAnsi="宋体" w:cs="宋体"/>
          <w:bCs/>
          <w:sz w:val="24"/>
        </w:rPr>
        <w:t>服务内容</w:t>
      </w:r>
    </w:p>
    <w:p w14:paraId="6573FAC1">
      <w:pPr>
        <w:spacing w:line="360" w:lineRule="auto"/>
        <w:ind w:firstLine="480" w:firstLineChars="200"/>
        <w:rPr>
          <w:rFonts w:hint="eastAsia" w:ascii="宋体" w:hAnsi="宋体" w:cs="宋体"/>
          <w:sz w:val="24"/>
        </w:rPr>
      </w:pPr>
      <w:r>
        <w:rPr>
          <w:rFonts w:hint="eastAsia" w:ascii="宋体" w:hAnsi="宋体" w:cs="宋体"/>
          <w:sz w:val="24"/>
        </w:rPr>
        <w:t>详见合同书中规定。</w:t>
      </w:r>
    </w:p>
    <w:p w14:paraId="2D67A810">
      <w:pPr>
        <w:spacing w:line="360" w:lineRule="auto"/>
        <w:rPr>
          <w:rFonts w:hint="eastAsia" w:ascii="宋体" w:hAnsi="宋体" w:cs="宋体"/>
          <w:bCs/>
          <w:sz w:val="24"/>
        </w:rPr>
      </w:pPr>
      <w:r>
        <w:rPr>
          <w:rFonts w:hint="eastAsia" w:ascii="宋体" w:hAnsi="宋体" w:cs="宋体"/>
          <w:bCs/>
          <w:sz w:val="24"/>
        </w:rPr>
        <w:t>4、提供服务期限、地点</w:t>
      </w:r>
    </w:p>
    <w:p w14:paraId="7CA74181">
      <w:pPr>
        <w:spacing w:line="360" w:lineRule="auto"/>
        <w:ind w:firstLine="480" w:firstLineChars="200"/>
        <w:rPr>
          <w:rFonts w:hint="eastAsia" w:ascii="宋体" w:hAnsi="宋体" w:cs="宋体"/>
          <w:bCs/>
          <w:sz w:val="24"/>
        </w:rPr>
      </w:pPr>
      <w:r>
        <w:rPr>
          <w:rFonts w:hint="eastAsia" w:ascii="宋体" w:hAnsi="宋体" w:cs="宋体"/>
          <w:sz w:val="24"/>
        </w:rPr>
        <w:t xml:space="preserve">详见合同书中规定。                    </w:t>
      </w:r>
    </w:p>
    <w:p w14:paraId="3788EDF2">
      <w:pPr>
        <w:spacing w:line="360" w:lineRule="auto"/>
        <w:rPr>
          <w:rFonts w:hint="eastAsia" w:ascii="宋体" w:hAnsi="宋体" w:cs="宋体"/>
          <w:bCs/>
          <w:sz w:val="24"/>
        </w:rPr>
      </w:pPr>
      <w:r>
        <w:rPr>
          <w:rFonts w:hint="eastAsia" w:ascii="宋体" w:hAnsi="宋体" w:cs="宋体"/>
          <w:bCs/>
          <w:sz w:val="24"/>
        </w:rPr>
        <w:t>5、付款方式</w:t>
      </w:r>
    </w:p>
    <w:p w14:paraId="1B1D2EF7">
      <w:pPr>
        <w:spacing w:before="120" w:line="360" w:lineRule="auto"/>
        <w:ind w:left="1020" w:leftChars="200" w:hanging="600" w:hangingChars="250"/>
        <w:rPr>
          <w:rFonts w:hint="eastAsia" w:ascii="宋体" w:hAnsi="宋体" w:cs="宋体"/>
          <w:sz w:val="24"/>
        </w:rPr>
      </w:pPr>
      <w:r>
        <w:rPr>
          <w:rFonts w:hint="eastAsia" w:ascii="宋体" w:hAnsi="宋体" w:cs="宋体"/>
          <w:sz w:val="24"/>
        </w:rPr>
        <w:t>付款条件详见合同书中规定。</w:t>
      </w:r>
    </w:p>
    <w:p w14:paraId="499F693C">
      <w:pPr>
        <w:spacing w:line="360" w:lineRule="auto"/>
        <w:rPr>
          <w:rFonts w:hint="eastAsia" w:ascii="宋体" w:hAnsi="宋体" w:cs="宋体"/>
          <w:bCs/>
          <w:sz w:val="24"/>
        </w:rPr>
      </w:pPr>
      <w:r>
        <w:rPr>
          <w:rFonts w:hint="eastAsia" w:ascii="宋体" w:hAnsi="宋体" w:cs="宋体"/>
          <w:bCs/>
          <w:sz w:val="24"/>
        </w:rPr>
        <w:t>6、索赔</w:t>
      </w:r>
    </w:p>
    <w:p w14:paraId="039502C9">
      <w:pPr>
        <w:spacing w:line="360" w:lineRule="auto"/>
        <w:ind w:firstLine="480" w:firstLineChars="200"/>
        <w:rPr>
          <w:rFonts w:hint="eastAsia" w:ascii="宋体" w:hAnsi="宋体" w:cs="宋体"/>
          <w:sz w:val="24"/>
        </w:rPr>
      </w:pPr>
      <w:r>
        <w:rPr>
          <w:rFonts w:hint="eastAsia" w:ascii="宋体" w:hAnsi="宋体" w:cs="宋体"/>
          <w:sz w:val="24"/>
        </w:rPr>
        <w:t>如果中标供应商提供的服务质量与合同不符，采购人有权根据合同约定向中标供应商提出索赔。</w:t>
      </w:r>
    </w:p>
    <w:p w14:paraId="06988049">
      <w:pPr>
        <w:spacing w:line="360" w:lineRule="auto"/>
        <w:rPr>
          <w:rFonts w:hint="eastAsia" w:ascii="宋体" w:hAnsi="宋体" w:cs="宋体"/>
          <w:bCs/>
          <w:sz w:val="24"/>
        </w:rPr>
      </w:pPr>
      <w:r>
        <w:rPr>
          <w:rFonts w:hint="eastAsia" w:ascii="宋体" w:hAnsi="宋体" w:cs="宋体"/>
          <w:bCs/>
          <w:sz w:val="24"/>
        </w:rPr>
        <w:t>7、延期提供服务</w:t>
      </w:r>
    </w:p>
    <w:p w14:paraId="237E2AE4">
      <w:pPr>
        <w:spacing w:line="360" w:lineRule="auto"/>
        <w:ind w:firstLine="480" w:firstLineChars="200"/>
        <w:rPr>
          <w:rFonts w:hint="eastAsia" w:ascii="宋体" w:hAnsi="宋体" w:cs="宋体"/>
          <w:sz w:val="24"/>
        </w:rPr>
      </w:pPr>
      <w:r>
        <w:rPr>
          <w:rFonts w:hint="eastAsia" w:ascii="宋体" w:hAnsi="宋体" w:cs="宋体"/>
          <w:sz w:val="24"/>
        </w:rPr>
        <w:t>7.1中标供应商应按照合同中规定的条款提供服务。</w:t>
      </w:r>
    </w:p>
    <w:p w14:paraId="3A403369">
      <w:pPr>
        <w:spacing w:line="360" w:lineRule="auto"/>
        <w:ind w:firstLine="480" w:firstLineChars="200"/>
        <w:rPr>
          <w:rFonts w:hint="eastAsia" w:ascii="宋体" w:hAnsi="宋体" w:cs="宋体"/>
          <w:sz w:val="24"/>
        </w:rPr>
      </w:pPr>
      <w:r>
        <w:rPr>
          <w:rFonts w:hint="eastAsia" w:ascii="宋体" w:hAnsi="宋体" w:cs="宋体"/>
          <w:sz w:val="24"/>
        </w:rPr>
        <w:t>7.2如果中标供应商延迟交货和/或提供服务并影响采购方正常履行合同的，采购人可采取以下制裁: 收取违约金、赔偿金，直至解除合同。</w:t>
      </w:r>
    </w:p>
    <w:p w14:paraId="4C012107">
      <w:pPr>
        <w:spacing w:line="360" w:lineRule="auto"/>
        <w:rPr>
          <w:rFonts w:hint="eastAsia" w:ascii="宋体" w:hAnsi="宋体" w:cs="宋体"/>
          <w:bCs/>
          <w:sz w:val="24"/>
        </w:rPr>
      </w:pPr>
      <w:r>
        <w:rPr>
          <w:rFonts w:hint="eastAsia" w:ascii="宋体" w:hAnsi="宋体" w:cs="宋体"/>
          <w:sz w:val="24"/>
        </w:rPr>
        <w:t>8</w:t>
      </w:r>
      <w:r>
        <w:rPr>
          <w:rFonts w:hint="eastAsia" w:ascii="宋体" w:hAnsi="宋体" w:cs="宋体"/>
          <w:bCs/>
          <w:sz w:val="24"/>
        </w:rPr>
        <w:t>、违约赔偿</w:t>
      </w:r>
    </w:p>
    <w:p w14:paraId="625CFA3C">
      <w:pPr>
        <w:spacing w:line="360" w:lineRule="auto"/>
        <w:ind w:firstLine="480" w:firstLineChars="200"/>
        <w:rPr>
          <w:rFonts w:hint="eastAsia" w:ascii="宋体" w:hAnsi="宋体" w:cs="宋体"/>
          <w:sz w:val="24"/>
        </w:rPr>
      </w:pPr>
      <w:r>
        <w:rPr>
          <w:rFonts w:hint="eastAsia" w:ascii="宋体" w:hAnsi="宋体" w:cs="宋体"/>
          <w:sz w:val="24"/>
        </w:rPr>
        <w:t>如果中标供应商没有按照合同规定的时间交货或提供服务，采购人可从应付款项中先行扣除违约金。违约金的计算标准为中标供应商每迟提供服务一天，按延迟提供服务的价格的1%计收。如果违约金不足以弥补甲方损失的，采购人有权要求中标供应商支付赔偿金，补足违约金不足部分。如果中标供应商在超过7天后仍不能交货和/或提供服务，采购人有权单方解除合同。</w:t>
      </w:r>
    </w:p>
    <w:p w14:paraId="23F8B0D5">
      <w:pPr>
        <w:spacing w:line="360" w:lineRule="auto"/>
        <w:rPr>
          <w:rFonts w:hint="eastAsia" w:ascii="宋体" w:hAnsi="宋体" w:cs="宋体"/>
          <w:bCs/>
          <w:sz w:val="24"/>
        </w:rPr>
      </w:pPr>
      <w:r>
        <w:rPr>
          <w:rFonts w:hint="eastAsia" w:ascii="宋体" w:hAnsi="宋体" w:cs="宋体"/>
          <w:bCs/>
          <w:sz w:val="24"/>
        </w:rPr>
        <w:t>9、验收</w:t>
      </w:r>
    </w:p>
    <w:p w14:paraId="16A49779">
      <w:pPr>
        <w:spacing w:line="360" w:lineRule="auto"/>
        <w:ind w:firstLine="480" w:firstLineChars="200"/>
        <w:rPr>
          <w:rFonts w:hint="eastAsia" w:ascii="宋体" w:hAnsi="宋体" w:cs="宋体"/>
          <w:sz w:val="24"/>
        </w:rPr>
      </w:pPr>
      <w:r>
        <w:rPr>
          <w:rFonts w:hint="eastAsia" w:ascii="宋体" w:hAnsi="宋体" w:cs="宋体"/>
          <w:sz w:val="24"/>
        </w:rPr>
        <w:t xml:space="preserve">由采购方进行数据精度检查和接收。   </w:t>
      </w:r>
    </w:p>
    <w:p w14:paraId="4353CA5C">
      <w:pPr>
        <w:spacing w:line="360" w:lineRule="auto"/>
        <w:rPr>
          <w:rFonts w:hint="eastAsia" w:ascii="宋体" w:hAnsi="宋体" w:cs="宋体"/>
          <w:bCs/>
          <w:sz w:val="24"/>
        </w:rPr>
      </w:pPr>
      <w:r>
        <w:rPr>
          <w:rFonts w:hint="eastAsia" w:ascii="宋体" w:hAnsi="宋体" w:cs="宋体"/>
          <w:bCs/>
          <w:sz w:val="24"/>
        </w:rPr>
        <w:t>10、不可抗力</w:t>
      </w:r>
    </w:p>
    <w:p w14:paraId="0086F741">
      <w:pPr>
        <w:spacing w:line="360" w:lineRule="auto"/>
        <w:ind w:firstLine="480" w:firstLineChars="200"/>
        <w:rPr>
          <w:rFonts w:hint="eastAsia" w:ascii="宋体" w:hAnsi="宋体" w:cs="宋体"/>
          <w:sz w:val="24"/>
        </w:rPr>
      </w:pPr>
      <w:r>
        <w:rPr>
          <w:rFonts w:hint="eastAsia" w:ascii="宋体" w:hAnsi="宋体" w:cs="宋体"/>
          <w:sz w:val="24"/>
        </w:rPr>
        <w:t>10.1如果双方中任何一方由于战争、严重火灾、水灾、台风和地震以及其它经双方同意属于不可抗力的事故，致使合同履行受阻时，履行合同的期限应予延长，延长的期限应相当于事故所影响的时间。</w:t>
      </w:r>
    </w:p>
    <w:p w14:paraId="54C82532">
      <w:pPr>
        <w:spacing w:line="360" w:lineRule="auto"/>
        <w:ind w:firstLine="480" w:firstLineChars="200"/>
        <w:rPr>
          <w:rFonts w:hint="eastAsia" w:ascii="宋体" w:hAnsi="宋体" w:cs="宋体"/>
          <w:sz w:val="24"/>
        </w:rPr>
      </w:pPr>
      <w:r>
        <w:rPr>
          <w:rFonts w:hint="eastAsia" w:ascii="宋体" w:hAnsi="宋体" w:cs="宋体"/>
          <w:sz w:val="24"/>
        </w:rPr>
        <w:t>10.2 受事故影响的一方应在不可抗力的事故发生后尽快以书面形式通知另一方，并在事故发生后14天内，将有关部门出具的证明文件用挂号信航寄给或送给另一方。</w:t>
      </w:r>
    </w:p>
    <w:p w14:paraId="1D47CBEE">
      <w:pPr>
        <w:spacing w:line="360" w:lineRule="auto"/>
        <w:ind w:firstLine="480" w:firstLineChars="200"/>
        <w:rPr>
          <w:rFonts w:hint="eastAsia" w:ascii="宋体" w:hAnsi="宋体" w:cs="宋体"/>
          <w:sz w:val="24"/>
        </w:rPr>
      </w:pPr>
      <w:r>
        <w:rPr>
          <w:rFonts w:hint="eastAsia" w:ascii="宋体" w:hAnsi="宋体" w:cs="宋体"/>
          <w:sz w:val="24"/>
        </w:rPr>
        <w:t>10.3因不可抗力不能履行合同的，根据不可抗力的影响，当事人双方部分或全部免除责任，但法律另有规定的除外。当事人延迟履行合同后发生不可抗力的，不能免除责任。</w:t>
      </w:r>
    </w:p>
    <w:p w14:paraId="66672374">
      <w:pPr>
        <w:spacing w:line="360" w:lineRule="auto"/>
        <w:rPr>
          <w:rFonts w:hint="eastAsia" w:ascii="宋体" w:hAnsi="宋体" w:cs="宋体"/>
          <w:bCs/>
          <w:sz w:val="24"/>
        </w:rPr>
      </w:pPr>
      <w:r>
        <w:rPr>
          <w:rFonts w:hint="eastAsia" w:ascii="宋体" w:hAnsi="宋体" w:cs="宋体"/>
          <w:bCs/>
          <w:sz w:val="24"/>
        </w:rPr>
        <w:t>11、税费</w:t>
      </w:r>
    </w:p>
    <w:p w14:paraId="1DC8099C">
      <w:pPr>
        <w:spacing w:line="360" w:lineRule="auto"/>
        <w:ind w:firstLine="480" w:firstLineChars="200"/>
        <w:rPr>
          <w:rFonts w:hint="eastAsia" w:ascii="宋体" w:hAnsi="宋体" w:cs="宋体"/>
          <w:sz w:val="24"/>
        </w:rPr>
      </w:pPr>
      <w:r>
        <w:rPr>
          <w:rFonts w:hint="eastAsia" w:ascii="宋体" w:hAnsi="宋体" w:cs="宋体"/>
          <w:sz w:val="24"/>
        </w:rPr>
        <w:t>与本合同有关的一切税费均适用中华人民共和国法律的相关规定。采购人与中标供应商按照中华人民共和国相关法律的规定各自承担其依法应承担的签订、履行本合同所需缴纳的税费。本合同价格为含税价格。</w:t>
      </w:r>
    </w:p>
    <w:p w14:paraId="1E2571CD">
      <w:pPr>
        <w:spacing w:line="360" w:lineRule="auto"/>
        <w:rPr>
          <w:rFonts w:hint="eastAsia" w:ascii="宋体" w:hAnsi="宋体" w:cs="宋体"/>
          <w:bCs/>
          <w:sz w:val="24"/>
        </w:rPr>
      </w:pPr>
      <w:r>
        <w:rPr>
          <w:rFonts w:hint="eastAsia" w:ascii="宋体" w:hAnsi="宋体" w:cs="宋体"/>
          <w:bCs/>
          <w:sz w:val="24"/>
        </w:rPr>
        <w:t>12、履约保证金</w:t>
      </w:r>
    </w:p>
    <w:p w14:paraId="1D8B8DEE">
      <w:pPr>
        <w:spacing w:line="360" w:lineRule="auto"/>
        <w:ind w:firstLine="480" w:firstLineChars="200"/>
        <w:rPr>
          <w:rFonts w:hint="eastAsia" w:ascii="宋体" w:hAnsi="宋体" w:cs="宋体"/>
          <w:sz w:val="24"/>
        </w:rPr>
      </w:pPr>
      <w:r>
        <w:rPr>
          <w:rFonts w:hint="eastAsia" w:ascii="宋体" w:hAnsi="宋体" w:cs="宋体"/>
          <w:sz w:val="24"/>
        </w:rPr>
        <w:t>12.1 履约保证金应当使用本合同指定货币，具体规定详见合同书中规定。</w:t>
      </w:r>
    </w:p>
    <w:p w14:paraId="0DD0AFBE">
      <w:pPr>
        <w:spacing w:line="360" w:lineRule="auto"/>
        <w:ind w:firstLine="480" w:firstLineChars="200"/>
        <w:rPr>
          <w:rFonts w:hint="eastAsia" w:ascii="宋体" w:hAnsi="宋体" w:cs="宋体"/>
          <w:sz w:val="24"/>
        </w:rPr>
      </w:pPr>
      <w:r>
        <w:rPr>
          <w:rFonts w:hint="eastAsia" w:ascii="宋体" w:hAnsi="宋体" w:cs="宋体"/>
          <w:sz w:val="24"/>
        </w:rPr>
        <w:t>12.2 履约保证金用于补偿采购人因中标供应商不能履行其合同义务而蒙受的损失。</w:t>
      </w:r>
    </w:p>
    <w:p w14:paraId="19F2BC0E">
      <w:pPr>
        <w:spacing w:line="360" w:lineRule="auto"/>
        <w:ind w:firstLine="480" w:firstLineChars="200"/>
        <w:rPr>
          <w:rFonts w:hint="eastAsia" w:ascii="宋体" w:hAnsi="宋体" w:cs="宋体"/>
          <w:sz w:val="24"/>
        </w:rPr>
      </w:pPr>
      <w:r>
        <w:rPr>
          <w:rFonts w:hint="eastAsia" w:ascii="宋体" w:hAnsi="宋体" w:cs="宋体"/>
          <w:sz w:val="24"/>
        </w:rPr>
        <w:t>12.3 履约保证金在服务期满前完全有效。</w:t>
      </w:r>
    </w:p>
    <w:p w14:paraId="10252920">
      <w:pPr>
        <w:spacing w:line="360" w:lineRule="auto"/>
        <w:ind w:firstLine="480" w:firstLineChars="200"/>
        <w:rPr>
          <w:rFonts w:hint="eastAsia" w:ascii="宋体" w:hAnsi="宋体" w:cs="宋体"/>
          <w:sz w:val="24"/>
        </w:rPr>
      </w:pPr>
      <w:r>
        <w:rPr>
          <w:rFonts w:hint="eastAsia" w:ascii="宋体" w:hAnsi="宋体" w:cs="宋体"/>
          <w:sz w:val="24"/>
        </w:rPr>
        <w:t>12.4 如果中标供应商未能按合同规定履行其义务，采购人有权从履约保证金中取得补偿。服务期结束后30天内，采购人将把履约保证金的剩余部分退还中标供应商。</w:t>
      </w:r>
    </w:p>
    <w:p w14:paraId="7CA76166">
      <w:pPr>
        <w:spacing w:line="360" w:lineRule="auto"/>
        <w:rPr>
          <w:rFonts w:hint="eastAsia" w:ascii="宋体" w:hAnsi="宋体" w:cs="宋体"/>
          <w:bCs/>
          <w:sz w:val="24"/>
        </w:rPr>
      </w:pPr>
      <w:r>
        <w:rPr>
          <w:rFonts w:hint="eastAsia" w:ascii="宋体" w:hAnsi="宋体" w:cs="宋体"/>
          <w:bCs/>
          <w:sz w:val="24"/>
        </w:rPr>
        <w:t>13、合同争议的解决</w:t>
      </w:r>
    </w:p>
    <w:p w14:paraId="3C508FC6">
      <w:pPr>
        <w:spacing w:line="360" w:lineRule="auto"/>
        <w:ind w:firstLine="480" w:firstLineChars="200"/>
        <w:rPr>
          <w:rFonts w:hint="eastAsia" w:ascii="宋体" w:hAnsi="宋体" w:cs="宋体"/>
          <w:sz w:val="24"/>
        </w:rPr>
      </w:pPr>
      <w:r>
        <w:rPr>
          <w:rFonts w:hint="eastAsia" w:ascii="宋体" w:hAnsi="宋体" w:cs="宋体"/>
          <w:sz w:val="24"/>
        </w:rPr>
        <w:t>采购人、中标供应商双方应通过友好协商， 解决在执行合同中所发生的或与本合同有关的一切争端，如果协商仍得不到解决，双方同意向采购人所在地的人民法院起诉解决。</w:t>
      </w:r>
    </w:p>
    <w:p w14:paraId="79A8735F">
      <w:pPr>
        <w:spacing w:line="360" w:lineRule="auto"/>
        <w:rPr>
          <w:rFonts w:hint="eastAsia" w:ascii="宋体" w:hAnsi="宋体" w:cs="宋体"/>
          <w:bCs/>
          <w:sz w:val="24"/>
        </w:rPr>
      </w:pPr>
      <w:r>
        <w:rPr>
          <w:rFonts w:hint="eastAsia" w:ascii="宋体" w:hAnsi="宋体" w:cs="宋体"/>
          <w:bCs/>
          <w:sz w:val="24"/>
        </w:rPr>
        <w:t>14、合同变更和终止</w:t>
      </w:r>
    </w:p>
    <w:p w14:paraId="4E5EF88D">
      <w:pPr>
        <w:spacing w:line="360" w:lineRule="auto"/>
        <w:ind w:firstLine="480" w:firstLineChars="200"/>
        <w:rPr>
          <w:rFonts w:hint="eastAsia" w:ascii="宋体" w:hAnsi="宋体" w:cs="宋体"/>
          <w:sz w:val="24"/>
        </w:rPr>
      </w:pPr>
      <w:r>
        <w:rPr>
          <w:rFonts w:hint="eastAsia" w:ascii="宋体" w:hAnsi="宋体" w:cs="宋体"/>
          <w:sz w:val="24"/>
        </w:rPr>
        <w:t>14.1在本合同有效期内，如合同与其生效后新颁布的有关法律、法规、政策规定不符，由甲、乙双方协商变更，如能协商一致，按照符合新颁法律、法规、政策规定拟定补充合同执行；如不能达成一致，本合同解除。合同解除后，尚未发生的业务，停止履行。</w:t>
      </w:r>
    </w:p>
    <w:p w14:paraId="2C720893">
      <w:pPr>
        <w:spacing w:line="360" w:lineRule="auto"/>
        <w:ind w:firstLine="480" w:firstLineChars="200"/>
        <w:rPr>
          <w:rFonts w:hint="eastAsia" w:ascii="宋体" w:hAnsi="宋体" w:cs="宋体"/>
          <w:sz w:val="24"/>
        </w:rPr>
      </w:pPr>
      <w:r>
        <w:rPr>
          <w:rFonts w:hint="eastAsia" w:ascii="宋体" w:hAnsi="宋体" w:cs="宋体"/>
          <w:sz w:val="24"/>
        </w:rPr>
        <w:t>14.2 在中标供应商违约的情况下，采购人可向中标供应商发出书面通知，部分或全部终止合同。同时保留向中标供应商追诉的权利。</w:t>
      </w:r>
    </w:p>
    <w:p w14:paraId="2DBFB097">
      <w:pPr>
        <w:spacing w:line="360" w:lineRule="auto"/>
        <w:ind w:firstLine="480" w:firstLineChars="200"/>
        <w:rPr>
          <w:rFonts w:hint="eastAsia" w:ascii="宋体" w:hAnsi="宋体" w:cs="宋体"/>
          <w:sz w:val="24"/>
        </w:rPr>
      </w:pPr>
      <w:r>
        <w:rPr>
          <w:rFonts w:hint="eastAsia" w:ascii="宋体" w:hAnsi="宋体" w:cs="宋体"/>
          <w:sz w:val="24"/>
        </w:rPr>
        <w:t xml:space="preserve">14.2.1中标供应商未能在合同规定的限期或采购人同意延长的限期内提供全部或部分服务, 合同解除； </w:t>
      </w:r>
    </w:p>
    <w:p w14:paraId="2DE66BBF">
      <w:pPr>
        <w:spacing w:line="360" w:lineRule="auto"/>
        <w:ind w:firstLine="480" w:firstLineChars="200"/>
        <w:rPr>
          <w:rFonts w:hint="eastAsia" w:ascii="宋体" w:hAnsi="宋体" w:cs="宋体"/>
          <w:sz w:val="24"/>
        </w:rPr>
      </w:pPr>
      <w:r>
        <w:rPr>
          <w:rFonts w:hint="eastAsia" w:ascii="宋体" w:hAnsi="宋体" w:cs="宋体"/>
          <w:sz w:val="24"/>
        </w:rPr>
        <w:t>14.2.2中标供应商未能履行合同规定的其它主要义务的；</w:t>
      </w:r>
    </w:p>
    <w:p w14:paraId="7BC03E86">
      <w:pPr>
        <w:spacing w:line="360" w:lineRule="auto"/>
        <w:ind w:firstLine="480" w:firstLineChars="200"/>
        <w:rPr>
          <w:rFonts w:hint="eastAsia" w:ascii="宋体" w:hAnsi="宋体" w:cs="宋体"/>
          <w:sz w:val="24"/>
        </w:rPr>
      </w:pPr>
      <w:r>
        <w:rPr>
          <w:rFonts w:hint="eastAsia" w:ascii="宋体" w:hAnsi="宋体" w:cs="宋体"/>
          <w:sz w:val="24"/>
        </w:rPr>
        <w:t>14.2.3在本合同履行过程中有腐败和欺诈行为的。</w:t>
      </w:r>
    </w:p>
    <w:p w14:paraId="192B871B">
      <w:pPr>
        <w:spacing w:line="360" w:lineRule="auto"/>
        <w:ind w:firstLine="480" w:firstLineChars="200"/>
        <w:rPr>
          <w:rFonts w:hint="eastAsia" w:ascii="宋体" w:hAnsi="宋体" w:cs="宋体"/>
          <w:sz w:val="24"/>
        </w:rPr>
      </w:pPr>
      <w:r>
        <w:rPr>
          <w:rFonts w:hint="eastAsia" w:ascii="宋体" w:hAnsi="宋体" w:cs="宋体"/>
          <w:sz w:val="24"/>
        </w:rPr>
        <w:t>14.2.3.1“腐败行为”和“欺诈行为”定义如下:</w:t>
      </w:r>
    </w:p>
    <w:p w14:paraId="35EAC3FE">
      <w:pPr>
        <w:spacing w:line="360" w:lineRule="auto"/>
        <w:ind w:firstLine="480" w:firstLineChars="200"/>
        <w:rPr>
          <w:rFonts w:hint="eastAsia" w:ascii="宋体" w:hAnsi="宋体" w:cs="宋体"/>
          <w:sz w:val="24"/>
        </w:rPr>
      </w:pPr>
      <w:r>
        <w:rPr>
          <w:rFonts w:hint="eastAsia" w:ascii="宋体" w:hAnsi="宋体" w:cs="宋体"/>
          <w:sz w:val="24"/>
        </w:rPr>
        <w:t>14.2.3.1.1“腐败行为”是指提供/给予/接受或索取任何有价值的东西来影响甲方在合同签订、履行过程中的行为。</w:t>
      </w:r>
    </w:p>
    <w:p w14:paraId="0A6DAF0F">
      <w:pPr>
        <w:spacing w:line="360" w:lineRule="auto"/>
        <w:ind w:firstLine="480" w:firstLineChars="200"/>
        <w:rPr>
          <w:rFonts w:hint="eastAsia" w:ascii="宋体" w:hAnsi="宋体" w:cs="宋体"/>
          <w:sz w:val="24"/>
        </w:rPr>
      </w:pPr>
      <w:r>
        <w:rPr>
          <w:rFonts w:hint="eastAsia" w:ascii="宋体" w:hAnsi="宋体" w:cs="宋体"/>
          <w:sz w:val="24"/>
        </w:rPr>
        <w:t>14.2.3.1.2“欺诈行为”是指为了影响合同签订、履行过程，以谎报事实的方法，损害采购人的利益的行为。</w:t>
      </w:r>
    </w:p>
    <w:p w14:paraId="2CE18660">
      <w:pPr>
        <w:spacing w:line="360" w:lineRule="auto"/>
        <w:ind w:firstLine="480" w:firstLineChars="200"/>
        <w:rPr>
          <w:rFonts w:hint="eastAsia" w:ascii="宋体" w:hAnsi="宋体" w:cs="宋体"/>
          <w:sz w:val="24"/>
        </w:rPr>
      </w:pPr>
      <w:r>
        <w:rPr>
          <w:rFonts w:hint="eastAsia" w:ascii="宋体" w:hAnsi="宋体" w:cs="宋体"/>
          <w:sz w:val="24"/>
        </w:rPr>
        <w:t>14.3合同履行期间，如因中标供应商违反相关规定及本合同约定，采购人终止合同履行的，采购人需以书面形式通知中标供应商，通知送达中标供应商后本合同解除；合同解除前，本合同继续有效。</w:t>
      </w:r>
    </w:p>
    <w:p w14:paraId="62ECE5FE">
      <w:pPr>
        <w:spacing w:line="360" w:lineRule="auto"/>
        <w:ind w:firstLine="480" w:firstLineChars="200"/>
        <w:rPr>
          <w:rFonts w:hint="eastAsia" w:ascii="宋体" w:hAnsi="宋体" w:cs="宋体"/>
          <w:sz w:val="24"/>
        </w:rPr>
      </w:pPr>
      <w:r>
        <w:rPr>
          <w:rFonts w:hint="eastAsia" w:ascii="宋体" w:hAnsi="宋体" w:cs="宋体"/>
          <w:sz w:val="24"/>
        </w:rPr>
        <w:t>14.4本合同终止后，需求与中标双方应对合同期间发生的应尽未尽事项负责结清，有关保密义务的条款对双方仍然有效。</w:t>
      </w:r>
    </w:p>
    <w:p w14:paraId="3540284D">
      <w:pPr>
        <w:spacing w:line="360" w:lineRule="auto"/>
        <w:rPr>
          <w:rFonts w:hint="eastAsia" w:ascii="宋体" w:hAnsi="宋体" w:cs="宋体"/>
          <w:bCs/>
          <w:sz w:val="24"/>
        </w:rPr>
      </w:pPr>
      <w:r>
        <w:rPr>
          <w:rFonts w:hint="eastAsia" w:ascii="宋体" w:hAnsi="宋体" w:cs="宋体"/>
          <w:bCs/>
          <w:sz w:val="24"/>
        </w:rPr>
        <w:t>15、破产终止合同</w:t>
      </w:r>
    </w:p>
    <w:p w14:paraId="7956E271">
      <w:pPr>
        <w:spacing w:line="360" w:lineRule="auto"/>
        <w:ind w:firstLine="480" w:firstLineChars="200"/>
        <w:rPr>
          <w:rFonts w:hint="eastAsia" w:ascii="宋体" w:hAnsi="宋体" w:cs="宋体"/>
          <w:sz w:val="24"/>
        </w:rPr>
      </w:pPr>
      <w:r>
        <w:rPr>
          <w:rFonts w:hint="eastAsia" w:ascii="宋体" w:hAnsi="宋体" w:cs="宋体"/>
          <w:sz w:val="24"/>
        </w:rPr>
        <w:t>如果中标供应商因破产、清算、注销、被吊销营业执照、停业等原因导致合同无法履行时，采购人可以书面形式通知中标供应商，单方解除合同而不给中标供应商补偿，但采购人必须以书面形式告知同级政府采购监督管理部门。该合同的解除将不损害或不影响采购人已经采取或将要采取的任何行动或补救措施的权利。</w:t>
      </w:r>
    </w:p>
    <w:p w14:paraId="153A0C67">
      <w:pPr>
        <w:spacing w:line="360" w:lineRule="auto"/>
        <w:rPr>
          <w:rFonts w:hint="eastAsia" w:ascii="宋体" w:hAnsi="宋体" w:cs="宋体"/>
          <w:bCs/>
          <w:sz w:val="24"/>
        </w:rPr>
      </w:pPr>
      <w:r>
        <w:rPr>
          <w:rFonts w:hint="eastAsia" w:ascii="宋体" w:hAnsi="宋体" w:cs="宋体"/>
          <w:bCs/>
          <w:sz w:val="24"/>
        </w:rPr>
        <w:t>16、转让和分包</w:t>
      </w:r>
    </w:p>
    <w:p w14:paraId="6EFA8EED">
      <w:pPr>
        <w:spacing w:line="360" w:lineRule="auto"/>
        <w:ind w:firstLine="480" w:firstLineChars="200"/>
        <w:rPr>
          <w:rFonts w:hint="eastAsia" w:ascii="宋体" w:hAnsi="宋体" w:cs="宋体"/>
          <w:sz w:val="24"/>
        </w:rPr>
      </w:pPr>
      <w:r>
        <w:rPr>
          <w:rFonts w:hint="eastAsia" w:ascii="宋体" w:hAnsi="宋体" w:cs="宋体"/>
          <w:sz w:val="24"/>
        </w:rPr>
        <w:t>未经采购人事先书面同意，中标供应商不得部分转让或全部转让其所享有的合同权利或应履行的合同义务。并且，未经采购人事先书面同意，中标供应商不得将本合同项目中实质性内容分包给其他第三方完成。否则，中标供应商应当向采购人支付合同总金额20%的违约金，并且，于此情形下，采购人还有权解除合同。</w:t>
      </w:r>
    </w:p>
    <w:p w14:paraId="1D4A0D31">
      <w:pPr>
        <w:spacing w:line="360" w:lineRule="auto"/>
        <w:rPr>
          <w:rFonts w:hint="eastAsia" w:ascii="宋体" w:hAnsi="宋体" w:cs="宋体"/>
          <w:bCs/>
          <w:sz w:val="24"/>
        </w:rPr>
      </w:pPr>
      <w:r>
        <w:rPr>
          <w:rFonts w:hint="eastAsia" w:ascii="宋体" w:hAnsi="宋体" w:cs="宋体"/>
          <w:bCs/>
          <w:sz w:val="24"/>
        </w:rPr>
        <w:t>17、合同修改</w:t>
      </w:r>
    </w:p>
    <w:p w14:paraId="3CE8C447">
      <w:pPr>
        <w:spacing w:line="360" w:lineRule="auto"/>
        <w:ind w:firstLine="480" w:firstLineChars="200"/>
        <w:rPr>
          <w:rFonts w:hint="eastAsia" w:ascii="宋体" w:hAnsi="宋体" w:cs="宋体"/>
          <w:sz w:val="24"/>
        </w:rPr>
      </w:pPr>
      <w:r>
        <w:rPr>
          <w:rFonts w:hint="eastAsia" w:ascii="宋体" w:hAnsi="宋体" w:cs="宋体"/>
          <w:sz w:val="24"/>
        </w:rPr>
        <w:t>欲对合同条款进行任何改动，均须由采购人、中标供应商签署书面的合同修改书。</w:t>
      </w:r>
    </w:p>
    <w:p w14:paraId="48BEA977">
      <w:pPr>
        <w:spacing w:line="360" w:lineRule="auto"/>
        <w:rPr>
          <w:rFonts w:hint="eastAsia" w:ascii="宋体" w:hAnsi="宋体" w:cs="宋体"/>
          <w:bCs/>
          <w:sz w:val="24"/>
        </w:rPr>
      </w:pPr>
      <w:r>
        <w:rPr>
          <w:rFonts w:hint="eastAsia" w:ascii="宋体" w:hAnsi="宋体" w:cs="宋体"/>
          <w:bCs/>
          <w:sz w:val="24"/>
        </w:rPr>
        <w:t>18、通知</w:t>
      </w:r>
    </w:p>
    <w:p w14:paraId="5578139E">
      <w:pPr>
        <w:spacing w:line="360" w:lineRule="auto"/>
        <w:ind w:firstLine="480" w:firstLineChars="200"/>
        <w:rPr>
          <w:rFonts w:hint="eastAsia" w:ascii="宋体" w:hAnsi="宋体" w:cs="宋体"/>
          <w:sz w:val="24"/>
        </w:rPr>
      </w:pPr>
      <w:r>
        <w:rPr>
          <w:rFonts w:hint="eastAsia" w:ascii="宋体" w:hAnsi="宋体" w:cs="宋体"/>
          <w:sz w:val="24"/>
        </w:rPr>
        <w:t>本合同任何一方给另一方的通知，都应以书面或传真的形式发送，而另一方应以书面形式确认并发送到对方明确的地址。</w:t>
      </w:r>
    </w:p>
    <w:p w14:paraId="7A9588FC">
      <w:pPr>
        <w:spacing w:line="360" w:lineRule="auto"/>
        <w:rPr>
          <w:rFonts w:hint="eastAsia" w:ascii="宋体" w:hAnsi="宋体" w:cs="宋体"/>
          <w:bCs/>
          <w:sz w:val="24"/>
        </w:rPr>
      </w:pPr>
      <w:r>
        <w:rPr>
          <w:rFonts w:hint="eastAsia" w:ascii="宋体" w:hAnsi="宋体" w:cs="宋体"/>
          <w:bCs/>
          <w:sz w:val="24"/>
        </w:rPr>
        <w:t>19、知识产权条款</w:t>
      </w:r>
    </w:p>
    <w:p w14:paraId="4AEDC30D">
      <w:pPr>
        <w:spacing w:line="360" w:lineRule="auto"/>
        <w:ind w:firstLine="480" w:firstLineChars="200"/>
        <w:rPr>
          <w:rFonts w:hint="eastAsia" w:ascii="宋体" w:hAnsi="宋体" w:cs="宋体"/>
          <w:sz w:val="24"/>
        </w:rPr>
      </w:pPr>
      <w:r>
        <w:rPr>
          <w:rFonts w:hint="eastAsia" w:ascii="宋体" w:hAnsi="宋体" w:cs="宋体"/>
          <w:sz w:val="24"/>
          <w:lang w:val="en-US" w:eastAsia="zh-CN"/>
        </w:rPr>
        <w:t>涉及敏感信息，最终以合同签订内容为准</w:t>
      </w:r>
      <w:r>
        <w:rPr>
          <w:rFonts w:hint="eastAsia" w:ascii="宋体" w:hAnsi="宋体" w:cs="宋体"/>
          <w:sz w:val="24"/>
        </w:rPr>
        <w:t>。</w:t>
      </w:r>
    </w:p>
    <w:p w14:paraId="7B056D47">
      <w:pPr>
        <w:spacing w:line="360" w:lineRule="auto"/>
        <w:rPr>
          <w:rFonts w:hint="eastAsia" w:ascii="宋体" w:hAnsi="宋体" w:cs="宋体"/>
          <w:bCs/>
          <w:sz w:val="24"/>
        </w:rPr>
      </w:pPr>
      <w:r>
        <w:rPr>
          <w:rFonts w:hint="eastAsia" w:ascii="宋体" w:hAnsi="宋体" w:cs="宋体"/>
          <w:bCs/>
          <w:sz w:val="24"/>
        </w:rPr>
        <w:t>20、技术情报和资料的保密</w:t>
      </w:r>
    </w:p>
    <w:p w14:paraId="1A3E2AB7">
      <w:pPr>
        <w:spacing w:line="360" w:lineRule="auto"/>
        <w:ind w:firstLine="480" w:firstLineChars="200"/>
        <w:rPr>
          <w:rFonts w:hint="eastAsia" w:ascii="宋体" w:hAnsi="宋体" w:cs="宋体"/>
          <w:bCs/>
          <w:sz w:val="24"/>
        </w:rPr>
      </w:pPr>
      <w:r>
        <w:rPr>
          <w:rFonts w:hint="eastAsia" w:ascii="宋体" w:hAnsi="宋体" w:cs="宋体"/>
          <w:bCs/>
          <w:sz w:val="24"/>
        </w:rPr>
        <w:t>中标供应商应对合同执行过程中的技术情报及资料履行保密义务。</w:t>
      </w:r>
    </w:p>
    <w:p w14:paraId="5DF973F0">
      <w:pPr>
        <w:spacing w:line="360" w:lineRule="auto"/>
        <w:rPr>
          <w:rFonts w:hint="eastAsia" w:ascii="宋体" w:hAnsi="宋体" w:cs="宋体"/>
          <w:bCs/>
          <w:sz w:val="24"/>
        </w:rPr>
      </w:pPr>
      <w:r>
        <w:rPr>
          <w:rFonts w:hint="eastAsia" w:ascii="宋体" w:hAnsi="宋体" w:cs="宋体"/>
          <w:bCs/>
          <w:sz w:val="24"/>
        </w:rPr>
        <w:t>21、适用法律</w:t>
      </w:r>
    </w:p>
    <w:p w14:paraId="45E1A6A3">
      <w:pPr>
        <w:spacing w:line="360" w:lineRule="auto"/>
        <w:ind w:firstLine="480" w:firstLineChars="200"/>
        <w:rPr>
          <w:rFonts w:hint="eastAsia" w:ascii="宋体" w:hAnsi="宋体" w:cs="宋体"/>
          <w:sz w:val="24"/>
        </w:rPr>
      </w:pPr>
      <w:r>
        <w:rPr>
          <w:rFonts w:hint="eastAsia" w:ascii="宋体" w:hAnsi="宋体" w:cs="宋体"/>
          <w:sz w:val="24"/>
        </w:rPr>
        <w:t>本合同应按照中华人民共和国的法律进行解释。</w:t>
      </w:r>
    </w:p>
    <w:p w14:paraId="7CC29CFE">
      <w:pPr>
        <w:spacing w:line="360" w:lineRule="auto"/>
        <w:rPr>
          <w:rFonts w:hint="eastAsia" w:ascii="宋体" w:hAnsi="宋体" w:cs="宋体"/>
          <w:bCs/>
          <w:sz w:val="24"/>
        </w:rPr>
      </w:pPr>
      <w:r>
        <w:rPr>
          <w:rFonts w:hint="eastAsia" w:ascii="宋体" w:hAnsi="宋体" w:cs="宋体"/>
          <w:bCs/>
          <w:sz w:val="24"/>
        </w:rPr>
        <w:t>22、其他</w:t>
      </w:r>
    </w:p>
    <w:p w14:paraId="510DBE0C">
      <w:pPr>
        <w:spacing w:line="360" w:lineRule="auto"/>
        <w:ind w:firstLine="480" w:firstLineChars="200"/>
        <w:rPr>
          <w:rFonts w:hint="eastAsia" w:ascii="宋体" w:hAnsi="宋体" w:cs="宋体"/>
          <w:sz w:val="24"/>
        </w:rPr>
      </w:pPr>
      <w:r>
        <w:rPr>
          <w:rFonts w:hint="eastAsia" w:ascii="宋体" w:hAnsi="宋体" w:cs="宋体"/>
          <w:sz w:val="24"/>
        </w:rPr>
        <w:t>22.1 采购人应当自政府采购合同签订之日起2个工作日内，将政府采购合同在省级以上人民政府财政部门指定的媒体上公告，但政府采购合同中涉及国家秘密、商业秘密的内容除外。</w:t>
      </w:r>
    </w:p>
    <w:p w14:paraId="1740C347">
      <w:pPr>
        <w:spacing w:line="360" w:lineRule="auto"/>
        <w:ind w:firstLine="480" w:firstLineChars="200"/>
        <w:rPr>
          <w:rFonts w:hint="eastAsia" w:ascii="宋体" w:hAnsi="宋体" w:cs="宋体"/>
          <w:sz w:val="24"/>
        </w:rPr>
      </w:pPr>
      <w:r>
        <w:rPr>
          <w:rFonts w:hint="eastAsia" w:ascii="宋体" w:hAnsi="宋体" w:cs="宋体"/>
          <w:sz w:val="24"/>
        </w:rPr>
        <w:t>22.2 如需修改或补充合同内容，经协商，采购人与中标供应商应签署书面修改或补充合同，该合同将作为本合同的一个组成部分。</w:t>
      </w:r>
    </w:p>
    <w:p w14:paraId="2A904A5E">
      <w:pPr>
        <w:rPr>
          <w:b/>
          <w:bCs/>
          <w:sz w:val="24"/>
        </w:rPr>
      </w:pPr>
      <w:r>
        <w:rPr>
          <w:b/>
          <w:bCs/>
          <w:sz w:val="24"/>
        </w:rPr>
        <w:t>附件</w:t>
      </w:r>
      <w:r>
        <w:rPr>
          <w:rFonts w:hint="eastAsia"/>
          <w:b/>
          <w:bCs/>
          <w:sz w:val="24"/>
        </w:rPr>
        <w:t>1</w:t>
      </w:r>
      <w:r>
        <w:rPr>
          <w:b/>
          <w:bCs/>
          <w:sz w:val="24"/>
        </w:rPr>
        <w:t>：</w:t>
      </w:r>
    </w:p>
    <w:p w14:paraId="7C81CE3D">
      <w:pPr>
        <w:autoSpaceDE w:val="0"/>
        <w:autoSpaceDN w:val="0"/>
        <w:adjustRightInd w:val="0"/>
        <w:spacing w:line="320" w:lineRule="exact"/>
        <w:jc w:val="center"/>
        <w:rPr>
          <w:kern w:val="0"/>
          <w:sz w:val="32"/>
          <w:szCs w:val="32"/>
        </w:rPr>
      </w:pPr>
      <w:r>
        <w:rPr>
          <w:b/>
          <w:bCs/>
          <w:kern w:val="0"/>
          <w:sz w:val="32"/>
          <w:szCs w:val="32"/>
        </w:rPr>
        <w:t>廉政承诺书</w:t>
      </w:r>
    </w:p>
    <w:p w14:paraId="1AD1EF0D">
      <w:pPr>
        <w:spacing w:line="460" w:lineRule="exact"/>
        <w:ind w:firstLine="480" w:firstLineChars="200"/>
        <w:rPr>
          <w:sz w:val="24"/>
          <w:u w:val="single"/>
        </w:rPr>
      </w:pPr>
      <w:r>
        <w:rPr>
          <w:sz w:val="24"/>
        </w:rPr>
        <w:t xml:space="preserve">项目/工程名称: </w:t>
      </w:r>
      <w:r>
        <w:rPr>
          <w:rFonts w:hint="eastAsia"/>
          <w:sz w:val="24"/>
          <w:u w:val="single"/>
        </w:rPr>
        <w:t xml:space="preserve">                       </w:t>
      </w:r>
    </w:p>
    <w:p w14:paraId="02CC86FD">
      <w:pPr>
        <w:autoSpaceDE w:val="0"/>
        <w:autoSpaceDN w:val="0"/>
        <w:spacing w:line="460" w:lineRule="exact"/>
        <w:ind w:firstLine="480" w:firstLineChars="200"/>
        <w:jc w:val="left"/>
        <w:rPr>
          <w:kern w:val="0"/>
          <w:sz w:val="24"/>
          <w:u w:val="single"/>
        </w:rPr>
      </w:pPr>
      <w:r>
        <w:rPr>
          <w:kern w:val="0"/>
          <w:sz w:val="24"/>
        </w:rPr>
        <w:t>甲方：</w:t>
      </w:r>
      <w:r>
        <w:rPr>
          <w:kern w:val="0"/>
          <w:sz w:val="24"/>
          <w:u w:val="single"/>
        </w:rPr>
        <w:t xml:space="preserve">北京市地质灾害防治研究所    </w:t>
      </w:r>
    </w:p>
    <w:p w14:paraId="7B635366">
      <w:pPr>
        <w:spacing w:line="460" w:lineRule="exact"/>
        <w:ind w:firstLine="480" w:firstLineChars="200"/>
        <w:rPr>
          <w:kern w:val="0"/>
          <w:sz w:val="24"/>
          <w:u w:val="single"/>
        </w:rPr>
      </w:pPr>
      <w:r>
        <w:rPr>
          <w:kern w:val="0"/>
          <w:sz w:val="24"/>
        </w:rPr>
        <w:t>乙方：</w:t>
      </w:r>
      <w:r>
        <w:rPr>
          <w:rFonts w:hint="eastAsia"/>
          <w:kern w:val="0"/>
          <w:sz w:val="24"/>
          <w:u w:val="single"/>
        </w:rPr>
        <w:t xml:space="preserve">                           </w:t>
      </w:r>
      <w:r>
        <w:rPr>
          <w:kern w:val="0"/>
          <w:sz w:val="24"/>
          <w:u w:val="single"/>
        </w:rPr>
        <w:t xml:space="preserve"> </w:t>
      </w:r>
    </w:p>
    <w:p w14:paraId="2C8378CD">
      <w:pPr>
        <w:spacing w:line="460" w:lineRule="exact"/>
        <w:ind w:firstLine="480" w:firstLineChars="200"/>
        <w:rPr>
          <w:kern w:val="0"/>
          <w:sz w:val="24"/>
        </w:rPr>
      </w:pPr>
      <w:r>
        <w:rPr>
          <w:kern w:val="0"/>
          <w:sz w:val="24"/>
        </w:rPr>
        <w:t>为加强廉政建设，防止发生谋取不正当利益的违法违纪行为，保护国家、集体和当事人的合法权益，根据国家法律法规和廉洁自律有关规定，特订立本廉政承诺书。</w:t>
      </w:r>
    </w:p>
    <w:p w14:paraId="4ABE2DE8">
      <w:pPr>
        <w:autoSpaceDE w:val="0"/>
        <w:autoSpaceDN w:val="0"/>
        <w:spacing w:line="460" w:lineRule="exact"/>
        <w:ind w:firstLine="482" w:firstLineChars="200"/>
        <w:rPr>
          <w:kern w:val="0"/>
          <w:sz w:val="24"/>
        </w:rPr>
      </w:pPr>
      <w:r>
        <w:rPr>
          <w:b/>
          <w:bCs/>
          <w:kern w:val="0"/>
          <w:sz w:val="24"/>
        </w:rPr>
        <w:t>一、双方的责任</w:t>
      </w:r>
    </w:p>
    <w:p w14:paraId="7CF40A86">
      <w:pPr>
        <w:spacing w:line="460" w:lineRule="exact"/>
        <w:ind w:firstLine="480" w:firstLineChars="200"/>
        <w:rPr>
          <w:kern w:val="0"/>
          <w:sz w:val="24"/>
        </w:rPr>
      </w:pPr>
      <w:r>
        <w:rPr>
          <w:kern w:val="0"/>
          <w:sz w:val="24"/>
        </w:rPr>
        <w:t>1.严格遵守党和国家法律法规的有关规定和廉政建设的各项要求。</w:t>
      </w:r>
    </w:p>
    <w:p w14:paraId="3944B070">
      <w:pPr>
        <w:spacing w:line="460" w:lineRule="exact"/>
        <w:ind w:firstLine="480" w:firstLineChars="200"/>
        <w:rPr>
          <w:kern w:val="0"/>
          <w:sz w:val="24"/>
        </w:rPr>
      </w:pPr>
      <w:r>
        <w:rPr>
          <w:kern w:val="0"/>
          <w:sz w:val="24"/>
        </w:rPr>
        <w:t>2.严格履行合同约定，自觉按合同办事。</w:t>
      </w:r>
    </w:p>
    <w:p w14:paraId="1B3198F9">
      <w:pPr>
        <w:autoSpaceDE w:val="0"/>
        <w:autoSpaceDN w:val="0"/>
        <w:spacing w:line="460" w:lineRule="exact"/>
        <w:ind w:firstLine="480" w:firstLineChars="200"/>
        <w:rPr>
          <w:kern w:val="0"/>
          <w:sz w:val="24"/>
        </w:rPr>
      </w:pPr>
      <w:r>
        <w:rPr>
          <w:kern w:val="0"/>
          <w:sz w:val="24"/>
        </w:rPr>
        <w:t>3.坚持公开、公平、公正、诚信、透明的原则（除法律法规另有规定者外），不得为获取不正当的利益损害国家、集体和对方利益，不得违反行业规定、规范和相关法律法规。</w:t>
      </w:r>
    </w:p>
    <w:p w14:paraId="58C64B97">
      <w:pPr>
        <w:autoSpaceDE w:val="0"/>
        <w:autoSpaceDN w:val="0"/>
        <w:spacing w:line="460" w:lineRule="exact"/>
        <w:ind w:firstLine="480" w:firstLineChars="200"/>
        <w:rPr>
          <w:kern w:val="0"/>
          <w:sz w:val="24"/>
        </w:rPr>
      </w:pPr>
      <w:r>
        <w:rPr>
          <w:kern w:val="0"/>
          <w:sz w:val="24"/>
        </w:rPr>
        <w:t>4.发现对方在业务活动中有违规、违纪、违法行为的，应及时提醒对方，情节严重的，应向其上级主管部门或纪检监察、司法等有关机关举报。</w:t>
      </w:r>
    </w:p>
    <w:p w14:paraId="4A4ED677">
      <w:pPr>
        <w:autoSpaceDE w:val="0"/>
        <w:autoSpaceDN w:val="0"/>
        <w:spacing w:line="460" w:lineRule="exact"/>
        <w:ind w:firstLine="482" w:firstLineChars="200"/>
        <w:rPr>
          <w:b/>
          <w:bCs/>
          <w:kern w:val="0"/>
          <w:sz w:val="24"/>
        </w:rPr>
      </w:pPr>
      <w:r>
        <w:rPr>
          <w:b/>
          <w:bCs/>
          <w:kern w:val="0"/>
          <w:sz w:val="24"/>
        </w:rPr>
        <w:t>二、甲方责任</w:t>
      </w:r>
    </w:p>
    <w:p w14:paraId="4D8681AD">
      <w:pPr>
        <w:autoSpaceDE w:val="0"/>
        <w:autoSpaceDN w:val="0"/>
        <w:spacing w:line="460" w:lineRule="exact"/>
        <w:ind w:firstLine="480" w:firstLineChars="200"/>
        <w:rPr>
          <w:kern w:val="0"/>
          <w:sz w:val="24"/>
        </w:rPr>
      </w:pPr>
      <w:r>
        <w:rPr>
          <w:kern w:val="0"/>
          <w:sz w:val="24"/>
        </w:rPr>
        <w:t>甲方的领导和具体工作人员，在事前、事中、事后应遵守以下规定：</w:t>
      </w:r>
    </w:p>
    <w:p w14:paraId="3C2999A6">
      <w:pPr>
        <w:autoSpaceDE w:val="0"/>
        <w:autoSpaceDN w:val="0"/>
        <w:spacing w:line="460" w:lineRule="exact"/>
        <w:ind w:firstLine="480" w:firstLineChars="200"/>
        <w:rPr>
          <w:kern w:val="0"/>
          <w:sz w:val="24"/>
        </w:rPr>
      </w:pPr>
      <w:r>
        <w:rPr>
          <w:kern w:val="0"/>
          <w:sz w:val="24"/>
        </w:rPr>
        <w:t>1.不得向乙方和相关单位索要或接受回扣、礼金、有价证券、贵重物品和好处费、感谢费等。</w:t>
      </w:r>
    </w:p>
    <w:p w14:paraId="22F839F1">
      <w:pPr>
        <w:autoSpaceDE w:val="0"/>
        <w:autoSpaceDN w:val="0"/>
        <w:spacing w:line="460" w:lineRule="exact"/>
        <w:ind w:firstLine="480" w:firstLineChars="200"/>
        <w:rPr>
          <w:kern w:val="0"/>
          <w:sz w:val="24"/>
        </w:rPr>
      </w:pPr>
      <w:r>
        <w:rPr>
          <w:kern w:val="0"/>
          <w:sz w:val="24"/>
        </w:rPr>
        <w:t>2.不得在乙方和相关单位报销任何应由甲方或个人支付的费用。</w:t>
      </w:r>
    </w:p>
    <w:p w14:paraId="27D394B7">
      <w:pPr>
        <w:autoSpaceDE w:val="0"/>
        <w:autoSpaceDN w:val="0"/>
        <w:spacing w:line="460" w:lineRule="exact"/>
        <w:ind w:firstLine="480" w:firstLineChars="200"/>
        <w:rPr>
          <w:kern w:val="0"/>
          <w:sz w:val="24"/>
        </w:rPr>
      </w:pPr>
      <w:r>
        <w:rPr>
          <w:kern w:val="0"/>
          <w:sz w:val="24"/>
        </w:rPr>
        <w:t>3</w:t>
      </w:r>
      <w:r>
        <w:rPr>
          <w:rFonts w:hint="eastAsia"/>
          <w:kern w:val="0"/>
          <w:sz w:val="24"/>
        </w:rPr>
        <w:t>.</w:t>
      </w:r>
      <w:r>
        <w:rPr>
          <w:kern w:val="0"/>
          <w:sz w:val="24"/>
        </w:rPr>
        <w:t>不得要求、暗示或接受乙方和相关单位为个人装修住房、婚丧嫁娶、配偶子女的工作安排以及出国（境）、旅游等提供方便。</w:t>
      </w:r>
    </w:p>
    <w:p w14:paraId="7AFCF2DD">
      <w:pPr>
        <w:autoSpaceDE w:val="0"/>
        <w:autoSpaceDN w:val="0"/>
        <w:spacing w:line="460" w:lineRule="exact"/>
        <w:ind w:firstLine="480" w:firstLineChars="200"/>
        <w:rPr>
          <w:kern w:val="0"/>
          <w:sz w:val="24"/>
        </w:rPr>
      </w:pPr>
      <w:r>
        <w:rPr>
          <w:kern w:val="0"/>
          <w:sz w:val="24"/>
        </w:rPr>
        <w:t>4.不得以任何理由参加乙方、相关单位或个人组织提供有可能影响公正执行公务的宴请、健身、娱乐等活动。</w:t>
      </w:r>
    </w:p>
    <w:p w14:paraId="54FE05F0">
      <w:pPr>
        <w:autoSpaceDE w:val="0"/>
        <w:autoSpaceDN w:val="0"/>
        <w:spacing w:line="460" w:lineRule="exact"/>
        <w:ind w:firstLine="480" w:firstLineChars="200"/>
        <w:rPr>
          <w:kern w:val="0"/>
          <w:sz w:val="24"/>
        </w:rPr>
      </w:pPr>
      <w:r>
        <w:rPr>
          <w:kern w:val="0"/>
          <w:sz w:val="24"/>
        </w:rPr>
        <w:t>5.不得向乙方和相关单位介绍或为配偶、子女、亲属参与同甲方合同有关的业务活动；不得以任何理由要求乙方和相关单位使用某种产品、材料和设备。</w:t>
      </w:r>
    </w:p>
    <w:p w14:paraId="3036B98E">
      <w:pPr>
        <w:autoSpaceDE w:val="0"/>
        <w:autoSpaceDN w:val="0"/>
        <w:spacing w:line="460" w:lineRule="exact"/>
        <w:ind w:firstLine="482" w:firstLineChars="200"/>
        <w:rPr>
          <w:kern w:val="0"/>
          <w:sz w:val="24"/>
        </w:rPr>
      </w:pPr>
      <w:r>
        <w:rPr>
          <w:b/>
          <w:bCs/>
          <w:kern w:val="0"/>
          <w:sz w:val="24"/>
        </w:rPr>
        <w:t>三、乙方责任</w:t>
      </w:r>
    </w:p>
    <w:p w14:paraId="3E794F9B">
      <w:pPr>
        <w:autoSpaceDE w:val="0"/>
        <w:autoSpaceDN w:val="0"/>
        <w:spacing w:line="460" w:lineRule="exact"/>
        <w:ind w:firstLine="480" w:firstLineChars="200"/>
        <w:rPr>
          <w:kern w:val="0"/>
          <w:sz w:val="24"/>
        </w:rPr>
      </w:pPr>
      <w:r>
        <w:rPr>
          <w:kern w:val="0"/>
          <w:sz w:val="24"/>
        </w:rPr>
        <w:t>应与甲方保持正常的业务交往，按照有关法律法规和程序开展业务工作，严格执行行业规定、规范和相关法律法规，并遵守以下规定：</w:t>
      </w:r>
    </w:p>
    <w:p w14:paraId="4EEFD10A">
      <w:pPr>
        <w:autoSpaceDE w:val="0"/>
        <w:autoSpaceDN w:val="0"/>
        <w:spacing w:line="460" w:lineRule="exact"/>
        <w:ind w:firstLine="480" w:firstLineChars="200"/>
        <w:rPr>
          <w:kern w:val="0"/>
          <w:sz w:val="24"/>
        </w:rPr>
      </w:pPr>
      <w:r>
        <w:rPr>
          <w:kern w:val="0"/>
          <w:sz w:val="24"/>
        </w:rPr>
        <w:t>1.不得以任何理由向甲方及其工作人员索要、接受或赠送礼金、有价证券、贵重物品及回扣、好处费、感谢费等。</w:t>
      </w:r>
    </w:p>
    <w:p w14:paraId="61333D67">
      <w:pPr>
        <w:autoSpaceDE w:val="0"/>
        <w:autoSpaceDN w:val="0"/>
        <w:spacing w:line="460" w:lineRule="exact"/>
        <w:ind w:firstLine="480" w:firstLineChars="200"/>
        <w:rPr>
          <w:kern w:val="0"/>
          <w:sz w:val="24"/>
        </w:rPr>
      </w:pPr>
      <w:r>
        <w:rPr>
          <w:kern w:val="0"/>
          <w:sz w:val="24"/>
        </w:rPr>
        <w:t>2.不得以任何理由为甲方和相关单位报销应由对方或个人支付的费用。</w:t>
      </w:r>
    </w:p>
    <w:p w14:paraId="05C79148">
      <w:pPr>
        <w:autoSpaceDE w:val="0"/>
        <w:autoSpaceDN w:val="0"/>
        <w:spacing w:line="460" w:lineRule="exact"/>
        <w:ind w:firstLine="480" w:firstLineChars="200"/>
        <w:rPr>
          <w:kern w:val="0"/>
          <w:sz w:val="24"/>
        </w:rPr>
      </w:pPr>
      <w:r>
        <w:rPr>
          <w:kern w:val="0"/>
          <w:sz w:val="24"/>
        </w:rPr>
        <w:t>3.不得接受或暗示为甲方、相关单位或个人装修住房、婚丧嫁娶、配偶子女的工作安排以及出国（境）、旅游等提供方便。</w:t>
      </w:r>
    </w:p>
    <w:p w14:paraId="541D2A1B">
      <w:pPr>
        <w:autoSpaceDE w:val="0"/>
        <w:autoSpaceDN w:val="0"/>
        <w:spacing w:line="460" w:lineRule="exact"/>
        <w:ind w:firstLine="480" w:firstLineChars="200"/>
        <w:rPr>
          <w:kern w:val="0"/>
          <w:sz w:val="24"/>
        </w:rPr>
      </w:pPr>
      <w:r>
        <w:rPr>
          <w:kern w:val="0"/>
          <w:sz w:val="24"/>
        </w:rPr>
        <w:t>4.不得以任何理由为甲方、相关单位或个人组织提供有可能影响公正执行公务的宴请、健身、娱乐等活动。</w:t>
      </w:r>
    </w:p>
    <w:p w14:paraId="7DE53B6D">
      <w:pPr>
        <w:autoSpaceDE w:val="0"/>
        <w:autoSpaceDN w:val="0"/>
        <w:spacing w:line="460" w:lineRule="exact"/>
        <w:ind w:firstLine="482" w:firstLineChars="200"/>
        <w:rPr>
          <w:b/>
          <w:bCs/>
          <w:kern w:val="0"/>
          <w:sz w:val="24"/>
        </w:rPr>
      </w:pPr>
      <w:r>
        <w:rPr>
          <w:b/>
          <w:bCs/>
          <w:kern w:val="0"/>
          <w:sz w:val="24"/>
        </w:rPr>
        <w:t>四、违约责任</w:t>
      </w:r>
    </w:p>
    <w:p w14:paraId="5E25BAD5">
      <w:pPr>
        <w:autoSpaceDE w:val="0"/>
        <w:autoSpaceDN w:val="0"/>
        <w:spacing w:line="460" w:lineRule="exact"/>
        <w:ind w:firstLine="480" w:firstLineChars="200"/>
        <w:rPr>
          <w:kern w:val="0"/>
          <w:sz w:val="24"/>
        </w:rPr>
      </w:pPr>
      <w:r>
        <w:rPr>
          <w:kern w:val="0"/>
          <w:sz w:val="24"/>
        </w:rPr>
        <w:t>甲、乙双方相关人员要严格履行本廉政承诺书相关规定。如有违反依据有关法律、法规处理；涉嫌犯罪的，移交司法机关追究刑事责任；造成经济损失的，应予以赔偿。</w:t>
      </w:r>
    </w:p>
    <w:p w14:paraId="687D6F7E">
      <w:pPr>
        <w:autoSpaceDE w:val="0"/>
        <w:autoSpaceDN w:val="0"/>
        <w:spacing w:line="460" w:lineRule="exact"/>
        <w:ind w:firstLine="482" w:firstLineChars="200"/>
        <w:rPr>
          <w:kern w:val="0"/>
          <w:sz w:val="24"/>
        </w:rPr>
      </w:pPr>
      <w:r>
        <w:rPr>
          <w:b/>
          <w:bCs/>
          <w:kern w:val="0"/>
          <w:sz w:val="24"/>
        </w:rPr>
        <w:t>五、其他约定</w:t>
      </w:r>
    </w:p>
    <w:p w14:paraId="2F2B271E">
      <w:pPr>
        <w:autoSpaceDE w:val="0"/>
        <w:autoSpaceDN w:val="0"/>
        <w:spacing w:line="460" w:lineRule="exact"/>
        <w:ind w:firstLine="480" w:firstLineChars="200"/>
        <w:rPr>
          <w:kern w:val="0"/>
          <w:sz w:val="24"/>
        </w:rPr>
      </w:pPr>
      <w:r>
        <w:rPr>
          <w:kern w:val="0"/>
          <w:sz w:val="24"/>
        </w:rPr>
        <w:t>1.本承诺书由甲乙双方法定代表人或授权的委托代理人签字，并加盖双方公章或合同专用章后生效。</w:t>
      </w:r>
    </w:p>
    <w:p w14:paraId="2588646B">
      <w:pPr>
        <w:autoSpaceDE w:val="0"/>
        <w:autoSpaceDN w:val="0"/>
        <w:spacing w:line="460" w:lineRule="exact"/>
        <w:ind w:firstLine="480" w:firstLineChars="200"/>
        <w:rPr>
          <w:kern w:val="0"/>
          <w:sz w:val="24"/>
        </w:rPr>
      </w:pPr>
      <w:r>
        <w:rPr>
          <w:kern w:val="0"/>
          <w:sz w:val="24"/>
        </w:rPr>
        <w:t>2.本承诺书总份数及甲乙双方执合同份数与主合同要求一致。</w:t>
      </w:r>
    </w:p>
    <w:p w14:paraId="7C813163">
      <w:pPr>
        <w:autoSpaceDE w:val="0"/>
        <w:autoSpaceDN w:val="0"/>
        <w:spacing w:line="460" w:lineRule="exact"/>
        <w:ind w:firstLine="480" w:firstLineChars="200"/>
        <w:rPr>
          <w:kern w:val="0"/>
          <w:sz w:val="24"/>
        </w:rPr>
      </w:pPr>
      <w:r>
        <w:rPr>
          <w:kern w:val="0"/>
          <w:sz w:val="24"/>
        </w:rPr>
        <w:t>3.本承诺书作为本合同的组成部分，与本合同具有同等法律效力。</w:t>
      </w:r>
    </w:p>
    <w:tbl>
      <w:tblPr>
        <w:tblStyle w:val="42"/>
        <w:tblW w:w="9147" w:type="dxa"/>
        <w:jc w:val="center"/>
        <w:tblLayout w:type="fixed"/>
        <w:tblCellMar>
          <w:top w:w="0" w:type="dxa"/>
          <w:left w:w="108" w:type="dxa"/>
          <w:bottom w:w="0" w:type="dxa"/>
          <w:right w:w="108" w:type="dxa"/>
        </w:tblCellMar>
      </w:tblPr>
      <w:tblGrid>
        <w:gridCol w:w="1600"/>
        <w:gridCol w:w="2975"/>
        <w:gridCol w:w="1630"/>
        <w:gridCol w:w="2942"/>
      </w:tblGrid>
      <w:tr w14:paraId="46EF819C">
        <w:tblPrEx>
          <w:tblCellMar>
            <w:top w:w="0" w:type="dxa"/>
            <w:left w:w="108" w:type="dxa"/>
            <w:bottom w:w="0" w:type="dxa"/>
            <w:right w:w="108" w:type="dxa"/>
          </w:tblCellMar>
        </w:tblPrEx>
        <w:trPr>
          <w:trHeight w:val="803" w:hRule="atLeast"/>
          <w:jc w:val="center"/>
        </w:trPr>
        <w:tc>
          <w:tcPr>
            <w:tcW w:w="9147" w:type="dxa"/>
            <w:gridSpan w:val="4"/>
            <w:vAlign w:val="center"/>
          </w:tcPr>
          <w:p w14:paraId="03509EFA">
            <w:pPr>
              <w:spacing w:line="320" w:lineRule="exact"/>
              <w:jc w:val="center"/>
              <w:rPr>
                <w:rFonts w:eastAsia="华文宋体"/>
                <w:b/>
                <w:szCs w:val="21"/>
              </w:rPr>
            </w:pPr>
            <w:r>
              <w:rPr>
                <w:rFonts w:eastAsia="华文宋体"/>
                <w:b/>
                <w:sz w:val="28"/>
                <w:szCs w:val="28"/>
              </w:rPr>
              <w:t>承诺书签订双方</w:t>
            </w:r>
          </w:p>
        </w:tc>
      </w:tr>
      <w:tr w14:paraId="5CFD4FF3">
        <w:tblPrEx>
          <w:tblCellMar>
            <w:top w:w="0" w:type="dxa"/>
            <w:left w:w="108" w:type="dxa"/>
            <w:bottom w:w="0" w:type="dxa"/>
            <w:right w:w="108" w:type="dxa"/>
          </w:tblCellMar>
        </w:tblPrEx>
        <w:trPr>
          <w:trHeight w:val="997" w:hRule="atLeast"/>
          <w:jc w:val="center"/>
        </w:trPr>
        <w:tc>
          <w:tcPr>
            <w:tcW w:w="1600" w:type="dxa"/>
            <w:vAlign w:val="center"/>
          </w:tcPr>
          <w:p w14:paraId="6D4C1EA1">
            <w:pPr>
              <w:spacing w:line="320" w:lineRule="exact"/>
              <w:jc w:val="center"/>
              <w:rPr>
                <w:rFonts w:eastAsia="华文宋体"/>
                <w:szCs w:val="21"/>
              </w:rPr>
            </w:pPr>
            <w:r>
              <w:rPr>
                <w:rFonts w:eastAsia="华文宋体"/>
                <w:szCs w:val="21"/>
              </w:rPr>
              <w:t>甲方（盖章）：</w:t>
            </w:r>
          </w:p>
        </w:tc>
        <w:tc>
          <w:tcPr>
            <w:tcW w:w="2975" w:type="dxa"/>
            <w:vAlign w:val="center"/>
          </w:tcPr>
          <w:p w14:paraId="1C3FF8FB">
            <w:pPr>
              <w:spacing w:line="320" w:lineRule="exact"/>
              <w:jc w:val="center"/>
              <w:rPr>
                <w:rFonts w:eastAsia="华文宋体"/>
                <w:szCs w:val="21"/>
              </w:rPr>
            </w:pPr>
            <w:r>
              <w:rPr>
                <w:rFonts w:eastAsia="华文宋体"/>
                <w:szCs w:val="21"/>
              </w:rPr>
              <w:t>北京市地质灾害防治研究所</w:t>
            </w:r>
          </w:p>
        </w:tc>
        <w:tc>
          <w:tcPr>
            <w:tcW w:w="1630" w:type="dxa"/>
            <w:vAlign w:val="center"/>
          </w:tcPr>
          <w:p w14:paraId="5D3F7DA3">
            <w:pPr>
              <w:spacing w:line="320" w:lineRule="exact"/>
              <w:jc w:val="center"/>
              <w:rPr>
                <w:rFonts w:eastAsia="华文宋体"/>
                <w:szCs w:val="21"/>
              </w:rPr>
            </w:pPr>
            <w:r>
              <w:rPr>
                <w:rFonts w:eastAsia="华文宋体"/>
                <w:szCs w:val="21"/>
              </w:rPr>
              <w:t>乙方（盖章）：</w:t>
            </w:r>
          </w:p>
        </w:tc>
        <w:tc>
          <w:tcPr>
            <w:tcW w:w="2942" w:type="dxa"/>
            <w:vAlign w:val="center"/>
          </w:tcPr>
          <w:p w14:paraId="67C3C8DA">
            <w:pPr>
              <w:spacing w:line="320" w:lineRule="exact"/>
              <w:ind w:leftChars="-2" w:hanging="4" w:hangingChars="2"/>
              <w:jc w:val="center"/>
              <w:rPr>
                <w:rFonts w:eastAsia="华文宋体"/>
                <w:szCs w:val="21"/>
              </w:rPr>
            </w:pPr>
          </w:p>
        </w:tc>
      </w:tr>
      <w:tr w14:paraId="16D3F769">
        <w:tblPrEx>
          <w:tblCellMar>
            <w:top w:w="0" w:type="dxa"/>
            <w:left w:w="108" w:type="dxa"/>
            <w:bottom w:w="0" w:type="dxa"/>
            <w:right w:w="108" w:type="dxa"/>
          </w:tblCellMar>
        </w:tblPrEx>
        <w:trPr>
          <w:trHeight w:val="1087" w:hRule="atLeast"/>
          <w:jc w:val="center"/>
        </w:trPr>
        <w:tc>
          <w:tcPr>
            <w:tcW w:w="1600" w:type="dxa"/>
            <w:vAlign w:val="center"/>
          </w:tcPr>
          <w:p w14:paraId="7CF107AC">
            <w:pPr>
              <w:spacing w:line="320" w:lineRule="exact"/>
              <w:jc w:val="center"/>
              <w:rPr>
                <w:rFonts w:eastAsia="华文宋体"/>
                <w:szCs w:val="21"/>
              </w:rPr>
            </w:pPr>
            <w:r>
              <w:rPr>
                <w:rFonts w:eastAsia="华文宋体"/>
                <w:szCs w:val="21"/>
              </w:rPr>
              <w:t>法定代表人</w:t>
            </w:r>
          </w:p>
          <w:p w14:paraId="45C04EFD">
            <w:pPr>
              <w:spacing w:line="320" w:lineRule="exact"/>
              <w:jc w:val="center"/>
              <w:rPr>
                <w:rFonts w:eastAsia="华文宋体"/>
                <w:szCs w:val="21"/>
              </w:rPr>
            </w:pPr>
            <w:r>
              <w:rPr>
                <w:rFonts w:eastAsia="华文宋体"/>
                <w:szCs w:val="21"/>
              </w:rPr>
              <w:t>（签字）：</w:t>
            </w:r>
          </w:p>
        </w:tc>
        <w:tc>
          <w:tcPr>
            <w:tcW w:w="2975" w:type="dxa"/>
            <w:vAlign w:val="center"/>
          </w:tcPr>
          <w:p w14:paraId="7DA32356">
            <w:pPr>
              <w:spacing w:line="320" w:lineRule="exact"/>
              <w:rPr>
                <w:rFonts w:eastAsia="华文宋体"/>
                <w:szCs w:val="21"/>
              </w:rPr>
            </w:pPr>
          </w:p>
        </w:tc>
        <w:tc>
          <w:tcPr>
            <w:tcW w:w="1630" w:type="dxa"/>
            <w:vAlign w:val="center"/>
          </w:tcPr>
          <w:p w14:paraId="768F9BDD">
            <w:pPr>
              <w:spacing w:line="320" w:lineRule="exact"/>
              <w:jc w:val="center"/>
              <w:rPr>
                <w:rFonts w:eastAsia="华文宋体"/>
                <w:szCs w:val="21"/>
              </w:rPr>
            </w:pPr>
            <w:r>
              <w:rPr>
                <w:rFonts w:eastAsia="华文宋体"/>
                <w:szCs w:val="21"/>
              </w:rPr>
              <w:t>法定代表人</w:t>
            </w:r>
          </w:p>
          <w:p w14:paraId="7E5B76C6">
            <w:pPr>
              <w:spacing w:line="320" w:lineRule="exact"/>
              <w:jc w:val="center"/>
              <w:rPr>
                <w:rFonts w:eastAsia="华文宋体"/>
                <w:szCs w:val="21"/>
              </w:rPr>
            </w:pPr>
            <w:r>
              <w:rPr>
                <w:rFonts w:eastAsia="华文宋体"/>
                <w:szCs w:val="21"/>
              </w:rPr>
              <w:t>（签字）：</w:t>
            </w:r>
          </w:p>
        </w:tc>
        <w:tc>
          <w:tcPr>
            <w:tcW w:w="2942" w:type="dxa"/>
            <w:vAlign w:val="center"/>
          </w:tcPr>
          <w:p w14:paraId="15E89620">
            <w:pPr>
              <w:spacing w:line="320" w:lineRule="exact"/>
              <w:rPr>
                <w:rFonts w:eastAsia="华文宋体"/>
                <w:szCs w:val="21"/>
              </w:rPr>
            </w:pPr>
          </w:p>
        </w:tc>
      </w:tr>
      <w:tr w14:paraId="12C7A063">
        <w:tblPrEx>
          <w:tblCellMar>
            <w:top w:w="0" w:type="dxa"/>
            <w:left w:w="108" w:type="dxa"/>
            <w:bottom w:w="0" w:type="dxa"/>
            <w:right w:w="108" w:type="dxa"/>
          </w:tblCellMar>
        </w:tblPrEx>
        <w:trPr>
          <w:trHeight w:val="1087" w:hRule="atLeast"/>
          <w:jc w:val="center"/>
        </w:trPr>
        <w:tc>
          <w:tcPr>
            <w:tcW w:w="1600" w:type="dxa"/>
            <w:vAlign w:val="center"/>
          </w:tcPr>
          <w:p w14:paraId="5CC729F2">
            <w:pPr>
              <w:spacing w:line="320" w:lineRule="exact"/>
              <w:jc w:val="center"/>
              <w:rPr>
                <w:rFonts w:eastAsia="华文宋体"/>
                <w:szCs w:val="21"/>
              </w:rPr>
            </w:pPr>
            <w:r>
              <w:rPr>
                <w:rFonts w:eastAsia="华文宋体"/>
                <w:szCs w:val="21"/>
              </w:rPr>
              <w:t>委托代理人</w:t>
            </w:r>
          </w:p>
          <w:p w14:paraId="5FA10899">
            <w:pPr>
              <w:spacing w:line="320" w:lineRule="exact"/>
              <w:jc w:val="center"/>
              <w:rPr>
                <w:rFonts w:eastAsia="华文宋体"/>
                <w:szCs w:val="21"/>
              </w:rPr>
            </w:pPr>
            <w:r>
              <w:rPr>
                <w:rFonts w:eastAsia="华文宋体"/>
                <w:szCs w:val="21"/>
              </w:rPr>
              <w:t>（签字）：</w:t>
            </w:r>
          </w:p>
        </w:tc>
        <w:tc>
          <w:tcPr>
            <w:tcW w:w="2975" w:type="dxa"/>
            <w:vAlign w:val="center"/>
          </w:tcPr>
          <w:p w14:paraId="3FD3ADB3">
            <w:pPr>
              <w:spacing w:line="320" w:lineRule="exact"/>
              <w:rPr>
                <w:rFonts w:eastAsia="华文宋体"/>
                <w:szCs w:val="21"/>
              </w:rPr>
            </w:pPr>
          </w:p>
        </w:tc>
        <w:tc>
          <w:tcPr>
            <w:tcW w:w="1630" w:type="dxa"/>
            <w:vAlign w:val="center"/>
          </w:tcPr>
          <w:p w14:paraId="36BB76E2">
            <w:pPr>
              <w:spacing w:line="320" w:lineRule="exact"/>
              <w:jc w:val="center"/>
              <w:rPr>
                <w:rFonts w:eastAsia="华文宋体"/>
                <w:szCs w:val="21"/>
              </w:rPr>
            </w:pPr>
            <w:r>
              <w:rPr>
                <w:rFonts w:eastAsia="华文宋体"/>
                <w:szCs w:val="21"/>
              </w:rPr>
              <w:t>委托代理人</w:t>
            </w:r>
          </w:p>
          <w:p w14:paraId="50CC812F">
            <w:pPr>
              <w:spacing w:line="320" w:lineRule="exact"/>
              <w:jc w:val="center"/>
              <w:rPr>
                <w:rFonts w:eastAsia="华文宋体"/>
                <w:szCs w:val="21"/>
              </w:rPr>
            </w:pPr>
            <w:r>
              <w:rPr>
                <w:rFonts w:eastAsia="华文宋体"/>
                <w:szCs w:val="21"/>
              </w:rPr>
              <w:t>（签字）：</w:t>
            </w:r>
          </w:p>
        </w:tc>
        <w:tc>
          <w:tcPr>
            <w:tcW w:w="2942" w:type="dxa"/>
            <w:vAlign w:val="center"/>
          </w:tcPr>
          <w:p w14:paraId="5084D40C">
            <w:pPr>
              <w:spacing w:line="320" w:lineRule="exact"/>
              <w:rPr>
                <w:rFonts w:eastAsia="华文宋体"/>
                <w:szCs w:val="21"/>
              </w:rPr>
            </w:pPr>
          </w:p>
        </w:tc>
      </w:tr>
      <w:tr w14:paraId="7687BD79">
        <w:tblPrEx>
          <w:tblCellMar>
            <w:top w:w="0" w:type="dxa"/>
            <w:left w:w="108" w:type="dxa"/>
            <w:bottom w:w="0" w:type="dxa"/>
            <w:right w:w="108" w:type="dxa"/>
          </w:tblCellMar>
        </w:tblPrEx>
        <w:trPr>
          <w:trHeight w:val="1087" w:hRule="atLeast"/>
          <w:jc w:val="center"/>
        </w:trPr>
        <w:tc>
          <w:tcPr>
            <w:tcW w:w="1600" w:type="dxa"/>
            <w:vAlign w:val="center"/>
          </w:tcPr>
          <w:p w14:paraId="0F60A925">
            <w:pPr>
              <w:spacing w:line="320" w:lineRule="exact"/>
              <w:jc w:val="center"/>
              <w:rPr>
                <w:rFonts w:eastAsia="华文宋体"/>
                <w:szCs w:val="21"/>
              </w:rPr>
            </w:pPr>
            <w:r>
              <w:rPr>
                <w:rFonts w:eastAsia="华文宋体"/>
                <w:szCs w:val="21"/>
              </w:rPr>
              <w:t>签订日期：</w:t>
            </w:r>
          </w:p>
        </w:tc>
        <w:tc>
          <w:tcPr>
            <w:tcW w:w="2975" w:type="dxa"/>
            <w:vAlign w:val="center"/>
          </w:tcPr>
          <w:p w14:paraId="0A45A63E">
            <w:pPr>
              <w:spacing w:line="320" w:lineRule="exact"/>
              <w:jc w:val="right"/>
              <w:rPr>
                <w:rFonts w:eastAsia="华文宋体"/>
                <w:szCs w:val="21"/>
              </w:rPr>
            </w:pPr>
            <w:r>
              <w:rPr>
                <w:rFonts w:eastAsia="华文宋体"/>
                <w:szCs w:val="21"/>
              </w:rPr>
              <w:t>________年____月____日</w:t>
            </w:r>
          </w:p>
        </w:tc>
        <w:tc>
          <w:tcPr>
            <w:tcW w:w="1630" w:type="dxa"/>
            <w:vAlign w:val="center"/>
          </w:tcPr>
          <w:p w14:paraId="2D075C09">
            <w:pPr>
              <w:spacing w:line="320" w:lineRule="exact"/>
              <w:jc w:val="center"/>
              <w:rPr>
                <w:rFonts w:eastAsia="华文宋体"/>
                <w:szCs w:val="21"/>
              </w:rPr>
            </w:pPr>
            <w:r>
              <w:rPr>
                <w:rFonts w:eastAsia="华文宋体"/>
                <w:szCs w:val="21"/>
              </w:rPr>
              <w:t>签订日期：</w:t>
            </w:r>
          </w:p>
        </w:tc>
        <w:tc>
          <w:tcPr>
            <w:tcW w:w="2942" w:type="dxa"/>
            <w:vAlign w:val="center"/>
          </w:tcPr>
          <w:p w14:paraId="0E629200">
            <w:pPr>
              <w:spacing w:line="320" w:lineRule="exact"/>
              <w:jc w:val="right"/>
              <w:rPr>
                <w:rFonts w:eastAsia="华文宋体"/>
                <w:szCs w:val="21"/>
              </w:rPr>
            </w:pPr>
            <w:r>
              <w:rPr>
                <w:rFonts w:eastAsia="华文宋体"/>
                <w:szCs w:val="21"/>
              </w:rPr>
              <w:t>________年____月____日</w:t>
            </w:r>
          </w:p>
        </w:tc>
      </w:tr>
    </w:tbl>
    <w:p w14:paraId="507CC2FE"/>
    <w:p w14:paraId="5D5163D0"/>
    <w:p w14:paraId="166EFEBA">
      <w:pPr>
        <w:spacing w:after="120" w:line="480" w:lineRule="exact"/>
        <w:ind w:left="420" w:leftChars="200" w:firstLine="480" w:firstLineChars="200"/>
        <w:rPr>
          <w:sz w:val="24"/>
          <w:szCs w:val="20"/>
        </w:rPr>
      </w:pPr>
    </w:p>
    <w:p w14:paraId="3B2EE915">
      <w:pPr>
        <w:rPr>
          <w:sz w:val="32"/>
          <w:szCs w:val="40"/>
        </w:rPr>
      </w:pPr>
      <w:r>
        <w:rPr>
          <w:rFonts w:hint="eastAsia"/>
          <w:sz w:val="32"/>
          <w:szCs w:val="40"/>
        </w:rPr>
        <w:br w:type="page"/>
      </w:r>
    </w:p>
    <w:p w14:paraId="11B0975C">
      <w:pPr>
        <w:rPr>
          <w:b/>
          <w:bCs/>
          <w:sz w:val="24"/>
        </w:rPr>
      </w:pPr>
      <w:r>
        <w:rPr>
          <w:rFonts w:hint="eastAsia"/>
          <w:b/>
          <w:bCs/>
          <w:sz w:val="24"/>
        </w:rPr>
        <w:t>附件2：</w:t>
      </w:r>
    </w:p>
    <w:p w14:paraId="3EAB57E6">
      <w:pPr>
        <w:spacing w:line="500" w:lineRule="exact"/>
        <w:jc w:val="center"/>
        <w:rPr>
          <w:rFonts w:hint="eastAsia" w:ascii="宋体" w:hAnsi="宋体" w:cs="宋体"/>
          <w:b/>
          <w:bCs/>
          <w:sz w:val="32"/>
          <w:szCs w:val="21"/>
        </w:rPr>
      </w:pPr>
      <w:r>
        <w:rPr>
          <w:rFonts w:hint="eastAsia" w:ascii="宋体" w:hAnsi="宋体" w:cs="宋体"/>
          <w:b/>
          <w:bCs/>
          <w:sz w:val="32"/>
          <w:szCs w:val="21"/>
        </w:rPr>
        <w:t>施工安全协议书</w:t>
      </w:r>
    </w:p>
    <w:p w14:paraId="4E57E43A">
      <w:pPr>
        <w:spacing w:line="500" w:lineRule="exact"/>
        <w:rPr>
          <w:rFonts w:eastAsia="仿宋"/>
          <w:sz w:val="28"/>
        </w:rPr>
      </w:pPr>
    </w:p>
    <w:p w14:paraId="1CDB5E76">
      <w:pPr>
        <w:spacing w:line="440" w:lineRule="exact"/>
        <w:rPr>
          <w:sz w:val="24"/>
          <w:u w:val="single"/>
        </w:rPr>
      </w:pPr>
      <w:r>
        <w:rPr>
          <w:sz w:val="24"/>
        </w:rPr>
        <w:t>甲方：</w:t>
      </w:r>
      <w:r>
        <w:rPr>
          <w:sz w:val="24"/>
          <w:u w:val="single"/>
        </w:rPr>
        <w:t xml:space="preserve">                                       </w:t>
      </w:r>
    </w:p>
    <w:p w14:paraId="26C3A318">
      <w:pPr>
        <w:spacing w:line="440" w:lineRule="exact"/>
        <w:rPr>
          <w:sz w:val="24"/>
        </w:rPr>
      </w:pPr>
      <w:r>
        <w:rPr>
          <w:sz w:val="24"/>
        </w:rPr>
        <w:t>乙方：</w:t>
      </w:r>
      <w:r>
        <w:rPr>
          <w:sz w:val="24"/>
          <w:u w:val="single"/>
        </w:rPr>
        <w:t xml:space="preserve">                                       </w:t>
      </w:r>
    </w:p>
    <w:p w14:paraId="3A549B79">
      <w:pPr>
        <w:spacing w:line="440" w:lineRule="exact"/>
        <w:rPr>
          <w:b/>
          <w:bCs/>
          <w:sz w:val="24"/>
        </w:rPr>
      </w:pPr>
      <w:r>
        <w:rPr>
          <w:b/>
          <w:bCs/>
          <w:sz w:val="24"/>
        </w:rPr>
        <w:t>一、目的</w:t>
      </w:r>
    </w:p>
    <w:p w14:paraId="5ADD3CEF">
      <w:pPr>
        <w:spacing w:line="440" w:lineRule="exact"/>
        <w:ind w:firstLine="480" w:firstLineChars="200"/>
        <w:rPr>
          <w:sz w:val="24"/>
        </w:rPr>
      </w:pPr>
      <w:r>
        <w:rPr>
          <w:sz w:val="24"/>
        </w:rPr>
        <w:t>为了维护甲乙双方的共同利益，保证施工安全，保持良好的工作秩序和施工场所的卫生环境，经甲乙双方平等协商，签订本安全协议。</w:t>
      </w:r>
    </w:p>
    <w:p w14:paraId="74777DB4">
      <w:pPr>
        <w:spacing w:line="440" w:lineRule="exact"/>
        <w:rPr>
          <w:b/>
          <w:bCs/>
          <w:sz w:val="24"/>
        </w:rPr>
      </w:pPr>
      <w:r>
        <w:rPr>
          <w:b/>
          <w:bCs/>
          <w:sz w:val="24"/>
        </w:rPr>
        <w:t>二、施工项目</w:t>
      </w:r>
    </w:p>
    <w:p w14:paraId="271E5D46">
      <w:pPr>
        <w:spacing w:line="440" w:lineRule="exact"/>
        <w:ind w:firstLine="480" w:firstLineChars="200"/>
        <w:rPr>
          <w:sz w:val="24"/>
        </w:rPr>
      </w:pPr>
      <w:r>
        <w:rPr>
          <w:sz w:val="24"/>
        </w:rPr>
        <w:t xml:space="preserve"> </w:t>
      </w:r>
    </w:p>
    <w:p w14:paraId="52ED1C12">
      <w:pPr>
        <w:spacing w:line="440" w:lineRule="exact"/>
        <w:rPr>
          <w:b/>
          <w:bCs/>
          <w:sz w:val="24"/>
        </w:rPr>
      </w:pPr>
      <w:r>
        <w:rPr>
          <w:b/>
          <w:bCs/>
          <w:sz w:val="24"/>
        </w:rPr>
        <w:t>三、施工地点</w:t>
      </w:r>
    </w:p>
    <w:p w14:paraId="6D5ACFFA">
      <w:pPr>
        <w:spacing w:line="440" w:lineRule="exact"/>
        <w:ind w:firstLine="600" w:firstLineChars="250"/>
        <w:rPr>
          <w:sz w:val="24"/>
        </w:rPr>
      </w:pPr>
    </w:p>
    <w:p w14:paraId="4FE9AA2C">
      <w:pPr>
        <w:spacing w:line="440" w:lineRule="exact"/>
        <w:ind w:firstLine="602" w:firstLineChars="250"/>
        <w:rPr>
          <w:b/>
          <w:bCs/>
          <w:sz w:val="24"/>
        </w:rPr>
      </w:pPr>
      <w:r>
        <w:rPr>
          <w:b/>
          <w:bCs/>
          <w:sz w:val="24"/>
        </w:rPr>
        <w:t>四、施工时间</w:t>
      </w:r>
    </w:p>
    <w:p w14:paraId="523239AB">
      <w:pPr>
        <w:spacing w:line="440" w:lineRule="exact"/>
        <w:ind w:firstLine="480" w:firstLineChars="200"/>
        <w:rPr>
          <w:sz w:val="24"/>
        </w:rPr>
      </w:pPr>
      <w:r>
        <w:rPr>
          <w:sz w:val="24"/>
        </w:rPr>
        <w:t>以实际施工日期为准。</w:t>
      </w:r>
    </w:p>
    <w:p w14:paraId="6BDB2D3C">
      <w:pPr>
        <w:spacing w:line="440" w:lineRule="exact"/>
        <w:ind w:firstLine="482" w:firstLineChars="200"/>
        <w:rPr>
          <w:b/>
          <w:bCs/>
          <w:sz w:val="24"/>
        </w:rPr>
      </w:pPr>
      <w:r>
        <w:rPr>
          <w:b/>
          <w:bCs/>
          <w:sz w:val="24"/>
        </w:rPr>
        <w:t>五、施工方式</w:t>
      </w:r>
    </w:p>
    <w:p w14:paraId="52634803">
      <w:pPr>
        <w:spacing w:line="440" w:lineRule="exact"/>
        <w:ind w:firstLine="480" w:firstLineChars="200"/>
        <w:rPr>
          <w:sz w:val="24"/>
        </w:rPr>
      </w:pPr>
      <w:r>
        <w:rPr>
          <w:sz w:val="24"/>
        </w:rPr>
        <w:t>按照双方签订同及技术要求施工（详见合同相关条款）。</w:t>
      </w:r>
    </w:p>
    <w:p w14:paraId="45CE869D">
      <w:pPr>
        <w:spacing w:line="440" w:lineRule="exact"/>
        <w:ind w:left="482" w:hanging="482" w:hangingChars="200"/>
        <w:rPr>
          <w:b/>
          <w:bCs/>
          <w:sz w:val="24"/>
        </w:rPr>
      </w:pPr>
      <w:r>
        <w:rPr>
          <w:b/>
          <w:bCs/>
          <w:sz w:val="24"/>
        </w:rPr>
        <w:t>六、协议内容</w:t>
      </w:r>
    </w:p>
    <w:p w14:paraId="1F0F019D">
      <w:pPr>
        <w:spacing w:line="440" w:lineRule="exact"/>
        <w:ind w:firstLine="480" w:firstLineChars="200"/>
        <w:rPr>
          <w:sz w:val="24"/>
        </w:rPr>
      </w:pPr>
      <w:r>
        <w:rPr>
          <w:sz w:val="24"/>
        </w:rPr>
        <w:t>1、乙方在甲方属地施工期间须指定现场施工负责人，施工现场还需设立安全监督员，便于施工过程中的协调、联系及安全监管工作。</w:t>
      </w:r>
    </w:p>
    <w:p w14:paraId="1DBDAFF1">
      <w:pPr>
        <w:spacing w:line="440" w:lineRule="exact"/>
        <w:ind w:firstLine="480" w:firstLineChars="200"/>
        <w:rPr>
          <w:sz w:val="24"/>
        </w:rPr>
      </w:pPr>
      <w:r>
        <w:rPr>
          <w:sz w:val="24"/>
        </w:rPr>
        <w:t>2、乙方施工人员进入施工现场必需佩戴施安全帽，穿戴完整的个人防护用品，携带完好的高空安全带，服从甲方安全管理人员的管理，未经甲方同意，严禁进入甲方生产区域.</w:t>
      </w:r>
    </w:p>
    <w:p w14:paraId="1113641B">
      <w:pPr>
        <w:spacing w:line="440" w:lineRule="exact"/>
        <w:ind w:firstLine="480" w:firstLineChars="200"/>
        <w:rPr>
          <w:sz w:val="24"/>
        </w:rPr>
      </w:pPr>
      <w:r>
        <w:rPr>
          <w:sz w:val="24"/>
        </w:rPr>
        <w:t>3</w:t>
      </w:r>
      <w:r>
        <w:rPr>
          <w:rFonts w:hint="eastAsia"/>
          <w:sz w:val="24"/>
        </w:rPr>
        <w:t>、</w:t>
      </w:r>
      <w:r>
        <w:rPr>
          <w:sz w:val="24"/>
        </w:rPr>
        <w:t>在没有可靠安全防护设施的高处（2米以上含2米）和陡坡施工时，必须系好合格的安全带，安全带要系挂牢固，高挂低用，同时高处作业不得穿硬底和带钉易滑的鞋，穿防滑胶鞋；高空作业时，不准往下或向上抛材料和工具等物件，应做好安全提示。</w:t>
      </w:r>
    </w:p>
    <w:p w14:paraId="2FF41216">
      <w:pPr>
        <w:spacing w:line="440" w:lineRule="exact"/>
        <w:ind w:firstLine="480" w:firstLineChars="200"/>
        <w:rPr>
          <w:sz w:val="24"/>
        </w:rPr>
      </w:pPr>
      <w:r>
        <w:rPr>
          <w:sz w:val="24"/>
        </w:rPr>
        <w:t>4</w:t>
      </w:r>
      <w:r>
        <w:rPr>
          <w:rFonts w:hint="eastAsia"/>
          <w:sz w:val="24"/>
        </w:rPr>
        <w:t>、</w:t>
      </w:r>
      <w:r>
        <w:rPr>
          <w:sz w:val="24"/>
        </w:rPr>
        <w:t>高空作业所用材料要堆放平稳，工具应随手放入工具袋内，上下传递物体禁止抛掷。</w:t>
      </w:r>
    </w:p>
    <w:p w14:paraId="4166AB43">
      <w:pPr>
        <w:spacing w:line="440" w:lineRule="exact"/>
        <w:ind w:firstLine="480" w:firstLineChars="200"/>
        <w:rPr>
          <w:sz w:val="24"/>
        </w:rPr>
      </w:pPr>
      <w:r>
        <w:rPr>
          <w:sz w:val="24"/>
        </w:rPr>
        <w:t>5</w:t>
      </w:r>
      <w:r>
        <w:rPr>
          <w:rFonts w:hint="eastAsia"/>
          <w:sz w:val="24"/>
        </w:rPr>
        <w:t>、</w:t>
      </w:r>
      <w:r>
        <w:rPr>
          <w:sz w:val="24"/>
        </w:rPr>
        <w:t>悬空作业应有牢靠的立足处，并必须视具体情况，配置防护网、栏杆或其他安全设施。凡不符合作业的人员，一律禁止高处作业。并严禁酒后高处作业。</w:t>
      </w:r>
    </w:p>
    <w:p w14:paraId="1AC4F7F1">
      <w:pPr>
        <w:spacing w:line="440" w:lineRule="exact"/>
        <w:ind w:firstLine="480" w:firstLineChars="200"/>
        <w:rPr>
          <w:sz w:val="24"/>
        </w:rPr>
      </w:pPr>
      <w:r>
        <w:rPr>
          <w:sz w:val="24"/>
        </w:rPr>
        <w:t>6</w:t>
      </w:r>
      <w:r>
        <w:rPr>
          <w:rFonts w:hint="eastAsia"/>
          <w:sz w:val="24"/>
        </w:rPr>
        <w:t>、</w:t>
      </w:r>
      <w:r>
        <w:rPr>
          <w:sz w:val="24"/>
        </w:rPr>
        <w:t>施工人员进行特种作业必须持有效证件（电气焊操作证、电工操作证、起重操作证等），并由甲方审核作业人员资质，审核通过后方可施工。同时，由乙方负责在施工前将相关证件复印件（加盖公司公章）交至甲方安全保卫科存档。</w:t>
      </w:r>
    </w:p>
    <w:p w14:paraId="1168A0C9">
      <w:pPr>
        <w:spacing w:line="440" w:lineRule="exact"/>
        <w:ind w:firstLine="480" w:firstLineChars="200"/>
        <w:rPr>
          <w:sz w:val="24"/>
        </w:rPr>
      </w:pPr>
      <w:r>
        <w:rPr>
          <w:sz w:val="24"/>
        </w:rPr>
        <w:t>7、乙方应在施工区域设置明显警示标志，对于时间较长的集中性施工项目必要时做到封闭处理。施工人员应在施工区域内活动，不得随意进入非施工区域，不得擅动与施工无关的设施及设备，施工中对施工区域内的甲方设备应采取保护措施，不得造成甲方设备损坏，因乙方施工原因引起乙方人员、施工设备事故的一切损失由乙方承担。</w:t>
      </w:r>
    </w:p>
    <w:p w14:paraId="75ECF663">
      <w:pPr>
        <w:spacing w:line="440" w:lineRule="exact"/>
        <w:ind w:firstLine="480" w:firstLineChars="200"/>
        <w:rPr>
          <w:sz w:val="24"/>
        </w:rPr>
      </w:pPr>
      <w:r>
        <w:rPr>
          <w:sz w:val="24"/>
        </w:rPr>
        <w:t>8、对于由乙方原因造成甲方人员伤害，引起火灾、设备事故的，一切损失由乙方负责。</w:t>
      </w:r>
    </w:p>
    <w:p w14:paraId="1EB53D16">
      <w:pPr>
        <w:spacing w:line="440" w:lineRule="exact"/>
        <w:ind w:firstLine="480" w:firstLineChars="200"/>
        <w:rPr>
          <w:sz w:val="24"/>
        </w:rPr>
      </w:pPr>
      <w:r>
        <w:rPr>
          <w:sz w:val="24"/>
        </w:rPr>
        <w:t>9</w:t>
      </w:r>
      <w:r>
        <w:rPr>
          <w:rFonts w:hint="eastAsia"/>
          <w:sz w:val="24"/>
        </w:rPr>
        <w:t>、</w:t>
      </w:r>
      <w:r>
        <w:rPr>
          <w:sz w:val="24"/>
        </w:rPr>
        <w:t>施工现场临时用电安全规定</w:t>
      </w:r>
    </w:p>
    <w:p w14:paraId="29F5380E">
      <w:pPr>
        <w:spacing w:line="440" w:lineRule="exact"/>
        <w:ind w:firstLine="480" w:firstLineChars="200"/>
        <w:rPr>
          <w:sz w:val="24"/>
        </w:rPr>
      </w:pPr>
      <w:r>
        <w:rPr>
          <w:rFonts w:hint="eastAsia"/>
          <w:sz w:val="24"/>
        </w:rPr>
        <w:t>（</w:t>
      </w:r>
      <w:r>
        <w:rPr>
          <w:sz w:val="24"/>
        </w:rPr>
        <w:t>1</w:t>
      </w:r>
      <w:r>
        <w:rPr>
          <w:rFonts w:hint="eastAsia"/>
          <w:sz w:val="24"/>
        </w:rPr>
        <w:t>）</w:t>
      </w:r>
      <w:r>
        <w:rPr>
          <w:sz w:val="24"/>
        </w:rPr>
        <w:t>电工必须持证上岗作业，操作证必须有效，严禁无证操作上岗。</w:t>
      </w:r>
    </w:p>
    <w:p w14:paraId="3F743A5E">
      <w:pPr>
        <w:spacing w:line="440" w:lineRule="exact"/>
        <w:ind w:firstLine="480" w:firstLineChars="200"/>
        <w:rPr>
          <w:sz w:val="24"/>
        </w:rPr>
      </w:pPr>
      <w:r>
        <w:rPr>
          <w:rFonts w:hint="eastAsia"/>
          <w:sz w:val="24"/>
        </w:rPr>
        <w:t>（</w:t>
      </w:r>
      <w:r>
        <w:rPr>
          <w:sz w:val="24"/>
        </w:rPr>
        <w:t>2</w:t>
      </w:r>
      <w:r>
        <w:rPr>
          <w:rFonts w:hint="eastAsia"/>
          <w:sz w:val="24"/>
        </w:rPr>
        <w:t>）</w:t>
      </w:r>
      <w:r>
        <w:rPr>
          <w:sz w:val="24"/>
        </w:rPr>
        <w:t>上班时，必须坚守本职工作岗位，认真操作，不得离岗串岗，不得让非电工人员乱拉乱接电线，严禁带电作业。</w:t>
      </w:r>
    </w:p>
    <w:p w14:paraId="68EFF459">
      <w:pPr>
        <w:spacing w:line="440" w:lineRule="exact"/>
        <w:ind w:firstLine="480" w:firstLineChars="200"/>
        <w:rPr>
          <w:sz w:val="24"/>
        </w:rPr>
      </w:pPr>
      <w:r>
        <w:rPr>
          <w:rFonts w:hint="eastAsia"/>
          <w:sz w:val="24"/>
        </w:rPr>
        <w:t>（</w:t>
      </w:r>
      <w:r>
        <w:rPr>
          <w:sz w:val="24"/>
        </w:rPr>
        <w:t>3</w:t>
      </w:r>
      <w:r>
        <w:rPr>
          <w:rFonts w:hint="eastAsia"/>
          <w:sz w:val="24"/>
        </w:rPr>
        <w:t>）</w:t>
      </w:r>
      <w:r>
        <w:rPr>
          <w:sz w:val="24"/>
        </w:rPr>
        <w:t>在施工现场不准乱拉乱接线，严禁在现场煮饭以及电热水壶。</w:t>
      </w:r>
    </w:p>
    <w:p w14:paraId="587DF01E">
      <w:pPr>
        <w:spacing w:line="440" w:lineRule="exact"/>
        <w:ind w:firstLine="480" w:firstLineChars="200"/>
        <w:rPr>
          <w:sz w:val="24"/>
        </w:rPr>
      </w:pPr>
      <w:r>
        <w:rPr>
          <w:rFonts w:hint="eastAsia"/>
          <w:sz w:val="24"/>
        </w:rPr>
        <w:t>（</w:t>
      </w:r>
      <w:r>
        <w:rPr>
          <w:sz w:val="24"/>
        </w:rPr>
        <w:t>4</w:t>
      </w:r>
      <w:r>
        <w:rPr>
          <w:rFonts w:hint="eastAsia"/>
          <w:sz w:val="24"/>
        </w:rPr>
        <w:t>）</w:t>
      </w:r>
      <w:r>
        <w:rPr>
          <w:sz w:val="24"/>
        </w:rPr>
        <w:t>再用点处离电源比较远时应架空。</w:t>
      </w:r>
    </w:p>
    <w:p w14:paraId="72719D6A">
      <w:pPr>
        <w:spacing w:line="440" w:lineRule="exact"/>
        <w:ind w:firstLine="480" w:firstLineChars="200"/>
        <w:rPr>
          <w:sz w:val="24"/>
        </w:rPr>
      </w:pPr>
      <w:r>
        <w:rPr>
          <w:rFonts w:hint="eastAsia"/>
          <w:sz w:val="24"/>
        </w:rPr>
        <w:t>（</w:t>
      </w:r>
      <w:r>
        <w:rPr>
          <w:sz w:val="24"/>
        </w:rPr>
        <w:t>5</w:t>
      </w:r>
      <w:r>
        <w:rPr>
          <w:rFonts w:hint="eastAsia"/>
          <w:sz w:val="24"/>
        </w:rPr>
        <w:t>）</w:t>
      </w:r>
      <w:r>
        <w:rPr>
          <w:sz w:val="24"/>
        </w:rPr>
        <w:t>严禁使用无漏电开关插座以及非皮套线。</w:t>
      </w:r>
    </w:p>
    <w:p w14:paraId="0BB0E8A4">
      <w:pPr>
        <w:spacing w:line="440" w:lineRule="exact"/>
        <w:ind w:firstLine="480" w:firstLineChars="200"/>
        <w:rPr>
          <w:sz w:val="24"/>
        </w:rPr>
      </w:pPr>
      <w:r>
        <w:rPr>
          <w:sz w:val="24"/>
        </w:rPr>
        <w:t>10</w:t>
      </w:r>
      <w:r>
        <w:rPr>
          <w:rFonts w:hint="eastAsia"/>
          <w:sz w:val="24"/>
        </w:rPr>
        <w:t>、</w:t>
      </w:r>
      <w:r>
        <w:rPr>
          <w:sz w:val="24"/>
        </w:rPr>
        <w:t>施工现场气割、电焊作业安全规定</w:t>
      </w:r>
    </w:p>
    <w:p w14:paraId="1CD99C3E">
      <w:pPr>
        <w:spacing w:line="440" w:lineRule="exact"/>
        <w:ind w:firstLine="480" w:firstLineChars="200"/>
        <w:rPr>
          <w:sz w:val="24"/>
        </w:rPr>
      </w:pPr>
      <w:r>
        <w:rPr>
          <w:rFonts w:hint="eastAsia"/>
          <w:sz w:val="24"/>
        </w:rPr>
        <w:t>（</w:t>
      </w:r>
      <w:r>
        <w:rPr>
          <w:sz w:val="24"/>
        </w:rPr>
        <w:t>1</w:t>
      </w:r>
      <w:r>
        <w:rPr>
          <w:rFonts w:hint="eastAsia"/>
          <w:sz w:val="24"/>
        </w:rPr>
        <w:t>）</w:t>
      </w:r>
      <w:r>
        <w:rPr>
          <w:sz w:val="24"/>
        </w:rPr>
        <w:t>焊工必须持证上岗，无特种作业人员安全操作证的人员，不准进行焊、割作业。</w:t>
      </w:r>
    </w:p>
    <w:p w14:paraId="634BC6FF">
      <w:pPr>
        <w:spacing w:line="440" w:lineRule="exact"/>
        <w:ind w:firstLine="480" w:firstLineChars="200"/>
        <w:rPr>
          <w:sz w:val="24"/>
        </w:rPr>
      </w:pPr>
      <w:r>
        <w:rPr>
          <w:rFonts w:hint="eastAsia"/>
          <w:sz w:val="24"/>
        </w:rPr>
        <w:t>（</w:t>
      </w:r>
      <w:r>
        <w:rPr>
          <w:sz w:val="24"/>
        </w:rPr>
        <w:t>2</w:t>
      </w:r>
      <w:r>
        <w:rPr>
          <w:rFonts w:hint="eastAsia"/>
          <w:sz w:val="24"/>
        </w:rPr>
        <w:t>）</w:t>
      </w:r>
      <w:r>
        <w:rPr>
          <w:sz w:val="24"/>
        </w:rPr>
        <w:t>凡属一、二、三级动火范围的焊、割作业，未经办理动火审批手续，不准进行焊、割。</w:t>
      </w:r>
    </w:p>
    <w:p w14:paraId="6D1E019F">
      <w:pPr>
        <w:spacing w:line="440" w:lineRule="exact"/>
        <w:ind w:firstLine="480" w:firstLineChars="200"/>
        <w:rPr>
          <w:sz w:val="24"/>
        </w:rPr>
      </w:pPr>
      <w:r>
        <w:rPr>
          <w:rFonts w:hint="eastAsia"/>
          <w:sz w:val="24"/>
        </w:rPr>
        <w:t>（</w:t>
      </w:r>
      <w:r>
        <w:rPr>
          <w:sz w:val="24"/>
        </w:rPr>
        <w:t>3</w:t>
      </w:r>
      <w:r>
        <w:rPr>
          <w:rFonts w:hint="eastAsia"/>
          <w:sz w:val="24"/>
        </w:rPr>
        <w:t>）</w:t>
      </w:r>
      <w:r>
        <w:rPr>
          <w:sz w:val="24"/>
        </w:rPr>
        <w:t>焊工不了解焊、割现场周围情况，不得进行焊、割。</w:t>
      </w:r>
    </w:p>
    <w:p w14:paraId="33311A90">
      <w:pPr>
        <w:spacing w:line="440" w:lineRule="exact"/>
        <w:ind w:firstLine="480" w:firstLineChars="200"/>
        <w:rPr>
          <w:sz w:val="24"/>
        </w:rPr>
      </w:pPr>
      <w:r>
        <w:rPr>
          <w:rFonts w:hint="eastAsia"/>
          <w:sz w:val="24"/>
        </w:rPr>
        <w:t>（</w:t>
      </w:r>
      <w:r>
        <w:rPr>
          <w:sz w:val="24"/>
        </w:rPr>
        <w:t>4</w:t>
      </w:r>
      <w:r>
        <w:rPr>
          <w:rFonts w:hint="eastAsia"/>
          <w:sz w:val="24"/>
        </w:rPr>
        <w:t>）</w:t>
      </w:r>
      <w:r>
        <w:rPr>
          <w:sz w:val="24"/>
        </w:rPr>
        <w:t>焊工不了解焊件内部是否安全时，不得进行焊、割。</w:t>
      </w:r>
    </w:p>
    <w:p w14:paraId="7DD4CC11">
      <w:pPr>
        <w:spacing w:line="440" w:lineRule="exact"/>
        <w:ind w:firstLine="480" w:firstLineChars="200"/>
        <w:rPr>
          <w:sz w:val="24"/>
        </w:rPr>
      </w:pPr>
      <w:r>
        <w:rPr>
          <w:rFonts w:hint="eastAsia"/>
          <w:sz w:val="24"/>
        </w:rPr>
        <w:t>（</w:t>
      </w:r>
      <w:r>
        <w:rPr>
          <w:sz w:val="24"/>
        </w:rPr>
        <w:t>5</w:t>
      </w:r>
      <w:r>
        <w:rPr>
          <w:rFonts w:hint="eastAsia"/>
          <w:sz w:val="24"/>
        </w:rPr>
        <w:t>）</w:t>
      </w:r>
      <w:r>
        <w:rPr>
          <w:sz w:val="24"/>
        </w:rPr>
        <w:t>各种装过可燃气体、易燃液体和有毒物质的容器，未经彻底清洗，排除危险性之前，不准进行焊、割。</w:t>
      </w:r>
    </w:p>
    <w:p w14:paraId="67A5AC7F">
      <w:pPr>
        <w:spacing w:line="440" w:lineRule="exact"/>
        <w:ind w:firstLine="480" w:firstLineChars="200"/>
        <w:rPr>
          <w:sz w:val="24"/>
        </w:rPr>
      </w:pPr>
      <w:r>
        <w:rPr>
          <w:rFonts w:hint="eastAsia"/>
          <w:sz w:val="24"/>
        </w:rPr>
        <w:t>（</w:t>
      </w:r>
      <w:r>
        <w:rPr>
          <w:sz w:val="24"/>
        </w:rPr>
        <w:t>6</w:t>
      </w:r>
      <w:r>
        <w:rPr>
          <w:rFonts w:hint="eastAsia"/>
          <w:sz w:val="24"/>
        </w:rPr>
        <w:t>）</w:t>
      </w:r>
      <w:r>
        <w:rPr>
          <w:sz w:val="24"/>
        </w:rPr>
        <w:t>用可燃材料作保温层、冷却层、隔音、隔热设备的部位，或火星能飞溅到的地方，在未采取切实可靠的安全措施之前，不准焊、割。</w:t>
      </w:r>
    </w:p>
    <w:p w14:paraId="59D77BF2">
      <w:pPr>
        <w:spacing w:line="440" w:lineRule="exact"/>
        <w:ind w:firstLine="480" w:firstLineChars="200"/>
        <w:rPr>
          <w:sz w:val="24"/>
        </w:rPr>
      </w:pPr>
      <w:r>
        <w:rPr>
          <w:rFonts w:hint="eastAsia"/>
          <w:sz w:val="24"/>
        </w:rPr>
        <w:t>（</w:t>
      </w:r>
      <w:r>
        <w:rPr>
          <w:sz w:val="24"/>
        </w:rPr>
        <w:t>7</w:t>
      </w:r>
      <w:r>
        <w:rPr>
          <w:rFonts w:hint="eastAsia"/>
          <w:sz w:val="24"/>
        </w:rPr>
        <w:t>）</w:t>
      </w:r>
      <w:r>
        <w:rPr>
          <w:sz w:val="24"/>
        </w:rPr>
        <w:t>有压力或密闭的管道、容器，不准焊、割。</w:t>
      </w:r>
    </w:p>
    <w:p w14:paraId="3ABADDC3">
      <w:pPr>
        <w:spacing w:line="440" w:lineRule="exact"/>
        <w:ind w:firstLine="480" w:firstLineChars="200"/>
        <w:rPr>
          <w:sz w:val="24"/>
        </w:rPr>
      </w:pPr>
      <w:r>
        <w:rPr>
          <w:rFonts w:hint="eastAsia"/>
          <w:sz w:val="24"/>
        </w:rPr>
        <w:t>（</w:t>
      </w:r>
      <w:r>
        <w:rPr>
          <w:sz w:val="24"/>
        </w:rPr>
        <w:t>8</w:t>
      </w:r>
      <w:r>
        <w:rPr>
          <w:rFonts w:hint="eastAsia"/>
          <w:sz w:val="24"/>
        </w:rPr>
        <w:t>）</w:t>
      </w:r>
      <w:r>
        <w:rPr>
          <w:sz w:val="24"/>
        </w:rPr>
        <w:t>焊、割部位附近有易燃易爆物品，在未作清理或未采取有效的安全措施之前，不准焊、割。</w:t>
      </w:r>
    </w:p>
    <w:p w14:paraId="2DDA5C6E">
      <w:pPr>
        <w:spacing w:line="440" w:lineRule="exact"/>
        <w:ind w:firstLine="480" w:firstLineChars="200"/>
        <w:rPr>
          <w:sz w:val="24"/>
        </w:rPr>
      </w:pPr>
      <w:r>
        <w:rPr>
          <w:sz w:val="24"/>
        </w:rPr>
        <w:t>11</w:t>
      </w:r>
      <w:r>
        <w:rPr>
          <w:rFonts w:hint="eastAsia"/>
          <w:sz w:val="24"/>
        </w:rPr>
        <w:t>、</w:t>
      </w:r>
      <w:r>
        <w:rPr>
          <w:sz w:val="24"/>
        </w:rPr>
        <w:t>附近有与明火作业相抵触的工种在作业时，不准焊、割。乙方施工队伍的安全防护器材必须配置到位，安全措施得力，乙方对其所有施工人员及相关联人员的人身安全负全部责任，甲方不承担任何责任。</w:t>
      </w:r>
    </w:p>
    <w:p w14:paraId="2D18B297">
      <w:pPr>
        <w:spacing w:line="440" w:lineRule="exact"/>
        <w:ind w:firstLine="480" w:firstLineChars="200"/>
        <w:rPr>
          <w:sz w:val="24"/>
        </w:rPr>
      </w:pPr>
      <w:r>
        <w:rPr>
          <w:sz w:val="24"/>
        </w:rPr>
        <w:t>12、施工车辆进出及转弯时必须减速行驶（低于5km/h）.</w:t>
      </w:r>
    </w:p>
    <w:p w14:paraId="27882166">
      <w:pPr>
        <w:spacing w:line="440" w:lineRule="exact"/>
        <w:ind w:firstLine="480" w:firstLineChars="200"/>
        <w:rPr>
          <w:sz w:val="24"/>
        </w:rPr>
      </w:pPr>
      <w:r>
        <w:rPr>
          <w:sz w:val="24"/>
        </w:rPr>
        <w:t>13、如因乙方违法相关法律、法规及以上规定，所造成的一切不良后果（人员伤亡、财产损失等）均由乙方全部负责，与甲方无关。</w:t>
      </w:r>
    </w:p>
    <w:p w14:paraId="2C761807">
      <w:pPr>
        <w:spacing w:line="440" w:lineRule="exact"/>
        <w:ind w:firstLine="480" w:firstLineChars="200"/>
        <w:rPr>
          <w:sz w:val="24"/>
        </w:rPr>
      </w:pPr>
      <w:r>
        <w:rPr>
          <w:sz w:val="24"/>
        </w:rPr>
        <w:t>14、其它未尽事宜由甲乙双方协商解决。</w:t>
      </w:r>
    </w:p>
    <w:p w14:paraId="49849371">
      <w:pPr>
        <w:spacing w:line="440" w:lineRule="exact"/>
        <w:rPr>
          <w:b/>
          <w:bCs/>
          <w:sz w:val="24"/>
        </w:rPr>
      </w:pPr>
      <w:r>
        <w:rPr>
          <w:b/>
          <w:bCs/>
          <w:sz w:val="24"/>
        </w:rPr>
        <w:t>七、其他</w:t>
      </w:r>
    </w:p>
    <w:p w14:paraId="7E193A27">
      <w:pPr>
        <w:spacing w:line="440" w:lineRule="exact"/>
        <w:ind w:firstLine="480" w:firstLineChars="200"/>
        <w:rPr>
          <w:sz w:val="24"/>
        </w:rPr>
      </w:pPr>
      <w:r>
        <w:rPr>
          <w:sz w:val="24"/>
        </w:rPr>
        <w:t>本协议</w:t>
      </w:r>
      <w:r>
        <w:rPr>
          <w:rFonts w:hint="eastAsia"/>
          <w:sz w:val="24"/>
        </w:rPr>
        <w:t>份数与主合同相同</w:t>
      </w:r>
      <w:r>
        <w:rPr>
          <w:sz w:val="24"/>
        </w:rPr>
        <w:t>，自甲乙双方法定代表人或经授权的委托代理人签字并加盖双方公章或合同专用章之日起生效，各份协议具有同等法律效力。</w:t>
      </w:r>
    </w:p>
    <w:p w14:paraId="28D8DDC9">
      <w:pPr>
        <w:spacing w:line="440" w:lineRule="exact"/>
        <w:rPr>
          <w:sz w:val="24"/>
        </w:rPr>
      </w:pPr>
      <w:r>
        <w:rPr>
          <w:sz w:val="24"/>
        </w:rPr>
        <w:t>（以下无正文）</w:t>
      </w:r>
    </w:p>
    <w:tbl>
      <w:tblPr>
        <w:tblStyle w:val="42"/>
        <w:tblW w:w="9147" w:type="dxa"/>
        <w:jc w:val="center"/>
        <w:tblLayout w:type="fixed"/>
        <w:tblCellMar>
          <w:top w:w="0" w:type="dxa"/>
          <w:left w:w="108" w:type="dxa"/>
          <w:bottom w:w="0" w:type="dxa"/>
          <w:right w:w="108" w:type="dxa"/>
        </w:tblCellMar>
      </w:tblPr>
      <w:tblGrid>
        <w:gridCol w:w="1600"/>
        <w:gridCol w:w="2975"/>
        <w:gridCol w:w="1630"/>
        <w:gridCol w:w="2942"/>
      </w:tblGrid>
      <w:tr w14:paraId="66DB16B3">
        <w:tblPrEx>
          <w:tblCellMar>
            <w:top w:w="0" w:type="dxa"/>
            <w:left w:w="108" w:type="dxa"/>
            <w:bottom w:w="0" w:type="dxa"/>
            <w:right w:w="108" w:type="dxa"/>
          </w:tblCellMar>
        </w:tblPrEx>
        <w:trPr>
          <w:trHeight w:val="803" w:hRule="atLeast"/>
          <w:jc w:val="center"/>
        </w:trPr>
        <w:tc>
          <w:tcPr>
            <w:tcW w:w="9147" w:type="dxa"/>
            <w:gridSpan w:val="4"/>
            <w:vAlign w:val="center"/>
          </w:tcPr>
          <w:p w14:paraId="22C125FD">
            <w:pPr>
              <w:spacing w:line="320" w:lineRule="exact"/>
              <w:jc w:val="center"/>
              <w:rPr>
                <w:rFonts w:hint="eastAsia" w:ascii="华文宋体" w:hAnsi="华文宋体" w:eastAsia="华文宋体" w:cs="华文宋体"/>
                <w:b/>
                <w:szCs w:val="21"/>
              </w:rPr>
            </w:pPr>
            <w:r>
              <w:rPr>
                <w:rFonts w:hint="eastAsia" w:ascii="华文宋体" w:hAnsi="华文宋体" w:eastAsia="华文宋体" w:cs="华文宋体"/>
                <w:b/>
                <w:sz w:val="28"/>
                <w:szCs w:val="28"/>
              </w:rPr>
              <w:t>协议签订双方</w:t>
            </w:r>
          </w:p>
        </w:tc>
      </w:tr>
      <w:tr w14:paraId="4359FD46">
        <w:tblPrEx>
          <w:tblCellMar>
            <w:top w:w="0" w:type="dxa"/>
            <w:left w:w="108" w:type="dxa"/>
            <w:bottom w:w="0" w:type="dxa"/>
            <w:right w:w="108" w:type="dxa"/>
          </w:tblCellMar>
        </w:tblPrEx>
        <w:trPr>
          <w:trHeight w:val="997" w:hRule="atLeast"/>
          <w:jc w:val="center"/>
        </w:trPr>
        <w:tc>
          <w:tcPr>
            <w:tcW w:w="1600" w:type="dxa"/>
            <w:vAlign w:val="center"/>
          </w:tcPr>
          <w:p w14:paraId="7E02CF47">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甲方（盖章）：</w:t>
            </w:r>
          </w:p>
        </w:tc>
        <w:tc>
          <w:tcPr>
            <w:tcW w:w="2975" w:type="dxa"/>
            <w:vAlign w:val="center"/>
          </w:tcPr>
          <w:p w14:paraId="4CD6D978">
            <w:pPr>
              <w:spacing w:line="320" w:lineRule="exact"/>
              <w:jc w:val="center"/>
              <w:rPr>
                <w:rFonts w:hint="eastAsia" w:ascii="华文宋体" w:hAnsi="华文宋体" w:eastAsia="华文宋体" w:cs="华文宋体"/>
                <w:szCs w:val="21"/>
              </w:rPr>
            </w:pPr>
          </w:p>
        </w:tc>
        <w:tc>
          <w:tcPr>
            <w:tcW w:w="1630" w:type="dxa"/>
            <w:vAlign w:val="center"/>
          </w:tcPr>
          <w:p w14:paraId="6961A20A">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乙方（盖章）：</w:t>
            </w:r>
          </w:p>
        </w:tc>
        <w:tc>
          <w:tcPr>
            <w:tcW w:w="2942" w:type="dxa"/>
            <w:vAlign w:val="center"/>
          </w:tcPr>
          <w:p w14:paraId="6192447B">
            <w:pPr>
              <w:spacing w:line="320" w:lineRule="exact"/>
              <w:ind w:leftChars="-2" w:hanging="4" w:hangingChars="2"/>
              <w:jc w:val="center"/>
              <w:rPr>
                <w:rFonts w:hint="eastAsia" w:ascii="华文宋体" w:hAnsi="华文宋体" w:eastAsia="华文宋体" w:cs="华文宋体"/>
                <w:szCs w:val="21"/>
              </w:rPr>
            </w:pPr>
          </w:p>
        </w:tc>
      </w:tr>
      <w:tr w14:paraId="451270F6">
        <w:tblPrEx>
          <w:tblCellMar>
            <w:top w:w="0" w:type="dxa"/>
            <w:left w:w="108" w:type="dxa"/>
            <w:bottom w:w="0" w:type="dxa"/>
            <w:right w:w="108" w:type="dxa"/>
          </w:tblCellMar>
        </w:tblPrEx>
        <w:trPr>
          <w:trHeight w:val="1087" w:hRule="atLeast"/>
          <w:jc w:val="center"/>
        </w:trPr>
        <w:tc>
          <w:tcPr>
            <w:tcW w:w="1600" w:type="dxa"/>
            <w:vAlign w:val="center"/>
          </w:tcPr>
          <w:p w14:paraId="6E56310E">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法定代表人</w:t>
            </w:r>
          </w:p>
          <w:p w14:paraId="7BA4E2FD">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75" w:type="dxa"/>
            <w:vAlign w:val="center"/>
          </w:tcPr>
          <w:p w14:paraId="7FA4FC51">
            <w:pPr>
              <w:spacing w:line="320" w:lineRule="exact"/>
              <w:rPr>
                <w:rFonts w:hint="eastAsia" w:ascii="华文宋体" w:hAnsi="华文宋体" w:eastAsia="华文宋体" w:cs="华文宋体"/>
                <w:szCs w:val="21"/>
              </w:rPr>
            </w:pPr>
          </w:p>
        </w:tc>
        <w:tc>
          <w:tcPr>
            <w:tcW w:w="1630" w:type="dxa"/>
            <w:vAlign w:val="center"/>
          </w:tcPr>
          <w:p w14:paraId="7770ABBB">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法定代表人</w:t>
            </w:r>
          </w:p>
          <w:p w14:paraId="38790BF6">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42" w:type="dxa"/>
            <w:vAlign w:val="center"/>
          </w:tcPr>
          <w:p w14:paraId="16CCACEB">
            <w:pPr>
              <w:spacing w:line="320" w:lineRule="exact"/>
              <w:rPr>
                <w:rFonts w:hint="eastAsia" w:ascii="华文宋体" w:hAnsi="华文宋体" w:eastAsia="华文宋体" w:cs="华文宋体"/>
                <w:szCs w:val="21"/>
              </w:rPr>
            </w:pPr>
          </w:p>
        </w:tc>
      </w:tr>
      <w:tr w14:paraId="74F3C4D3">
        <w:tblPrEx>
          <w:tblCellMar>
            <w:top w:w="0" w:type="dxa"/>
            <w:left w:w="108" w:type="dxa"/>
            <w:bottom w:w="0" w:type="dxa"/>
            <w:right w:w="108" w:type="dxa"/>
          </w:tblCellMar>
        </w:tblPrEx>
        <w:trPr>
          <w:trHeight w:val="1087" w:hRule="atLeast"/>
          <w:jc w:val="center"/>
        </w:trPr>
        <w:tc>
          <w:tcPr>
            <w:tcW w:w="1600" w:type="dxa"/>
            <w:vAlign w:val="center"/>
          </w:tcPr>
          <w:p w14:paraId="6F84730B">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委托代理人</w:t>
            </w:r>
          </w:p>
          <w:p w14:paraId="473E597E">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75" w:type="dxa"/>
            <w:vAlign w:val="center"/>
          </w:tcPr>
          <w:p w14:paraId="3DFC1136">
            <w:pPr>
              <w:spacing w:line="320" w:lineRule="exact"/>
              <w:rPr>
                <w:rFonts w:hint="eastAsia" w:ascii="华文宋体" w:hAnsi="华文宋体" w:eastAsia="华文宋体" w:cs="华文宋体"/>
                <w:szCs w:val="21"/>
              </w:rPr>
            </w:pPr>
          </w:p>
        </w:tc>
        <w:tc>
          <w:tcPr>
            <w:tcW w:w="1630" w:type="dxa"/>
            <w:vAlign w:val="center"/>
          </w:tcPr>
          <w:p w14:paraId="0A2D27AD">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委托代理人</w:t>
            </w:r>
          </w:p>
          <w:p w14:paraId="0157D046">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42" w:type="dxa"/>
            <w:vAlign w:val="center"/>
          </w:tcPr>
          <w:p w14:paraId="20DDB84A">
            <w:pPr>
              <w:spacing w:line="320" w:lineRule="exact"/>
              <w:rPr>
                <w:rFonts w:hint="eastAsia" w:ascii="华文宋体" w:hAnsi="华文宋体" w:eastAsia="华文宋体" w:cs="华文宋体"/>
                <w:szCs w:val="21"/>
              </w:rPr>
            </w:pPr>
          </w:p>
        </w:tc>
      </w:tr>
      <w:tr w14:paraId="17845862">
        <w:tblPrEx>
          <w:tblCellMar>
            <w:top w:w="0" w:type="dxa"/>
            <w:left w:w="108" w:type="dxa"/>
            <w:bottom w:w="0" w:type="dxa"/>
            <w:right w:w="108" w:type="dxa"/>
          </w:tblCellMar>
        </w:tblPrEx>
        <w:trPr>
          <w:trHeight w:val="1087" w:hRule="atLeast"/>
          <w:jc w:val="center"/>
        </w:trPr>
        <w:tc>
          <w:tcPr>
            <w:tcW w:w="1600" w:type="dxa"/>
            <w:vAlign w:val="center"/>
          </w:tcPr>
          <w:p w14:paraId="46D2C51B">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签订日期：</w:t>
            </w:r>
          </w:p>
        </w:tc>
        <w:tc>
          <w:tcPr>
            <w:tcW w:w="2975" w:type="dxa"/>
            <w:vAlign w:val="center"/>
          </w:tcPr>
          <w:p w14:paraId="1EE07500">
            <w:pPr>
              <w:spacing w:line="320" w:lineRule="exact"/>
              <w:jc w:val="right"/>
              <w:rPr>
                <w:rFonts w:hint="eastAsia" w:ascii="华文宋体" w:hAnsi="华文宋体" w:eastAsia="华文宋体" w:cs="华文宋体"/>
                <w:szCs w:val="21"/>
              </w:rPr>
            </w:pPr>
            <w:r>
              <w:rPr>
                <w:rFonts w:hint="eastAsia" w:ascii="华文宋体" w:hAnsi="华文宋体" w:eastAsia="华文宋体" w:cs="华文宋体"/>
                <w:szCs w:val="21"/>
              </w:rPr>
              <w:t>________年____月____日</w:t>
            </w:r>
          </w:p>
        </w:tc>
        <w:tc>
          <w:tcPr>
            <w:tcW w:w="1630" w:type="dxa"/>
            <w:vAlign w:val="center"/>
          </w:tcPr>
          <w:p w14:paraId="23F552D3">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签订日期：</w:t>
            </w:r>
          </w:p>
        </w:tc>
        <w:tc>
          <w:tcPr>
            <w:tcW w:w="2942" w:type="dxa"/>
            <w:vAlign w:val="center"/>
          </w:tcPr>
          <w:p w14:paraId="1577299E">
            <w:pPr>
              <w:spacing w:line="320" w:lineRule="exact"/>
              <w:jc w:val="right"/>
              <w:rPr>
                <w:rFonts w:hint="eastAsia" w:ascii="华文宋体" w:hAnsi="华文宋体" w:eastAsia="华文宋体" w:cs="华文宋体"/>
                <w:szCs w:val="21"/>
              </w:rPr>
            </w:pPr>
            <w:r>
              <w:rPr>
                <w:rFonts w:hint="eastAsia" w:ascii="华文宋体" w:hAnsi="华文宋体" w:eastAsia="华文宋体" w:cs="华文宋体"/>
                <w:szCs w:val="21"/>
              </w:rPr>
              <w:t>________年____月____日</w:t>
            </w:r>
          </w:p>
        </w:tc>
      </w:tr>
    </w:tbl>
    <w:p w14:paraId="4B3F741A">
      <w:pPr>
        <w:outlineLvl w:val="1"/>
      </w:pPr>
      <w:r>
        <w:rPr>
          <w:rFonts w:hint="eastAsia" w:ascii="宋体" w:hAnsi="宋体" w:cs="宋体"/>
          <w:sz w:val="24"/>
        </w:rPr>
        <w:br w:type="page"/>
      </w:r>
      <w:r>
        <w:rPr>
          <w:rFonts w:hint="eastAsia" w:ascii="宋体" w:hAnsi="宋体" w:cs="宋体"/>
          <w:b/>
          <w:color w:val="000000"/>
          <w:sz w:val="28"/>
          <w:szCs w:val="28"/>
        </w:rPr>
        <w:t>第七包：</w:t>
      </w:r>
    </w:p>
    <w:p w14:paraId="5C55F4BE">
      <w:pPr>
        <w:spacing w:line="360" w:lineRule="auto"/>
        <w:jc w:val="center"/>
        <w:rPr>
          <w:sz w:val="28"/>
        </w:rPr>
      </w:pPr>
    </w:p>
    <w:p w14:paraId="689AFB0E">
      <w:pPr>
        <w:spacing w:line="360" w:lineRule="auto"/>
        <w:rPr>
          <w:b/>
          <w:sz w:val="24"/>
        </w:rPr>
      </w:pPr>
      <w:r>
        <w:rPr>
          <w:b/>
          <w:sz w:val="24"/>
        </w:rPr>
        <w:t xml:space="preserve">                                                   合同编号：</w:t>
      </w:r>
      <w:r>
        <w:rPr>
          <w:b/>
          <w:sz w:val="24"/>
          <w:u w:val="single"/>
        </w:rPr>
        <w:t xml:space="preserve">        </w:t>
      </w:r>
      <w:r>
        <w:rPr>
          <w:b/>
          <w:sz w:val="24"/>
        </w:rPr>
        <w:t xml:space="preserve"> </w:t>
      </w:r>
    </w:p>
    <w:p w14:paraId="1C9E46B8">
      <w:pPr>
        <w:spacing w:line="360" w:lineRule="auto"/>
        <w:jc w:val="center"/>
        <w:rPr>
          <w:b/>
          <w:sz w:val="24"/>
        </w:rPr>
      </w:pPr>
    </w:p>
    <w:p w14:paraId="7F0BB344">
      <w:pPr>
        <w:spacing w:line="360" w:lineRule="auto"/>
        <w:jc w:val="center"/>
        <w:rPr>
          <w:b/>
          <w:sz w:val="24"/>
        </w:rPr>
      </w:pPr>
    </w:p>
    <w:p w14:paraId="7EE94145">
      <w:pPr>
        <w:spacing w:line="360" w:lineRule="auto"/>
        <w:jc w:val="center"/>
        <w:rPr>
          <w:b/>
          <w:sz w:val="24"/>
        </w:rPr>
      </w:pPr>
    </w:p>
    <w:p w14:paraId="5579E0C9">
      <w:pPr>
        <w:spacing w:line="360" w:lineRule="auto"/>
        <w:jc w:val="center"/>
        <w:rPr>
          <w:b/>
          <w:sz w:val="32"/>
          <w:szCs w:val="32"/>
        </w:rPr>
      </w:pPr>
      <w:r>
        <w:rPr>
          <w:b/>
          <w:sz w:val="32"/>
          <w:szCs w:val="32"/>
        </w:rPr>
        <w:t>采购合同</w:t>
      </w:r>
    </w:p>
    <w:p w14:paraId="3FB16E70">
      <w:pPr>
        <w:spacing w:line="360" w:lineRule="auto"/>
        <w:jc w:val="center"/>
        <w:rPr>
          <w:b/>
          <w:sz w:val="28"/>
          <w:szCs w:val="28"/>
        </w:rPr>
      </w:pPr>
    </w:p>
    <w:p w14:paraId="14E69C5A">
      <w:pPr>
        <w:spacing w:line="360" w:lineRule="auto"/>
        <w:jc w:val="center"/>
        <w:rPr>
          <w:b/>
          <w:sz w:val="28"/>
          <w:szCs w:val="28"/>
        </w:rPr>
      </w:pPr>
    </w:p>
    <w:p w14:paraId="6E08DE1E">
      <w:pPr>
        <w:spacing w:line="360" w:lineRule="auto"/>
        <w:jc w:val="center"/>
        <w:rPr>
          <w:b/>
          <w:sz w:val="28"/>
          <w:szCs w:val="28"/>
        </w:rPr>
      </w:pPr>
    </w:p>
    <w:p w14:paraId="653E124B">
      <w:pPr>
        <w:spacing w:line="360" w:lineRule="auto"/>
        <w:jc w:val="center"/>
        <w:rPr>
          <w:b/>
          <w:sz w:val="28"/>
          <w:szCs w:val="28"/>
        </w:rPr>
      </w:pPr>
    </w:p>
    <w:p w14:paraId="1950A895">
      <w:pPr>
        <w:spacing w:line="360" w:lineRule="auto"/>
        <w:jc w:val="center"/>
        <w:rPr>
          <w:b/>
          <w:sz w:val="28"/>
          <w:szCs w:val="28"/>
        </w:rPr>
      </w:pPr>
    </w:p>
    <w:p w14:paraId="46600DBB">
      <w:pPr>
        <w:spacing w:line="360" w:lineRule="auto"/>
        <w:jc w:val="center"/>
        <w:rPr>
          <w:b/>
          <w:sz w:val="28"/>
          <w:szCs w:val="28"/>
        </w:rPr>
      </w:pPr>
    </w:p>
    <w:p w14:paraId="6DFBA236">
      <w:pPr>
        <w:spacing w:line="360" w:lineRule="auto"/>
        <w:jc w:val="center"/>
        <w:rPr>
          <w:b/>
          <w:sz w:val="28"/>
          <w:szCs w:val="28"/>
        </w:rPr>
      </w:pPr>
    </w:p>
    <w:tbl>
      <w:tblPr>
        <w:tblStyle w:val="42"/>
        <w:tblpPr w:leftFromText="180" w:rightFromText="180" w:vertAnchor="text" w:horzAnchor="page" w:tblpX="1697" w:tblpY="528"/>
        <w:tblOverlap w:val="never"/>
        <w:tblW w:w="0" w:type="auto"/>
        <w:tblInd w:w="0" w:type="dxa"/>
        <w:tblLayout w:type="autofit"/>
        <w:tblCellMar>
          <w:top w:w="0" w:type="dxa"/>
          <w:left w:w="108" w:type="dxa"/>
          <w:bottom w:w="0" w:type="dxa"/>
          <w:right w:w="108" w:type="dxa"/>
        </w:tblCellMar>
      </w:tblPr>
      <w:tblGrid>
        <w:gridCol w:w="3027"/>
        <w:gridCol w:w="5803"/>
      </w:tblGrid>
      <w:tr w14:paraId="5E336104">
        <w:tblPrEx>
          <w:tblCellMar>
            <w:top w:w="0" w:type="dxa"/>
            <w:left w:w="108" w:type="dxa"/>
            <w:bottom w:w="0" w:type="dxa"/>
            <w:right w:w="108" w:type="dxa"/>
          </w:tblCellMar>
        </w:tblPrEx>
        <w:tc>
          <w:tcPr>
            <w:tcW w:w="3027" w:type="dxa"/>
            <w:vAlign w:val="center"/>
          </w:tcPr>
          <w:p w14:paraId="698AE54E">
            <w:pPr>
              <w:spacing w:line="360" w:lineRule="auto"/>
              <w:jc w:val="right"/>
              <w:rPr>
                <w:b/>
                <w:sz w:val="28"/>
                <w:szCs w:val="28"/>
              </w:rPr>
            </w:pPr>
            <w:r>
              <w:rPr>
                <w:rFonts w:hint="eastAsia"/>
                <w:b/>
                <w:spacing w:val="175"/>
                <w:kern w:val="0"/>
                <w:sz w:val="28"/>
                <w:szCs w:val="28"/>
                <w:fitText w:val="2800" w:id="1302953214"/>
              </w:rPr>
              <w:t>项目名称</w:t>
            </w:r>
            <w:r>
              <w:rPr>
                <w:rFonts w:hint="eastAsia"/>
                <w:b/>
                <w:spacing w:val="0"/>
                <w:kern w:val="0"/>
                <w:sz w:val="28"/>
                <w:szCs w:val="28"/>
                <w:fitText w:val="2800" w:id="1302953214"/>
              </w:rPr>
              <w:t>：</w:t>
            </w:r>
          </w:p>
        </w:tc>
        <w:tc>
          <w:tcPr>
            <w:tcW w:w="5803" w:type="dxa"/>
            <w:vAlign w:val="center"/>
          </w:tcPr>
          <w:p w14:paraId="108BCC90">
            <w:pPr>
              <w:spacing w:line="360" w:lineRule="auto"/>
              <w:jc w:val="left"/>
              <w:rPr>
                <w:b/>
                <w:sz w:val="28"/>
                <w:szCs w:val="28"/>
              </w:rPr>
            </w:pPr>
          </w:p>
        </w:tc>
      </w:tr>
      <w:tr w14:paraId="109A670C">
        <w:tblPrEx>
          <w:tblCellMar>
            <w:top w:w="0" w:type="dxa"/>
            <w:left w:w="108" w:type="dxa"/>
            <w:bottom w:w="0" w:type="dxa"/>
            <w:right w:w="108" w:type="dxa"/>
          </w:tblCellMar>
        </w:tblPrEx>
        <w:tc>
          <w:tcPr>
            <w:tcW w:w="3027" w:type="dxa"/>
            <w:vAlign w:val="center"/>
          </w:tcPr>
          <w:p w14:paraId="741DB2D6">
            <w:pPr>
              <w:spacing w:line="360" w:lineRule="auto"/>
              <w:jc w:val="right"/>
              <w:rPr>
                <w:b/>
                <w:sz w:val="28"/>
                <w:szCs w:val="28"/>
              </w:rPr>
            </w:pPr>
            <w:r>
              <w:rPr>
                <w:rFonts w:hint="eastAsia"/>
                <w:b/>
                <w:spacing w:val="40"/>
                <w:kern w:val="0"/>
                <w:sz w:val="28"/>
                <w:szCs w:val="28"/>
                <w:fitText w:val="2800" w:id="948967146"/>
              </w:rPr>
              <w:t>采购人（甲方）</w:t>
            </w:r>
            <w:r>
              <w:rPr>
                <w:rFonts w:hint="eastAsia"/>
                <w:b/>
                <w:spacing w:val="0"/>
                <w:kern w:val="0"/>
                <w:sz w:val="28"/>
                <w:szCs w:val="28"/>
                <w:fitText w:val="2800" w:id="948967146"/>
              </w:rPr>
              <w:t>：</w:t>
            </w:r>
          </w:p>
        </w:tc>
        <w:tc>
          <w:tcPr>
            <w:tcW w:w="5803" w:type="dxa"/>
            <w:vAlign w:val="center"/>
          </w:tcPr>
          <w:p w14:paraId="3262BA86">
            <w:pPr>
              <w:spacing w:line="360" w:lineRule="auto"/>
              <w:jc w:val="center"/>
              <w:rPr>
                <w:b/>
                <w:sz w:val="28"/>
                <w:szCs w:val="28"/>
              </w:rPr>
            </w:pPr>
          </w:p>
        </w:tc>
      </w:tr>
      <w:tr w14:paraId="25DE2142">
        <w:tblPrEx>
          <w:tblCellMar>
            <w:top w:w="0" w:type="dxa"/>
            <w:left w:w="108" w:type="dxa"/>
            <w:bottom w:w="0" w:type="dxa"/>
            <w:right w:w="108" w:type="dxa"/>
          </w:tblCellMar>
        </w:tblPrEx>
        <w:tc>
          <w:tcPr>
            <w:tcW w:w="3027" w:type="dxa"/>
            <w:vAlign w:val="center"/>
          </w:tcPr>
          <w:p w14:paraId="0E6FEBF6">
            <w:pPr>
              <w:spacing w:line="360" w:lineRule="auto"/>
              <w:jc w:val="right"/>
              <w:rPr>
                <w:b/>
                <w:sz w:val="28"/>
                <w:szCs w:val="28"/>
              </w:rPr>
            </w:pPr>
            <w:r>
              <w:rPr>
                <w:rFonts w:hint="eastAsia"/>
                <w:b/>
                <w:spacing w:val="0"/>
                <w:w w:val="100"/>
                <w:kern w:val="0"/>
                <w:sz w:val="28"/>
                <w:szCs w:val="28"/>
                <w:fitText w:val="2800" w:id="136908240"/>
              </w:rPr>
              <w:t>中标供应商（乙方）：</w:t>
            </w:r>
          </w:p>
        </w:tc>
        <w:tc>
          <w:tcPr>
            <w:tcW w:w="5803" w:type="dxa"/>
            <w:vAlign w:val="center"/>
          </w:tcPr>
          <w:p w14:paraId="76BC0379">
            <w:pPr>
              <w:spacing w:line="360" w:lineRule="auto"/>
              <w:jc w:val="center"/>
              <w:rPr>
                <w:b/>
                <w:sz w:val="28"/>
                <w:szCs w:val="28"/>
              </w:rPr>
            </w:pPr>
          </w:p>
        </w:tc>
      </w:tr>
      <w:tr w14:paraId="1CDF70B9">
        <w:tblPrEx>
          <w:tblCellMar>
            <w:top w:w="0" w:type="dxa"/>
            <w:left w:w="108" w:type="dxa"/>
            <w:bottom w:w="0" w:type="dxa"/>
            <w:right w:w="108" w:type="dxa"/>
          </w:tblCellMar>
        </w:tblPrEx>
        <w:tc>
          <w:tcPr>
            <w:tcW w:w="3027" w:type="dxa"/>
            <w:vAlign w:val="center"/>
          </w:tcPr>
          <w:p w14:paraId="55AEB4D2">
            <w:pPr>
              <w:spacing w:line="360" w:lineRule="auto"/>
              <w:jc w:val="right"/>
              <w:rPr>
                <w:b/>
                <w:sz w:val="28"/>
                <w:szCs w:val="28"/>
              </w:rPr>
            </w:pPr>
            <w:r>
              <w:rPr>
                <w:rFonts w:hint="eastAsia"/>
                <w:b/>
                <w:spacing w:val="175"/>
                <w:kern w:val="0"/>
                <w:sz w:val="28"/>
                <w:szCs w:val="28"/>
                <w:fitText w:val="2800" w:id="506687683"/>
              </w:rPr>
              <w:t>签订日期</w:t>
            </w:r>
            <w:r>
              <w:rPr>
                <w:rFonts w:hint="eastAsia"/>
                <w:b/>
                <w:spacing w:val="0"/>
                <w:kern w:val="0"/>
                <w:sz w:val="28"/>
                <w:szCs w:val="28"/>
                <w:fitText w:val="2800" w:id="506687683"/>
              </w:rPr>
              <w:t>：</w:t>
            </w:r>
          </w:p>
        </w:tc>
        <w:tc>
          <w:tcPr>
            <w:tcW w:w="5803" w:type="dxa"/>
            <w:vAlign w:val="center"/>
          </w:tcPr>
          <w:p w14:paraId="2A5BBFF2">
            <w:pPr>
              <w:spacing w:line="360" w:lineRule="auto"/>
              <w:jc w:val="center"/>
              <w:rPr>
                <w:b/>
                <w:sz w:val="28"/>
                <w:szCs w:val="28"/>
              </w:rPr>
            </w:pPr>
          </w:p>
        </w:tc>
      </w:tr>
    </w:tbl>
    <w:p w14:paraId="42F41976">
      <w:pPr>
        <w:spacing w:line="360" w:lineRule="auto"/>
        <w:jc w:val="center"/>
        <w:rPr>
          <w:b/>
          <w:sz w:val="28"/>
          <w:szCs w:val="28"/>
        </w:rPr>
      </w:pPr>
    </w:p>
    <w:p w14:paraId="29819CCF">
      <w:pPr>
        <w:spacing w:line="360" w:lineRule="auto"/>
        <w:jc w:val="center"/>
        <w:rPr>
          <w:b/>
          <w:sz w:val="24"/>
        </w:rPr>
      </w:pPr>
    </w:p>
    <w:p w14:paraId="6C697BFA">
      <w:pPr>
        <w:spacing w:line="360" w:lineRule="auto"/>
        <w:jc w:val="center"/>
        <w:rPr>
          <w:b/>
          <w:sz w:val="24"/>
        </w:rPr>
      </w:pPr>
    </w:p>
    <w:p w14:paraId="25C60A4D">
      <w:pPr>
        <w:spacing w:line="360" w:lineRule="auto"/>
        <w:jc w:val="center"/>
        <w:rPr>
          <w:b/>
          <w:sz w:val="24"/>
        </w:rPr>
      </w:pPr>
    </w:p>
    <w:p w14:paraId="3985F5C7">
      <w:pPr>
        <w:spacing w:line="360" w:lineRule="auto"/>
        <w:jc w:val="center"/>
        <w:rPr>
          <w:b/>
          <w:sz w:val="24"/>
        </w:rPr>
      </w:pPr>
      <w:bookmarkStart w:id="881" w:name="_Hlk159848856"/>
      <w:r>
        <w:rPr>
          <w:rFonts w:hint="eastAsia" w:cs="宋体"/>
          <w:sz w:val="24"/>
          <w:lang w:val="zh-CN"/>
        </w:rPr>
        <w:t>本合同为中小企业预留合同</w:t>
      </w:r>
      <w:bookmarkEnd w:id="881"/>
    </w:p>
    <w:p w14:paraId="7F135D17">
      <w:pPr>
        <w:spacing w:line="360" w:lineRule="auto"/>
        <w:jc w:val="center"/>
        <w:rPr>
          <w:b/>
          <w:sz w:val="24"/>
        </w:rPr>
        <w:sectPr>
          <w:footerReference r:id="rId15" w:type="default"/>
          <w:pgSz w:w="11907" w:h="16840"/>
          <w:pgMar w:top="1247" w:right="1588" w:bottom="1247" w:left="1588" w:header="851" w:footer="851" w:gutter="0"/>
          <w:cols w:space="720" w:num="1"/>
          <w:docGrid w:linePitch="462" w:charSpace="0"/>
        </w:sectPr>
      </w:pPr>
    </w:p>
    <w:p w14:paraId="29AD2896">
      <w:pPr>
        <w:spacing w:line="360" w:lineRule="auto"/>
        <w:ind w:firstLine="480" w:firstLineChars="200"/>
        <w:rPr>
          <w:sz w:val="24"/>
          <w:u w:val="single"/>
        </w:rPr>
      </w:pPr>
      <w:r>
        <w:rPr>
          <w:rFonts w:hint="eastAsia"/>
          <w:sz w:val="24"/>
        </w:rPr>
        <w:t xml:space="preserve">采购人(甲方):  </w:t>
      </w:r>
      <w:r>
        <w:rPr>
          <w:rFonts w:hint="eastAsia"/>
          <w:sz w:val="24"/>
          <w:u w:val="single"/>
        </w:rPr>
        <w:t xml:space="preserve">北京市地质灾害防治研究所            </w:t>
      </w:r>
    </w:p>
    <w:p w14:paraId="72FACD45">
      <w:pPr>
        <w:spacing w:line="360" w:lineRule="auto"/>
        <w:ind w:firstLine="480" w:firstLineChars="200"/>
        <w:rPr>
          <w:sz w:val="24"/>
          <w:u w:val="single"/>
        </w:rPr>
      </w:pPr>
      <w:r>
        <w:rPr>
          <w:rFonts w:hint="eastAsia"/>
          <w:sz w:val="24"/>
        </w:rPr>
        <w:t>中标供应商(乙方):</w:t>
      </w:r>
      <w:r>
        <w:rPr>
          <w:rFonts w:hint="eastAsia"/>
          <w:sz w:val="24"/>
          <w:u w:val="single"/>
        </w:rPr>
        <w:t xml:space="preserve">                                  </w:t>
      </w:r>
    </w:p>
    <w:p w14:paraId="1AA1B48C">
      <w:pPr>
        <w:spacing w:line="360" w:lineRule="auto"/>
        <w:ind w:firstLine="480" w:firstLineChars="200"/>
        <w:rPr>
          <w:sz w:val="24"/>
        </w:rPr>
      </w:pPr>
      <w:r>
        <w:rPr>
          <w:rFonts w:hint="eastAsia"/>
          <w:sz w:val="24"/>
        </w:rPr>
        <w:t>依照</w:t>
      </w:r>
      <w:bookmarkStart w:id="882" w:name="_Hlk157697426"/>
      <w:r>
        <w:rPr>
          <w:rFonts w:hint="eastAsia"/>
          <w:sz w:val="24"/>
        </w:rPr>
        <w:t>《中华人民共和国民法典》、《中华人民共和国政府采购法》</w:t>
      </w:r>
      <w:bookmarkEnd w:id="882"/>
      <w:r>
        <w:rPr>
          <w:rFonts w:hint="eastAsia"/>
          <w:sz w:val="24"/>
        </w:rPr>
        <w:t>及国家的有关法律法规，遵循公平、平等、自愿的原则，在遵守国家有关政策及现行技术标准的前提下，甲乙双方就</w:t>
      </w:r>
      <w:r>
        <w:rPr>
          <w:rFonts w:hint="eastAsia"/>
          <w:sz w:val="24"/>
          <w:u w:val="single"/>
        </w:rPr>
        <w:t xml:space="preserve"> 北京市突发地质灾害监测预警系统工程运行其他运行维护服务等采购项目第7包采空塌陷灾害地表变形人工监测服务</w:t>
      </w:r>
      <w:r>
        <w:rPr>
          <w:rFonts w:hint="eastAsia"/>
          <w:sz w:val="24"/>
        </w:rPr>
        <w:t>分包经协商一致，签订本合同。</w:t>
      </w:r>
    </w:p>
    <w:p w14:paraId="489828AA">
      <w:pPr>
        <w:spacing w:line="360" w:lineRule="auto"/>
        <w:ind w:firstLine="482" w:firstLineChars="200"/>
        <w:rPr>
          <w:b/>
          <w:sz w:val="24"/>
        </w:rPr>
      </w:pPr>
      <w:r>
        <w:rPr>
          <w:rFonts w:hint="eastAsia"/>
          <w:b/>
          <w:sz w:val="24"/>
        </w:rPr>
        <w:t>第一条 采购内容、范围及要求</w:t>
      </w:r>
    </w:p>
    <w:p w14:paraId="105CD861">
      <w:pPr>
        <w:spacing w:line="360" w:lineRule="auto"/>
        <w:ind w:firstLine="480" w:firstLineChars="200"/>
        <w:rPr>
          <w:sz w:val="24"/>
        </w:rPr>
      </w:pPr>
      <w:r>
        <w:rPr>
          <w:rFonts w:hint="eastAsia"/>
          <w:sz w:val="24"/>
        </w:rPr>
        <w:t>本合同采购内容为对房山区、门头沟区12处采空塌陷监测区地表变形情况开展一等水准测量，监测分析采空区地表变形情况（详见表1）。在2026年11月30日前完成四期一等水准测量和平差计算；对安装的标石点进行维护，对被损毁的或因遮挡等原因造成无法观测的点进行修复。</w:t>
      </w:r>
    </w:p>
    <w:p w14:paraId="54E5B3D0">
      <w:pPr>
        <w:widowControl/>
        <w:kinsoku w:val="0"/>
        <w:autoSpaceDE w:val="0"/>
        <w:autoSpaceDN w:val="0"/>
        <w:adjustRightInd w:val="0"/>
        <w:snapToGrid w:val="0"/>
        <w:jc w:val="center"/>
        <w:rPr>
          <w:b/>
          <w:bCs/>
          <w:szCs w:val="21"/>
        </w:rPr>
      </w:pPr>
      <w:r>
        <w:rPr>
          <w:rFonts w:hint="eastAsia"/>
          <w:b/>
          <w:bCs/>
          <w:szCs w:val="21"/>
        </w:rPr>
        <w:t>表1  采空塌陷监测区一等水准测量明细表</w:t>
      </w:r>
    </w:p>
    <w:tbl>
      <w:tblPr>
        <w:tblStyle w:val="42"/>
        <w:tblW w:w="4998" w:type="pct"/>
        <w:jc w:val="center"/>
        <w:tblLayout w:type="autofit"/>
        <w:tblCellMar>
          <w:top w:w="0" w:type="dxa"/>
          <w:left w:w="108" w:type="dxa"/>
          <w:bottom w:w="0" w:type="dxa"/>
          <w:right w:w="108" w:type="dxa"/>
        </w:tblCellMar>
      </w:tblPr>
      <w:tblGrid>
        <w:gridCol w:w="803"/>
        <w:gridCol w:w="5627"/>
        <w:gridCol w:w="1081"/>
        <w:gridCol w:w="956"/>
      </w:tblGrid>
      <w:tr w14:paraId="6363A453">
        <w:tblPrEx>
          <w:tblCellMar>
            <w:top w:w="0" w:type="dxa"/>
            <w:left w:w="108" w:type="dxa"/>
            <w:bottom w:w="0" w:type="dxa"/>
            <w:right w:w="108" w:type="dxa"/>
          </w:tblCellMar>
        </w:tblPrEx>
        <w:trPr>
          <w:trHeight w:val="283" w:hRule="atLeast"/>
          <w:jc w:val="center"/>
        </w:trPr>
        <w:tc>
          <w:tcPr>
            <w:tcW w:w="474" w:type="pct"/>
            <w:tcBorders>
              <w:top w:val="single" w:color="auto" w:sz="4" w:space="0"/>
              <w:left w:val="single" w:color="auto" w:sz="4" w:space="0"/>
              <w:bottom w:val="single" w:color="auto" w:sz="4" w:space="0"/>
              <w:right w:val="single" w:color="auto" w:sz="4" w:space="0"/>
            </w:tcBorders>
            <w:vAlign w:val="center"/>
          </w:tcPr>
          <w:p w14:paraId="0B3023B5">
            <w:pPr>
              <w:widowControl/>
              <w:kinsoku w:val="0"/>
              <w:autoSpaceDE w:val="0"/>
              <w:autoSpaceDN w:val="0"/>
              <w:adjustRightInd w:val="0"/>
              <w:snapToGrid w:val="0"/>
              <w:jc w:val="center"/>
              <w:textAlignment w:val="center"/>
              <w:rPr>
                <w:rFonts w:cs="宋体"/>
                <w:b/>
                <w:bCs/>
                <w:color w:val="000000"/>
                <w:szCs w:val="21"/>
              </w:rPr>
            </w:pPr>
            <w:r>
              <w:rPr>
                <w:rFonts w:hint="eastAsia" w:cs="宋体"/>
                <w:b/>
                <w:bCs/>
                <w:snapToGrid w:val="0"/>
                <w:color w:val="000000"/>
                <w:kern w:val="0"/>
                <w:szCs w:val="21"/>
                <w:lang w:bidi="ar"/>
              </w:rPr>
              <w:t>序号</w:t>
            </w:r>
          </w:p>
        </w:tc>
        <w:tc>
          <w:tcPr>
            <w:tcW w:w="3322" w:type="pct"/>
            <w:tcBorders>
              <w:top w:val="single" w:color="auto" w:sz="4" w:space="0"/>
              <w:left w:val="nil"/>
              <w:bottom w:val="single" w:color="auto" w:sz="4" w:space="0"/>
              <w:right w:val="single" w:color="auto" w:sz="4" w:space="0"/>
            </w:tcBorders>
            <w:vAlign w:val="center"/>
          </w:tcPr>
          <w:p w14:paraId="50D694DE">
            <w:pPr>
              <w:widowControl/>
              <w:kinsoku w:val="0"/>
              <w:autoSpaceDE w:val="0"/>
              <w:autoSpaceDN w:val="0"/>
              <w:adjustRightInd w:val="0"/>
              <w:snapToGrid w:val="0"/>
              <w:jc w:val="center"/>
              <w:textAlignment w:val="center"/>
              <w:rPr>
                <w:rFonts w:cs="宋体"/>
                <w:b/>
                <w:bCs/>
                <w:color w:val="000000"/>
                <w:szCs w:val="21"/>
              </w:rPr>
            </w:pPr>
            <w:r>
              <w:rPr>
                <w:rFonts w:hint="eastAsia" w:cs="宋体"/>
                <w:b/>
                <w:bCs/>
                <w:snapToGrid w:val="0"/>
                <w:color w:val="000000"/>
                <w:kern w:val="0"/>
                <w:szCs w:val="21"/>
                <w:lang w:bidi="ar"/>
              </w:rPr>
              <w:t>采空塌陷人工监测区</w:t>
            </w:r>
          </w:p>
        </w:tc>
        <w:tc>
          <w:tcPr>
            <w:tcW w:w="638" w:type="pct"/>
            <w:tcBorders>
              <w:top w:val="single" w:color="auto" w:sz="4" w:space="0"/>
              <w:left w:val="nil"/>
              <w:bottom w:val="single" w:color="auto" w:sz="4" w:space="0"/>
              <w:right w:val="single" w:color="auto" w:sz="4" w:space="0"/>
            </w:tcBorders>
            <w:vAlign w:val="center"/>
          </w:tcPr>
          <w:p w14:paraId="5319F8BE">
            <w:pPr>
              <w:widowControl/>
              <w:kinsoku w:val="0"/>
              <w:autoSpaceDE w:val="0"/>
              <w:autoSpaceDN w:val="0"/>
              <w:adjustRightInd w:val="0"/>
              <w:snapToGrid w:val="0"/>
              <w:jc w:val="center"/>
              <w:textAlignment w:val="center"/>
              <w:rPr>
                <w:rFonts w:cs="宋体"/>
                <w:b/>
                <w:bCs/>
                <w:snapToGrid w:val="0"/>
                <w:color w:val="000000"/>
                <w:kern w:val="0"/>
                <w:szCs w:val="21"/>
                <w:lang w:bidi="ar"/>
              </w:rPr>
            </w:pPr>
            <w:r>
              <w:rPr>
                <w:rFonts w:hint="eastAsia" w:cs="宋体"/>
                <w:b/>
                <w:bCs/>
                <w:snapToGrid w:val="0"/>
                <w:color w:val="000000"/>
                <w:kern w:val="0"/>
                <w:szCs w:val="21"/>
                <w:lang w:bidi="ar"/>
              </w:rPr>
              <w:t>基准点</w:t>
            </w:r>
          </w:p>
          <w:p w14:paraId="266860AD">
            <w:pPr>
              <w:widowControl/>
              <w:kinsoku w:val="0"/>
              <w:autoSpaceDE w:val="0"/>
              <w:autoSpaceDN w:val="0"/>
              <w:adjustRightInd w:val="0"/>
              <w:snapToGrid w:val="0"/>
              <w:jc w:val="center"/>
              <w:textAlignment w:val="center"/>
              <w:rPr>
                <w:rFonts w:cs="宋体"/>
                <w:b/>
                <w:bCs/>
                <w:color w:val="000000"/>
                <w:szCs w:val="21"/>
              </w:rPr>
            </w:pPr>
            <w:r>
              <w:rPr>
                <w:rFonts w:hint="eastAsia" w:cs="宋体"/>
                <w:b/>
                <w:bCs/>
                <w:snapToGrid w:val="0"/>
                <w:color w:val="000000"/>
                <w:kern w:val="0"/>
                <w:szCs w:val="21"/>
                <w:lang w:bidi="ar"/>
              </w:rPr>
              <w:t>（个）</w:t>
            </w:r>
          </w:p>
        </w:tc>
        <w:tc>
          <w:tcPr>
            <w:tcW w:w="564" w:type="pct"/>
            <w:tcBorders>
              <w:top w:val="single" w:color="auto" w:sz="4" w:space="0"/>
              <w:left w:val="nil"/>
              <w:bottom w:val="single" w:color="auto" w:sz="4" w:space="0"/>
              <w:right w:val="single" w:color="auto" w:sz="4" w:space="0"/>
            </w:tcBorders>
            <w:vAlign w:val="center"/>
          </w:tcPr>
          <w:p w14:paraId="0D51838C">
            <w:pPr>
              <w:widowControl/>
              <w:kinsoku w:val="0"/>
              <w:autoSpaceDE w:val="0"/>
              <w:autoSpaceDN w:val="0"/>
              <w:adjustRightInd w:val="0"/>
              <w:snapToGrid w:val="0"/>
              <w:jc w:val="center"/>
              <w:textAlignment w:val="center"/>
              <w:rPr>
                <w:rFonts w:cs="宋体"/>
                <w:b/>
                <w:bCs/>
                <w:snapToGrid w:val="0"/>
                <w:color w:val="000000"/>
                <w:kern w:val="0"/>
                <w:szCs w:val="21"/>
                <w:lang w:bidi="ar"/>
              </w:rPr>
            </w:pPr>
            <w:r>
              <w:rPr>
                <w:rFonts w:hint="eastAsia" w:cs="宋体"/>
                <w:b/>
                <w:bCs/>
                <w:snapToGrid w:val="0"/>
                <w:color w:val="000000"/>
                <w:kern w:val="0"/>
                <w:szCs w:val="21"/>
                <w:lang w:bidi="ar"/>
              </w:rPr>
              <w:t>测点</w:t>
            </w:r>
          </w:p>
          <w:p w14:paraId="0B305C44">
            <w:pPr>
              <w:widowControl/>
              <w:kinsoku w:val="0"/>
              <w:autoSpaceDE w:val="0"/>
              <w:autoSpaceDN w:val="0"/>
              <w:adjustRightInd w:val="0"/>
              <w:snapToGrid w:val="0"/>
              <w:jc w:val="center"/>
              <w:textAlignment w:val="center"/>
              <w:rPr>
                <w:rFonts w:cs="宋体"/>
                <w:b/>
                <w:bCs/>
                <w:color w:val="000000"/>
                <w:szCs w:val="21"/>
              </w:rPr>
            </w:pPr>
            <w:r>
              <w:rPr>
                <w:rFonts w:hint="eastAsia" w:cs="宋体"/>
                <w:b/>
                <w:bCs/>
                <w:snapToGrid w:val="0"/>
                <w:color w:val="000000"/>
                <w:kern w:val="0"/>
                <w:szCs w:val="21"/>
                <w:lang w:bidi="ar"/>
              </w:rPr>
              <w:t>（个）</w:t>
            </w:r>
          </w:p>
        </w:tc>
      </w:tr>
      <w:tr w14:paraId="7BCCAD35">
        <w:tblPrEx>
          <w:tblCellMar>
            <w:top w:w="0" w:type="dxa"/>
            <w:left w:w="108" w:type="dxa"/>
            <w:bottom w:w="0" w:type="dxa"/>
            <w:right w:w="108" w:type="dxa"/>
          </w:tblCellMar>
        </w:tblPrEx>
        <w:trPr>
          <w:trHeight w:val="312" w:hRule="atLeast"/>
          <w:jc w:val="center"/>
        </w:trPr>
        <w:tc>
          <w:tcPr>
            <w:tcW w:w="474" w:type="pct"/>
            <w:tcBorders>
              <w:top w:val="nil"/>
              <w:left w:val="single" w:color="auto" w:sz="4" w:space="0"/>
              <w:bottom w:val="single" w:color="auto" w:sz="4" w:space="0"/>
              <w:right w:val="single" w:color="auto" w:sz="4" w:space="0"/>
            </w:tcBorders>
            <w:vAlign w:val="center"/>
          </w:tcPr>
          <w:p w14:paraId="00A3F2FA">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1</w:t>
            </w:r>
          </w:p>
        </w:tc>
        <w:tc>
          <w:tcPr>
            <w:tcW w:w="3322" w:type="pct"/>
            <w:tcBorders>
              <w:top w:val="nil"/>
              <w:left w:val="nil"/>
              <w:bottom w:val="single" w:color="auto" w:sz="4" w:space="0"/>
              <w:right w:val="single" w:color="auto" w:sz="4" w:space="0"/>
            </w:tcBorders>
            <w:vAlign w:val="center"/>
          </w:tcPr>
          <w:p w14:paraId="2CAD06BC">
            <w:pPr>
              <w:widowControl/>
              <w:kinsoku w:val="0"/>
              <w:autoSpaceDE w:val="0"/>
              <w:autoSpaceDN w:val="0"/>
              <w:adjustRightInd w:val="0"/>
              <w:snapToGrid w:val="0"/>
              <w:jc w:val="left"/>
              <w:textAlignment w:val="center"/>
              <w:rPr>
                <w:rFonts w:cs="宋体"/>
                <w:color w:val="000000"/>
                <w:szCs w:val="21"/>
              </w:rPr>
            </w:pPr>
            <w:r>
              <w:rPr>
                <w:rFonts w:hint="eastAsia" w:cs="宋体"/>
                <w:snapToGrid w:val="0"/>
                <w:color w:val="000000"/>
                <w:kern w:val="0"/>
                <w:szCs w:val="21"/>
                <w:lang w:bidi="ar"/>
              </w:rPr>
              <w:t>房山区大安山乡大安山村采空塌陷区</w:t>
            </w:r>
          </w:p>
        </w:tc>
        <w:tc>
          <w:tcPr>
            <w:tcW w:w="638" w:type="pct"/>
            <w:tcBorders>
              <w:top w:val="nil"/>
              <w:left w:val="nil"/>
              <w:bottom w:val="single" w:color="auto" w:sz="4" w:space="0"/>
              <w:right w:val="single" w:color="auto" w:sz="4" w:space="0"/>
            </w:tcBorders>
            <w:vAlign w:val="center"/>
          </w:tcPr>
          <w:p w14:paraId="04E830B2">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3</w:t>
            </w:r>
          </w:p>
        </w:tc>
        <w:tc>
          <w:tcPr>
            <w:tcW w:w="564" w:type="pct"/>
            <w:tcBorders>
              <w:top w:val="nil"/>
              <w:left w:val="nil"/>
              <w:bottom w:val="single" w:color="auto" w:sz="4" w:space="0"/>
              <w:right w:val="single" w:color="auto" w:sz="4" w:space="0"/>
            </w:tcBorders>
            <w:vAlign w:val="center"/>
          </w:tcPr>
          <w:p w14:paraId="5AA0C5D6">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41</w:t>
            </w:r>
          </w:p>
        </w:tc>
      </w:tr>
      <w:tr w14:paraId="75288F66">
        <w:tblPrEx>
          <w:tblCellMar>
            <w:top w:w="0" w:type="dxa"/>
            <w:left w:w="108" w:type="dxa"/>
            <w:bottom w:w="0" w:type="dxa"/>
            <w:right w:w="108" w:type="dxa"/>
          </w:tblCellMar>
        </w:tblPrEx>
        <w:trPr>
          <w:trHeight w:val="312" w:hRule="atLeast"/>
          <w:jc w:val="center"/>
        </w:trPr>
        <w:tc>
          <w:tcPr>
            <w:tcW w:w="474" w:type="pct"/>
            <w:tcBorders>
              <w:top w:val="nil"/>
              <w:left w:val="single" w:color="auto" w:sz="4" w:space="0"/>
              <w:bottom w:val="single" w:color="auto" w:sz="4" w:space="0"/>
              <w:right w:val="single" w:color="auto" w:sz="4" w:space="0"/>
            </w:tcBorders>
            <w:vAlign w:val="center"/>
          </w:tcPr>
          <w:p w14:paraId="761DC85B">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2</w:t>
            </w:r>
          </w:p>
        </w:tc>
        <w:tc>
          <w:tcPr>
            <w:tcW w:w="3322" w:type="pct"/>
            <w:tcBorders>
              <w:top w:val="nil"/>
              <w:left w:val="nil"/>
              <w:bottom w:val="single" w:color="auto" w:sz="4" w:space="0"/>
              <w:right w:val="single" w:color="auto" w:sz="4" w:space="0"/>
            </w:tcBorders>
            <w:vAlign w:val="center"/>
          </w:tcPr>
          <w:p w14:paraId="6F9C3FDF">
            <w:pPr>
              <w:widowControl/>
              <w:kinsoku w:val="0"/>
              <w:autoSpaceDE w:val="0"/>
              <w:autoSpaceDN w:val="0"/>
              <w:adjustRightInd w:val="0"/>
              <w:snapToGrid w:val="0"/>
              <w:jc w:val="left"/>
              <w:textAlignment w:val="center"/>
              <w:rPr>
                <w:rFonts w:cs="宋体"/>
                <w:color w:val="000000"/>
                <w:szCs w:val="21"/>
              </w:rPr>
            </w:pPr>
            <w:r>
              <w:rPr>
                <w:rFonts w:hint="eastAsia" w:cs="宋体"/>
                <w:snapToGrid w:val="0"/>
                <w:color w:val="000000"/>
                <w:kern w:val="0"/>
                <w:szCs w:val="21"/>
                <w:lang w:bidi="ar"/>
              </w:rPr>
              <w:t>房山区大安山乡瞧煤涧村采空塌陷区</w:t>
            </w:r>
          </w:p>
        </w:tc>
        <w:tc>
          <w:tcPr>
            <w:tcW w:w="638" w:type="pct"/>
            <w:tcBorders>
              <w:top w:val="nil"/>
              <w:left w:val="nil"/>
              <w:bottom w:val="single" w:color="auto" w:sz="4" w:space="0"/>
              <w:right w:val="single" w:color="auto" w:sz="4" w:space="0"/>
            </w:tcBorders>
            <w:vAlign w:val="center"/>
          </w:tcPr>
          <w:p w14:paraId="584B2EBE">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3</w:t>
            </w:r>
          </w:p>
        </w:tc>
        <w:tc>
          <w:tcPr>
            <w:tcW w:w="564" w:type="pct"/>
            <w:tcBorders>
              <w:top w:val="nil"/>
              <w:left w:val="nil"/>
              <w:bottom w:val="single" w:color="auto" w:sz="4" w:space="0"/>
              <w:right w:val="single" w:color="auto" w:sz="4" w:space="0"/>
            </w:tcBorders>
            <w:vAlign w:val="center"/>
          </w:tcPr>
          <w:p w14:paraId="574D1C0B">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30</w:t>
            </w:r>
          </w:p>
        </w:tc>
      </w:tr>
      <w:tr w14:paraId="09B29BA9">
        <w:tblPrEx>
          <w:tblCellMar>
            <w:top w:w="0" w:type="dxa"/>
            <w:left w:w="108" w:type="dxa"/>
            <w:bottom w:w="0" w:type="dxa"/>
            <w:right w:w="108" w:type="dxa"/>
          </w:tblCellMar>
        </w:tblPrEx>
        <w:trPr>
          <w:trHeight w:val="312" w:hRule="atLeast"/>
          <w:jc w:val="center"/>
        </w:trPr>
        <w:tc>
          <w:tcPr>
            <w:tcW w:w="474" w:type="pct"/>
            <w:tcBorders>
              <w:top w:val="nil"/>
              <w:left w:val="single" w:color="auto" w:sz="4" w:space="0"/>
              <w:bottom w:val="single" w:color="auto" w:sz="4" w:space="0"/>
              <w:right w:val="single" w:color="auto" w:sz="4" w:space="0"/>
            </w:tcBorders>
            <w:vAlign w:val="center"/>
          </w:tcPr>
          <w:p w14:paraId="301243D3">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3</w:t>
            </w:r>
          </w:p>
        </w:tc>
        <w:tc>
          <w:tcPr>
            <w:tcW w:w="3322" w:type="pct"/>
            <w:tcBorders>
              <w:top w:val="nil"/>
              <w:left w:val="nil"/>
              <w:bottom w:val="single" w:color="auto" w:sz="4" w:space="0"/>
              <w:right w:val="single" w:color="auto" w:sz="4" w:space="0"/>
            </w:tcBorders>
            <w:vAlign w:val="center"/>
          </w:tcPr>
          <w:p w14:paraId="47C0D496">
            <w:pPr>
              <w:widowControl/>
              <w:kinsoku w:val="0"/>
              <w:autoSpaceDE w:val="0"/>
              <w:autoSpaceDN w:val="0"/>
              <w:adjustRightInd w:val="0"/>
              <w:snapToGrid w:val="0"/>
              <w:jc w:val="left"/>
              <w:textAlignment w:val="center"/>
              <w:rPr>
                <w:rFonts w:cs="宋体"/>
                <w:color w:val="000000"/>
                <w:szCs w:val="21"/>
              </w:rPr>
            </w:pPr>
            <w:r>
              <w:rPr>
                <w:rFonts w:hint="eastAsia" w:cs="宋体"/>
                <w:snapToGrid w:val="0"/>
                <w:color w:val="000000"/>
                <w:kern w:val="0"/>
                <w:szCs w:val="21"/>
                <w:lang w:bidi="ar"/>
              </w:rPr>
              <w:t>房山区史家营乡青土涧村采空塌陷区</w:t>
            </w:r>
          </w:p>
        </w:tc>
        <w:tc>
          <w:tcPr>
            <w:tcW w:w="638" w:type="pct"/>
            <w:tcBorders>
              <w:top w:val="nil"/>
              <w:left w:val="nil"/>
              <w:bottom w:val="single" w:color="auto" w:sz="4" w:space="0"/>
              <w:right w:val="single" w:color="auto" w:sz="4" w:space="0"/>
            </w:tcBorders>
            <w:vAlign w:val="center"/>
          </w:tcPr>
          <w:p w14:paraId="4BA85DA7">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3</w:t>
            </w:r>
          </w:p>
        </w:tc>
        <w:tc>
          <w:tcPr>
            <w:tcW w:w="564" w:type="pct"/>
            <w:tcBorders>
              <w:top w:val="nil"/>
              <w:left w:val="nil"/>
              <w:bottom w:val="single" w:color="auto" w:sz="4" w:space="0"/>
              <w:right w:val="single" w:color="auto" w:sz="4" w:space="0"/>
            </w:tcBorders>
            <w:vAlign w:val="center"/>
          </w:tcPr>
          <w:p w14:paraId="151D9D5F">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37</w:t>
            </w:r>
          </w:p>
        </w:tc>
      </w:tr>
      <w:tr w14:paraId="7E20A3EE">
        <w:tblPrEx>
          <w:tblCellMar>
            <w:top w:w="0" w:type="dxa"/>
            <w:left w:w="108" w:type="dxa"/>
            <w:bottom w:w="0" w:type="dxa"/>
            <w:right w:w="108" w:type="dxa"/>
          </w:tblCellMar>
        </w:tblPrEx>
        <w:trPr>
          <w:trHeight w:val="312" w:hRule="atLeast"/>
          <w:jc w:val="center"/>
        </w:trPr>
        <w:tc>
          <w:tcPr>
            <w:tcW w:w="474" w:type="pct"/>
            <w:tcBorders>
              <w:top w:val="nil"/>
              <w:left w:val="single" w:color="auto" w:sz="4" w:space="0"/>
              <w:bottom w:val="single" w:color="auto" w:sz="4" w:space="0"/>
              <w:right w:val="single" w:color="auto" w:sz="4" w:space="0"/>
            </w:tcBorders>
            <w:vAlign w:val="center"/>
          </w:tcPr>
          <w:p w14:paraId="240A5A4B">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4</w:t>
            </w:r>
          </w:p>
        </w:tc>
        <w:tc>
          <w:tcPr>
            <w:tcW w:w="3322" w:type="pct"/>
            <w:tcBorders>
              <w:top w:val="nil"/>
              <w:left w:val="nil"/>
              <w:bottom w:val="single" w:color="auto" w:sz="4" w:space="0"/>
              <w:right w:val="single" w:color="auto" w:sz="4" w:space="0"/>
            </w:tcBorders>
            <w:vAlign w:val="center"/>
          </w:tcPr>
          <w:p w14:paraId="3C36B60E">
            <w:pPr>
              <w:widowControl/>
              <w:kinsoku w:val="0"/>
              <w:autoSpaceDE w:val="0"/>
              <w:autoSpaceDN w:val="0"/>
              <w:adjustRightInd w:val="0"/>
              <w:snapToGrid w:val="0"/>
              <w:jc w:val="left"/>
              <w:textAlignment w:val="center"/>
              <w:rPr>
                <w:rFonts w:cs="宋体"/>
                <w:color w:val="000000"/>
                <w:szCs w:val="21"/>
              </w:rPr>
            </w:pPr>
            <w:r>
              <w:rPr>
                <w:rFonts w:hint="eastAsia" w:cs="宋体"/>
                <w:snapToGrid w:val="0"/>
                <w:color w:val="000000"/>
                <w:kern w:val="0"/>
                <w:szCs w:val="21"/>
                <w:lang w:bidi="ar"/>
              </w:rPr>
              <w:t>房山区史家营乡秋林铺村采空塌陷区</w:t>
            </w:r>
          </w:p>
        </w:tc>
        <w:tc>
          <w:tcPr>
            <w:tcW w:w="638" w:type="pct"/>
            <w:tcBorders>
              <w:top w:val="nil"/>
              <w:left w:val="nil"/>
              <w:bottom w:val="single" w:color="auto" w:sz="4" w:space="0"/>
              <w:right w:val="single" w:color="auto" w:sz="4" w:space="0"/>
            </w:tcBorders>
            <w:vAlign w:val="center"/>
          </w:tcPr>
          <w:p w14:paraId="19F30384">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3</w:t>
            </w:r>
          </w:p>
        </w:tc>
        <w:tc>
          <w:tcPr>
            <w:tcW w:w="564" w:type="pct"/>
            <w:tcBorders>
              <w:top w:val="nil"/>
              <w:left w:val="nil"/>
              <w:bottom w:val="single" w:color="auto" w:sz="4" w:space="0"/>
              <w:right w:val="single" w:color="auto" w:sz="4" w:space="0"/>
            </w:tcBorders>
            <w:vAlign w:val="center"/>
          </w:tcPr>
          <w:p w14:paraId="1ADA9CEC">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42</w:t>
            </w:r>
          </w:p>
        </w:tc>
      </w:tr>
      <w:tr w14:paraId="26A62B3C">
        <w:tblPrEx>
          <w:tblCellMar>
            <w:top w:w="0" w:type="dxa"/>
            <w:left w:w="108" w:type="dxa"/>
            <w:bottom w:w="0" w:type="dxa"/>
            <w:right w:w="108" w:type="dxa"/>
          </w:tblCellMar>
        </w:tblPrEx>
        <w:trPr>
          <w:trHeight w:val="312" w:hRule="atLeast"/>
          <w:jc w:val="center"/>
        </w:trPr>
        <w:tc>
          <w:tcPr>
            <w:tcW w:w="474" w:type="pct"/>
            <w:tcBorders>
              <w:top w:val="nil"/>
              <w:left w:val="single" w:color="auto" w:sz="4" w:space="0"/>
              <w:bottom w:val="single" w:color="auto" w:sz="4" w:space="0"/>
              <w:right w:val="single" w:color="auto" w:sz="4" w:space="0"/>
            </w:tcBorders>
            <w:vAlign w:val="center"/>
          </w:tcPr>
          <w:p w14:paraId="453DE423">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5</w:t>
            </w:r>
          </w:p>
        </w:tc>
        <w:tc>
          <w:tcPr>
            <w:tcW w:w="3322" w:type="pct"/>
            <w:tcBorders>
              <w:top w:val="nil"/>
              <w:left w:val="nil"/>
              <w:bottom w:val="single" w:color="auto" w:sz="4" w:space="0"/>
              <w:right w:val="single" w:color="auto" w:sz="4" w:space="0"/>
            </w:tcBorders>
            <w:vAlign w:val="center"/>
          </w:tcPr>
          <w:p w14:paraId="7265E429">
            <w:pPr>
              <w:widowControl/>
              <w:kinsoku w:val="0"/>
              <w:autoSpaceDE w:val="0"/>
              <w:autoSpaceDN w:val="0"/>
              <w:adjustRightInd w:val="0"/>
              <w:snapToGrid w:val="0"/>
              <w:jc w:val="left"/>
              <w:textAlignment w:val="center"/>
              <w:rPr>
                <w:rFonts w:cs="宋体"/>
                <w:color w:val="000000"/>
                <w:szCs w:val="21"/>
              </w:rPr>
            </w:pPr>
            <w:r>
              <w:rPr>
                <w:rFonts w:hint="eastAsia" w:cs="宋体"/>
                <w:snapToGrid w:val="0"/>
                <w:color w:val="000000"/>
                <w:kern w:val="0"/>
                <w:szCs w:val="21"/>
                <w:lang w:bidi="ar"/>
              </w:rPr>
              <w:t>房山区史家营乡史家营村采空塌陷区</w:t>
            </w:r>
          </w:p>
        </w:tc>
        <w:tc>
          <w:tcPr>
            <w:tcW w:w="638" w:type="pct"/>
            <w:tcBorders>
              <w:top w:val="nil"/>
              <w:left w:val="nil"/>
              <w:bottom w:val="single" w:color="auto" w:sz="4" w:space="0"/>
              <w:right w:val="single" w:color="auto" w:sz="4" w:space="0"/>
            </w:tcBorders>
            <w:vAlign w:val="center"/>
          </w:tcPr>
          <w:p w14:paraId="49EEE3BE">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3</w:t>
            </w:r>
          </w:p>
        </w:tc>
        <w:tc>
          <w:tcPr>
            <w:tcW w:w="564" w:type="pct"/>
            <w:tcBorders>
              <w:top w:val="nil"/>
              <w:left w:val="nil"/>
              <w:bottom w:val="single" w:color="auto" w:sz="4" w:space="0"/>
              <w:right w:val="single" w:color="auto" w:sz="4" w:space="0"/>
            </w:tcBorders>
            <w:vAlign w:val="center"/>
          </w:tcPr>
          <w:p w14:paraId="6CA3CAC2">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37</w:t>
            </w:r>
          </w:p>
        </w:tc>
      </w:tr>
      <w:tr w14:paraId="7EBB562A">
        <w:tblPrEx>
          <w:tblCellMar>
            <w:top w:w="0" w:type="dxa"/>
            <w:left w:w="108" w:type="dxa"/>
            <w:bottom w:w="0" w:type="dxa"/>
            <w:right w:w="108" w:type="dxa"/>
          </w:tblCellMar>
        </w:tblPrEx>
        <w:trPr>
          <w:trHeight w:val="312" w:hRule="atLeast"/>
          <w:jc w:val="center"/>
        </w:trPr>
        <w:tc>
          <w:tcPr>
            <w:tcW w:w="474" w:type="pct"/>
            <w:tcBorders>
              <w:top w:val="nil"/>
              <w:left w:val="single" w:color="auto" w:sz="4" w:space="0"/>
              <w:bottom w:val="single" w:color="auto" w:sz="4" w:space="0"/>
              <w:right w:val="single" w:color="auto" w:sz="4" w:space="0"/>
            </w:tcBorders>
            <w:vAlign w:val="center"/>
          </w:tcPr>
          <w:p w14:paraId="4FD55717">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6</w:t>
            </w:r>
          </w:p>
        </w:tc>
        <w:tc>
          <w:tcPr>
            <w:tcW w:w="3322" w:type="pct"/>
            <w:tcBorders>
              <w:top w:val="nil"/>
              <w:left w:val="nil"/>
              <w:bottom w:val="single" w:color="auto" w:sz="4" w:space="0"/>
              <w:right w:val="single" w:color="auto" w:sz="4" w:space="0"/>
            </w:tcBorders>
            <w:vAlign w:val="center"/>
          </w:tcPr>
          <w:p w14:paraId="467AF355">
            <w:pPr>
              <w:widowControl/>
              <w:kinsoku w:val="0"/>
              <w:autoSpaceDE w:val="0"/>
              <w:autoSpaceDN w:val="0"/>
              <w:adjustRightInd w:val="0"/>
              <w:snapToGrid w:val="0"/>
              <w:jc w:val="left"/>
              <w:textAlignment w:val="center"/>
              <w:rPr>
                <w:rFonts w:cs="宋体"/>
                <w:color w:val="000000"/>
                <w:szCs w:val="21"/>
              </w:rPr>
            </w:pPr>
            <w:r>
              <w:rPr>
                <w:rFonts w:hint="eastAsia" w:cs="宋体"/>
                <w:snapToGrid w:val="0"/>
                <w:color w:val="000000"/>
                <w:kern w:val="0"/>
                <w:szCs w:val="21"/>
                <w:lang w:bidi="ar"/>
              </w:rPr>
              <w:t>房山区周口店镇葫芦棚村采空塌陷区</w:t>
            </w:r>
          </w:p>
        </w:tc>
        <w:tc>
          <w:tcPr>
            <w:tcW w:w="638" w:type="pct"/>
            <w:tcBorders>
              <w:top w:val="nil"/>
              <w:left w:val="nil"/>
              <w:bottom w:val="single" w:color="auto" w:sz="4" w:space="0"/>
              <w:right w:val="single" w:color="auto" w:sz="4" w:space="0"/>
            </w:tcBorders>
            <w:vAlign w:val="center"/>
          </w:tcPr>
          <w:p w14:paraId="75D5E5E2">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3</w:t>
            </w:r>
          </w:p>
        </w:tc>
        <w:tc>
          <w:tcPr>
            <w:tcW w:w="564" w:type="pct"/>
            <w:tcBorders>
              <w:top w:val="nil"/>
              <w:left w:val="nil"/>
              <w:bottom w:val="single" w:color="auto" w:sz="4" w:space="0"/>
              <w:right w:val="single" w:color="auto" w:sz="4" w:space="0"/>
            </w:tcBorders>
            <w:vAlign w:val="center"/>
          </w:tcPr>
          <w:p w14:paraId="29E0FF6C">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28</w:t>
            </w:r>
          </w:p>
        </w:tc>
      </w:tr>
      <w:tr w14:paraId="15ABBBD6">
        <w:tblPrEx>
          <w:tblCellMar>
            <w:top w:w="0" w:type="dxa"/>
            <w:left w:w="108" w:type="dxa"/>
            <w:bottom w:w="0" w:type="dxa"/>
            <w:right w:w="108" w:type="dxa"/>
          </w:tblCellMar>
        </w:tblPrEx>
        <w:trPr>
          <w:trHeight w:val="312" w:hRule="atLeast"/>
          <w:jc w:val="center"/>
        </w:trPr>
        <w:tc>
          <w:tcPr>
            <w:tcW w:w="474" w:type="pct"/>
            <w:tcBorders>
              <w:top w:val="nil"/>
              <w:left w:val="single" w:color="auto" w:sz="4" w:space="0"/>
              <w:bottom w:val="single" w:color="auto" w:sz="4" w:space="0"/>
              <w:right w:val="single" w:color="auto" w:sz="4" w:space="0"/>
            </w:tcBorders>
            <w:vAlign w:val="center"/>
          </w:tcPr>
          <w:p w14:paraId="73E57706">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7</w:t>
            </w:r>
          </w:p>
        </w:tc>
        <w:tc>
          <w:tcPr>
            <w:tcW w:w="3322" w:type="pct"/>
            <w:tcBorders>
              <w:top w:val="nil"/>
              <w:left w:val="nil"/>
              <w:bottom w:val="single" w:color="auto" w:sz="4" w:space="0"/>
              <w:right w:val="single" w:color="auto" w:sz="4" w:space="0"/>
            </w:tcBorders>
            <w:vAlign w:val="center"/>
          </w:tcPr>
          <w:p w14:paraId="4514256E">
            <w:pPr>
              <w:widowControl/>
              <w:kinsoku w:val="0"/>
              <w:autoSpaceDE w:val="0"/>
              <w:autoSpaceDN w:val="0"/>
              <w:adjustRightInd w:val="0"/>
              <w:snapToGrid w:val="0"/>
              <w:jc w:val="left"/>
              <w:textAlignment w:val="center"/>
              <w:rPr>
                <w:rFonts w:cs="宋体"/>
                <w:color w:val="000000"/>
                <w:szCs w:val="21"/>
              </w:rPr>
            </w:pPr>
            <w:r>
              <w:rPr>
                <w:rFonts w:hint="eastAsia" w:cs="宋体"/>
                <w:snapToGrid w:val="0"/>
                <w:color w:val="000000"/>
                <w:kern w:val="0"/>
                <w:szCs w:val="21"/>
                <w:lang w:bidi="ar"/>
              </w:rPr>
              <w:t>房山区蒲洼乡宝水村采空塌陷区</w:t>
            </w:r>
          </w:p>
        </w:tc>
        <w:tc>
          <w:tcPr>
            <w:tcW w:w="638" w:type="pct"/>
            <w:tcBorders>
              <w:top w:val="nil"/>
              <w:left w:val="nil"/>
              <w:bottom w:val="single" w:color="auto" w:sz="4" w:space="0"/>
              <w:right w:val="single" w:color="auto" w:sz="4" w:space="0"/>
            </w:tcBorders>
            <w:vAlign w:val="center"/>
          </w:tcPr>
          <w:p w14:paraId="30ECB75E">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3</w:t>
            </w:r>
          </w:p>
        </w:tc>
        <w:tc>
          <w:tcPr>
            <w:tcW w:w="564" w:type="pct"/>
            <w:tcBorders>
              <w:top w:val="nil"/>
              <w:left w:val="nil"/>
              <w:bottom w:val="single" w:color="auto" w:sz="4" w:space="0"/>
              <w:right w:val="single" w:color="auto" w:sz="4" w:space="0"/>
            </w:tcBorders>
            <w:vAlign w:val="center"/>
          </w:tcPr>
          <w:p w14:paraId="044352CA">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35</w:t>
            </w:r>
          </w:p>
        </w:tc>
      </w:tr>
      <w:tr w14:paraId="04BEDE9B">
        <w:tblPrEx>
          <w:tblCellMar>
            <w:top w:w="0" w:type="dxa"/>
            <w:left w:w="108" w:type="dxa"/>
            <w:bottom w:w="0" w:type="dxa"/>
            <w:right w:w="108" w:type="dxa"/>
          </w:tblCellMar>
        </w:tblPrEx>
        <w:trPr>
          <w:trHeight w:val="312" w:hRule="atLeast"/>
          <w:jc w:val="center"/>
        </w:trPr>
        <w:tc>
          <w:tcPr>
            <w:tcW w:w="474" w:type="pct"/>
            <w:tcBorders>
              <w:top w:val="nil"/>
              <w:left w:val="single" w:color="auto" w:sz="4" w:space="0"/>
              <w:bottom w:val="single" w:color="auto" w:sz="4" w:space="0"/>
              <w:right w:val="single" w:color="auto" w:sz="4" w:space="0"/>
            </w:tcBorders>
            <w:vAlign w:val="center"/>
          </w:tcPr>
          <w:p w14:paraId="7851C90B">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8</w:t>
            </w:r>
          </w:p>
        </w:tc>
        <w:tc>
          <w:tcPr>
            <w:tcW w:w="3322" w:type="pct"/>
            <w:tcBorders>
              <w:top w:val="nil"/>
              <w:left w:val="nil"/>
              <w:bottom w:val="single" w:color="auto" w:sz="4" w:space="0"/>
              <w:right w:val="single" w:color="auto" w:sz="4" w:space="0"/>
            </w:tcBorders>
            <w:vAlign w:val="center"/>
          </w:tcPr>
          <w:p w14:paraId="749AB60F">
            <w:pPr>
              <w:widowControl/>
              <w:kinsoku w:val="0"/>
              <w:autoSpaceDE w:val="0"/>
              <w:autoSpaceDN w:val="0"/>
              <w:adjustRightInd w:val="0"/>
              <w:snapToGrid w:val="0"/>
              <w:jc w:val="left"/>
              <w:textAlignment w:val="center"/>
              <w:rPr>
                <w:rFonts w:cs="宋体"/>
                <w:color w:val="000000"/>
                <w:szCs w:val="21"/>
              </w:rPr>
            </w:pPr>
            <w:r>
              <w:rPr>
                <w:rFonts w:hint="eastAsia" w:cs="宋体"/>
                <w:snapToGrid w:val="0"/>
                <w:color w:val="000000"/>
                <w:kern w:val="0"/>
                <w:szCs w:val="21"/>
                <w:lang w:bidi="ar"/>
              </w:rPr>
              <w:t>房山区蒲洼乡东村采空塌陷区</w:t>
            </w:r>
          </w:p>
        </w:tc>
        <w:tc>
          <w:tcPr>
            <w:tcW w:w="638" w:type="pct"/>
            <w:tcBorders>
              <w:top w:val="nil"/>
              <w:left w:val="nil"/>
              <w:bottom w:val="single" w:color="auto" w:sz="4" w:space="0"/>
              <w:right w:val="single" w:color="auto" w:sz="4" w:space="0"/>
            </w:tcBorders>
            <w:vAlign w:val="center"/>
          </w:tcPr>
          <w:p w14:paraId="6E476272">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3</w:t>
            </w:r>
          </w:p>
        </w:tc>
        <w:tc>
          <w:tcPr>
            <w:tcW w:w="564" w:type="pct"/>
            <w:tcBorders>
              <w:top w:val="nil"/>
              <w:left w:val="nil"/>
              <w:bottom w:val="single" w:color="auto" w:sz="4" w:space="0"/>
              <w:right w:val="single" w:color="auto" w:sz="4" w:space="0"/>
            </w:tcBorders>
            <w:vAlign w:val="center"/>
          </w:tcPr>
          <w:p w14:paraId="43989923">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28</w:t>
            </w:r>
          </w:p>
        </w:tc>
      </w:tr>
      <w:tr w14:paraId="335EE85E">
        <w:tblPrEx>
          <w:tblCellMar>
            <w:top w:w="0" w:type="dxa"/>
            <w:left w:w="108" w:type="dxa"/>
            <w:bottom w:w="0" w:type="dxa"/>
            <w:right w:w="108" w:type="dxa"/>
          </w:tblCellMar>
        </w:tblPrEx>
        <w:trPr>
          <w:trHeight w:val="312" w:hRule="atLeast"/>
          <w:jc w:val="center"/>
        </w:trPr>
        <w:tc>
          <w:tcPr>
            <w:tcW w:w="474" w:type="pct"/>
            <w:tcBorders>
              <w:top w:val="nil"/>
              <w:left w:val="single" w:color="auto" w:sz="4" w:space="0"/>
              <w:bottom w:val="single" w:color="auto" w:sz="4" w:space="0"/>
              <w:right w:val="single" w:color="auto" w:sz="4" w:space="0"/>
            </w:tcBorders>
            <w:vAlign w:val="center"/>
          </w:tcPr>
          <w:p w14:paraId="296E86C0">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9</w:t>
            </w:r>
          </w:p>
        </w:tc>
        <w:tc>
          <w:tcPr>
            <w:tcW w:w="3322" w:type="pct"/>
            <w:tcBorders>
              <w:top w:val="nil"/>
              <w:left w:val="nil"/>
              <w:bottom w:val="single" w:color="auto" w:sz="4" w:space="0"/>
              <w:right w:val="single" w:color="auto" w:sz="4" w:space="0"/>
            </w:tcBorders>
            <w:vAlign w:val="center"/>
          </w:tcPr>
          <w:p w14:paraId="10342E33">
            <w:pPr>
              <w:widowControl/>
              <w:kinsoku w:val="0"/>
              <w:autoSpaceDE w:val="0"/>
              <w:autoSpaceDN w:val="0"/>
              <w:adjustRightInd w:val="0"/>
              <w:snapToGrid w:val="0"/>
              <w:jc w:val="left"/>
              <w:textAlignment w:val="center"/>
              <w:rPr>
                <w:rFonts w:cs="宋体"/>
                <w:color w:val="000000"/>
                <w:szCs w:val="21"/>
              </w:rPr>
            </w:pPr>
            <w:r>
              <w:rPr>
                <w:rFonts w:hint="eastAsia" w:cs="宋体"/>
                <w:snapToGrid w:val="0"/>
                <w:color w:val="000000"/>
                <w:kern w:val="0"/>
                <w:szCs w:val="21"/>
                <w:lang w:bidi="ar"/>
              </w:rPr>
              <w:t>房山区蒲洼乡108国道宝水段采空塌陷区</w:t>
            </w:r>
          </w:p>
        </w:tc>
        <w:tc>
          <w:tcPr>
            <w:tcW w:w="638" w:type="pct"/>
            <w:tcBorders>
              <w:top w:val="nil"/>
              <w:left w:val="nil"/>
              <w:bottom w:val="single" w:color="auto" w:sz="4" w:space="0"/>
              <w:right w:val="single" w:color="auto" w:sz="4" w:space="0"/>
            </w:tcBorders>
            <w:vAlign w:val="center"/>
          </w:tcPr>
          <w:p w14:paraId="3CDD01B7">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3</w:t>
            </w:r>
          </w:p>
        </w:tc>
        <w:tc>
          <w:tcPr>
            <w:tcW w:w="564" w:type="pct"/>
            <w:tcBorders>
              <w:top w:val="nil"/>
              <w:left w:val="nil"/>
              <w:bottom w:val="single" w:color="auto" w:sz="4" w:space="0"/>
              <w:right w:val="single" w:color="auto" w:sz="4" w:space="0"/>
            </w:tcBorders>
            <w:vAlign w:val="center"/>
          </w:tcPr>
          <w:p w14:paraId="0597A340">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37</w:t>
            </w:r>
          </w:p>
        </w:tc>
      </w:tr>
      <w:tr w14:paraId="6FA40EF5">
        <w:tblPrEx>
          <w:tblCellMar>
            <w:top w:w="0" w:type="dxa"/>
            <w:left w:w="108" w:type="dxa"/>
            <w:bottom w:w="0" w:type="dxa"/>
            <w:right w:w="108" w:type="dxa"/>
          </w:tblCellMar>
        </w:tblPrEx>
        <w:trPr>
          <w:trHeight w:val="312" w:hRule="atLeast"/>
          <w:jc w:val="center"/>
        </w:trPr>
        <w:tc>
          <w:tcPr>
            <w:tcW w:w="474" w:type="pct"/>
            <w:tcBorders>
              <w:top w:val="nil"/>
              <w:left w:val="single" w:color="auto" w:sz="4" w:space="0"/>
              <w:bottom w:val="single" w:color="auto" w:sz="4" w:space="0"/>
              <w:right w:val="single" w:color="auto" w:sz="4" w:space="0"/>
            </w:tcBorders>
            <w:vAlign w:val="center"/>
          </w:tcPr>
          <w:p w14:paraId="5B052BFF">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10</w:t>
            </w:r>
          </w:p>
        </w:tc>
        <w:tc>
          <w:tcPr>
            <w:tcW w:w="3322" w:type="pct"/>
            <w:tcBorders>
              <w:top w:val="nil"/>
              <w:left w:val="nil"/>
              <w:bottom w:val="single" w:color="auto" w:sz="4" w:space="0"/>
              <w:right w:val="single" w:color="auto" w:sz="4" w:space="0"/>
            </w:tcBorders>
            <w:vAlign w:val="center"/>
          </w:tcPr>
          <w:p w14:paraId="7075CB46">
            <w:pPr>
              <w:widowControl/>
              <w:kinsoku w:val="0"/>
              <w:autoSpaceDE w:val="0"/>
              <w:autoSpaceDN w:val="0"/>
              <w:adjustRightInd w:val="0"/>
              <w:snapToGrid w:val="0"/>
              <w:jc w:val="left"/>
              <w:textAlignment w:val="center"/>
              <w:rPr>
                <w:rFonts w:cs="宋体"/>
                <w:color w:val="000000"/>
                <w:szCs w:val="21"/>
              </w:rPr>
            </w:pPr>
            <w:r>
              <w:rPr>
                <w:rFonts w:hint="eastAsia" w:cs="宋体"/>
                <w:snapToGrid w:val="0"/>
                <w:color w:val="000000"/>
                <w:kern w:val="0"/>
                <w:szCs w:val="21"/>
                <w:lang w:bidi="ar"/>
              </w:rPr>
              <w:t>房山区霞云岭乡司马台村白草畔景区采空塌陷区</w:t>
            </w:r>
          </w:p>
        </w:tc>
        <w:tc>
          <w:tcPr>
            <w:tcW w:w="638" w:type="pct"/>
            <w:tcBorders>
              <w:top w:val="nil"/>
              <w:left w:val="nil"/>
              <w:bottom w:val="single" w:color="auto" w:sz="4" w:space="0"/>
              <w:right w:val="single" w:color="auto" w:sz="4" w:space="0"/>
            </w:tcBorders>
            <w:vAlign w:val="center"/>
          </w:tcPr>
          <w:p w14:paraId="72041D02">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3</w:t>
            </w:r>
          </w:p>
        </w:tc>
        <w:tc>
          <w:tcPr>
            <w:tcW w:w="564" w:type="pct"/>
            <w:tcBorders>
              <w:top w:val="nil"/>
              <w:left w:val="nil"/>
              <w:bottom w:val="single" w:color="auto" w:sz="4" w:space="0"/>
              <w:right w:val="single" w:color="auto" w:sz="4" w:space="0"/>
            </w:tcBorders>
            <w:vAlign w:val="center"/>
          </w:tcPr>
          <w:p w14:paraId="22D9DB2D">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15</w:t>
            </w:r>
          </w:p>
        </w:tc>
      </w:tr>
      <w:tr w14:paraId="5260793E">
        <w:tblPrEx>
          <w:tblCellMar>
            <w:top w:w="0" w:type="dxa"/>
            <w:left w:w="108" w:type="dxa"/>
            <w:bottom w:w="0" w:type="dxa"/>
            <w:right w:w="108" w:type="dxa"/>
          </w:tblCellMar>
        </w:tblPrEx>
        <w:trPr>
          <w:trHeight w:val="312" w:hRule="atLeast"/>
          <w:jc w:val="center"/>
        </w:trPr>
        <w:tc>
          <w:tcPr>
            <w:tcW w:w="474" w:type="pct"/>
            <w:tcBorders>
              <w:top w:val="nil"/>
              <w:left w:val="single" w:color="auto" w:sz="4" w:space="0"/>
              <w:bottom w:val="single" w:color="auto" w:sz="4" w:space="0"/>
              <w:right w:val="single" w:color="auto" w:sz="4" w:space="0"/>
            </w:tcBorders>
            <w:vAlign w:val="center"/>
          </w:tcPr>
          <w:p w14:paraId="03DEB156">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11</w:t>
            </w:r>
          </w:p>
        </w:tc>
        <w:tc>
          <w:tcPr>
            <w:tcW w:w="3322" w:type="pct"/>
            <w:tcBorders>
              <w:top w:val="nil"/>
              <w:left w:val="nil"/>
              <w:bottom w:val="single" w:color="auto" w:sz="4" w:space="0"/>
              <w:right w:val="single" w:color="auto" w:sz="4" w:space="0"/>
            </w:tcBorders>
            <w:vAlign w:val="center"/>
          </w:tcPr>
          <w:p w14:paraId="1145EC1D">
            <w:pPr>
              <w:widowControl/>
              <w:kinsoku w:val="0"/>
              <w:autoSpaceDE w:val="0"/>
              <w:autoSpaceDN w:val="0"/>
              <w:adjustRightInd w:val="0"/>
              <w:snapToGrid w:val="0"/>
              <w:jc w:val="left"/>
              <w:textAlignment w:val="center"/>
              <w:rPr>
                <w:rFonts w:cs="宋体"/>
                <w:color w:val="000000"/>
                <w:szCs w:val="21"/>
              </w:rPr>
            </w:pPr>
            <w:r>
              <w:rPr>
                <w:rFonts w:hint="eastAsia" w:cs="宋体"/>
                <w:snapToGrid w:val="0"/>
                <w:color w:val="000000"/>
                <w:kern w:val="0"/>
                <w:szCs w:val="21"/>
                <w:lang w:bidi="ar"/>
              </w:rPr>
              <w:t>门头沟区清水镇上达摩村采空塌陷区</w:t>
            </w:r>
          </w:p>
        </w:tc>
        <w:tc>
          <w:tcPr>
            <w:tcW w:w="638" w:type="pct"/>
            <w:tcBorders>
              <w:top w:val="nil"/>
              <w:left w:val="nil"/>
              <w:bottom w:val="single" w:color="auto" w:sz="4" w:space="0"/>
              <w:right w:val="single" w:color="auto" w:sz="4" w:space="0"/>
            </w:tcBorders>
            <w:vAlign w:val="center"/>
          </w:tcPr>
          <w:p w14:paraId="427FCD08">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3</w:t>
            </w:r>
          </w:p>
        </w:tc>
        <w:tc>
          <w:tcPr>
            <w:tcW w:w="564" w:type="pct"/>
            <w:tcBorders>
              <w:top w:val="nil"/>
              <w:left w:val="nil"/>
              <w:bottom w:val="single" w:color="auto" w:sz="4" w:space="0"/>
              <w:right w:val="single" w:color="auto" w:sz="4" w:space="0"/>
            </w:tcBorders>
            <w:vAlign w:val="center"/>
          </w:tcPr>
          <w:p w14:paraId="3BE98419">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38</w:t>
            </w:r>
          </w:p>
        </w:tc>
      </w:tr>
      <w:tr w14:paraId="2D2C5575">
        <w:tblPrEx>
          <w:tblCellMar>
            <w:top w:w="0" w:type="dxa"/>
            <w:left w:w="108" w:type="dxa"/>
            <w:bottom w:w="0" w:type="dxa"/>
            <w:right w:w="108" w:type="dxa"/>
          </w:tblCellMar>
        </w:tblPrEx>
        <w:trPr>
          <w:trHeight w:val="312" w:hRule="atLeast"/>
          <w:jc w:val="center"/>
        </w:trPr>
        <w:tc>
          <w:tcPr>
            <w:tcW w:w="474" w:type="pct"/>
            <w:tcBorders>
              <w:top w:val="nil"/>
              <w:left w:val="single" w:color="auto" w:sz="4" w:space="0"/>
              <w:bottom w:val="single" w:color="auto" w:sz="4" w:space="0"/>
              <w:right w:val="single" w:color="auto" w:sz="4" w:space="0"/>
            </w:tcBorders>
            <w:vAlign w:val="center"/>
          </w:tcPr>
          <w:p w14:paraId="5A182BDE">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12</w:t>
            </w:r>
          </w:p>
        </w:tc>
        <w:tc>
          <w:tcPr>
            <w:tcW w:w="3322" w:type="pct"/>
            <w:tcBorders>
              <w:top w:val="nil"/>
              <w:left w:val="nil"/>
              <w:bottom w:val="single" w:color="auto" w:sz="4" w:space="0"/>
              <w:right w:val="single" w:color="auto" w:sz="4" w:space="0"/>
            </w:tcBorders>
            <w:vAlign w:val="center"/>
          </w:tcPr>
          <w:p w14:paraId="6C57D683">
            <w:pPr>
              <w:widowControl/>
              <w:kinsoku w:val="0"/>
              <w:autoSpaceDE w:val="0"/>
              <w:autoSpaceDN w:val="0"/>
              <w:adjustRightInd w:val="0"/>
              <w:snapToGrid w:val="0"/>
              <w:jc w:val="left"/>
              <w:textAlignment w:val="center"/>
              <w:rPr>
                <w:rFonts w:cs="宋体"/>
                <w:color w:val="000000"/>
                <w:szCs w:val="21"/>
              </w:rPr>
            </w:pPr>
            <w:r>
              <w:rPr>
                <w:rFonts w:hint="eastAsia" w:cs="宋体"/>
                <w:snapToGrid w:val="0"/>
                <w:color w:val="000000"/>
                <w:kern w:val="0"/>
                <w:szCs w:val="21"/>
                <w:lang w:bidi="ar"/>
              </w:rPr>
              <w:t>门头沟区王平镇南港村采空塌陷区</w:t>
            </w:r>
          </w:p>
        </w:tc>
        <w:tc>
          <w:tcPr>
            <w:tcW w:w="638" w:type="pct"/>
            <w:tcBorders>
              <w:top w:val="nil"/>
              <w:left w:val="nil"/>
              <w:bottom w:val="single" w:color="auto" w:sz="4" w:space="0"/>
              <w:right w:val="single" w:color="auto" w:sz="4" w:space="0"/>
            </w:tcBorders>
            <w:vAlign w:val="center"/>
          </w:tcPr>
          <w:p w14:paraId="00CD4AE4">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3</w:t>
            </w:r>
          </w:p>
        </w:tc>
        <w:tc>
          <w:tcPr>
            <w:tcW w:w="564" w:type="pct"/>
            <w:tcBorders>
              <w:top w:val="nil"/>
              <w:left w:val="nil"/>
              <w:bottom w:val="single" w:color="auto" w:sz="4" w:space="0"/>
              <w:right w:val="single" w:color="auto" w:sz="4" w:space="0"/>
            </w:tcBorders>
            <w:vAlign w:val="center"/>
          </w:tcPr>
          <w:p w14:paraId="5EBEC480">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26</w:t>
            </w:r>
          </w:p>
        </w:tc>
      </w:tr>
      <w:tr w14:paraId="5279D655">
        <w:tblPrEx>
          <w:tblCellMar>
            <w:top w:w="0" w:type="dxa"/>
            <w:left w:w="108" w:type="dxa"/>
            <w:bottom w:w="0" w:type="dxa"/>
            <w:right w:w="108" w:type="dxa"/>
          </w:tblCellMar>
        </w:tblPrEx>
        <w:trPr>
          <w:trHeight w:val="312" w:hRule="atLeast"/>
          <w:jc w:val="center"/>
        </w:trPr>
        <w:tc>
          <w:tcPr>
            <w:tcW w:w="3796" w:type="pct"/>
            <w:gridSpan w:val="2"/>
            <w:tcBorders>
              <w:top w:val="single" w:color="auto" w:sz="4" w:space="0"/>
              <w:left w:val="single" w:color="auto" w:sz="4" w:space="0"/>
              <w:bottom w:val="single" w:color="auto" w:sz="4" w:space="0"/>
              <w:right w:val="single" w:color="000000" w:sz="4" w:space="0"/>
            </w:tcBorders>
            <w:vAlign w:val="center"/>
          </w:tcPr>
          <w:p w14:paraId="18D744B2">
            <w:pPr>
              <w:widowControl/>
              <w:kinsoku w:val="0"/>
              <w:autoSpaceDE w:val="0"/>
              <w:autoSpaceDN w:val="0"/>
              <w:adjustRightInd w:val="0"/>
              <w:snapToGrid w:val="0"/>
              <w:jc w:val="right"/>
              <w:textAlignment w:val="center"/>
              <w:rPr>
                <w:rFonts w:cs="宋体"/>
                <w:b/>
                <w:bCs/>
                <w:color w:val="000000"/>
                <w:szCs w:val="21"/>
              </w:rPr>
            </w:pPr>
            <w:r>
              <w:rPr>
                <w:rFonts w:hint="eastAsia" w:cs="宋体"/>
                <w:b/>
                <w:bCs/>
                <w:snapToGrid w:val="0"/>
                <w:color w:val="000000"/>
                <w:kern w:val="0"/>
                <w:szCs w:val="21"/>
                <w:lang w:bidi="ar"/>
              </w:rPr>
              <w:t>合计</w:t>
            </w:r>
          </w:p>
        </w:tc>
        <w:tc>
          <w:tcPr>
            <w:tcW w:w="638" w:type="pct"/>
            <w:tcBorders>
              <w:top w:val="nil"/>
              <w:left w:val="nil"/>
              <w:bottom w:val="single" w:color="auto" w:sz="4" w:space="0"/>
              <w:right w:val="single" w:color="auto" w:sz="4" w:space="0"/>
            </w:tcBorders>
            <w:vAlign w:val="center"/>
          </w:tcPr>
          <w:p w14:paraId="15731651">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36</w:t>
            </w:r>
          </w:p>
        </w:tc>
        <w:tc>
          <w:tcPr>
            <w:tcW w:w="564" w:type="pct"/>
            <w:tcBorders>
              <w:top w:val="nil"/>
              <w:left w:val="nil"/>
              <w:bottom w:val="single" w:color="auto" w:sz="4" w:space="0"/>
              <w:right w:val="single" w:color="auto" w:sz="4" w:space="0"/>
            </w:tcBorders>
            <w:vAlign w:val="center"/>
          </w:tcPr>
          <w:p w14:paraId="7B2BD6FF">
            <w:pPr>
              <w:widowControl/>
              <w:kinsoku w:val="0"/>
              <w:autoSpaceDE w:val="0"/>
              <w:autoSpaceDN w:val="0"/>
              <w:adjustRightInd w:val="0"/>
              <w:snapToGrid w:val="0"/>
              <w:jc w:val="center"/>
              <w:textAlignment w:val="center"/>
              <w:rPr>
                <w:rFonts w:cs="宋体"/>
                <w:color w:val="000000"/>
                <w:szCs w:val="21"/>
              </w:rPr>
            </w:pPr>
            <w:r>
              <w:rPr>
                <w:rFonts w:hint="eastAsia" w:cs="宋体"/>
                <w:snapToGrid w:val="0"/>
                <w:color w:val="000000"/>
                <w:kern w:val="0"/>
                <w:szCs w:val="21"/>
                <w:lang w:bidi="ar"/>
              </w:rPr>
              <w:t>394</w:t>
            </w:r>
          </w:p>
        </w:tc>
      </w:tr>
    </w:tbl>
    <w:p w14:paraId="27206188">
      <w:pPr>
        <w:spacing w:line="360" w:lineRule="auto"/>
        <w:ind w:firstLine="482" w:firstLineChars="200"/>
        <w:rPr>
          <w:b/>
          <w:sz w:val="24"/>
        </w:rPr>
      </w:pPr>
      <w:r>
        <w:rPr>
          <w:rFonts w:hint="eastAsia"/>
          <w:b/>
          <w:sz w:val="24"/>
        </w:rPr>
        <w:t>第二条 合同价格</w:t>
      </w:r>
    </w:p>
    <w:p w14:paraId="204A7267">
      <w:pPr>
        <w:spacing w:line="360" w:lineRule="auto"/>
        <w:ind w:firstLine="480" w:firstLineChars="200"/>
        <w:rPr>
          <w:sz w:val="24"/>
        </w:rPr>
      </w:pPr>
      <w:r>
        <w:rPr>
          <w:rFonts w:hint="eastAsia"/>
          <w:sz w:val="24"/>
        </w:rPr>
        <w:t>合同总价为人民币</w:t>
      </w:r>
      <w:r>
        <w:rPr>
          <w:rFonts w:hint="eastAsia"/>
          <w:sz w:val="24"/>
          <w:u w:val="single"/>
        </w:rPr>
        <w:t xml:space="preserve">            </w:t>
      </w:r>
      <w:r>
        <w:rPr>
          <w:rFonts w:hint="eastAsia"/>
          <w:sz w:val="24"/>
        </w:rPr>
        <w:t>元(大写:</w:t>
      </w:r>
      <w:r>
        <w:rPr>
          <w:rFonts w:hint="eastAsia"/>
          <w:sz w:val="24"/>
          <w:u w:val="single"/>
        </w:rPr>
        <w:t xml:space="preserve">                         </w:t>
      </w:r>
      <w:r>
        <w:rPr>
          <w:rFonts w:hint="eastAsia"/>
          <w:sz w:val="24"/>
        </w:rPr>
        <w:t>)。本合同价款包含采购服务的费用和所需缴纳的所有税费。</w:t>
      </w:r>
    </w:p>
    <w:p w14:paraId="6313A4A5">
      <w:pPr>
        <w:spacing w:line="360" w:lineRule="auto"/>
        <w:ind w:firstLine="482" w:firstLineChars="200"/>
        <w:rPr>
          <w:b/>
          <w:sz w:val="24"/>
        </w:rPr>
      </w:pPr>
      <w:r>
        <w:rPr>
          <w:rFonts w:hint="eastAsia"/>
          <w:b/>
          <w:sz w:val="24"/>
        </w:rPr>
        <w:t>第三条 支付方式</w:t>
      </w:r>
    </w:p>
    <w:p w14:paraId="03A035DF">
      <w:pPr>
        <w:tabs>
          <w:tab w:val="left" w:pos="2400"/>
          <w:tab w:val="left" w:pos="2700"/>
          <w:tab w:val="left" w:pos="3000"/>
          <w:tab w:val="left" w:pos="3300"/>
          <w:tab w:val="left" w:pos="3600"/>
        </w:tabs>
        <w:spacing w:line="360" w:lineRule="auto"/>
        <w:ind w:firstLine="480" w:firstLineChars="200"/>
        <w:rPr>
          <w:sz w:val="24"/>
        </w:rPr>
      </w:pPr>
      <w:r>
        <w:rPr>
          <w:sz w:val="24"/>
        </w:rPr>
        <w:t>（1）本合同生效后</w:t>
      </w:r>
      <w:r>
        <w:rPr>
          <w:rFonts w:hint="eastAsia"/>
          <w:sz w:val="24"/>
          <w:u w:val="single"/>
        </w:rPr>
        <w:t>10</w:t>
      </w:r>
      <w:r>
        <w:rPr>
          <w:sz w:val="24"/>
        </w:rPr>
        <w:t>个工作日内，甲方预付合同总价款的</w:t>
      </w:r>
      <w:r>
        <w:rPr>
          <w:rFonts w:hint="eastAsia"/>
          <w:sz w:val="24"/>
          <w:u w:val="single"/>
        </w:rPr>
        <w:t>50</w:t>
      </w:r>
      <w:r>
        <w:rPr>
          <w:sz w:val="24"/>
        </w:rPr>
        <w:t>%，即人民币（大写）</w:t>
      </w:r>
      <w:r>
        <w:rPr>
          <w:sz w:val="24"/>
          <w:u w:val="single"/>
        </w:rPr>
        <w:t xml:space="preserve"> </w:t>
      </w:r>
      <w:r>
        <w:rPr>
          <w:rFonts w:hint="eastAsia"/>
          <w:sz w:val="24"/>
          <w:u w:val="single"/>
        </w:rPr>
        <w:t xml:space="preserve">                  </w:t>
      </w:r>
      <w:r>
        <w:rPr>
          <w:sz w:val="24"/>
          <w:u w:val="single"/>
        </w:rPr>
        <w:t xml:space="preserve"> </w:t>
      </w:r>
      <w:r>
        <w:rPr>
          <w:sz w:val="24"/>
        </w:rPr>
        <w:t>元整（￥</w:t>
      </w:r>
      <w:r>
        <w:rPr>
          <w:sz w:val="24"/>
          <w:u w:val="single"/>
        </w:rPr>
        <w:t xml:space="preserve"> </w:t>
      </w:r>
      <w:r>
        <w:rPr>
          <w:rFonts w:hint="eastAsia"/>
          <w:sz w:val="24"/>
          <w:u w:val="single"/>
        </w:rPr>
        <w:t xml:space="preserve">    </w:t>
      </w:r>
      <w:r>
        <w:rPr>
          <w:sz w:val="24"/>
          <w:u w:val="single"/>
        </w:rPr>
        <w:t xml:space="preserve"> </w:t>
      </w:r>
      <w:r>
        <w:rPr>
          <w:sz w:val="24"/>
        </w:rPr>
        <w:t>元整）。</w:t>
      </w:r>
    </w:p>
    <w:p w14:paraId="343F5D04">
      <w:pPr>
        <w:tabs>
          <w:tab w:val="left" w:pos="2400"/>
          <w:tab w:val="left" w:pos="2700"/>
          <w:tab w:val="left" w:pos="3000"/>
          <w:tab w:val="left" w:pos="3300"/>
          <w:tab w:val="left" w:pos="3600"/>
        </w:tabs>
        <w:spacing w:line="360" w:lineRule="auto"/>
        <w:ind w:firstLine="480" w:firstLineChars="200"/>
        <w:rPr>
          <w:sz w:val="24"/>
        </w:rPr>
      </w:pPr>
      <w:r>
        <w:rPr>
          <w:sz w:val="24"/>
        </w:rPr>
        <w:t>（2）</w:t>
      </w:r>
      <w:r>
        <w:rPr>
          <w:rFonts w:hint="eastAsia"/>
          <w:sz w:val="24"/>
        </w:rPr>
        <w:t>汛前一期、汛中两期人工测量完成并向采购人提交人工监测简报后</w:t>
      </w:r>
      <w:r>
        <w:rPr>
          <w:rFonts w:hint="eastAsia"/>
          <w:sz w:val="24"/>
          <w:u w:val="single"/>
        </w:rPr>
        <w:t>10</w:t>
      </w:r>
      <w:r>
        <w:rPr>
          <w:sz w:val="24"/>
        </w:rPr>
        <w:t>个工作日内，支付合同总价款的</w:t>
      </w:r>
      <w:r>
        <w:rPr>
          <w:rFonts w:hint="eastAsia"/>
          <w:sz w:val="24"/>
          <w:u w:val="single"/>
        </w:rPr>
        <w:t>30</w:t>
      </w:r>
      <w:r>
        <w:rPr>
          <w:sz w:val="24"/>
          <w:u w:val="single"/>
        </w:rPr>
        <w:t xml:space="preserve"> </w:t>
      </w:r>
      <w:r>
        <w:rPr>
          <w:sz w:val="24"/>
        </w:rPr>
        <w:t>%，即人民币（大写）</w:t>
      </w:r>
      <w:r>
        <w:rPr>
          <w:sz w:val="24"/>
          <w:u w:val="single"/>
        </w:rPr>
        <w:t xml:space="preserve"> </w:t>
      </w:r>
      <w:r>
        <w:rPr>
          <w:rFonts w:hint="eastAsia"/>
          <w:sz w:val="24"/>
          <w:u w:val="single"/>
        </w:rPr>
        <w:t xml:space="preserve">                  </w:t>
      </w:r>
      <w:r>
        <w:rPr>
          <w:sz w:val="24"/>
          <w:u w:val="single"/>
        </w:rPr>
        <w:t xml:space="preserve"> </w:t>
      </w:r>
      <w:r>
        <w:rPr>
          <w:sz w:val="24"/>
        </w:rPr>
        <w:t>元整（￥</w:t>
      </w:r>
      <w:r>
        <w:rPr>
          <w:sz w:val="24"/>
          <w:u w:val="single"/>
        </w:rPr>
        <w:t xml:space="preserve"> </w:t>
      </w:r>
      <w:r>
        <w:rPr>
          <w:rFonts w:hint="eastAsia"/>
          <w:sz w:val="24"/>
          <w:u w:val="single"/>
        </w:rPr>
        <w:t xml:space="preserve">    </w:t>
      </w:r>
      <w:r>
        <w:rPr>
          <w:sz w:val="24"/>
          <w:u w:val="single"/>
        </w:rPr>
        <w:t xml:space="preserve"> </w:t>
      </w:r>
      <w:r>
        <w:rPr>
          <w:sz w:val="24"/>
        </w:rPr>
        <w:t>元整）。</w:t>
      </w:r>
    </w:p>
    <w:p w14:paraId="7DE03459">
      <w:pPr>
        <w:tabs>
          <w:tab w:val="left" w:pos="2400"/>
          <w:tab w:val="left" w:pos="2700"/>
          <w:tab w:val="left" w:pos="3000"/>
          <w:tab w:val="left" w:pos="3300"/>
          <w:tab w:val="left" w:pos="3600"/>
        </w:tabs>
        <w:spacing w:line="360" w:lineRule="auto"/>
        <w:ind w:firstLine="480" w:firstLineChars="200"/>
        <w:rPr>
          <w:sz w:val="24"/>
        </w:rPr>
      </w:pPr>
      <w:r>
        <w:rPr>
          <w:sz w:val="24"/>
        </w:rPr>
        <w:t>（</w:t>
      </w:r>
      <w:r>
        <w:rPr>
          <w:rFonts w:hint="eastAsia"/>
          <w:sz w:val="24"/>
        </w:rPr>
        <w:t>3</w:t>
      </w:r>
      <w:r>
        <w:rPr>
          <w:sz w:val="24"/>
        </w:rPr>
        <w:t>）</w:t>
      </w:r>
      <w:r>
        <w:rPr>
          <w:rFonts w:hint="eastAsia"/>
          <w:sz w:val="24"/>
        </w:rPr>
        <w:t>本次采购全部工作内容验收合格后</w:t>
      </w:r>
      <w:r>
        <w:rPr>
          <w:rFonts w:hint="eastAsia"/>
          <w:sz w:val="24"/>
          <w:u w:val="single"/>
        </w:rPr>
        <w:t>10</w:t>
      </w:r>
      <w:r>
        <w:rPr>
          <w:sz w:val="24"/>
        </w:rPr>
        <w:t>个工作日内，支付剩余</w:t>
      </w:r>
      <w:r>
        <w:rPr>
          <w:rFonts w:hint="eastAsia"/>
          <w:sz w:val="24"/>
          <w:u w:val="single"/>
        </w:rPr>
        <w:t>20</w:t>
      </w:r>
      <w:r>
        <w:rPr>
          <w:sz w:val="24"/>
        </w:rPr>
        <w:t>%</w:t>
      </w:r>
      <w:r>
        <w:rPr>
          <w:rFonts w:hint="eastAsia"/>
          <w:sz w:val="24"/>
        </w:rPr>
        <w:t>合同款，即人民币（大写）</w:t>
      </w:r>
      <w:r>
        <w:rPr>
          <w:sz w:val="24"/>
          <w:u w:val="single"/>
        </w:rPr>
        <w:t xml:space="preserve"> </w:t>
      </w:r>
      <w:r>
        <w:rPr>
          <w:rFonts w:hint="eastAsia"/>
          <w:sz w:val="24"/>
          <w:u w:val="single"/>
        </w:rPr>
        <w:t xml:space="preserve">                  </w:t>
      </w:r>
      <w:r>
        <w:rPr>
          <w:sz w:val="24"/>
          <w:u w:val="single"/>
        </w:rPr>
        <w:t xml:space="preserve"> </w:t>
      </w:r>
      <w:r>
        <w:rPr>
          <w:sz w:val="24"/>
        </w:rPr>
        <w:t>元整（￥</w:t>
      </w:r>
      <w:r>
        <w:rPr>
          <w:sz w:val="24"/>
          <w:u w:val="single"/>
        </w:rPr>
        <w:t xml:space="preserve"> </w:t>
      </w:r>
      <w:r>
        <w:rPr>
          <w:rFonts w:hint="eastAsia"/>
          <w:sz w:val="24"/>
          <w:u w:val="single"/>
        </w:rPr>
        <w:t xml:space="preserve">    </w:t>
      </w:r>
      <w:r>
        <w:rPr>
          <w:sz w:val="24"/>
          <w:u w:val="single"/>
        </w:rPr>
        <w:t xml:space="preserve"> </w:t>
      </w:r>
      <w:r>
        <w:rPr>
          <w:sz w:val="24"/>
        </w:rPr>
        <w:t>元整）。</w:t>
      </w:r>
    </w:p>
    <w:p w14:paraId="1D4528A1">
      <w:pPr>
        <w:tabs>
          <w:tab w:val="left" w:pos="2400"/>
          <w:tab w:val="left" w:pos="2700"/>
          <w:tab w:val="left" w:pos="3000"/>
          <w:tab w:val="left" w:pos="3300"/>
          <w:tab w:val="left" w:pos="3600"/>
        </w:tabs>
        <w:spacing w:line="360" w:lineRule="auto"/>
        <w:ind w:firstLine="480" w:firstLineChars="200"/>
        <w:rPr>
          <w:sz w:val="24"/>
        </w:rPr>
      </w:pPr>
      <w:r>
        <w:rPr>
          <w:rFonts w:hint="eastAsia"/>
          <w:sz w:val="24"/>
        </w:rPr>
        <w:t>甲方每次支付乙方款项前，乙方需提供国家承认的等额有效发票。</w:t>
      </w:r>
    </w:p>
    <w:p w14:paraId="01346A5B">
      <w:pPr>
        <w:tabs>
          <w:tab w:val="left" w:pos="2400"/>
          <w:tab w:val="left" w:pos="2700"/>
          <w:tab w:val="left" w:pos="3000"/>
          <w:tab w:val="left" w:pos="3300"/>
          <w:tab w:val="left" w:pos="3600"/>
        </w:tabs>
        <w:spacing w:line="360" w:lineRule="auto"/>
        <w:ind w:firstLine="480" w:firstLineChars="200"/>
        <w:rPr>
          <w:sz w:val="24"/>
        </w:rPr>
      </w:pPr>
      <w:r>
        <w:rPr>
          <w:rFonts w:hint="eastAsia"/>
          <w:sz w:val="24"/>
        </w:rPr>
        <w:t>该项目的经费支付受财政拨款的限制，根据实际情况甲方有权调整支付金额及支付次数、方式等。在政府财政资金未足额拨付到甲方账户前，甲方不承担任何延迟付款的违约责任。</w:t>
      </w:r>
    </w:p>
    <w:p w14:paraId="52E0CB92">
      <w:pPr>
        <w:spacing w:line="360" w:lineRule="auto"/>
        <w:ind w:firstLine="482" w:firstLineChars="200"/>
        <w:rPr>
          <w:b/>
          <w:sz w:val="24"/>
        </w:rPr>
      </w:pPr>
      <w:r>
        <w:rPr>
          <w:rFonts w:hint="eastAsia"/>
          <w:b/>
          <w:sz w:val="24"/>
        </w:rPr>
        <w:t>第四条 项目工期、质保期</w:t>
      </w:r>
    </w:p>
    <w:p w14:paraId="14EE87D2">
      <w:pPr>
        <w:tabs>
          <w:tab w:val="left" w:pos="2400"/>
          <w:tab w:val="left" w:pos="2700"/>
          <w:tab w:val="left" w:pos="3000"/>
          <w:tab w:val="left" w:pos="3300"/>
          <w:tab w:val="left" w:pos="3600"/>
        </w:tabs>
        <w:spacing w:line="360" w:lineRule="auto"/>
        <w:ind w:firstLine="480" w:firstLineChars="200"/>
        <w:rPr>
          <w:sz w:val="24"/>
        </w:rPr>
      </w:pPr>
      <w:bookmarkStart w:id="883" w:name="_Hlk157697451"/>
      <w:r>
        <w:rPr>
          <w:sz w:val="24"/>
        </w:rPr>
        <w:t>1</w:t>
      </w:r>
      <w:r>
        <w:rPr>
          <w:rFonts w:hint="eastAsia"/>
          <w:sz w:val="24"/>
        </w:rPr>
        <w:t>、乙方须于合同签订之日起</w:t>
      </w:r>
      <w:r>
        <w:rPr>
          <w:sz w:val="24"/>
        </w:rPr>
        <w:t>10</w:t>
      </w:r>
      <w:r>
        <w:rPr>
          <w:rFonts w:hint="eastAsia"/>
          <w:sz w:val="24"/>
        </w:rPr>
        <w:t>个工作日内完成项目的工作方案并提交甲方审查，经甲方审查合格后方能开始实施；</w:t>
      </w:r>
    </w:p>
    <w:p w14:paraId="1DDD31D2">
      <w:pPr>
        <w:tabs>
          <w:tab w:val="left" w:pos="2400"/>
          <w:tab w:val="left" w:pos="2700"/>
          <w:tab w:val="left" w:pos="3000"/>
          <w:tab w:val="left" w:pos="3300"/>
          <w:tab w:val="left" w:pos="3600"/>
        </w:tabs>
        <w:spacing w:line="360" w:lineRule="auto"/>
        <w:ind w:firstLine="480" w:firstLineChars="200"/>
        <w:rPr>
          <w:sz w:val="24"/>
        </w:rPr>
      </w:pPr>
      <w:r>
        <w:rPr>
          <w:sz w:val="24"/>
        </w:rPr>
        <w:t>2</w:t>
      </w:r>
      <w:r>
        <w:rPr>
          <w:rFonts w:hint="eastAsia"/>
          <w:sz w:val="24"/>
        </w:rPr>
        <w:t>、乙方须于</w:t>
      </w:r>
      <w:r>
        <w:rPr>
          <w:sz w:val="24"/>
        </w:rPr>
        <w:t>202</w:t>
      </w:r>
      <w:r>
        <w:rPr>
          <w:rFonts w:hint="eastAsia"/>
          <w:sz w:val="24"/>
        </w:rPr>
        <w:t>6年</w:t>
      </w:r>
      <w:r>
        <w:rPr>
          <w:sz w:val="24"/>
        </w:rPr>
        <w:t>5</w:t>
      </w:r>
      <w:r>
        <w:rPr>
          <w:rFonts w:hint="eastAsia"/>
          <w:sz w:val="24"/>
        </w:rPr>
        <w:t>月</w:t>
      </w:r>
      <w:r>
        <w:rPr>
          <w:sz w:val="24"/>
        </w:rPr>
        <w:t>31</w:t>
      </w:r>
      <w:r>
        <w:rPr>
          <w:rFonts w:hint="eastAsia"/>
          <w:sz w:val="24"/>
        </w:rPr>
        <w:t>日前、7月31日前、8月31日前、10月31日前分别完成12处采空塌陷区四期一等水准测量并向甲方提交四期人工监测简报；</w:t>
      </w:r>
    </w:p>
    <w:p w14:paraId="49CD1769">
      <w:pPr>
        <w:tabs>
          <w:tab w:val="left" w:pos="2400"/>
          <w:tab w:val="left" w:pos="2700"/>
          <w:tab w:val="left" w:pos="3000"/>
          <w:tab w:val="left" w:pos="3300"/>
          <w:tab w:val="left" w:pos="3600"/>
        </w:tabs>
        <w:spacing w:line="360" w:lineRule="auto"/>
        <w:ind w:firstLine="480" w:firstLineChars="200"/>
        <w:rPr>
          <w:sz w:val="24"/>
        </w:rPr>
      </w:pPr>
      <w:r>
        <w:rPr>
          <w:sz w:val="24"/>
        </w:rPr>
        <w:t>3</w:t>
      </w:r>
      <w:r>
        <w:rPr>
          <w:rFonts w:hint="eastAsia"/>
          <w:sz w:val="24"/>
        </w:rPr>
        <w:t>、乙方须于</w:t>
      </w:r>
      <w:r>
        <w:rPr>
          <w:sz w:val="24"/>
        </w:rPr>
        <w:t>202</w:t>
      </w:r>
      <w:r>
        <w:rPr>
          <w:rFonts w:hint="eastAsia"/>
          <w:sz w:val="24"/>
        </w:rPr>
        <w:t>6年</w:t>
      </w:r>
      <w:r>
        <w:rPr>
          <w:sz w:val="24"/>
        </w:rPr>
        <w:t>1</w:t>
      </w:r>
      <w:r>
        <w:rPr>
          <w:rFonts w:hint="eastAsia"/>
          <w:sz w:val="24"/>
        </w:rPr>
        <w:t>1月</w:t>
      </w:r>
      <w:r>
        <w:rPr>
          <w:sz w:val="24"/>
        </w:rPr>
        <w:t>3</w:t>
      </w:r>
      <w:r>
        <w:rPr>
          <w:rFonts w:hint="eastAsia"/>
          <w:sz w:val="24"/>
        </w:rPr>
        <w:t>0日前完成全部工作内容并经甲方验收合格；</w:t>
      </w:r>
    </w:p>
    <w:p w14:paraId="5C07F3FB">
      <w:pPr>
        <w:tabs>
          <w:tab w:val="left" w:pos="2400"/>
          <w:tab w:val="left" w:pos="2700"/>
          <w:tab w:val="left" w:pos="3000"/>
          <w:tab w:val="left" w:pos="3300"/>
          <w:tab w:val="left" w:pos="3600"/>
        </w:tabs>
        <w:spacing w:line="360" w:lineRule="auto"/>
        <w:ind w:firstLine="480" w:firstLineChars="200"/>
        <w:rPr>
          <w:sz w:val="24"/>
        </w:rPr>
      </w:pPr>
      <w:r>
        <w:rPr>
          <w:sz w:val="24"/>
        </w:rPr>
        <w:t>4</w:t>
      </w:r>
      <w:r>
        <w:rPr>
          <w:rFonts w:hint="eastAsia"/>
          <w:sz w:val="24"/>
        </w:rPr>
        <w:t>、乙方须配合甲方完成中期绩效、年终绩效、项目验收、财务审计以及资料汇交等工作。</w:t>
      </w:r>
      <w:bookmarkEnd w:id="883"/>
    </w:p>
    <w:p w14:paraId="3827C00C">
      <w:pPr>
        <w:tabs>
          <w:tab w:val="left" w:pos="2400"/>
          <w:tab w:val="left" w:pos="2700"/>
          <w:tab w:val="left" w:pos="3000"/>
          <w:tab w:val="left" w:pos="3300"/>
          <w:tab w:val="left" w:pos="3600"/>
        </w:tabs>
        <w:spacing w:line="360" w:lineRule="auto"/>
        <w:ind w:firstLine="482" w:firstLineChars="200"/>
        <w:rPr>
          <w:b/>
          <w:sz w:val="24"/>
        </w:rPr>
      </w:pPr>
      <w:r>
        <w:rPr>
          <w:rFonts w:hint="eastAsia"/>
          <w:b/>
          <w:sz w:val="24"/>
        </w:rPr>
        <w:t>第五条 合同的履行期限、地点</w:t>
      </w:r>
    </w:p>
    <w:p w14:paraId="67FF5A5C">
      <w:pPr>
        <w:tabs>
          <w:tab w:val="left" w:pos="2400"/>
          <w:tab w:val="left" w:pos="2700"/>
          <w:tab w:val="left" w:pos="3000"/>
          <w:tab w:val="left" w:pos="3300"/>
          <w:tab w:val="left" w:pos="3600"/>
        </w:tabs>
        <w:spacing w:line="360" w:lineRule="auto"/>
        <w:ind w:firstLine="480" w:firstLineChars="200"/>
        <w:rPr>
          <w:sz w:val="24"/>
        </w:rPr>
      </w:pPr>
      <w:r>
        <w:rPr>
          <w:rFonts w:hint="eastAsia"/>
          <w:sz w:val="24"/>
        </w:rPr>
        <w:t>本合同自签订之日至</w:t>
      </w:r>
      <w:r>
        <w:rPr>
          <w:rFonts w:hint="eastAsia"/>
          <w:sz w:val="24"/>
          <w:u w:val="single"/>
        </w:rPr>
        <w:t xml:space="preserve"> 2026 </w:t>
      </w:r>
      <w:r>
        <w:rPr>
          <w:rFonts w:hint="eastAsia"/>
          <w:sz w:val="24"/>
        </w:rPr>
        <w:t>年</w:t>
      </w:r>
      <w:r>
        <w:rPr>
          <w:rFonts w:hint="eastAsia"/>
          <w:sz w:val="24"/>
          <w:u w:val="single"/>
        </w:rPr>
        <w:t xml:space="preserve"> 12 </w:t>
      </w:r>
      <w:r>
        <w:rPr>
          <w:rFonts w:hint="eastAsia"/>
          <w:sz w:val="24"/>
        </w:rPr>
        <w:t>月</w:t>
      </w:r>
      <w:r>
        <w:rPr>
          <w:rFonts w:hint="eastAsia"/>
          <w:sz w:val="24"/>
          <w:u w:val="single"/>
        </w:rPr>
        <w:t xml:space="preserve"> 31 </w:t>
      </w:r>
      <w:r>
        <w:rPr>
          <w:rFonts w:hint="eastAsia"/>
          <w:sz w:val="24"/>
        </w:rPr>
        <w:t>日在</w:t>
      </w:r>
      <w:r>
        <w:rPr>
          <w:rFonts w:hint="eastAsia"/>
          <w:sz w:val="24"/>
          <w:u w:val="single"/>
        </w:rPr>
        <w:t xml:space="preserve"> 北京 </w:t>
      </w:r>
      <w:r>
        <w:rPr>
          <w:rFonts w:hint="eastAsia"/>
          <w:sz w:val="24"/>
        </w:rPr>
        <w:t>履行。</w:t>
      </w:r>
    </w:p>
    <w:p w14:paraId="4A3A58A2">
      <w:pPr>
        <w:tabs>
          <w:tab w:val="left" w:pos="2400"/>
          <w:tab w:val="left" w:pos="2700"/>
          <w:tab w:val="left" w:pos="3000"/>
          <w:tab w:val="left" w:pos="3300"/>
          <w:tab w:val="left" w:pos="3600"/>
        </w:tabs>
        <w:spacing w:line="360" w:lineRule="auto"/>
        <w:ind w:firstLine="482" w:firstLineChars="200"/>
        <w:rPr>
          <w:b/>
          <w:sz w:val="24"/>
        </w:rPr>
      </w:pPr>
      <w:r>
        <w:rPr>
          <w:rFonts w:hint="eastAsia"/>
          <w:b/>
          <w:sz w:val="24"/>
        </w:rPr>
        <w:t>第六条 成果的提交和验收</w:t>
      </w:r>
    </w:p>
    <w:p w14:paraId="3B671731">
      <w:pPr>
        <w:tabs>
          <w:tab w:val="left" w:pos="2400"/>
          <w:tab w:val="left" w:pos="2700"/>
          <w:tab w:val="left" w:pos="3000"/>
          <w:tab w:val="left" w:pos="3300"/>
          <w:tab w:val="left" w:pos="3600"/>
        </w:tabs>
        <w:spacing w:line="360" w:lineRule="auto"/>
        <w:ind w:firstLine="480" w:firstLineChars="200"/>
        <w:rPr>
          <w:sz w:val="24"/>
        </w:rPr>
      </w:pPr>
      <w:r>
        <w:rPr>
          <w:rFonts w:hint="eastAsia"/>
          <w:sz w:val="24"/>
        </w:rPr>
        <w:t>1、乙方向甲方提交的成果如下:</w:t>
      </w:r>
    </w:p>
    <w:p w14:paraId="7CF1928E">
      <w:pPr>
        <w:tabs>
          <w:tab w:val="left" w:pos="2400"/>
          <w:tab w:val="left" w:pos="2700"/>
          <w:tab w:val="left" w:pos="3000"/>
          <w:tab w:val="left" w:pos="3300"/>
          <w:tab w:val="left" w:pos="3600"/>
        </w:tabs>
        <w:spacing w:line="360" w:lineRule="auto"/>
        <w:ind w:firstLine="480" w:firstLineChars="200"/>
        <w:rPr>
          <w:sz w:val="24"/>
        </w:rPr>
      </w:pPr>
      <w:r>
        <w:rPr>
          <w:rFonts w:hint="eastAsia"/>
          <w:sz w:val="24"/>
        </w:rPr>
        <w:t>（1）</w:t>
      </w:r>
      <w:r>
        <w:rPr>
          <w:sz w:val="24"/>
        </w:rPr>
        <w:t>工作方案</w:t>
      </w:r>
      <w:r>
        <w:rPr>
          <w:rFonts w:hint="eastAsia"/>
          <w:sz w:val="24"/>
        </w:rPr>
        <w:t>;</w:t>
      </w:r>
    </w:p>
    <w:p w14:paraId="5A905708">
      <w:pPr>
        <w:tabs>
          <w:tab w:val="left" w:pos="2400"/>
          <w:tab w:val="left" w:pos="2700"/>
          <w:tab w:val="left" w:pos="3000"/>
          <w:tab w:val="left" w:pos="3300"/>
          <w:tab w:val="left" w:pos="3600"/>
        </w:tabs>
        <w:spacing w:line="360" w:lineRule="auto"/>
        <w:ind w:firstLine="480" w:firstLineChars="200"/>
        <w:rPr>
          <w:sz w:val="24"/>
        </w:rPr>
      </w:pPr>
      <w:r>
        <w:rPr>
          <w:rFonts w:hint="eastAsia"/>
          <w:sz w:val="24"/>
        </w:rPr>
        <w:t>（2）</w:t>
      </w:r>
      <w:r>
        <w:rPr>
          <w:sz w:val="24"/>
        </w:rPr>
        <w:t>成果报告</w:t>
      </w:r>
      <w:r>
        <w:rPr>
          <w:rFonts w:hint="eastAsia"/>
          <w:sz w:val="24"/>
        </w:rPr>
        <w:t>；</w:t>
      </w:r>
    </w:p>
    <w:p w14:paraId="6E67BB13">
      <w:pPr>
        <w:tabs>
          <w:tab w:val="left" w:pos="2400"/>
          <w:tab w:val="left" w:pos="2700"/>
          <w:tab w:val="left" w:pos="3000"/>
          <w:tab w:val="left" w:pos="3300"/>
          <w:tab w:val="left" w:pos="3600"/>
        </w:tabs>
        <w:spacing w:line="360" w:lineRule="auto"/>
        <w:ind w:firstLine="480" w:firstLineChars="200"/>
        <w:rPr>
          <w:sz w:val="24"/>
        </w:rPr>
      </w:pPr>
      <w:r>
        <w:rPr>
          <w:sz w:val="24"/>
        </w:rPr>
        <w:t>（3）野外原始记录</w:t>
      </w:r>
    </w:p>
    <w:p w14:paraId="1C80BAB2">
      <w:pPr>
        <w:tabs>
          <w:tab w:val="left" w:pos="2400"/>
          <w:tab w:val="left" w:pos="2700"/>
          <w:tab w:val="left" w:pos="3000"/>
          <w:tab w:val="left" w:pos="3300"/>
          <w:tab w:val="left" w:pos="3600"/>
        </w:tabs>
        <w:spacing w:line="360" w:lineRule="auto"/>
        <w:ind w:firstLine="480" w:firstLineChars="200"/>
        <w:rPr>
          <w:sz w:val="24"/>
        </w:rPr>
      </w:pPr>
      <w:r>
        <w:rPr>
          <w:rFonts w:hint="eastAsia"/>
          <w:sz w:val="24"/>
        </w:rPr>
        <w:t>（</w:t>
      </w:r>
      <w:r>
        <w:rPr>
          <w:sz w:val="24"/>
        </w:rPr>
        <w:t>4</w:t>
      </w:r>
      <w:r>
        <w:rPr>
          <w:rFonts w:hint="eastAsia"/>
          <w:sz w:val="24"/>
        </w:rPr>
        <w:t>）其他需提交甲方的资料。</w:t>
      </w:r>
    </w:p>
    <w:p w14:paraId="1186FCA2">
      <w:pPr>
        <w:tabs>
          <w:tab w:val="left" w:pos="2400"/>
          <w:tab w:val="left" w:pos="2700"/>
          <w:tab w:val="left" w:pos="3000"/>
          <w:tab w:val="left" w:pos="3300"/>
          <w:tab w:val="left" w:pos="3600"/>
        </w:tabs>
        <w:spacing w:line="360" w:lineRule="auto"/>
        <w:ind w:firstLine="480" w:firstLineChars="200"/>
        <w:rPr>
          <w:sz w:val="24"/>
        </w:rPr>
      </w:pPr>
      <w:r>
        <w:rPr>
          <w:rFonts w:hint="eastAsia"/>
          <w:sz w:val="24"/>
        </w:rPr>
        <w:t>2、交付的形式及数量:</w:t>
      </w:r>
    </w:p>
    <w:p w14:paraId="02968EA6">
      <w:pPr>
        <w:tabs>
          <w:tab w:val="left" w:pos="2400"/>
          <w:tab w:val="left" w:pos="2700"/>
          <w:tab w:val="left" w:pos="3000"/>
          <w:tab w:val="left" w:pos="3300"/>
          <w:tab w:val="left" w:pos="3600"/>
        </w:tabs>
        <w:spacing w:line="360" w:lineRule="auto"/>
        <w:ind w:firstLine="480" w:firstLineChars="200"/>
        <w:rPr>
          <w:sz w:val="24"/>
        </w:rPr>
      </w:pPr>
      <w:r>
        <w:rPr>
          <w:sz w:val="24"/>
        </w:rPr>
        <w:t>项目</w:t>
      </w:r>
      <w:r>
        <w:rPr>
          <w:rFonts w:hint="eastAsia"/>
          <w:sz w:val="24"/>
        </w:rPr>
        <w:t>资料以</w:t>
      </w:r>
      <w:r>
        <w:rPr>
          <w:sz w:val="24"/>
        </w:rPr>
        <w:t>电子版</w:t>
      </w:r>
      <w:r>
        <w:rPr>
          <w:rFonts w:hint="eastAsia"/>
          <w:sz w:val="24"/>
        </w:rPr>
        <w:t>和纸质版的形式提交。纸质版数量根据项目考核和资料汇交要求确定。</w:t>
      </w:r>
    </w:p>
    <w:p w14:paraId="64EB27D5">
      <w:pPr>
        <w:tabs>
          <w:tab w:val="left" w:pos="2400"/>
          <w:tab w:val="left" w:pos="2700"/>
          <w:tab w:val="left" w:pos="3000"/>
          <w:tab w:val="left" w:pos="3300"/>
          <w:tab w:val="left" w:pos="3600"/>
        </w:tabs>
        <w:spacing w:line="360" w:lineRule="auto"/>
        <w:ind w:firstLine="480" w:firstLineChars="200"/>
        <w:rPr>
          <w:sz w:val="24"/>
        </w:rPr>
      </w:pPr>
      <w:r>
        <w:rPr>
          <w:rFonts w:hint="eastAsia"/>
          <w:sz w:val="24"/>
        </w:rPr>
        <w:t>3、验收方式:</w:t>
      </w:r>
    </w:p>
    <w:p w14:paraId="2C63F2B2">
      <w:pPr>
        <w:tabs>
          <w:tab w:val="left" w:pos="2400"/>
          <w:tab w:val="left" w:pos="2700"/>
          <w:tab w:val="left" w:pos="3000"/>
          <w:tab w:val="left" w:pos="3300"/>
          <w:tab w:val="left" w:pos="3600"/>
        </w:tabs>
        <w:spacing w:line="360" w:lineRule="auto"/>
        <w:ind w:firstLine="480" w:firstLineChars="200"/>
        <w:rPr>
          <w:sz w:val="24"/>
        </w:rPr>
      </w:pPr>
      <w:r>
        <w:rPr>
          <w:rFonts w:hint="eastAsia"/>
          <w:sz w:val="24"/>
        </w:rPr>
        <w:t>（1</w:t>
      </w:r>
      <w:r>
        <w:rPr>
          <w:sz w:val="24"/>
        </w:rPr>
        <w:t>）收到乙方</w:t>
      </w:r>
      <w:r>
        <w:rPr>
          <w:rFonts w:hint="eastAsia"/>
          <w:sz w:val="24"/>
        </w:rPr>
        <w:t>提交</w:t>
      </w:r>
      <w:r>
        <w:rPr>
          <w:sz w:val="24"/>
        </w:rPr>
        <w:t>的</w:t>
      </w:r>
      <w:r>
        <w:rPr>
          <w:rFonts w:hint="eastAsia"/>
          <w:sz w:val="24"/>
        </w:rPr>
        <w:t>工作方案后</w:t>
      </w:r>
      <w:r>
        <w:rPr>
          <w:sz w:val="24"/>
        </w:rPr>
        <w:t>，甲方</w:t>
      </w:r>
      <w:r>
        <w:rPr>
          <w:rFonts w:hint="eastAsia"/>
          <w:sz w:val="24"/>
        </w:rPr>
        <w:t>组织专家进行评审，评审通过后方可根据工作方案组织实施；</w:t>
      </w:r>
    </w:p>
    <w:p w14:paraId="116258C1">
      <w:pPr>
        <w:tabs>
          <w:tab w:val="left" w:pos="2400"/>
          <w:tab w:val="left" w:pos="2700"/>
          <w:tab w:val="left" w:pos="3000"/>
          <w:tab w:val="left" w:pos="3300"/>
          <w:tab w:val="left" w:pos="3600"/>
        </w:tabs>
        <w:spacing w:line="360" w:lineRule="auto"/>
        <w:ind w:firstLine="480" w:firstLineChars="200"/>
        <w:rPr>
          <w:sz w:val="24"/>
        </w:rPr>
      </w:pPr>
      <w:r>
        <w:rPr>
          <w:rFonts w:hint="eastAsia"/>
          <w:sz w:val="24"/>
        </w:rPr>
        <w:t>（2）根据招标文件、本合同和工作方案的约定以及有关的规范标准，甲方组织专家对项目野外资料和成果报告进行验收。</w:t>
      </w:r>
    </w:p>
    <w:p w14:paraId="04F39F89">
      <w:pPr>
        <w:tabs>
          <w:tab w:val="left" w:pos="2400"/>
          <w:tab w:val="left" w:pos="2700"/>
          <w:tab w:val="left" w:pos="3000"/>
          <w:tab w:val="left" w:pos="3300"/>
          <w:tab w:val="left" w:pos="3600"/>
        </w:tabs>
        <w:spacing w:line="360" w:lineRule="auto"/>
        <w:ind w:firstLine="482" w:firstLineChars="200"/>
        <w:rPr>
          <w:b/>
          <w:sz w:val="24"/>
        </w:rPr>
      </w:pPr>
      <w:r>
        <w:rPr>
          <w:rFonts w:hint="eastAsia"/>
          <w:b/>
          <w:sz w:val="24"/>
        </w:rPr>
        <w:t>第七条 保密约定</w:t>
      </w:r>
    </w:p>
    <w:p w14:paraId="113BFFD2">
      <w:pPr>
        <w:tabs>
          <w:tab w:val="left" w:pos="2400"/>
          <w:tab w:val="left" w:pos="2700"/>
          <w:tab w:val="left" w:pos="3000"/>
          <w:tab w:val="left" w:pos="3300"/>
          <w:tab w:val="left" w:pos="3600"/>
        </w:tabs>
        <w:spacing w:line="360" w:lineRule="auto"/>
        <w:ind w:firstLine="480" w:firstLineChars="200"/>
        <w:rPr>
          <w:sz w:val="24"/>
        </w:rPr>
      </w:pPr>
      <w:r>
        <w:rPr>
          <w:rFonts w:hint="eastAsia"/>
          <w:sz w:val="24"/>
        </w:rPr>
        <w:t>1、除法律规定或合同另有约定外，甲乙双方均对对方的技术情报和资料承担保密义务，未经甲方书面同意，乙方不得将技术秘密及声明需要保密的资料信息等商业秘密泄露给第三方；</w:t>
      </w:r>
    </w:p>
    <w:p w14:paraId="45D1E5D8">
      <w:pPr>
        <w:tabs>
          <w:tab w:val="left" w:pos="2400"/>
          <w:tab w:val="left" w:pos="2700"/>
          <w:tab w:val="left" w:pos="3000"/>
          <w:tab w:val="left" w:pos="3300"/>
          <w:tab w:val="left" w:pos="3600"/>
        </w:tabs>
        <w:spacing w:line="360" w:lineRule="auto"/>
        <w:ind w:firstLine="480" w:firstLineChars="200"/>
        <w:rPr>
          <w:sz w:val="24"/>
        </w:rPr>
      </w:pPr>
      <w:r>
        <w:rPr>
          <w:rFonts w:hint="eastAsia"/>
          <w:sz w:val="24"/>
        </w:rPr>
        <w:t>2、除法律规定或合同另有约定外，乙方不得将甲方提供的项目资料用于本项目之外的其他任何用途，乙方对项目产生的各种数据和成果负有保密责任。否则，甲方有权追究乙方的法律责任，并要求经济赔偿。</w:t>
      </w:r>
    </w:p>
    <w:p w14:paraId="206B5F0B">
      <w:pPr>
        <w:tabs>
          <w:tab w:val="left" w:pos="2400"/>
          <w:tab w:val="left" w:pos="2700"/>
          <w:tab w:val="left" w:pos="3000"/>
          <w:tab w:val="left" w:pos="3300"/>
          <w:tab w:val="left" w:pos="3600"/>
        </w:tabs>
        <w:spacing w:line="360" w:lineRule="auto"/>
        <w:ind w:firstLine="480" w:firstLineChars="200"/>
        <w:rPr>
          <w:sz w:val="24"/>
        </w:rPr>
      </w:pPr>
      <w:r>
        <w:rPr>
          <w:rFonts w:hint="eastAsia"/>
          <w:sz w:val="24"/>
        </w:rPr>
        <w:t>3、属国家涉密的信息应遵守国家保密规定，泄密方承担全部责任。</w:t>
      </w:r>
    </w:p>
    <w:p w14:paraId="5229FF17">
      <w:pPr>
        <w:tabs>
          <w:tab w:val="left" w:pos="2400"/>
          <w:tab w:val="left" w:pos="2700"/>
          <w:tab w:val="left" w:pos="3000"/>
          <w:tab w:val="left" w:pos="3300"/>
          <w:tab w:val="left" w:pos="3600"/>
        </w:tabs>
        <w:spacing w:line="360" w:lineRule="auto"/>
        <w:ind w:firstLine="480" w:firstLineChars="200"/>
        <w:rPr>
          <w:sz w:val="24"/>
        </w:rPr>
      </w:pPr>
      <w:r>
        <w:rPr>
          <w:rFonts w:hint="eastAsia"/>
          <w:sz w:val="24"/>
        </w:rPr>
        <w:t>4、本合同保密约定的条款独立存在、长期有效。合同的变更、解除、终止、无效或者被撤销均不影响其效力。</w:t>
      </w:r>
    </w:p>
    <w:p w14:paraId="302BE3E2">
      <w:pPr>
        <w:tabs>
          <w:tab w:val="left" w:pos="2400"/>
          <w:tab w:val="left" w:pos="2700"/>
          <w:tab w:val="left" w:pos="3000"/>
          <w:tab w:val="left" w:pos="3300"/>
          <w:tab w:val="left" w:pos="3600"/>
        </w:tabs>
        <w:spacing w:line="360" w:lineRule="auto"/>
        <w:ind w:firstLine="482" w:firstLineChars="200"/>
        <w:rPr>
          <w:b/>
          <w:sz w:val="24"/>
        </w:rPr>
      </w:pPr>
      <w:r>
        <w:rPr>
          <w:rFonts w:hint="eastAsia"/>
          <w:b/>
          <w:sz w:val="24"/>
        </w:rPr>
        <w:t>第八条 知识产权</w:t>
      </w:r>
    </w:p>
    <w:p w14:paraId="1ED2165E">
      <w:pPr>
        <w:tabs>
          <w:tab w:val="left" w:pos="2400"/>
          <w:tab w:val="left" w:pos="2700"/>
          <w:tab w:val="left" w:pos="3000"/>
          <w:tab w:val="left" w:pos="3300"/>
          <w:tab w:val="left" w:pos="3600"/>
        </w:tabs>
        <w:spacing w:line="360" w:lineRule="auto"/>
        <w:ind w:firstLine="480" w:firstLineChars="200"/>
        <w:rPr>
          <w:sz w:val="24"/>
        </w:rPr>
      </w:pPr>
      <w:r>
        <w:rPr>
          <w:rFonts w:hint="eastAsia"/>
          <w:sz w:val="24"/>
        </w:rPr>
        <w:t>1、因履行本合同所产生的成果及其相关知识产权归属甲方。</w:t>
      </w:r>
    </w:p>
    <w:p w14:paraId="7CB0CFA3">
      <w:pPr>
        <w:tabs>
          <w:tab w:val="left" w:pos="2400"/>
          <w:tab w:val="left" w:pos="2700"/>
          <w:tab w:val="left" w:pos="3000"/>
          <w:tab w:val="left" w:pos="3300"/>
          <w:tab w:val="left" w:pos="3600"/>
        </w:tabs>
        <w:spacing w:line="360" w:lineRule="auto"/>
        <w:ind w:firstLine="480" w:firstLineChars="200"/>
        <w:rPr>
          <w:sz w:val="24"/>
        </w:rPr>
      </w:pPr>
      <w:r>
        <w:rPr>
          <w:rFonts w:hint="eastAsia"/>
          <w:sz w:val="24"/>
        </w:rPr>
        <w:t>2、未经甲方书面同意，乙方不得将项目成果转让给第三人，不得将项目成果用于本项目之外的其他任何用途。否则，甲方有权追究乙方的法律责任，并要求经济赔偿。</w:t>
      </w:r>
    </w:p>
    <w:p w14:paraId="261AA8F6">
      <w:pPr>
        <w:tabs>
          <w:tab w:val="left" w:pos="2400"/>
          <w:tab w:val="left" w:pos="2700"/>
          <w:tab w:val="left" w:pos="3000"/>
          <w:tab w:val="left" w:pos="3300"/>
          <w:tab w:val="left" w:pos="3600"/>
        </w:tabs>
        <w:spacing w:line="360" w:lineRule="auto"/>
        <w:ind w:firstLine="480" w:firstLineChars="200"/>
        <w:rPr>
          <w:sz w:val="24"/>
        </w:rPr>
      </w:pPr>
      <w:r>
        <w:rPr>
          <w:rFonts w:hint="eastAsia"/>
          <w:sz w:val="24"/>
        </w:rPr>
        <w:t>3、乙方应当保证其交付给甲方的项目成果不侵犯任何第三人的合法权益。如发生第三人指控甲方实施的技术侵权的，乙方应当提供书面等形式的证据，证明乙方的技术成果无侵权行为。如经法律认定乙方有侵权行为，则由此给甲方造成的经济损失应全部由乙方承担。</w:t>
      </w:r>
    </w:p>
    <w:p w14:paraId="67D0ABDF">
      <w:pPr>
        <w:tabs>
          <w:tab w:val="left" w:pos="2400"/>
          <w:tab w:val="left" w:pos="2700"/>
          <w:tab w:val="left" w:pos="3000"/>
          <w:tab w:val="left" w:pos="3300"/>
          <w:tab w:val="left" w:pos="3600"/>
        </w:tabs>
        <w:spacing w:line="360" w:lineRule="auto"/>
        <w:ind w:firstLine="482" w:firstLineChars="200"/>
        <w:rPr>
          <w:b/>
          <w:sz w:val="24"/>
        </w:rPr>
      </w:pPr>
      <w:r>
        <w:rPr>
          <w:rFonts w:hint="eastAsia"/>
          <w:b/>
          <w:sz w:val="24"/>
        </w:rPr>
        <w:t>第九条 双方的义务</w:t>
      </w:r>
    </w:p>
    <w:p w14:paraId="4B5E874B">
      <w:pPr>
        <w:tabs>
          <w:tab w:val="left" w:pos="2400"/>
          <w:tab w:val="left" w:pos="2700"/>
          <w:tab w:val="left" w:pos="3000"/>
          <w:tab w:val="left" w:pos="3300"/>
          <w:tab w:val="left" w:pos="3600"/>
        </w:tabs>
        <w:spacing w:line="360" w:lineRule="auto"/>
        <w:ind w:firstLine="482" w:firstLineChars="200"/>
        <w:rPr>
          <w:b/>
          <w:sz w:val="24"/>
        </w:rPr>
      </w:pPr>
      <w:r>
        <w:rPr>
          <w:rFonts w:hint="eastAsia"/>
          <w:b/>
          <w:sz w:val="24"/>
        </w:rPr>
        <w:t>(一)甲方的义务</w:t>
      </w:r>
    </w:p>
    <w:p w14:paraId="047916B3">
      <w:pPr>
        <w:tabs>
          <w:tab w:val="left" w:pos="2400"/>
          <w:tab w:val="left" w:pos="2700"/>
          <w:tab w:val="left" w:pos="3000"/>
          <w:tab w:val="left" w:pos="3300"/>
          <w:tab w:val="left" w:pos="3600"/>
        </w:tabs>
        <w:spacing w:line="360" w:lineRule="auto"/>
        <w:ind w:right="-199" w:rightChars="-95" w:firstLine="480" w:firstLineChars="200"/>
        <w:rPr>
          <w:sz w:val="24"/>
        </w:rPr>
      </w:pPr>
      <w:r>
        <w:rPr>
          <w:rFonts w:hint="eastAsia"/>
          <w:sz w:val="24"/>
        </w:rPr>
        <w:t>1、甲方应为乙方提供标石安装点位、工作区基础图件等必要的项目资料；</w:t>
      </w:r>
    </w:p>
    <w:p w14:paraId="34688B53">
      <w:pPr>
        <w:tabs>
          <w:tab w:val="left" w:pos="2400"/>
          <w:tab w:val="left" w:pos="2700"/>
          <w:tab w:val="left" w:pos="3000"/>
          <w:tab w:val="left" w:pos="3300"/>
          <w:tab w:val="left" w:pos="3600"/>
        </w:tabs>
        <w:spacing w:line="360" w:lineRule="auto"/>
        <w:ind w:firstLine="480" w:firstLineChars="200"/>
        <w:rPr>
          <w:sz w:val="24"/>
        </w:rPr>
      </w:pPr>
      <w:r>
        <w:rPr>
          <w:rFonts w:hint="eastAsia"/>
          <w:sz w:val="24"/>
        </w:rPr>
        <w:t>2、甲方应委派人员协助乙方开展标石安装点位的野外踏勘工作；</w:t>
      </w:r>
    </w:p>
    <w:p w14:paraId="29B5AEC5">
      <w:pPr>
        <w:tabs>
          <w:tab w:val="left" w:pos="2400"/>
          <w:tab w:val="left" w:pos="2700"/>
          <w:tab w:val="left" w:pos="3000"/>
          <w:tab w:val="left" w:pos="3300"/>
          <w:tab w:val="left" w:pos="3600"/>
        </w:tabs>
        <w:spacing w:line="360" w:lineRule="auto"/>
        <w:ind w:firstLine="480" w:firstLineChars="200"/>
        <w:rPr>
          <w:sz w:val="24"/>
        </w:rPr>
      </w:pPr>
      <w:r>
        <w:rPr>
          <w:rFonts w:hint="eastAsia"/>
          <w:sz w:val="24"/>
        </w:rPr>
        <w:t>3、甲方应负责与项目所在地区级规自的协调，为乙方履行合同提供必要的外部条件；</w:t>
      </w:r>
    </w:p>
    <w:p w14:paraId="39FE7736">
      <w:pPr>
        <w:tabs>
          <w:tab w:val="left" w:pos="2400"/>
          <w:tab w:val="left" w:pos="2700"/>
          <w:tab w:val="left" w:pos="3000"/>
          <w:tab w:val="left" w:pos="3300"/>
          <w:tab w:val="left" w:pos="3600"/>
        </w:tabs>
        <w:spacing w:line="360" w:lineRule="auto"/>
        <w:ind w:firstLine="480" w:firstLineChars="200"/>
        <w:rPr>
          <w:sz w:val="24"/>
        </w:rPr>
      </w:pPr>
      <w:r>
        <w:rPr>
          <w:rFonts w:hint="eastAsia"/>
          <w:sz w:val="24"/>
        </w:rPr>
        <w:t>4、甲方应在10个工作日内内对乙方书面提出的事项作出书面决定或回复；</w:t>
      </w:r>
    </w:p>
    <w:p w14:paraId="72301C92">
      <w:pPr>
        <w:tabs>
          <w:tab w:val="left" w:pos="2400"/>
          <w:tab w:val="left" w:pos="2700"/>
          <w:tab w:val="left" w:pos="3000"/>
          <w:tab w:val="left" w:pos="3300"/>
          <w:tab w:val="left" w:pos="3600"/>
        </w:tabs>
        <w:spacing w:line="360" w:lineRule="auto"/>
        <w:ind w:firstLine="480" w:firstLineChars="200"/>
        <w:rPr>
          <w:sz w:val="24"/>
        </w:rPr>
      </w:pPr>
      <w:r>
        <w:rPr>
          <w:rFonts w:hint="eastAsia"/>
          <w:sz w:val="24"/>
        </w:rPr>
        <w:t>5、甲方应按本合同第三条约定在财政资金足额拨付到甲方账户后向乙方及时支付合同价款；</w:t>
      </w:r>
    </w:p>
    <w:p w14:paraId="3AC4F198">
      <w:pPr>
        <w:tabs>
          <w:tab w:val="left" w:pos="2400"/>
          <w:tab w:val="left" w:pos="2700"/>
          <w:tab w:val="left" w:pos="3000"/>
          <w:tab w:val="left" w:pos="3300"/>
          <w:tab w:val="left" w:pos="3600"/>
        </w:tabs>
        <w:spacing w:line="360" w:lineRule="auto"/>
        <w:ind w:firstLine="480" w:firstLineChars="200"/>
        <w:rPr>
          <w:sz w:val="24"/>
        </w:rPr>
      </w:pPr>
      <w:r>
        <w:rPr>
          <w:rFonts w:hint="eastAsia"/>
          <w:sz w:val="24"/>
        </w:rPr>
        <w:t>6、甲方应及时接收乙方提交的项目阶段性成果资料和最终成果资料，并负责组织对其进行审查验收。</w:t>
      </w:r>
    </w:p>
    <w:p w14:paraId="30752511">
      <w:pPr>
        <w:tabs>
          <w:tab w:val="left" w:pos="2400"/>
          <w:tab w:val="left" w:pos="2700"/>
          <w:tab w:val="left" w:pos="3000"/>
          <w:tab w:val="left" w:pos="3300"/>
          <w:tab w:val="left" w:pos="3600"/>
        </w:tabs>
        <w:spacing w:line="360" w:lineRule="auto"/>
        <w:ind w:firstLine="482" w:firstLineChars="200"/>
        <w:rPr>
          <w:b/>
          <w:bCs/>
          <w:sz w:val="24"/>
        </w:rPr>
      </w:pPr>
      <w:r>
        <w:rPr>
          <w:rFonts w:hint="eastAsia"/>
          <w:b/>
          <w:bCs/>
          <w:sz w:val="24"/>
        </w:rPr>
        <w:t>(二)乙方的义务</w:t>
      </w:r>
    </w:p>
    <w:p w14:paraId="191BD6A5">
      <w:pPr>
        <w:tabs>
          <w:tab w:val="left" w:pos="2400"/>
          <w:tab w:val="left" w:pos="2700"/>
          <w:tab w:val="left" w:pos="3000"/>
          <w:tab w:val="left" w:pos="3300"/>
          <w:tab w:val="left" w:pos="3600"/>
        </w:tabs>
        <w:spacing w:line="360" w:lineRule="auto"/>
        <w:ind w:firstLine="480" w:firstLineChars="200"/>
        <w:rPr>
          <w:sz w:val="24"/>
        </w:rPr>
      </w:pPr>
      <w:r>
        <w:rPr>
          <w:rFonts w:hint="eastAsia"/>
          <w:sz w:val="24"/>
        </w:rPr>
        <w:t>1、乙方应按照投标承诺、本合同约定以及工作方案承诺，保质、保量、按时完成合同第一条和第五条的任务，按第六条约定提交成果。做好数据采集、处理、分析等工作；</w:t>
      </w:r>
    </w:p>
    <w:p w14:paraId="5C0626C5">
      <w:pPr>
        <w:tabs>
          <w:tab w:val="left" w:pos="2400"/>
          <w:tab w:val="left" w:pos="2700"/>
          <w:tab w:val="left" w:pos="3000"/>
          <w:tab w:val="left" w:pos="3300"/>
          <w:tab w:val="left" w:pos="3600"/>
        </w:tabs>
        <w:spacing w:line="360" w:lineRule="auto"/>
        <w:ind w:firstLine="480" w:firstLineChars="200"/>
        <w:rPr>
          <w:sz w:val="24"/>
        </w:rPr>
      </w:pPr>
      <w:r>
        <w:rPr>
          <w:rFonts w:hint="eastAsia"/>
          <w:sz w:val="24"/>
        </w:rPr>
        <w:t>2、乙方应建立质量保证体系，采取切实可行的方案保证承诺的实现，并承担未能实现承诺所应承担的责任及费用；</w:t>
      </w:r>
    </w:p>
    <w:p w14:paraId="730A418F">
      <w:pPr>
        <w:tabs>
          <w:tab w:val="left" w:pos="2400"/>
          <w:tab w:val="left" w:pos="2700"/>
          <w:tab w:val="left" w:pos="3000"/>
          <w:tab w:val="left" w:pos="3300"/>
          <w:tab w:val="left" w:pos="3600"/>
        </w:tabs>
        <w:spacing w:line="360" w:lineRule="auto"/>
        <w:ind w:firstLine="480" w:firstLineChars="200"/>
        <w:rPr>
          <w:sz w:val="24"/>
        </w:rPr>
      </w:pPr>
      <w:r>
        <w:rPr>
          <w:rFonts w:hint="eastAsia"/>
          <w:sz w:val="24"/>
        </w:rPr>
        <w:t>3、乙方应严格遵守政府有关部门对施工场地、施工人员、治安、交通、市容环卫、施工噪音以及环境保护和安全生产等方面的管理规定，按规定办理有关手续并以书面形式通知甲方，同时承担因此发生的费用和因违反规定而受到的各类处罚；</w:t>
      </w:r>
    </w:p>
    <w:p w14:paraId="6B81FDA9">
      <w:pPr>
        <w:tabs>
          <w:tab w:val="left" w:pos="2400"/>
          <w:tab w:val="left" w:pos="2700"/>
          <w:tab w:val="left" w:pos="3000"/>
          <w:tab w:val="left" w:pos="3300"/>
          <w:tab w:val="left" w:pos="3600"/>
        </w:tabs>
        <w:spacing w:line="360" w:lineRule="auto"/>
        <w:ind w:firstLine="480" w:firstLineChars="200"/>
        <w:rPr>
          <w:sz w:val="24"/>
        </w:rPr>
      </w:pPr>
      <w:r>
        <w:rPr>
          <w:rFonts w:hint="eastAsia"/>
          <w:sz w:val="24"/>
        </w:rPr>
        <w:t>4、乙方应接受甲方监督和检查，为督查提供便利条件，对质量不合格的，乙方应给予返工(或采取补救措施)，直到达到质量要求由此产生的费用乙方自理；</w:t>
      </w:r>
    </w:p>
    <w:p w14:paraId="74ED4031">
      <w:pPr>
        <w:tabs>
          <w:tab w:val="left" w:pos="2400"/>
          <w:tab w:val="left" w:pos="2700"/>
          <w:tab w:val="left" w:pos="3000"/>
          <w:tab w:val="left" w:pos="3300"/>
          <w:tab w:val="left" w:pos="3600"/>
        </w:tabs>
        <w:spacing w:line="360" w:lineRule="auto"/>
        <w:ind w:firstLine="480" w:firstLineChars="200"/>
        <w:rPr>
          <w:sz w:val="24"/>
        </w:rPr>
      </w:pPr>
      <w:r>
        <w:rPr>
          <w:rFonts w:hint="eastAsia"/>
          <w:sz w:val="24"/>
        </w:rPr>
        <w:t>5、乙方应保证项目人员的安全；</w:t>
      </w:r>
    </w:p>
    <w:p w14:paraId="4CC4851F">
      <w:pPr>
        <w:tabs>
          <w:tab w:val="left" w:pos="2400"/>
          <w:tab w:val="left" w:pos="2700"/>
          <w:tab w:val="left" w:pos="3000"/>
          <w:tab w:val="left" w:pos="3300"/>
          <w:tab w:val="left" w:pos="3600"/>
        </w:tabs>
        <w:spacing w:line="360" w:lineRule="auto"/>
        <w:ind w:firstLine="480" w:firstLineChars="200"/>
        <w:rPr>
          <w:sz w:val="24"/>
        </w:rPr>
      </w:pPr>
      <w:r>
        <w:rPr>
          <w:rFonts w:hint="eastAsia"/>
          <w:sz w:val="24"/>
        </w:rPr>
        <w:t>6、乙方应负责与项目所在地村委、乡(镇)政府及其他相关部门的协调，处理好与当地人员的关系，保障项目的顺利开展，由此产生的费用由乙方承担；</w:t>
      </w:r>
    </w:p>
    <w:p w14:paraId="2A33D0B4">
      <w:pPr>
        <w:tabs>
          <w:tab w:val="left" w:pos="2400"/>
          <w:tab w:val="left" w:pos="2700"/>
          <w:tab w:val="left" w:pos="3000"/>
          <w:tab w:val="left" w:pos="3300"/>
          <w:tab w:val="left" w:pos="3600"/>
        </w:tabs>
        <w:spacing w:line="360" w:lineRule="auto"/>
        <w:ind w:firstLine="480" w:firstLineChars="200"/>
        <w:rPr>
          <w:sz w:val="24"/>
        </w:rPr>
      </w:pPr>
      <w:r>
        <w:rPr>
          <w:rFonts w:hint="eastAsia"/>
          <w:sz w:val="24"/>
        </w:rPr>
        <w:t>7、乙方应根据约定，配合甲方开展采空塌陷区变形监测分析工作。</w:t>
      </w:r>
    </w:p>
    <w:p w14:paraId="20DA4616">
      <w:pPr>
        <w:tabs>
          <w:tab w:val="left" w:pos="2400"/>
          <w:tab w:val="left" w:pos="2700"/>
          <w:tab w:val="left" w:pos="3000"/>
          <w:tab w:val="left" w:pos="3300"/>
          <w:tab w:val="left" w:pos="3600"/>
        </w:tabs>
        <w:spacing w:line="360" w:lineRule="auto"/>
        <w:ind w:firstLine="482" w:firstLineChars="200"/>
        <w:rPr>
          <w:b/>
          <w:sz w:val="24"/>
        </w:rPr>
      </w:pPr>
      <w:r>
        <w:rPr>
          <w:rFonts w:hint="eastAsia"/>
          <w:b/>
          <w:sz w:val="24"/>
        </w:rPr>
        <w:t>第十条 违约责任</w:t>
      </w:r>
    </w:p>
    <w:p w14:paraId="70BF7269">
      <w:pPr>
        <w:tabs>
          <w:tab w:val="left" w:pos="2400"/>
          <w:tab w:val="left" w:pos="2700"/>
          <w:tab w:val="left" w:pos="3000"/>
          <w:tab w:val="left" w:pos="3300"/>
          <w:tab w:val="left" w:pos="3600"/>
        </w:tabs>
        <w:spacing w:line="360" w:lineRule="auto"/>
        <w:ind w:firstLine="480" w:firstLineChars="200"/>
        <w:rPr>
          <w:sz w:val="24"/>
        </w:rPr>
      </w:pPr>
      <w:r>
        <w:rPr>
          <w:rFonts w:hint="eastAsia"/>
          <w:sz w:val="24"/>
        </w:rPr>
        <w:t>任何一方违反本合同约定，造成项目工作停滞、延误或失败的，按以下约定承担违约责任;</w:t>
      </w:r>
    </w:p>
    <w:p w14:paraId="7B951DBA">
      <w:pPr>
        <w:numPr>
          <w:ilvl w:val="0"/>
          <w:numId w:val="44"/>
        </w:numPr>
        <w:tabs>
          <w:tab w:val="left" w:pos="2400"/>
          <w:tab w:val="left" w:pos="2700"/>
          <w:tab w:val="left" w:pos="3000"/>
          <w:tab w:val="left" w:pos="3300"/>
          <w:tab w:val="left" w:pos="3600"/>
        </w:tabs>
        <w:spacing w:line="360" w:lineRule="auto"/>
        <w:ind w:firstLine="480" w:firstLineChars="200"/>
        <w:rPr>
          <w:sz w:val="24"/>
        </w:rPr>
      </w:pPr>
      <w:r>
        <w:rPr>
          <w:rFonts w:hint="eastAsia"/>
          <w:sz w:val="24"/>
        </w:rPr>
        <w:t>甲方或乙方因违反合同规定或不履行合同，对项目造成严重影响(或后果)，在接到无责任方的书面整改通知后</w:t>
      </w:r>
      <w:r>
        <w:rPr>
          <w:rFonts w:hint="eastAsia"/>
          <w:sz w:val="24"/>
          <w:u w:val="single"/>
        </w:rPr>
        <w:t xml:space="preserve"> 10 </w:t>
      </w:r>
      <w:r>
        <w:rPr>
          <w:rFonts w:hint="eastAsia"/>
          <w:sz w:val="24"/>
        </w:rPr>
        <w:t>个工作日内，责任方仍未整改的，无责任方有权终止合同，若造成重大损失则要追究责任方的责任。</w:t>
      </w:r>
    </w:p>
    <w:p w14:paraId="22A264E1">
      <w:pPr>
        <w:numPr>
          <w:ilvl w:val="0"/>
          <w:numId w:val="44"/>
        </w:numPr>
        <w:tabs>
          <w:tab w:val="left" w:pos="2400"/>
          <w:tab w:val="left" w:pos="2700"/>
          <w:tab w:val="left" w:pos="3000"/>
          <w:tab w:val="left" w:pos="3300"/>
          <w:tab w:val="left" w:pos="3600"/>
        </w:tabs>
        <w:spacing w:line="360" w:lineRule="auto"/>
        <w:ind w:firstLine="480" w:firstLineChars="200"/>
        <w:rPr>
          <w:sz w:val="24"/>
        </w:rPr>
      </w:pPr>
      <w:r>
        <w:rPr>
          <w:rFonts w:hint="eastAsia"/>
          <w:sz w:val="24"/>
        </w:rPr>
        <w:t>因乙方责任不能按合同要求及时间完成测量工作，不能按合同要求及时间提交合格的成果资料，甲方有权扣付乙方部分或全部合同款。</w:t>
      </w:r>
    </w:p>
    <w:p w14:paraId="4B04CC67">
      <w:pPr>
        <w:tabs>
          <w:tab w:val="left" w:pos="2400"/>
          <w:tab w:val="left" w:pos="2700"/>
          <w:tab w:val="left" w:pos="3000"/>
          <w:tab w:val="left" w:pos="3300"/>
          <w:tab w:val="left" w:pos="3600"/>
        </w:tabs>
        <w:spacing w:line="360" w:lineRule="auto"/>
        <w:ind w:firstLine="482" w:firstLineChars="200"/>
        <w:rPr>
          <w:b/>
          <w:sz w:val="24"/>
        </w:rPr>
      </w:pPr>
      <w:r>
        <w:rPr>
          <w:rFonts w:hint="eastAsia"/>
          <w:b/>
          <w:sz w:val="24"/>
        </w:rPr>
        <w:t>第十一条 不可抗力</w:t>
      </w:r>
    </w:p>
    <w:p w14:paraId="12225BE5">
      <w:pPr>
        <w:tabs>
          <w:tab w:val="left" w:pos="2400"/>
          <w:tab w:val="left" w:pos="2700"/>
          <w:tab w:val="left" w:pos="3000"/>
          <w:tab w:val="left" w:pos="3300"/>
          <w:tab w:val="left" w:pos="3600"/>
        </w:tabs>
        <w:spacing w:line="360" w:lineRule="auto"/>
        <w:ind w:firstLine="480" w:firstLineChars="200"/>
        <w:rPr>
          <w:sz w:val="24"/>
        </w:rPr>
      </w:pPr>
      <w:r>
        <w:rPr>
          <w:rFonts w:hint="eastAsia"/>
          <w:sz w:val="24"/>
        </w:rPr>
        <w:t>1、不可抗力的确认</w:t>
      </w:r>
    </w:p>
    <w:p w14:paraId="4B2C16D0">
      <w:pPr>
        <w:tabs>
          <w:tab w:val="left" w:pos="2400"/>
          <w:tab w:val="left" w:pos="2700"/>
          <w:tab w:val="left" w:pos="3000"/>
          <w:tab w:val="left" w:pos="3300"/>
          <w:tab w:val="left" w:pos="3600"/>
        </w:tabs>
        <w:spacing w:line="360" w:lineRule="auto"/>
        <w:ind w:firstLine="480" w:firstLineChars="200"/>
        <w:rPr>
          <w:sz w:val="24"/>
        </w:rPr>
      </w:pPr>
      <w:r>
        <w:rPr>
          <w:rFonts w:hint="eastAsia"/>
          <w:sz w:val="24"/>
        </w:rPr>
        <w:t>不可抗力是指合同当事人在签订合同时不可预见，在合同履行过程中不可避免且不能克服的自然灾害和社会性突发事件，</w:t>
      </w:r>
    </w:p>
    <w:p w14:paraId="7574135C">
      <w:pPr>
        <w:tabs>
          <w:tab w:val="left" w:pos="2400"/>
          <w:tab w:val="left" w:pos="2700"/>
          <w:tab w:val="left" w:pos="3000"/>
          <w:tab w:val="left" w:pos="3300"/>
          <w:tab w:val="left" w:pos="3600"/>
        </w:tabs>
        <w:spacing w:line="360" w:lineRule="auto"/>
        <w:ind w:firstLine="480" w:firstLineChars="200"/>
        <w:rPr>
          <w:sz w:val="24"/>
        </w:rPr>
      </w:pPr>
      <w:r>
        <w:rPr>
          <w:rFonts w:hint="eastAsia"/>
          <w:sz w:val="24"/>
        </w:rPr>
        <w:t>不可抗力发生后，甲乙双方应收集证明不可抗力发生及不可抗力造成损失的证据，并及时统计所造成的损失</w:t>
      </w:r>
    </w:p>
    <w:p w14:paraId="01179C8C">
      <w:pPr>
        <w:tabs>
          <w:tab w:val="left" w:pos="2400"/>
          <w:tab w:val="left" w:pos="2700"/>
          <w:tab w:val="left" w:pos="3000"/>
          <w:tab w:val="left" w:pos="3300"/>
          <w:tab w:val="left" w:pos="3600"/>
        </w:tabs>
        <w:spacing w:line="360" w:lineRule="auto"/>
        <w:ind w:firstLine="480" w:firstLineChars="200"/>
        <w:rPr>
          <w:sz w:val="24"/>
        </w:rPr>
      </w:pPr>
      <w:r>
        <w:rPr>
          <w:rFonts w:hint="eastAsia"/>
          <w:sz w:val="24"/>
        </w:rPr>
        <w:t>2、不可抗力后果的承担</w:t>
      </w:r>
    </w:p>
    <w:p w14:paraId="01DD5E89">
      <w:pPr>
        <w:tabs>
          <w:tab w:val="left" w:pos="2400"/>
          <w:tab w:val="left" w:pos="2700"/>
          <w:tab w:val="left" w:pos="3000"/>
          <w:tab w:val="left" w:pos="3300"/>
          <w:tab w:val="left" w:pos="3600"/>
        </w:tabs>
        <w:spacing w:line="360" w:lineRule="auto"/>
        <w:ind w:firstLine="480" w:firstLineChars="200"/>
        <w:rPr>
          <w:sz w:val="24"/>
        </w:rPr>
      </w:pPr>
      <w:r>
        <w:rPr>
          <w:rFonts w:hint="eastAsia"/>
          <w:sz w:val="24"/>
        </w:rPr>
        <w:t>不可抗力引起的后果及造成的损失由合同当事人按照法律规定及合同约定各自承担。不可抗力发生前已完成的工程应当按照合同约定进行支付。</w:t>
      </w:r>
    </w:p>
    <w:p w14:paraId="24805FAD">
      <w:pPr>
        <w:tabs>
          <w:tab w:val="left" w:pos="2400"/>
          <w:tab w:val="left" w:pos="2700"/>
          <w:tab w:val="left" w:pos="3000"/>
          <w:tab w:val="left" w:pos="3300"/>
          <w:tab w:val="left" w:pos="3600"/>
        </w:tabs>
        <w:spacing w:line="360" w:lineRule="auto"/>
        <w:ind w:firstLine="480" w:firstLineChars="200"/>
        <w:rPr>
          <w:sz w:val="24"/>
        </w:rPr>
      </w:pPr>
      <w:r>
        <w:rPr>
          <w:rFonts w:hint="eastAsia"/>
          <w:sz w:val="24"/>
        </w:rPr>
        <w:t>不可抗力发生后，合同当事人均应采取措施尽量避免和减少损失的扩大，任何一方当事人没有采取有效措施导致损失扩大的，应对扩大的损失承担责任。</w:t>
      </w:r>
    </w:p>
    <w:p w14:paraId="6BE32DC5">
      <w:pPr>
        <w:tabs>
          <w:tab w:val="left" w:pos="2400"/>
          <w:tab w:val="left" w:pos="2700"/>
          <w:tab w:val="left" w:pos="3000"/>
          <w:tab w:val="left" w:pos="3300"/>
          <w:tab w:val="left" w:pos="3600"/>
        </w:tabs>
        <w:spacing w:line="360" w:lineRule="auto"/>
        <w:ind w:firstLine="480" w:firstLineChars="200"/>
        <w:rPr>
          <w:sz w:val="24"/>
        </w:rPr>
      </w:pPr>
      <w:r>
        <w:rPr>
          <w:rFonts w:hint="eastAsia"/>
          <w:sz w:val="24"/>
        </w:rPr>
        <w:t>因合同一方迟延履行合同义务，在迟延履行期间遭遇不可抗力的，不免除其违约责任。</w:t>
      </w:r>
    </w:p>
    <w:p w14:paraId="055FDFC9">
      <w:pPr>
        <w:tabs>
          <w:tab w:val="left" w:pos="2400"/>
          <w:tab w:val="left" w:pos="2700"/>
          <w:tab w:val="left" w:pos="3000"/>
          <w:tab w:val="left" w:pos="3300"/>
          <w:tab w:val="left" w:pos="3600"/>
        </w:tabs>
        <w:spacing w:line="360" w:lineRule="auto"/>
        <w:ind w:firstLine="480" w:firstLineChars="200"/>
        <w:rPr>
          <w:sz w:val="24"/>
        </w:rPr>
      </w:pPr>
      <w:r>
        <w:rPr>
          <w:rFonts w:hint="eastAsia"/>
          <w:sz w:val="24"/>
        </w:rPr>
        <w:t>3、由于不可抗力(如战争、自然灾害等)、国家取消该项目的实施，致使合同无法履行时，双方应在 24小时内及时通知对方，双方应按有关法律规定及时协商处理，一方可以通知另一方变更或解除本合同。</w:t>
      </w:r>
    </w:p>
    <w:p w14:paraId="4A18CB9B">
      <w:pPr>
        <w:tabs>
          <w:tab w:val="left" w:pos="2400"/>
          <w:tab w:val="left" w:pos="2700"/>
          <w:tab w:val="left" w:pos="3000"/>
          <w:tab w:val="left" w:pos="3300"/>
          <w:tab w:val="left" w:pos="3600"/>
        </w:tabs>
        <w:spacing w:line="360" w:lineRule="auto"/>
        <w:ind w:firstLine="482" w:firstLineChars="200"/>
        <w:rPr>
          <w:b/>
          <w:sz w:val="24"/>
        </w:rPr>
      </w:pPr>
      <w:r>
        <w:rPr>
          <w:rFonts w:hint="eastAsia"/>
          <w:b/>
          <w:sz w:val="24"/>
        </w:rPr>
        <w:t>第十二条 合同变更和解除</w:t>
      </w:r>
    </w:p>
    <w:p w14:paraId="3447CBE1">
      <w:pPr>
        <w:tabs>
          <w:tab w:val="left" w:pos="2400"/>
          <w:tab w:val="left" w:pos="2700"/>
          <w:tab w:val="left" w:pos="3000"/>
          <w:tab w:val="left" w:pos="3300"/>
          <w:tab w:val="left" w:pos="3600"/>
        </w:tabs>
        <w:spacing w:line="360" w:lineRule="auto"/>
        <w:ind w:firstLine="480" w:firstLineChars="200"/>
        <w:rPr>
          <w:sz w:val="24"/>
        </w:rPr>
      </w:pPr>
      <w:r>
        <w:rPr>
          <w:rFonts w:hint="eastAsia"/>
          <w:sz w:val="24"/>
        </w:rPr>
        <w:t>1、本合同的变更必须由甲乙双方协商一致，并以签订补充协议的方式确定。</w:t>
      </w:r>
    </w:p>
    <w:p w14:paraId="41655705">
      <w:pPr>
        <w:tabs>
          <w:tab w:val="left" w:pos="2400"/>
          <w:tab w:val="left" w:pos="2700"/>
          <w:tab w:val="left" w:pos="3000"/>
          <w:tab w:val="left" w:pos="3300"/>
          <w:tab w:val="left" w:pos="3600"/>
        </w:tabs>
        <w:spacing w:line="360" w:lineRule="auto"/>
        <w:ind w:firstLine="480" w:firstLineChars="200"/>
        <w:rPr>
          <w:sz w:val="24"/>
        </w:rPr>
      </w:pPr>
      <w:r>
        <w:rPr>
          <w:rFonts w:hint="eastAsia"/>
          <w:sz w:val="24"/>
        </w:rPr>
        <w:t>2、有下列情形之一的，合同当事人一方或双方可以解除合同:</w:t>
      </w:r>
    </w:p>
    <w:p w14:paraId="67C84450">
      <w:pPr>
        <w:tabs>
          <w:tab w:val="left" w:pos="2400"/>
          <w:tab w:val="left" w:pos="2700"/>
          <w:tab w:val="left" w:pos="3000"/>
          <w:tab w:val="left" w:pos="3300"/>
          <w:tab w:val="left" w:pos="3600"/>
        </w:tabs>
        <w:spacing w:line="360" w:lineRule="auto"/>
        <w:ind w:firstLine="480" w:firstLineChars="200"/>
        <w:rPr>
          <w:sz w:val="24"/>
        </w:rPr>
      </w:pPr>
      <w:r>
        <w:rPr>
          <w:rFonts w:hint="eastAsia"/>
          <w:sz w:val="24"/>
        </w:rPr>
        <w:t>（1）乙方提供的成果存在重大质量问题，经甲方催告后，在合理期限内修改后仍不能满足国家现行要求或合同约定质量要求的，甲方可以解除合同:</w:t>
      </w:r>
    </w:p>
    <w:p w14:paraId="08F1A7AD">
      <w:pPr>
        <w:tabs>
          <w:tab w:val="left" w:pos="2400"/>
          <w:tab w:val="left" w:pos="2700"/>
          <w:tab w:val="left" w:pos="3000"/>
          <w:tab w:val="left" w:pos="3300"/>
          <w:tab w:val="left" w:pos="3600"/>
        </w:tabs>
        <w:spacing w:line="360" w:lineRule="auto"/>
        <w:ind w:firstLine="480" w:firstLineChars="200"/>
        <w:rPr>
          <w:sz w:val="24"/>
        </w:rPr>
      </w:pPr>
      <w:r>
        <w:rPr>
          <w:rFonts w:hint="eastAsia"/>
          <w:sz w:val="24"/>
        </w:rPr>
        <w:t>（2）因不可抗力致使合同无法履行;</w:t>
      </w:r>
    </w:p>
    <w:p w14:paraId="39BA5FEE">
      <w:pPr>
        <w:tabs>
          <w:tab w:val="left" w:pos="2400"/>
          <w:tab w:val="left" w:pos="2700"/>
          <w:tab w:val="left" w:pos="3000"/>
          <w:tab w:val="left" w:pos="3300"/>
          <w:tab w:val="left" w:pos="3600"/>
        </w:tabs>
        <w:spacing w:line="360" w:lineRule="auto"/>
        <w:ind w:firstLine="480" w:firstLineChars="200"/>
        <w:rPr>
          <w:sz w:val="24"/>
        </w:rPr>
      </w:pPr>
      <w:r>
        <w:rPr>
          <w:rFonts w:hint="eastAsia"/>
          <w:sz w:val="24"/>
        </w:rPr>
        <w:t>（3）因一方违约致使合同无法实际履行或实际履行已无必要;</w:t>
      </w:r>
    </w:p>
    <w:p w14:paraId="3DFEFD43">
      <w:pPr>
        <w:tabs>
          <w:tab w:val="left" w:pos="2400"/>
          <w:tab w:val="left" w:pos="2700"/>
          <w:tab w:val="left" w:pos="3000"/>
          <w:tab w:val="left" w:pos="3300"/>
          <w:tab w:val="left" w:pos="3600"/>
        </w:tabs>
        <w:spacing w:line="360" w:lineRule="auto"/>
        <w:ind w:firstLine="480" w:firstLineChars="200"/>
        <w:rPr>
          <w:sz w:val="24"/>
        </w:rPr>
      </w:pPr>
      <w:r>
        <w:rPr>
          <w:rFonts w:hint="eastAsia"/>
          <w:sz w:val="24"/>
        </w:rPr>
        <w:t>（4）因本项目条件发生重大变化，使合同无法继续履行。</w:t>
      </w:r>
    </w:p>
    <w:p w14:paraId="7A46B7F9">
      <w:pPr>
        <w:tabs>
          <w:tab w:val="left" w:pos="2400"/>
          <w:tab w:val="left" w:pos="2700"/>
          <w:tab w:val="left" w:pos="3000"/>
          <w:tab w:val="left" w:pos="3300"/>
          <w:tab w:val="left" w:pos="3600"/>
        </w:tabs>
        <w:spacing w:line="360" w:lineRule="auto"/>
        <w:ind w:firstLine="480" w:firstLineChars="200"/>
        <w:rPr>
          <w:sz w:val="24"/>
        </w:rPr>
      </w:pPr>
      <w:r>
        <w:rPr>
          <w:rFonts w:hint="eastAsia"/>
          <w:sz w:val="24"/>
        </w:rPr>
        <w:t>3、任何一方因故需解除合同时，应提前30天书面通知对方，对合同中的遗留问题应取得一致意见并形成书面协议。</w:t>
      </w:r>
    </w:p>
    <w:p w14:paraId="060CB3FC">
      <w:pPr>
        <w:tabs>
          <w:tab w:val="left" w:pos="2400"/>
          <w:tab w:val="left" w:pos="2700"/>
          <w:tab w:val="left" w:pos="3000"/>
          <w:tab w:val="left" w:pos="3300"/>
          <w:tab w:val="left" w:pos="3600"/>
        </w:tabs>
        <w:spacing w:line="360" w:lineRule="auto"/>
        <w:ind w:firstLine="480" w:firstLineChars="200"/>
        <w:rPr>
          <w:sz w:val="24"/>
        </w:rPr>
      </w:pPr>
      <w:r>
        <w:rPr>
          <w:rFonts w:hint="eastAsia"/>
          <w:sz w:val="24"/>
        </w:rPr>
        <w:t>4、合同解除后,甲方应按本合同第三条的约定向乙方支付已完成工作的合同款违约一方应当承担相应的违约责任。</w:t>
      </w:r>
    </w:p>
    <w:p w14:paraId="30618D02">
      <w:pPr>
        <w:tabs>
          <w:tab w:val="left" w:pos="2400"/>
          <w:tab w:val="left" w:pos="2700"/>
          <w:tab w:val="left" w:pos="3000"/>
          <w:tab w:val="left" w:pos="3300"/>
          <w:tab w:val="left" w:pos="3600"/>
        </w:tabs>
        <w:spacing w:line="360" w:lineRule="auto"/>
        <w:ind w:firstLine="482" w:firstLineChars="200"/>
        <w:rPr>
          <w:b/>
          <w:sz w:val="24"/>
        </w:rPr>
      </w:pPr>
      <w:r>
        <w:rPr>
          <w:rFonts w:hint="eastAsia"/>
          <w:b/>
          <w:sz w:val="24"/>
        </w:rPr>
        <w:t>第十三条 争议解决</w:t>
      </w:r>
    </w:p>
    <w:p w14:paraId="296B63FD">
      <w:pPr>
        <w:tabs>
          <w:tab w:val="left" w:pos="2400"/>
          <w:tab w:val="left" w:pos="2700"/>
          <w:tab w:val="left" w:pos="3000"/>
          <w:tab w:val="left" w:pos="3300"/>
          <w:tab w:val="left" w:pos="3600"/>
        </w:tabs>
        <w:spacing w:line="360" w:lineRule="auto"/>
        <w:ind w:firstLine="480" w:firstLineChars="200"/>
        <w:rPr>
          <w:sz w:val="24"/>
        </w:rPr>
      </w:pPr>
      <w:r>
        <w:rPr>
          <w:rFonts w:hint="eastAsia"/>
          <w:sz w:val="24"/>
        </w:rPr>
        <w:t>1、和解或调解</w:t>
      </w:r>
    </w:p>
    <w:p w14:paraId="17E7A7B8">
      <w:pPr>
        <w:tabs>
          <w:tab w:val="left" w:pos="2400"/>
          <w:tab w:val="left" w:pos="2700"/>
          <w:tab w:val="left" w:pos="3000"/>
          <w:tab w:val="left" w:pos="3300"/>
          <w:tab w:val="left" w:pos="3600"/>
        </w:tabs>
        <w:spacing w:line="360" w:lineRule="auto"/>
        <w:ind w:firstLine="480" w:firstLineChars="200"/>
        <w:rPr>
          <w:sz w:val="24"/>
        </w:rPr>
      </w:pPr>
      <w:r>
        <w:rPr>
          <w:rFonts w:hint="eastAsia"/>
          <w:sz w:val="24"/>
        </w:rPr>
        <w:t>在履行本合同的过程中发生争议，双方当事人应首先本着相互谅解的原则就争议进行协商，达成一致后签订补充协议，与本合同具有同等法律效力;</w:t>
      </w:r>
    </w:p>
    <w:p w14:paraId="2D1A0A46">
      <w:pPr>
        <w:tabs>
          <w:tab w:val="left" w:pos="2400"/>
          <w:tab w:val="left" w:pos="2700"/>
          <w:tab w:val="left" w:pos="3000"/>
          <w:tab w:val="left" w:pos="3300"/>
          <w:tab w:val="left" w:pos="3600"/>
        </w:tabs>
        <w:spacing w:line="360" w:lineRule="auto"/>
        <w:ind w:firstLine="480" w:firstLineChars="200"/>
        <w:rPr>
          <w:sz w:val="24"/>
        </w:rPr>
      </w:pPr>
      <w:r>
        <w:rPr>
          <w:rFonts w:hint="eastAsia"/>
          <w:sz w:val="24"/>
        </w:rPr>
        <w:t>2、仲裁或诉讼</w:t>
      </w:r>
    </w:p>
    <w:p w14:paraId="5B08DD65">
      <w:pPr>
        <w:tabs>
          <w:tab w:val="left" w:pos="2400"/>
          <w:tab w:val="left" w:pos="2700"/>
          <w:tab w:val="left" w:pos="3000"/>
          <w:tab w:val="left" w:pos="3300"/>
          <w:tab w:val="left" w:pos="3600"/>
        </w:tabs>
        <w:spacing w:line="360" w:lineRule="auto"/>
        <w:ind w:firstLine="480" w:firstLineChars="200"/>
        <w:rPr>
          <w:sz w:val="24"/>
        </w:rPr>
      </w:pPr>
      <w:r>
        <w:rPr>
          <w:rFonts w:hint="eastAsia"/>
          <w:sz w:val="24"/>
        </w:rPr>
        <w:t>在履行本合同的过程中发生争议，双方当事人和解、调解不成的，向甲方所在地人民法院起诉。</w:t>
      </w:r>
    </w:p>
    <w:p w14:paraId="7E224DD8">
      <w:pPr>
        <w:tabs>
          <w:tab w:val="left" w:pos="2400"/>
          <w:tab w:val="left" w:pos="2700"/>
          <w:tab w:val="left" w:pos="3000"/>
          <w:tab w:val="left" w:pos="3300"/>
          <w:tab w:val="left" w:pos="3600"/>
        </w:tabs>
        <w:spacing w:line="360" w:lineRule="auto"/>
        <w:ind w:firstLine="480" w:firstLineChars="200"/>
        <w:rPr>
          <w:sz w:val="24"/>
        </w:rPr>
      </w:pPr>
      <w:r>
        <w:rPr>
          <w:rFonts w:hint="eastAsia"/>
          <w:sz w:val="24"/>
        </w:rPr>
        <w:t>3、争议解决条款效力</w:t>
      </w:r>
    </w:p>
    <w:p w14:paraId="051155BA">
      <w:pPr>
        <w:tabs>
          <w:tab w:val="left" w:pos="2400"/>
          <w:tab w:val="left" w:pos="2700"/>
          <w:tab w:val="left" w:pos="3000"/>
          <w:tab w:val="left" w:pos="3300"/>
          <w:tab w:val="left" w:pos="3600"/>
        </w:tabs>
        <w:spacing w:line="360" w:lineRule="auto"/>
        <w:ind w:firstLine="480" w:firstLineChars="200"/>
        <w:rPr>
          <w:sz w:val="24"/>
        </w:rPr>
      </w:pPr>
      <w:r>
        <w:rPr>
          <w:rFonts w:hint="eastAsia"/>
          <w:sz w:val="24"/>
        </w:rPr>
        <w:t>合同有关争议解决的条款独立存在，合同的变更、解除、终止、无效或者被撤销均不影响其效力。</w:t>
      </w:r>
    </w:p>
    <w:p w14:paraId="05127699">
      <w:pPr>
        <w:tabs>
          <w:tab w:val="left" w:pos="2400"/>
          <w:tab w:val="left" w:pos="2700"/>
          <w:tab w:val="left" w:pos="3000"/>
          <w:tab w:val="left" w:pos="3300"/>
          <w:tab w:val="left" w:pos="3600"/>
        </w:tabs>
        <w:spacing w:line="360" w:lineRule="auto"/>
        <w:ind w:firstLine="482" w:firstLineChars="200"/>
        <w:rPr>
          <w:b/>
          <w:sz w:val="24"/>
        </w:rPr>
      </w:pPr>
      <w:r>
        <w:rPr>
          <w:rFonts w:hint="eastAsia"/>
          <w:b/>
          <w:sz w:val="24"/>
        </w:rPr>
        <w:t>第十四条 项目联系人</w:t>
      </w:r>
    </w:p>
    <w:p w14:paraId="305C7DA3">
      <w:pPr>
        <w:tabs>
          <w:tab w:val="left" w:pos="2400"/>
          <w:tab w:val="left" w:pos="2700"/>
          <w:tab w:val="left" w:pos="3000"/>
          <w:tab w:val="left" w:pos="3300"/>
          <w:tab w:val="left" w:pos="3600"/>
        </w:tabs>
        <w:spacing w:line="360" w:lineRule="auto"/>
        <w:ind w:firstLine="480" w:firstLineChars="200"/>
        <w:rPr>
          <w:sz w:val="24"/>
        </w:rPr>
      </w:pPr>
      <w:r>
        <w:rPr>
          <w:rFonts w:hint="eastAsia"/>
          <w:sz w:val="24"/>
        </w:rPr>
        <w:t>1、在本合同有效期内，甲方指定</w:t>
      </w:r>
      <w:r>
        <w:rPr>
          <w:rFonts w:hint="eastAsia"/>
          <w:sz w:val="24"/>
          <w:u w:val="single"/>
        </w:rPr>
        <w:t xml:space="preserve">       </w:t>
      </w:r>
      <w:r>
        <w:rPr>
          <w:rFonts w:hint="eastAsia"/>
          <w:sz w:val="24"/>
        </w:rPr>
        <w:t>为甲方项目联系人，乙方指定</w:t>
      </w:r>
      <w:r>
        <w:rPr>
          <w:rFonts w:hint="eastAsia"/>
          <w:sz w:val="24"/>
          <w:u w:val="single"/>
        </w:rPr>
        <w:t xml:space="preserve">      </w:t>
      </w:r>
      <w:r>
        <w:rPr>
          <w:rFonts w:hint="eastAsia"/>
          <w:sz w:val="24"/>
        </w:rPr>
        <w:t>为乙方项目联系人</w:t>
      </w:r>
    </w:p>
    <w:p w14:paraId="674C9694">
      <w:pPr>
        <w:tabs>
          <w:tab w:val="left" w:pos="2400"/>
          <w:tab w:val="left" w:pos="2700"/>
          <w:tab w:val="left" w:pos="3000"/>
          <w:tab w:val="left" w:pos="3300"/>
          <w:tab w:val="left" w:pos="3600"/>
        </w:tabs>
        <w:spacing w:line="360" w:lineRule="auto"/>
        <w:ind w:firstLine="480" w:firstLineChars="200"/>
        <w:rPr>
          <w:sz w:val="24"/>
        </w:rPr>
      </w:pPr>
      <w:r>
        <w:rPr>
          <w:rFonts w:hint="eastAsia"/>
          <w:sz w:val="24"/>
        </w:rPr>
        <w:t>（1）甲方项目联系人</w:t>
      </w:r>
    </w:p>
    <w:p w14:paraId="003986BC">
      <w:pPr>
        <w:spacing w:line="360" w:lineRule="auto"/>
        <w:ind w:firstLine="480" w:firstLineChars="200"/>
        <w:rPr>
          <w:u w:val="single"/>
        </w:rPr>
      </w:pPr>
      <w:r>
        <w:rPr>
          <w:rFonts w:hint="eastAsia"/>
          <w:sz w:val="24"/>
        </w:rPr>
        <w:t>姓    名:</w:t>
      </w:r>
      <w:r>
        <w:rPr>
          <w:rFonts w:hint="eastAsia"/>
          <w:sz w:val="24"/>
          <w:u w:val="single"/>
        </w:rPr>
        <w:t xml:space="preserve">  </w:t>
      </w:r>
      <w:r>
        <w:rPr>
          <w:rFonts w:hint="eastAsia"/>
          <w:u w:val="single"/>
        </w:rPr>
        <w:t xml:space="preserve">                      </w:t>
      </w:r>
    </w:p>
    <w:p w14:paraId="39F27B0B">
      <w:pPr>
        <w:tabs>
          <w:tab w:val="left" w:pos="2400"/>
          <w:tab w:val="left" w:pos="2700"/>
          <w:tab w:val="left" w:pos="3000"/>
          <w:tab w:val="left" w:pos="3300"/>
          <w:tab w:val="left" w:pos="3600"/>
        </w:tabs>
        <w:spacing w:line="360" w:lineRule="auto"/>
        <w:ind w:firstLine="480" w:firstLineChars="200"/>
        <w:rPr>
          <w:sz w:val="24"/>
          <w:u w:val="single"/>
        </w:rPr>
      </w:pPr>
      <w:r>
        <w:rPr>
          <w:rFonts w:hint="eastAsia"/>
          <w:sz w:val="24"/>
        </w:rPr>
        <w:t>联系电话:</w:t>
      </w:r>
      <w:r>
        <w:rPr>
          <w:rFonts w:hint="eastAsia"/>
          <w:sz w:val="24"/>
          <w:u w:val="single"/>
        </w:rPr>
        <w:t xml:space="preserve">                     </w:t>
      </w:r>
    </w:p>
    <w:p w14:paraId="266716F0">
      <w:pPr>
        <w:tabs>
          <w:tab w:val="left" w:pos="2400"/>
          <w:tab w:val="left" w:pos="2700"/>
          <w:tab w:val="left" w:pos="3000"/>
          <w:tab w:val="left" w:pos="3300"/>
          <w:tab w:val="left" w:pos="3600"/>
        </w:tabs>
        <w:spacing w:line="360" w:lineRule="auto"/>
        <w:ind w:firstLine="480" w:firstLineChars="200"/>
        <w:rPr>
          <w:sz w:val="24"/>
          <w:u w:val="single"/>
        </w:rPr>
      </w:pPr>
      <w:r>
        <w:rPr>
          <w:rFonts w:hint="eastAsia"/>
          <w:sz w:val="24"/>
        </w:rPr>
        <w:t>电子信箱:</w:t>
      </w:r>
      <w:r>
        <w:rPr>
          <w:rFonts w:hint="eastAsia"/>
          <w:sz w:val="24"/>
          <w:u w:val="single"/>
        </w:rPr>
        <w:t xml:space="preserve">                     </w:t>
      </w:r>
    </w:p>
    <w:p w14:paraId="5BE7B10E">
      <w:pPr>
        <w:tabs>
          <w:tab w:val="left" w:pos="2400"/>
          <w:tab w:val="left" w:pos="2700"/>
          <w:tab w:val="left" w:pos="3000"/>
          <w:tab w:val="left" w:pos="3300"/>
          <w:tab w:val="left" w:pos="3600"/>
        </w:tabs>
        <w:spacing w:line="360" w:lineRule="auto"/>
        <w:ind w:firstLine="480" w:firstLineChars="200"/>
        <w:rPr>
          <w:sz w:val="24"/>
          <w:u w:val="single"/>
        </w:rPr>
      </w:pPr>
      <w:r>
        <w:rPr>
          <w:rFonts w:hint="eastAsia"/>
          <w:sz w:val="24"/>
        </w:rPr>
        <w:t>通信地址:</w:t>
      </w:r>
      <w:r>
        <w:rPr>
          <w:rFonts w:hint="eastAsia"/>
          <w:sz w:val="24"/>
          <w:u w:val="single"/>
        </w:rPr>
        <w:t xml:space="preserve">                     </w:t>
      </w:r>
    </w:p>
    <w:p w14:paraId="628044F2">
      <w:pPr>
        <w:tabs>
          <w:tab w:val="left" w:pos="2400"/>
          <w:tab w:val="left" w:pos="2700"/>
          <w:tab w:val="left" w:pos="3000"/>
          <w:tab w:val="left" w:pos="3300"/>
          <w:tab w:val="left" w:pos="3600"/>
        </w:tabs>
        <w:spacing w:line="360" w:lineRule="auto"/>
        <w:ind w:firstLine="480" w:firstLineChars="200"/>
        <w:rPr>
          <w:sz w:val="24"/>
        </w:rPr>
      </w:pPr>
      <w:r>
        <w:rPr>
          <w:rFonts w:hint="eastAsia"/>
          <w:sz w:val="24"/>
        </w:rPr>
        <w:t>（2）乙方项目联系人</w:t>
      </w:r>
    </w:p>
    <w:p w14:paraId="6DE1D01A">
      <w:pPr>
        <w:spacing w:line="360" w:lineRule="auto"/>
        <w:ind w:firstLine="480" w:firstLineChars="200"/>
        <w:rPr>
          <w:u w:val="single"/>
        </w:rPr>
      </w:pPr>
      <w:r>
        <w:rPr>
          <w:rFonts w:hint="eastAsia"/>
          <w:sz w:val="24"/>
        </w:rPr>
        <w:t>姓    名:</w:t>
      </w:r>
      <w:r>
        <w:rPr>
          <w:rFonts w:hint="eastAsia"/>
          <w:sz w:val="24"/>
          <w:u w:val="single"/>
        </w:rPr>
        <w:t xml:space="preserve">  </w:t>
      </w:r>
      <w:r>
        <w:rPr>
          <w:rFonts w:hint="eastAsia"/>
          <w:u w:val="single"/>
        </w:rPr>
        <w:t xml:space="preserve">                      </w:t>
      </w:r>
    </w:p>
    <w:p w14:paraId="0AF96DA2">
      <w:pPr>
        <w:tabs>
          <w:tab w:val="left" w:pos="2400"/>
          <w:tab w:val="left" w:pos="2700"/>
          <w:tab w:val="left" w:pos="3000"/>
          <w:tab w:val="left" w:pos="3300"/>
          <w:tab w:val="left" w:pos="3600"/>
        </w:tabs>
        <w:spacing w:line="360" w:lineRule="auto"/>
        <w:ind w:firstLine="480" w:firstLineChars="200"/>
        <w:rPr>
          <w:sz w:val="24"/>
          <w:u w:val="single"/>
        </w:rPr>
      </w:pPr>
      <w:r>
        <w:rPr>
          <w:rFonts w:hint="eastAsia"/>
          <w:sz w:val="24"/>
        </w:rPr>
        <w:t>联系电话:</w:t>
      </w:r>
      <w:r>
        <w:rPr>
          <w:rFonts w:hint="eastAsia"/>
          <w:sz w:val="24"/>
          <w:u w:val="single"/>
        </w:rPr>
        <w:t xml:space="preserve">                     </w:t>
      </w:r>
    </w:p>
    <w:p w14:paraId="1DEFA0D1">
      <w:pPr>
        <w:tabs>
          <w:tab w:val="left" w:pos="2400"/>
          <w:tab w:val="left" w:pos="2700"/>
          <w:tab w:val="left" w:pos="3000"/>
          <w:tab w:val="left" w:pos="3300"/>
          <w:tab w:val="left" w:pos="3600"/>
        </w:tabs>
        <w:spacing w:line="360" w:lineRule="auto"/>
        <w:ind w:firstLine="480" w:firstLineChars="200"/>
        <w:rPr>
          <w:sz w:val="24"/>
          <w:u w:val="single"/>
        </w:rPr>
      </w:pPr>
      <w:r>
        <w:rPr>
          <w:rFonts w:hint="eastAsia"/>
          <w:sz w:val="24"/>
        </w:rPr>
        <w:t>电子信箱:</w:t>
      </w:r>
      <w:r>
        <w:rPr>
          <w:rFonts w:hint="eastAsia"/>
          <w:sz w:val="24"/>
          <w:u w:val="single"/>
        </w:rPr>
        <w:t xml:space="preserve">                     </w:t>
      </w:r>
    </w:p>
    <w:p w14:paraId="0CF937EA">
      <w:pPr>
        <w:tabs>
          <w:tab w:val="left" w:pos="2400"/>
          <w:tab w:val="left" w:pos="2700"/>
          <w:tab w:val="left" w:pos="3000"/>
          <w:tab w:val="left" w:pos="3300"/>
          <w:tab w:val="left" w:pos="3600"/>
        </w:tabs>
        <w:spacing w:line="360" w:lineRule="auto"/>
        <w:ind w:firstLine="480" w:firstLineChars="200"/>
        <w:rPr>
          <w:sz w:val="24"/>
          <w:u w:val="single"/>
        </w:rPr>
      </w:pPr>
      <w:r>
        <w:rPr>
          <w:rFonts w:hint="eastAsia"/>
          <w:sz w:val="24"/>
        </w:rPr>
        <w:t>通信地址:</w:t>
      </w:r>
      <w:r>
        <w:rPr>
          <w:rFonts w:hint="eastAsia"/>
          <w:sz w:val="24"/>
          <w:u w:val="single"/>
        </w:rPr>
        <w:t xml:space="preserve">                     </w:t>
      </w:r>
    </w:p>
    <w:p w14:paraId="4FE2B225">
      <w:pPr>
        <w:tabs>
          <w:tab w:val="left" w:pos="2400"/>
          <w:tab w:val="left" w:pos="2700"/>
          <w:tab w:val="left" w:pos="3000"/>
          <w:tab w:val="left" w:pos="3300"/>
          <w:tab w:val="left" w:pos="3600"/>
        </w:tabs>
        <w:spacing w:line="360" w:lineRule="auto"/>
        <w:ind w:firstLine="480" w:firstLineChars="200"/>
        <w:rPr>
          <w:sz w:val="24"/>
        </w:rPr>
      </w:pPr>
      <w:r>
        <w:rPr>
          <w:rFonts w:hint="eastAsia"/>
          <w:sz w:val="24"/>
        </w:rPr>
        <w:t>2、双方对项目联系人在以下授权范围内的行为承担法律责任:</w:t>
      </w:r>
    </w:p>
    <w:p w14:paraId="46D920BD">
      <w:pPr>
        <w:tabs>
          <w:tab w:val="left" w:pos="2400"/>
          <w:tab w:val="left" w:pos="2700"/>
          <w:tab w:val="left" w:pos="3000"/>
          <w:tab w:val="left" w:pos="3300"/>
          <w:tab w:val="left" w:pos="3600"/>
        </w:tabs>
        <w:spacing w:line="360" w:lineRule="auto"/>
        <w:ind w:firstLine="480" w:firstLineChars="200"/>
        <w:rPr>
          <w:sz w:val="24"/>
        </w:rPr>
      </w:pPr>
      <w:r>
        <w:rPr>
          <w:rFonts w:hint="eastAsia"/>
          <w:sz w:val="24"/>
        </w:rPr>
        <w:t>（1）项目进度及与其他项目的连接;</w:t>
      </w:r>
    </w:p>
    <w:p w14:paraId="12C9D0B3">
      <w:pPr>
        <w:tabs>
          <w:tab w:val="left" w:pos="2400"/>
          <w:tab w:val="left" w:pos="2700"/>
          <w:tab w:val="left" w:pos="3000"/>
          <w:tab w:val="left" w:pos="3300"/>
          <w:tab w:val="left" w:pos="3600"/>
        </w:tabs>
        <w:spacing w:line="360" w:lineRule="auto"/>
        <w:ind w:firstLine="480" w:firstLineChars="200"/>
        <w:rPr>
          <w:sz w:val="24"/>
        </w:rPr>
      </w:pPr>
      <w:r>
        <w:rPr>
          <w:rFonts w:hint="eastAsia"/>
          <w:sz w:val="24"/>
        </w:rPr>
        <w:t>（2）资料、数据、成果的交接;</w:t>
      </w:r>
    </w:p>
    <w:p w14:paraId="635814EE">
      <w:pPr>
        <w:tabs>
          <w:tab w:val="left" w:pos="2400"/>
          <w:tab w:val="left" w:pos="2700"/>
          <w:tab w:val="left" w:pos="3000"/>
          <w:tab w:val="left" w:pos="3300"/>
          <w:tab w:val="left" w:pos="3600"/>
        </w:tabs>
        <w:spacing w:line="360" w:lineRule="auto"/>
        <w:ind w:firstLine="480" w:firstLineChars="200"/>
        <w:rPr>
          <w:sz w:val="24"/>
        </w:rPr>
      </w:pPr>
      <w:r>
        <w:rPr>
          <w:rFonts w:hint="eastAsia"/>
          <w:sz w:val="24"/>
        </w:rPr>
        <w:t>（3）有关项目变化的协商。</w:t>
      </w:r>
    </w:p>
    <w:p w14:paraId="4527C740">
      <w:pPr>
        <w:tabs>
          <w:tab w:val="left" w:pos="2400"/>
          <w:tab w:val="left" w:pos="2700"/>
          <w:tab w:val="left" w:pos="3000"/>
          <w:tab w:val="left" w:pos="3300"/>
          <w:tab w:val="left" w:pos="3600"/>
        </w:tabs>
        <w:spacing w:line="360" w:lineRule="auto"/>
        <w:ind w:firstLine="480" w:firstLineChars="200"/>
        <w:rPr>
          <w:sz w:val="24"/>
        </w:rPr>
      </w:pPr>
      <w:r>
        <w:rPr>
          <w:rFonts w:hint="eastAsia"/>
          <w:sz w:val="24"/>
        </w:rPr>
        <w:t>3、一方变更项目联系人前，应当提前5天以书面形式通知另一方。未及时通知并影响本合同履行或造成损失的，应承担相应的违约责任，</w:t>
      </w:r>
    </w:p>
    <w:p w14:paraId="2213C575">
      <w:pPr>
        <w:tabs>
          <w:tab w:val="left" w:pos="2400"/>
          <w:tab w:val="left" w:pos="2700"/>
          <w:tab w:val="left" w:pos="3000"/>
          <w:tab w:val="left" w:pos="3300"/>
          <w:tab w:val="left" w:pos="3600"/>
        </w:tabs>
        <w:spacing w:line="360" w:lineRule="auto"/>
        <w:ind w:firstLine="480" w:firstLineChars="200"/>
        <w:rPr>
          <w:sz w:val="24"/>
        </w:rPr>
      </w:pPr>
      <w:r>
        <w:rPr>
          <w:rFonts w:hint="eastAsia"/>
          <w:sz w:val="24"/>
        </w:rPr>
        <w:t>4、一方项目联系人不能按照合同约定履行其职责及义务，并导致合同无法继续正常履行的，另一方可以要求撤换项目联系人。</w:t>
      </w:r>
    </w:p>
    <w:p w14:paraId="6B8ADFDC">
      <w:pPr>
        <w:tabs>
          <w:tab w:val="left" w:pos="2400"/>
          <w:tab w:val="left" w:pos="2700"/>
          <w:tab w:val="left" w:pos="3000"/>
          <w:tab w:val="left" w:pos="3300"/>
          <w:tab w:val="left" w:pos="3600"/>
        </w:tabs>
        <w:spacing w:line="360" w:lineRule="auto"/>
        <w:ind w:firstLine="482" w:firstLineChars="200"/>
        <w:rPr>
          <w:b/>
          <w:sz w:val="24"/>
        </w:rPr>
      </w:pPr>
      <w:r>
        <w:rPr>
          <w:rFonts w:hint="eastAsia"/>
          <w:b/>
          <w:sz w:val="24"/>
        </w:rPr>
        <w:t>第十五条 其他</w:t>
      </w:r>
    </w:p>
    <w:p w14:paraId="49BAEA44">
      <w:pPr>
        <w:tabs>
          <w:tab w:val="left" w:pos="2400"/>
          <w:tab w:val="left" w:pos="2700"/>
          <w:tab w:val="left" w:pos="3000"/>
          <w:tab w:val="left" w:pos="3300"/>
          <w:tab w:val="left" w:pos="3600"/>
        </w:tabs>
        <w:spacing w:line="360" w:lineRule="auto"/>
        <w:ind w:firstLine="480" w:firstLineChars="200"/>
        <w:rPr>
          <w:sz w:val="24"/>
        </w:rPr>
      </w:pPr>
      <w:r>
        <w:rPr>
          <w:rFonts w:hint="eastAsia"/>
          <w:sz w:val="24"/>
        </w:rPr>
        <w:t>(一)本合同未尽事宜，双方另行协商确定，并签订书面补充合同，作为本合同的补充部分，补充合同与原合同具有同等法律效力。补充合同与本合同内容不一致的，以补充合同为准。</w:t>
      </w:r>
    </w:p>
    <w:p w14:paraId="22BA098C">
      <w:pPr>
        <w:tabs>
          <w:tab w:val="left" w:pos="2400"/>
          <w:tab w:val="left" w:pos="2700"/>
          <w:tab w:val="left" w:pos="3000"/>
          <w:tab w:val="left" w:pos="3300"/>
          <w:tab w:val="left" w:pos="3600"/>
        </w:tabs>
        <w:spacing w:line="360" w:lineRule="auto"/>
        <w:ind w:firstLine="480" w:firstLineChars="200"/>
        <w:rPr>
          <w:sz w:val="24"/>
        </w:rPr>
      </w:pPr>
      <w:r>
        <w:rPr>
          <w:rFonts w:hint="eastAsia"/>
          <w:sz w:val="24"/>
        </w:rPr>
        <w:t>(二)本合同经甲乙双方签字盖章后生效，本合同附件与本合同具有同等法律效力。</w:t>
      </w:r>
    </w:p>
    <w:p w14:paraId="560D0757">
      <w:pPr>
        <w:tabs>
          <w:tab w:val="left" w:pos="2400"/>
          <w:tab w:val="left" w:pos="2700"/>
          <w:tab w:val="left" w:pos="3000"/>
          <w:tab w:val="left" w:pos="3300"/>
          <w:tab w:val="left" w:pos="3600"/>
        </w:tabs>
        <w:spacing w:line="360" w:lineRule="auto"/>
        <w:ind w:firstLine="480" w:firstLineChars="200"/>
        <w:rPr>
          <w:sz w:val="24"/>
        </w:rPr>
      </w:pPr>
      <w:r>
        <w:rPr>
          <w:rFonts w:hint="eastAsia"/>
          <w:sz w:val="24"/>
        </w:rPr>
        <w:t>(三)本合同一式捌份，甲乙双方各执陆份，具有同等法律效力。</w:t>
      </w:r>
    </w:p>
    <w:p w14:paraId="4CDF7962">
      <w:pPr>
        <w:tabs>
          <w:tab w:val="left" w:pos="2400"/>
          <w:tab w:val="left" w:pos="2700"/>
          <w:tab w:val="left" w:pos="3000"/>
          <w:tab w:val="left" w:pos="3300"/>
          <w:tab w:val="left" w:pos="3600"/>
        </w:tabs>
        <w:spacing w:line="360" w:lineRule="auto"/>
        <w:ind w:firstLine="480" w:firstLineChars="200"/>
        <w:rPr>
          <w:sz w:val="24"/>
        </w:rPr>
      </w:pPr>
      <w:r>
        <w:rPr>
          <w:rFonts w:hint="eastAsia"/>
          <w:sz w:val="24"/>
        </w:rPr>
        <w:t>(以下无正文)</w:t>
      </w:r>
      <w:r>
        <w:rPr>
          <w:sz w:val="24"/>
        </w:rPr>
        <w:br w:type="page"/>
      </w:r>
      <w:r>
        <w:rPr>
          <w:rFonts w:hint="eastAsia"/>
          <w:sz w:val="24"/>
        </w:rPr>
        <w:t>（签署页）</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503"/>
        <w:gridCol w:w="1593"/>
        <w:gridCol w:w="731"/>
        <w:gridCol w:w="781"/>
        <w:gridCol w:w="1310"/>
        <w:gridCol w:w="1904"/>
      </w:tblGrid>
      <w:tr w14:paraId="654A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vMerge w:val="restart"/>
            <w:textDirection w:val="tbRlV"/>
            <w:vAlign w:val="center"/>
          </w:tcPr>
          <w:p w14:paraId="34408A35">
            <w:pPr>
              <w:tabs>
                <w:tab w:val="left" w:pos="2400"/>
                <w:tab w:val="left" w:pos="2700"/>
                <w:tab w:val="left" w:pos="3000"/>
                <w:tab w:val="left" w:pos="3300"/>
                <w:tab w:val="left" w:pos="3600"/>
              </w:tabs>
              <w:spacing w:line="360" w:lineRule="auto"/>
              <w:ind w:left="113" w:right="113"/>
              <w:jc w:val="center"/>
              <w:rPr>
                <w:szCs w:val="21"/>
              </w:rPr>
            </w:pPr>
            <w:r>
              <w:rPr>
                <w:rFonts w:hint="eastAsia"/>
                <w:szCs w:val="21"/>
              </w:rPr>
              <w:t>采购人（甲方）</w:t>
            </w:r>
          </w:p>
        </w:tc>
        <w:tc>
          <w:tcPr>
            <w:tcW w:w="1559" w:type="dxa"/>
            <w:vAlign w:val="center"/>
          </w:tcPr>
          <w:p w14:paraId="2B02D26C">
            <w:pPr>
              <w:tabs>
                <w:tab w:val="left" w:pos="2400"/>
                <w:tab w:val="left" w:pos="2700"/>
                <w:tab w:val="left" w:pos="3000"/>
                <w:tab w:val="left" w:pos="3300"/>
                <w:tab w:val="left" w:pos="3600"/>
              </w:tabs>
              <w:jc w:val="center"/>
              <w:rPr>
                <w:szCs w:val="21"/>
              </w:rPr>
            </w:pPr>
            <w:r>
              <w:rPr>
                <w:rFonts w:hint="eastAsia"/>
                <w:szCs w:val="21"/>
              </w:rPr>
              <w:t>名称</w:t>
            </w:r>
          </w:p>
        </w:tc>
        <w:tc>
          <w:tcPr>
            <w:tcW w:w="4536" w:type="dxa"/>
            <w:gridSpan w:val="4"/>
            <w:vAlign w:val="center"/>
          </w:tcPr>
          <w:p w14:paraId="264F316F">
            <w:pPr>
              <w:tabs>
                <w:tab w:val="left" w:pos="2400"/>
                <w:tab w:val="left" w:pos="2700"/>
                <w:tab w:val="left" w:pos="3000"/>
                <w:tab w:val="left" w:pos="3300"/>
                <w:tab w:val="left" w:pos="3600"/>
              </w:tabs>
              <w:jc w:val="right"/>
              <w:rPr>
                <w:szCs w:val="21"/>
              </w:rPr>
            </w:pPr>
            <w:r>
              <w:rPr>
                <w:rFonts w:hint="eastAsia"/>
                <w:szCs w:val="21"/>
              </w:rPr>
              <w:t>北京市地质灾害防治研究所（盖章）</w:t>
            </w:r>
          </w:p>
        </w:tc>
        <w:tc>
          <w:tcPr>
            <w:tcW w:w="1981" w:type="dxa"/>
            <w:vMerge w:val="restart"/>
            <w:vAlign w:val="center"/>
          </w:tcPr>
          <w:p w14:paraId="47282BA4">
            <w:pPr>
              <w:tabs>
                <w:tab w:val="left" w:pos="2400"/>
                <w:tab w:val="left" w:pos="2700"/>
                <w:tab w:val="left" w:pos="3000"/>
                <w:tab w:val="left" w:pos="3300"/>
                <w:tab w:val="left" w:pos="3600"/>
              </w:tabs>
              <w:spacing w:line="360" w:lineRule="auto"/>
              <w:jc w:val="center"/>
              <w:rPr>
                <w:szCs w:val="21"/>
              </w:rPr>
            </w:pPr>
            <w:r>
              <w:rPr>
                <w:rFonts w:hint="eastAsia"/>
                <w:szCs w:val="21"/>
              </w:rPr>
              <w:t>技术合同专用章</w:t>
            </w:r>
          </w:p>
          <w:p w14:paraId="6B1F14E2">
            <w:pPr>
              <w:tabs>
                <w:tab w:val="left" w:pos="2400"/>
                <w:tab w:val="left" w:pos="2700"/>
                <w:tab w:val="left" w:pos="3000"/>
                <w:tab w:val="left" w:pos="3300"/>
                <w:tab w:val="left" w:pos="3600"/>
              </w:tabs>
              <w:spacing w:line="360" w:lineRule="auto"/>
              <w:jc w:val="center"/>
              <w:rPr>
                <w:szCs w:val="21"/>
              </w:rPr>
            </w:pPr>
            <w:r>
              <w:rPr>
                <w:rFonts w:hint="eastAsia"/>
                <w:szCs w:val="21"/>
              </w:rPr>
              <w:t>或</w:t>
            </w:r>
          </w:p>
          <w:p w14:paraId="227107EE">
            <w:pPr>
              <w:tabs>
                <w:tab w:val="left" w:pos="2400"/>
                <w:tab w:val="left" w:pos="2700"/>
                <w:tab w:val="left" w:pos="3000"/>
                <w:tab w:val="left" w:pos="3300"/>
                <w:tab w:val="left" w:pos="3600"/>
              </w:tabs>
              <w:spacing w:line="360" w:lineRule="auto"/>
              <w:jc w:val="center"/>
              <w:rPr>
                <w:szCs w:val="21"/>
              </w:rPr>
            </w:pPr>
            <w:r>
              <w:rPr>
                <w:rFonts w:hint="eastAsia"/>
                <w:szCs w:val="21"/>
              </w:rPr>
              <w:t>单位公章</w:t>
            </w:r>
          </w:p>
        </w:tc>
      </w:tr>
      <w:tr w14:paraId="7B22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vMerge w:val="continue"/>
            <w:vAlign w:val="center"/>
          </w:tcPr>
          <w:p w14:paraId="645F5879">
            <w:pPr>
              <w:tabs>
                <w:tab w:val="left" w:pos="2400"/>
                <w:tab w:val="left" w:pos="2700"/>
                <w:tab w:val="left" w:pos="3000"/>
                <w:tab w:val="left" w:pos="3300"/>
                <w:tab w:val="left" w:pos="3600"/>
              </w:tabs>
              <w:spacing w:line="360" w:lineRule="auto"/>
              <w:jc w:val="center"/>
              <w:rPr>
                <w:szCs w:val="21"/>
              </w:rPr>
            </w:pPr>
          </w:p>
        </w:tc>
        <w:tc>
          <w:tcPr>
            <w:tcW w:w="1559" w:type="dxa"/>
            <w:vAlign w:val="center"/>
          </w:tcPr>
          <w:p w14:paraId="38D1F9A4">
            <w:pPr>
              <w:tabs>
                <w:tab w:val="left" w:pos="2400"/>
                <w:tab w:val="left" w:pos="2700"/>
                <w:tab w:val="left" w:pos="3000"/>
                <w:tab w:val="left" w:pos="3300"/>
                <w:tab w:val="left" w:pos="3600"/>
              </w:tabs>
              <w:jc w:val="center"/>
              <w:rPr>
                <w:szCs w:val="21"/>
              </w:rPr>
            </w:pPr>
            <w:r>
              <w:rPr>
                <w:rFonts w:hint="eastAsia"/>
                <w:szCs w:val="21"/>
              </w:rPr>
              <w:t>法定代表人</w:t>
            </w:r>
          </w:p>
        </w:tc>
        <w:tc>
          <w:tcPr>
            <w:tcW w:w="4536" w:type="dxa"/>
            <w:gridSpan w:val="4"/>
            <w:vAlign w:val="center"/>
          </w:tcPr>
          <w:p w14:paraId="6A62E0B1">
            <w:pPr>
              <w:tabs>
                <w:tab w:val="left" w:pos="2400"/>
                <w:tab w:val="left" w:pos="2700"/>
                <w:tab w:val="left" w:pos="3000"/>
                <w:tab w:val="left" w:pos="3300"/>
                <w:tab w:val="left" w:pos="3600"/>
              </w:tabs>
              <w:jc w:val="right"/>
              <w:rPr>
                <w:szCs w:val="21"/>
              </w:rPr>
            </w:pPr>
            <w:r>
              <w:rPr>
                <w:rFonts w:hint="eastAsia"/>
                <w:szCs w:val="21"/>
              </w:rPr>
              <w:t xml:space="preserve">                       （签字/签章）</w:t>
            </w:r>
          </w:p>
        </w:tc>
        <w:tc>
          <w:tcPr>
            <w:tcW w:w="1981" w:type="dxa"/>
            <w:vMerge w:val="continue"/>
            <w:vAlign w:val="center"/>
          </w:tcPr>
          <w:p w14:paraId="6E52D784">
            <w:pPr>
              <w:tabs>
                <w:tab w:val="left" w:pos="2400"/>
                <w:tab w:val="left" w:pos="2700"/>
                <w:tab w:val="left" w:pos="3000"/>
                <w:tab w:val="left" w:pos="3300"/>
                <w:tab w:val="left" w:pos="3600"/>
              </w:tabs>
              <w:spacing w:line="360" w:lineRule="auto"/>
              <w:jc w:val="center"/>
              <w:rPr>
                <w:szCs w:val="21"/>
              </w:rPr>
            </w:pPr>
          </w:p>
        </w:tc>
      </w:tr>
      <w:tr w14:paraId="4449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vMerge w:val="continue"/>
            <w:vAlign w:val="center"/>
          </w:tcPr>
          <w:p w14:paraId="01550B2E">
            <w:pPr>
              <w:tabs>
                <w:tab w:val="left" w:pos="2400"/>
                <w:tab w:val="left" w:pos="2700"/>
                <w:tab w:val="left" w:pos="3000"/>
                <w:tab w:val="left" w:pos="3300"/>
                <w:tab w:val="left" w:pos="3600"/>
              </w:tabs>
              <w:spacing w:line="360" w:lineRule="auto"/>
              <w:jc w:val="center"/>
              <w:rPr>
                <w:szCs w:val="21"/>
              </w:rPr>
            </w:pPr>
          </w:p>
        </w:tc>
        <w:tc>
          <w:tcPr>
            <w:tcW w:w="1559" w:type="dxa"/>
            <w:vAlign w:val="center"/>
          </w:tcPr>
          <w:p w14:paraId="369A9B62">
            <w:pPr>
              <w:tabs>
                <w:tab w:val="left" w:pos="2400"/>
                <w:tab w:val="left" w:pos="2700"/>
                <w:tab w:val="left" w:pos="3000"/>
                <w:tab w:val="left" w:pos="3300"/>
                <w:tab w:val="left" w:pos="3600"/>
              </w:tabs>
              <w:jc w:val="center"/>
              <w:rPr>
                <w:szCs w:val="21"/>
              </w:rPr>
            </w:pPr>
            <w:r>
              <w:rPr>
                <w:rFonts w:hint="eastAsia"/>
                <w:szCs w:val="21"/>
              </w:rPr>
              <w:t>委托代理人</w:t>
            </w:r>
          </w:p>
        </w:tc>
        <w:tc>
          <w:tcPr>
            <w:tcW w:w="4536" w:type="dxa"/>
            <w:gridSpan w:val="4"/>
            <w:vAlign w:val="center"/>
          </w:tcPr>
          <w:p w14:paraId="6447D6DE">
            <w:pPr>
              <w:tabs>
                <w:tab w:val="left" w:pos="2400"/>
                <w:tab w:val="left" w:pos="2700"/>
                <w:tab w:val="left" w:pos="3000"/>
                <w:tab w:val="left" w:pos="3300"/>
                <w:tab w:val="left" w:pos="3600"/>
              </w:tabs>
              <w:jc w:val="right"/>
              <w:rPr>
                <w:szCs w:val="21"/>
              </w:rPr>
            </w:pPr>
            <w:r>
              <w:rPr>
                <w:rFonts w:hint="eastAsia"/>
                <w:szCs w:val="21"/>
              </w:rPr>
              <w:t>（签字/签章）</w:t>
            </w:r>
          </w:p>
        </w:tc>
        <w:tc>
          <w:tcPr>
            <w:tcW w:w="1981" w:type="dxa"/>
            <w:vMerge w:val="continue"/>
            <w:vAlign w:val="center"/>
          </w:tcPr>
          <w:p w14:paraId="330AE6E7">
            <w:pPr>
              <w:tabs>
                <w:tab w:val="left" w:pos="2400"/>
                <w:tab w:val="left" w:pos="2700"/>
                <w:tab w:val="left" w:pos="3000"/>
                <w:tab w:val="left" w:pos="3300"/>
                <w:tab w:val="left" w:pos="3600"/>
              </w:tabs>
              <w:spacing w:line="360" w:lineRule="auto"/>
              <w:jc w:val="center"/>
              <w:rPr>
                <w:szCs w:val="21"/>
              </w:rPr>
            </w:pPr>
          </w:p>
        </w:tc>
      </w:tr>
      <w:tr w14:paraId="783D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vMerge w:val="continue"/>
            <w:vAlign w:val="center"/>
          </w:tcPr>
          <w:p w14:paraId="40A272D2">
            <w:pPr>
              <w:tabs>
                <w:tab w:val="left" w:pos="2400"/>
                <w:tab w:val="left" w:pos="2700"/>
                <w:tab w:val="left" w:pos="3000"/>
                <w:tab w:val="left" w:pos="3300"/>
                <w:tab w:val="left" w:pos="3600"/>
              </w:tabs>
              <w:spacing w:line="360" w:lineRule="auto"/>
              <w:jc w:val="center"/>
              <w:rPr>
                <w:szCs w:val="21"/>
              </w:rPr>
            </w:pPr>
          </w:p>
        </w:tc>
        <w:tc>
          <w:tcPr>
            <w:tcW w:w="1559" w:type="dxa"/>
            <w:vAlign w:val="center"/>
          </w:tcPr>
          <w:p w14:paraId="331BBE3A">
            <w:pPr>
              <w:tabs>
                <w:tab w:val="left" w:pos="2400"/>
                <w:tab w:val="left" w:pos="2700"/>
                <w:tab w:val="left" w:pos="3000"/>
                <w:tab w:val="left" w:pos="3300"/>
                <w:tab w:val="left" w:pos="3600"/>
              </w:tabs>
              <w:jc w:val="center"/>
              <w:rPr>
                <w:szCs w:val="21"/>
              </w:rPr>
            </w:pPr>
            <w:r>
              <w:rPr>
                <w:rFonts w:hint="eastAsia"/>
                <w:szCs w:val="21"/>
              </w:rPr>
              <w:t>联系人</w:t>
            </w:r>
          </w:p>
        </w:tc>
        <w:tc>
          <w:tcPr>
            <w:tcW w:w="4536" w:type="dxa"/>
            <w:gridSpan w:val="4"/>
            <w:vAlign w:val="center"/>
          </w:tcPr>
          <w:p w14:paraId="4A5D8C0A">
            <w:pPr>
              <w:tabs>
                <w:tab w:val="left" w:pos="2400"/>
                <w:tab w:val="left" w:pos="2700"/>
                <w:tab w:val="left" w:pos="3000"/>
                <w:tab w:val="left" w:pos="3300"/>
                <w:tab w:val="left" w:pos="3600"/>
              </w:tabs>
              <w:jc w:val="right"/>
              <w:rPr>
                <w:szCs w:val="21"/>
              </w:rPr>
            </w:pPr>
            <w:r>
              <w:rPr>
                <w:rFonts w:hint="eastAsia"/>
                <w:szCs w:val="21"/>
              </w:rPr>
              <w:t>（签字/签章）</w:t>
            </w:r>
          </w:p>
        </w:tc>
        <w:tc>
          <w:tcPr>
            <w:tcW w:w="1981" w:type="dxa"/>
            <w:vMerge w:val="continue"/>
            <w:vAlign w:val="center"/>
          </w:tcPr>
          <w:p w14:paraId="01D234BA">
            <w:pPr>
              <w:tabs>
                <w:tab w:val="left" w:pos="2400"/>
                <w:tab w:val="left" w:pos="2700"/>
                <w:tab w:val="left" w:pos="3000"/>
                <w:tab w:val="left" w:pos="3300"/>
                <w:tab w:val="left" w:pos="3600"/>
              </w:tabs>
              <w:spacing w:line="360" w:lineRule="auto"/>
              <w:jc w:val="center"/>
              <w:rPr>
                <w:szCs w:val="21"/>
              </w:rPr>
            </w:pPr>
          </w:p>
        </w:tc>
      </w:tr>
      <w:tr w14:paraId="4D86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vMerge w:val="continue"/>
            <w:vAlign w:val="center"/>
          </w:tcPr>
          <w:p w14:paraId="68E1BAF9">
            <w:pPr>
              <w:tabs>
                <w:tab w:val="left" w:pos="2400"/>
                <w:tab w:val="left" w:pos="2700"/>
                <w:tab w:val="left" w:pos="3000"/>
                <w:tab w:val="left" w:pos="3300"/>
                <w:tab w:val="left" w:pos="3600"/>
              </w:tabs>
              <w:spacing w:line="360" w:lineRule="auto"/>
              <w:jc w:val="center"/>
              <w:rPr>
                <w:szCs w:val="21"/>
              </w:rPr>
            </w:pPr>
          </w:p>
        </w:tc>
        <w:tc>
          <w:tcPr>
            <w:tcW w:w="1559" w:type="dxa"/>
            <w:vAlign w:val="center"/>
          </w:tcPr>
          <w:p w14:paraId="36CEC3F1">
            <w:pPr>
              <w:tabs>
                <w:tab w:val="left" w:pos="2400"/>
                <w:tab w:val="left" w:pos="2700"/>
                <w:tab w:val="left" w:pos="3000"/>
                <w:tab w:val="left" w:pos="3300"/>
                <w:tab w:val="left" w:pos="3600"/>
              </w:tabs>
              <w:rPr>
                <w:szCs w:val="21"/>
              </w:rPr>
            </w:pPr>
            <w:r>
              <w:rPr>
                <w:rFonts w:hint="eastAsia"/>
                <w:szCs w:val="21"/>
              </w:rPr>
              <w:t>通讯地址</w:t>
            </w:r>
          </w:p>
        </w:tc>
        <w:tc>
          <w:tcPr>
            <w:tcW w:w="2411" w:type="dxa"/>
            <w:gridSpan w:val="2"/>
            <w:vAlign w:val="center"/>
          </w:tcPr>
          <w:p w14:paraId="353FB417">
            <w:pPr>
              <w:tabs>
                <w:tab w:val="left" w:pos="2400"/>
                <w:tab w:val="left" w:pos="2700"/>
                <w:tab w:val="left" w:pos="3000"/>
                <w:tab w:val="left" w:pos="3300"/>
                <w:tab w:val="left" w:pos="3600"/>
              </w:tabs>
              <w:jc w:val="center"/>
              <w:rPr>
                <w:szCs w:val="21"/>
              </w:rPr>
            </w:pPr>
            <w:r>
              <w:rPr>
                <w:rFonts w:hint="eastAsia"/>
                <w:szCs w:val="21"/>
              </w:rPr>
              <w:t>北京市西城区黄寺</w:t>
            </w:r>
          </w:p>
          <w:p w14:paraId="67ECB164">
            <w:pPr>
              <w:tabs>
                <w:tab w:val="left" w:pos="2400"/>
                <w:tab w:val="left" w:pos="2700"/>
                <w:tab w:val="left" w:pos="3000"/>
                <w:tab w:val="left" w:pos="3300"/>
                <w:tab w:val="left" w:pos="3600"/>
              </w:tabs>
              <w:jc w:val="center"/>
              <w:rPr>
                <w:szCs w:val="21"/>
              </w:rPr>
            </w:pPr>
            <w:r>
              <w:rPr>
                <w:rFonts w:hint="eastAsia"/>
                <w:szCs w:val="21"/>
              </w:rPr>
              <w:t>大街24号院22号楼</w:t>
            </w:r>
          </w:p>
        </w:tc>
        <w:tc>
          <w:tcPr>
            <w:tcW w:w="795" w:type="dxa"/>
            <w:vAlign w:val="center"/>
          </w:tcPr>
          <w:p w14:paraId="7E5E3DC3">
            <w:pPr>
              <w:rPr>
                <w:szCs w:val="21"/>
              </w:rPr>
            </w:pPr>
            <w:r>
              <w:rPr>
                <w:szCs w:val="21"/>
              </w:rPr>
              <w:t>邮政</w:t>
            </w:r>
          </w:p>
          <w:p w14:paraId="00746C63">
            <w:pPr>
              <w:rPr>
                <w:szCs w:val="21"/>
              </w:rPr>
            </w:pPr>
            <w:r>
              <w:rPr>
                <w:rFonts w:hint="eastAsia"/>
                <w:szCs w:val="21"/>
              </w:rPr>
              <w:t>编码</w:t>
            </w:r>
          </w:p>
        </w:tc>
        <w:tc>
          <w:tcPr>
            <w:tcW w:w="1330" w:type="dxa"/>
            <w:vAlign w:val="center"/>
          </w:tcPr>
          <w:p w14:paraId="0D6EBFE6">
            <w:pPr>
              <w:tabs>
                <w:tab w:val="left" w:pos="2400"/>
                <w:tab w:val="left" w:pos="2700"/>
                <w:tab w:val="left" w:pos="3000"/>
                <w:tab w:val="left" w:pos="3300"/>
                <w:tab w:val="left" w:pos="3600"/>
              </w:tabs>
              <w:jc w:val="center"/>
              <w:rPr>
                <w:szCs w:val="21"/>
              </w:rPr>
            </w:pPr>
            <w:r>
              <w:rPr>
                <w:rFonts w:hint="eastAsia"/>
                <w:szCs w:val="21"/>
              </w:rPr>
              <w:t>100120</w:t>
            </w:r>
          </w:p>
        </w:tc>
        <w:tc>
          <w:tcPr>
            <w:tcW w:w="1981" w:type="dxa"/>
            <w:vMerge w:val="continue"/>
            <w:vAlign w:val="center"/>
          </w:tcPr>
          <w:p w14:paraId="6CC49B4B">
            <w:pPr>
              <w:tabs>
                <w:tab w:val="left" w:pos="2400"/>
                <w:tab w:val="left" w:pos="2700"/>
                <w:tab w:val="left" w:pos="3000"/>
                <w:tab w:val="left" w:pos="3300"/>
                <w:tab w:val="left" w:pos="3600"/>
              </w:tabs>
              <w:spacing w:line="360" w:lineRule="auto"/>
              <w:jc w:val="center"/>
              <w:rPr>
                <w:szCs w:val="21"/>
              </w:rPr>
            </w:pPr>
          </w:p>
        </w:tc>
      </w:tr>
      <w:tr w14:paraId="5907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vMerge w:val="continue"/>
            <w:vAlign w:val="center"/>
          </w:tcPr>
          <w:p w14:paraId="39646C10">
            <w:pPr>
              <w:tabs>
                <w:tab w:val="left" w:pos="2400"/>
                <w:tab w:val="left" w:pos="2700"/>
                <w:tab w:val="left" w:pos="3000"/>
                <w:tab w:val="left" w:pos="3300"/>
                <w:tab w:val="left" w:pos="3600"/>
              </w:tabs>
              <w:spacing w:line="360" w:lineRule="auto"/>
              <w:jc w:val="center"/>
              <w:rPr>
                <w:szCs w:val="21"/>
              </w:rPr>
            </w:pPr>
          </w:p>
        </w:tc>
        <w:tc>
          <w:tcPr>
            <w:tcW w:w="1559" w:type="dxa"/>
            <w:vAlign w:val="center"/>
          </w:tcPr>
          <w:p w14:paraId="5C9283AB">
            <w:pPr>
              <w:tabs>
                <w:tab w:val="left" w:pos="2400"/>
                <w:tab w:val="left" w:pos="2700"/>
                <w:tab w:val="left" w:pos="3000"/>
                <w:tab w:val="left" w:pos="3300"/>
                <w:tab w:val="left" w:pos="3600"/>
              </w:tabs>
              <w:jc w:val="center"/>
              <w:rPr>
                <w:szCs w:val="21"/>
              </w:rPr>
            </w:pPr>
            <w:r>
              <w:rPr>
                <w:rFonts w:hint="eastAsia"/>
                <w:szCs w:val="21"/>
              </w:rPr>
              <w:t>电话</w:t>
            </w:r>
          </w:p>
        </w:tc>
        <w:tc>
          <w:tcPr>
            <w:tcW w:w="1664" w:type="dxa"/>
            <w:vAlign w:val="center"/>
          </w:tcPr>
          <w:p w14:paraId="7BD21980">
            <w:pPr>
              <w:tabs>
                <w:tab w:val="left" w:pos="2400"/>
                <w:tab w:val="left" w:pos="2700"/>
                <w:tab w:val="left" w:pos="3000"/>
                <w:tab w:val="left" w:pos="3300"/>
                <w:tab w:val="left" w:pos="3600"/>
              </w:tabs>
              <w:jc w:val="center"/>
              <w:rPr>
                <w:szCs w:val="21"/>
              </w:rPr>
            </w:pPr>
          </w:p>
        </w:tc>
        <w:tc>
          <w:tcPr>
            <w:tcW w:w="747" w:type="dxa"/>
            <w:vAlign w:val="center"/>
          </w:tcPr>
          <w:p w14:paraId="4629304C">
            <w:pPr>
              <w:tabs>
                <w:tab w:val="left" w:pos="2400"/>
                <w:tab w:val="left" w:pos="2700"/>
                <w:tab w:val="left" w:pos="3000"/>
                <w:tab w:val="left" w:pos="3300"/>
                <w:tab w:val="left" w:pos="3600"/>
              </w:tabs>
              <w:jc w:val="center"/>
              <w:rPr>
                <w:szCs w:val="21"/>
              </w:rPr>
            </w:pPr>
            <w:r>
              <w:rPr>
                <w:rFonts w:hint="eastAsia"/>
                <w:szCs w:val="21"/>
              </w:rPr>
              <w:t>传真</w:t>
            </w:r>
          </w:p>
        </w:tc>
        <w:tc>
          <w:tcPr>
            <w:tcW w:w="2125" w:type="dxa"/>
            <w:gridSpan w:val="2"/>
            <w:vAlign w:val="center"/>
          </w:tcPr>
          <w:p w14:paraId="352EA38F">
            <w:pPr>
              <w:tabs>
                <w:tab w:val="left" w:pos="2400"/>
                <w:tab w:val="left" w:pos="2700"/>
                <w:tab w:val="left" w:pos="3000"/>
                <w:tab w:val="left" w:pos="3300"/>
                <w:tab w:val="left" w:pos="3600"/>
              </w:tabs>
              <w:jc w:val="center"/>
              <w:rPr>
                <w:szCs w:val="21"/>
              </w:rPr>
            </w:pPr>
            <w:r>
              <w:rPr>
                <w:rFonts w:hint="eastAsia"/>
                <w:szCs w:val="21"/>
              </w:rPr>
              <w:t>010-51632499</w:t>
            </w:r>
          </w:p>
        </w:tc>
        <w:tc>
          <w:tcPr>
            <w:tcW w:w="1981" w:type="dxa"/>
            <w:vMerge w:val="continue"/>
            <w:vAlign w:val="center"/>
          </w:tcPr>
          <w:p w14:paraId="59457785">
            <w:pPr>
              <w:tabs>
                <w:tab w:val="left" w:pos="2400"/>
                <w:tab w:val="left" w:pos="2700"/>
                <w:tab w:val="left" w:pos="3000"/>
                <w:tab w:val="left" w:pos="3300"/>
                <w:tab w:val="left" w:pos="3600"/>
              </w:tabs>
              <w:spacing w:line="360" w:lineRule="auto"/>
              <w:jc w:val="center"/>
              <w:rPr>
                <w:szCs w:val="21"/>
              </w:rPr>
            </w:pPr>
          </w:p>
        </w:tc>
      </w:tr>
      <w:tr w14:paraId="7CFC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vMerge w:val="continue"/>
            <w:vAlign w:val="center"/>
          </w:tcPr>
          <w:p w14:paraId="7E081C14">
            <w:pPr>
              <w:tabs>
                <w:tab w:val="left" w:pos="2400"/>
                <w:tab w:val="left" w:pos="2700"/>
                <w:tab w:val="left" w:pos="3000"/>
                <w:tab w:val="left" w:pos="3300"/>
                <w:tab w:val="left" w:pos="3600"/>
              </w:tabs>
              <w:spacing w:line="360" w:lineRule="auto"/>
              <w:jc w:val="center"/>
              <w:rPr>
                <w:szCs w:val="21"/>
              </w:rPr>
            </w:pPr>
          </w:p>
        </w:tc>
        <w:tc>
          <w:tcPr>
            <w:tcW w:w="1559" w:type="dxa"/>
            <w:vAlign w:val="center"/>
          </w:tcPr>
          <w:p w14:paraId="182A21E1">
            <w:pPr>
              <w:tabs>
                <w:tab w:val="left" w:pos="2400"/>
                <w:tab w:val="left" w:pos="2700"/>
                <w:tab w:val="left" w:pos="3000"/>
                <w:tab w:val="left" w:pos="3300"/>
                <w:tab w:val="left" w:pos="3600"/>
              </w:tabs>
              <w:jc w:val="center"/>
              <w:rPr>
                <w:szCs w:val="21"/>
              </w:rPr>
            </w:pPr>
            <w:r>
              <w:rPr>
                <w:rFonts w:hint="eastAsia"/>
                <w:szCs w:val="21"/>
              </w:rPr>
              <w:t>开户银行</w:t>
            </w:r>
          </w:p>
        </w:tc>
        <w:tc>
          <w:tcPr>
            <w:tcW w:w="4536" w:type="dxa"/>
            <w:gridSpan w:val="4"/>
            <w:vAlign w:val="center"/>
          </w:tcPr>
          <w:p w14:paraId="23627CE5">
            <w:pPr>
              <w:tabs>
                <w:tab w:val="left" w:pos="2400"/>
                <w:tab w:val="left" w:pos="2700"/>
                <w:tab w:val="left" w:pos="3000"/>
                <w:tab w:val="left" w:pos="3300"/>
                <w:tab w:val="left" w:pos="3600"/>
              </w:tabs>
              <w:jc w:val="center"/>
              <w:rPr>
                <w:szCs w:val="21"/>
              </w:rPr>
            </w:pPr>
          </w:p>
        </w:tc>
        <w:tc>
          <w:tcPr>
            <w:tcW w:w="1981" w:type="dxa"/>
            <w:vMerge w:val="continue"/>
            <w:vAlign w:val="center"/>
          </w:tcPr>
          <w:p w14:paraId="145E33F6">
            <w:pPr>
              <w:tabs>
                <w:tab w:val="left" w:pos="2400"/>
                <w:tab w:val="left" w:pos="2700"/>
                <w:tab w:val="left" w:pos="3000"/>
                <w:tab w:val="left" w:pos="3300"/>
                <w:tab w:val="left" w:pos="3600"/>
              </w:tabs>
              <w:spacing w:line="360" w:lineRule="auto"/>
              <w:jc w:val="center"/>
              <w:rPr>
                <w:szCs w:val="21"/>
              </w:rPr>
            </w:pPr>
          </w:p>
        </w:tc>
      </w:tr>
      <w:tr w14:paraId="64D8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vMerge w:val="continue"/>
            <w:vAlign w:val="center"/>
          </w:tcPr>
          <w:p w14:paraId="701FB4A3">
            <w:pPr>
              <w:tabs>
                <w:tab w:val="left" w:pos="2400"/>
                <w:tab w:val="left" w:pos="2700"/>
                <w:tab w:val="left" w:pos="3000"/>
                <w:tab w:val="left" w:pos="3300"/>
                <w:tab w:val="left" w:pos="3600"/>
              </w:tabs>
              <w:spacing w:line="360" w:lineRule="auto"/>
              <w:jc w:val="center"/>
              <w:rPr>
                <w:szCs w:val="21"/>
              </w:rPr>
            </w:pPr>
          </w:p>
        </w:tc>
        <w:tc>
          <w:tcPr>
            <w:tcW w:w="1559" w:type="dxa"/>
            <w:vAlign w:val="center"/>
          </w:tcPr>
          <w:p w14:paraId="0B61B672">
            <w:pPr>
              <w:tabs>
                <w:tab w:val="left" w:pos="2400"/>
                <w:tab w:val="left" w:pos="2700"/>
                <w:tab w:val="left" w:pos="3000"/>
                <w:tab w:val="left" w:pos="3300"/>
                <w:tab w:val="left" w:pos="3600"/>
              </w:tabs>
              <w:jc w:val="center"/>
              <w:rPr>
                <w:szCs w:val="21"/>
              </w:rPr>
            </w:pPr>
            <w:r>
              <w:rPr>
                <w:rFonts w:hint="eastAsia"/>
                <w:szCs w:val="21"/>
              </w:rPr>
              <w:t>账号</w:t>
            </w:r>
          </w:p>
        </w:tc>
        <w:tc>
          <w:tcPr>
            <w:tcW w:w="4536" w:type="dxa"/>
            <w:gridSpan w:val="4"/>
            <w:vAlign w:val="center"/>
          </w:tcPr>
          <w:p w14:paraId="3EA0F62D">
            <w:pPr>
              <w:tabs>
                <w:tab w:val="left" w:pos="2400"/>
                <w:tab w:val="left" w:pos="2700"/>
                <w:tab w:val="left" w:pos="3000"/>
                <w:tab w:val="left" w:pos="3300"/>
                <w:tab w:val="left" w:pos="3600"/>
              </w:tabs>
              <w:jc w:val="center"/>
              <w:rPr>
                <w:szCs w:val="21"/>
              </w:rPr>
            </w:pPr>
          </w:p>
        </w:tc>
        <w:tc>
          <w:tcPr>
            <w:tcW w:w="1981" w:type="dxa"/>
            <w:vMerge w:val="continue"/>
            <w:vAlign w:val="center"/>
          </w:tcPr>
          <w:p w14:paraId="4010F01E">
            <w:pPr>
              <w:tabs>
                <w:tab w:val="left" w:pos="2400"/>
                <w:tab w:val="left" w:pos="2700"/>
                <w:tab w:val="left" w:pos="3000"/>
                <w:tab w:val="left" w:pos="3300"/>
                <w:tab w:val="left" w:pos="3600"/>
              </w:tabs>
              <w:spacing w:line="360" w:lineRule="auto"/>
              <w:jc w:val="center"/>
              <w:rPr>
                <w:szCs w:val="21"/>
              </w:rPr>
            </w:pPr>
          </w:p>
        </w:tc>
      </w:tr>
      <w:tr w14:paraId="6AE7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vMerge w:val="continue"/>
            <w:vAlign w:val="center"/>
          </w:tcPr>
          <w:p w14:paraId="626FC76A">
            <w:pPr>
              <w:tabs>
                <w:tab w:val="left" w:pos="2400"/>
                <w:tab w:val="left" w:pos="2700"/>
                <w:tab w:val="left" w:pos="3000"/>
                <w:tab w:val="left" w:pos="3300"/>
                <w:tab w:val="left" w:pos="3600"/>
              </w:tabs>
              <w:spacing w:line="360" w:lineRule="auto"/>
              <w:jc w:val="center"/>
              <w:rPr>
                <w:szCs w:val="21"/>
              </w:rPr>
            </w:pPr>
          </w:p>
        </w:tc>
        <w:tc>
          <w:tcPr>
            <w:tcW w:w="1559" w:type="dxa"/>
            <w:vAlign w:val="center"/>
          </w:tcPr>
          <w:p w14:paraId="75422A1C">
            <w:pPr>
              <w:tabs>
                <w:tab w:val="left" w:pos="2400"/>
                <w:tab w:val="left" w:pos="2700"/>
                <w:tab w:val="left" w:pos="3000"/>
                <w:tab w:val="left" w:pos="3300"/>
                <w:tab w:val="left" w:pos="3600"/>
              </w:tabs>
              <w:jc w:val="center"/>
              <w:rPr>
                <w:szCs w:val="21"/>
              </w:rPr>
            </w:pPr>
            <w:r>
              <w:rPr>
                <w:rFonts w:hint="eastAsia"/>
                <w:szCs w:val="21"/>
              </w:rPr>
              <w:t>税号</w:t>
            </w:r>
          </w:p>
        </w:tc>
        <w:tc>
          <w:tcPr>
            <w:tcW w:w="4536" w:type="dxa"/>
            <w:gridSpan w:val="4"/>
            <w:vAlign w:val="center"/>
          </w:tcPr>
          <w:p w14:paraId="06567700">
            <w:pPr>
              <w:tabs>
                <w:tab w:val="left" w:pos="2400"/>
                <w:tab w:val="left" w:pos="2700"/>
                <w:tab w:val="left" w:pos="3000"/>
                <w:tab w:val="left" w:pos="3300"/>
                <w:tab w:val="left" w:pos="3600"/>
              </w:tabs>
              <w:jc w:val="center"/>
              <w:rPr>
                <w:szCs w:val="21"/>
              </w:rPr>
            </w:pPr>
          </w:p>
        </w:tc>
        <w:tc>
          <w:tcPr>
            <w:tcW w:w="1981" w:type="dxa"/>
            <w:vMerge w:val="continue"/>
            <w:vAlign w:val="center"/>
          </w:tcPr>
          <w:p w14:paraId="3E1FF42C">
            <w:pPr>
              <w:tabs>
                <w:tab w:val="left" w:pos="2400"/>
                <w:tab w:val="left" w:pos="2700"/>
                <w:tab w:val="left" w:pos="3000"/>
                <w:tab w:val="left" w:pos="3300"/>
                <w:tab w:val="left" w:pos="3600"/>
              </w:tabs>
              <w:spacing w:line="360" w:lineRule="auto"/>
              <w:jc w:val="center"/>
              <w:rPr>
                <w:szCs w:val="21"/>
              </w:rPr>
            </w:pPr>
          </w:p>
        </w:tc>
      </w:tr>
      <w:tr w14:paraId="23BB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vMerge w:val="restart"/>
            <w:textDirection w:val="tbRlV"/>
            <w:vAlign w:val="center"/>
          </w:tcPr>
          <w:p w14:paraId="3BE44C5B">
            <w:pPr>
              <w:tabs>
                <w:tab w:val="left" w:pos="2400"/>
                <w:tab w:val="left" w:pos="2700"/>
                <w:tab w:val="left" w:pos="3000"/>
                <w:tab w:val="left" w:pos="3300"/>
                <w:tab w:val="left" w:pos="3600"/>
              </w:tabs>
              <w:spacing w:line="360" w:lineRule="auto"/>
              <w:ind w:left="113" w:right="113"/>
              <w:jc w:val="center"/>
              <w:rPr>
                <w:szCs w:val="21"/>
              </w:rPr>
            </w:pPr>
            <w:r>
              <w:rPr>
                <w:rFonts w:hint="eastAsia"/>
                <w:szCs w:val="21"/>
              </w:rPr>
              <w:t>中标供应商（乙方）</w:t>
            </w:r>
          </w:p>
        </w:tc>
        <w:tc>
          <w:tcPr>
            <w:tcW w:w="1559" w:type="dxa"/>
            <w:vAlign w:val="center"/>
          </w:tcPr>
          <w:p w14:paraId="40520378">
            <w:pPr>
              <w:tabs>
                <w:tab w:val="left" w:pos="2400"/>
                <w:tab w:val="left" w:pos="2700"/>
                <w:tab w:val="left" w:pos="3000"/>
                <w:tab w:val="left" w:pos="3300"/>
                <w:tab w:val="left" w:pos="3600"/>
              </w:tabs>
              <w:jc w:val="center"/>
              <w:rPr>
                <w:szCs w:val="21"/>
              </w:rPr>
            </w:pPr>
            <w:r>
              <w:rPr>
                <w:rFonts w:hint="eastAsia"/>
                <w:szCs w:val="21"/>
              </w:rPr>
              <w:t>名称</w:t>
            </w:r>
          </w:p>
        </w:tc>
        <w:tc>
          <w:tcPr>
            <w:tcW w:w="4536" w:type="dxa"/>
            <w:gridSpan w:val="4"/>
            <w:vAlign w:val="center"/>
          </w:tcPr>
          <w:p w14:paraId="255BE637">
            <w:pPr>
              <w:tabs>
                <w:tab w:val="left" w:pos="2400"/>
                <w:tab w:val="left" w:pos="2700"/>
                <w:tab w:val="left" w:pos="3000"/>
                <w:tab w:val="left" w:pos="3300"/>
                <w:tab w:val="left" w:pos="3600"/>
              </w:tabs>
              <w:jc w:val="right"/>
              <w:rPr>
                <w:szCs w:val="21"/>
              </w:rPr>
            </w:pPr>
            <w:r>
              <w:rPr>
                <w:rFonts w:hint="eastAsia"/>
                <w:szCs w:val="21"/>
              </w:rPr>
              <w:t>（盖章）</w:t>
            </w:r>
          </w:p>
        </w:tc>
        <w:tc>
          <w:tcPr>
            <w:tcW w:w="1981" w:type="dxa"/>
            <w:vMerge w:val="restart"/>
            <w:vAlign w:val="center"/>
          </w:tcPr>
          <w:p w14:paraId="519B9ABB">
            <w:pPr>
              <w:tabs>
                <w:tab w:val="left" w:pos="2400"/>
                <w:tab w:val="left" w:pos="2700"/>
                <w:tab w:val="left" w:pos="3000"/>
                <w:tab w:val="left" w:pos="3300"/>
                <w:tab w:val="left" w:pos="3600"/>
              </w:tabs>
              <w:spacing w:line="360" w:lineRule="auto"/>
              <w:jc w:val="center"/>
              <w:rPr>
                <w:szCs w:val="21"/>
              </w:rPr>
            </w:pPr>
            <w:r>
              <w:rPr>
                <w:rFonts w:hint="eastAsia"/>
                <w:szCs w:val="21"/>
              </w:rPr>
              <w:t>技术合同专用章</w:t>
            </w:r>
          </w:p>
          <w:p w14:paraId="598BCE1A">
            <w:pPr>
              <w:tabs>
                <w:tab w:val="left" w:pos="2400"/>
                <w:tab w:val="left" w:pos="2700"/>
                <w:tab w:val="left" w:pos="3000"/>
                <w:tab w:val="left" w:pos="3300"/>
                <w:tab w:val="left" w:pos="3600"/>
              </w:tabs>
              <w:spacing w:line="360" w:lineRule="auto"/>
              <w:jc w:val="center"/>
              <w:rPr>
                <w:szCs w:val="21"/>
              </w:rPr>
            </w:pPr>
            <w:r>
              <w:rPr>
                <w:rFonts w:hint="eastAsia"/>
                <w:szCs w:val="21"/>
              </w:rPr>
              <w:t>或</w:t>
            </w:r>
          </w:p>
          <w:p w14:paraId="636E90F0">
            <w:pPr>
              <w:tabs>
                <w:tab w:val="left" w:pos="2400"/>
                <w:tab w:val="left" w:pos="2700"/>
                <w:tab w:val="left" w:pos="3000"/>
                <w:tab w:val="left" w:pos="3300"/>
                <w:tab w:val="left" w:pos="3600"/>
              </w:tabs>
              <w:spacing w:line="360" w:lineRule="auto"/>
              <w:jc w:val="center"/>
              <w:rPr>
                <w:szCs w:val="21"/>
              </w:rPr>
            </w:pPr>
            <w:r>
              <w:rPr>
                <w:rFonts w:hint="eastAsia"/>
                <w:szCs w:val="21"/>
              </w:rPr>
              <w:t>单位公章</w:t>
            </w:r>
          </w:p>
        </w:tc>
      </w:tr>
      <w:tr w14:paraId="1324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vMerge w:val="continue"/>
            <w:vAlign w:val="center"/>
          </w:tcPr>
          <w:p w14:paraId="5E61AA88">
            <w:pPr>
              <w:tabs>
                <w:tab w:val="left" w:pos="2400"/>
                <w:tab w:val="left" w:pos="2700"/>
                <w:tab w:val="left" w:pos="3000"/>
                <w:tab w:val="left" w:pos="3300"/>
                <w:tab w:val="left" w:pos="3600"/>
              </w:tabs>
              <w:spacing w:line="360" w:lineRule="auto"/>
              <w:jc w:val="center"/>
              <w:rPr>
                <w:szCs w:val="21"/>
              </w:rPr>
            </w:pPr>
          </w:p>
        </w:tc>
        <w:tc>
          <w:tcPr>
            <w:tcW w:w="1559" w:type="dxa"/>
            <w:vAlign w:val="center"/>
          </w:tcPr>
          <w:p w14:paraId="63D80243">
            <w:pPr>
              <w:tabs>
                <w:tab w:val="left" w:pos="2400"/>
                <w:tab w:val="left" w:pos="2700"/>
                <w:tab w:val="left" w:pos="3000"/>
                <w:tab w:val="left" w:pos="3300"/>
                <w:tab w:val="left" w:pos="3600"/>
              </w:tabs>
              <w:jc w:val="center"/>
              <w:rPr>
                <w:szCs w:val="21"/>
              </w:rPr>
            </w:pPr>
            <w:r>
              <w:rPr>
                <w:rFonts w:hint="eastAsia"/>
                <w:szCs w:val="21"/>
              </w:rPr>
              <w:t>法定代表人</w:t>
            </w:r>
          </w:p>
        </w:tc>
        <w:tc>
          <w:tcPr>
            <w:tcW w:w="4536" w:type="dxa"/>
            <w:gridSpan w:val="4"/>
            <w:vAlign w:val="center"/>
          </w:tcPr>
          <w:p w14:paraId="70DBC2E4">
            <w:pPr>
              <w:tabs>
                <w:tab w:val="left" w:pos="2400"/>
                <w:tab w:val="left" w:pos="2700"/>
                <w:tab w:val="left" w:pos="3000"/>
                <w:tab w:val="left" w:pos="3300"/>
                <w:tab w:val="left" w:pos="3600"/>
              </w:tabs>
              <w:jc w:val="right"/>
              <w:rPr>
                <w:szCs w:val="21"/>
              </w:rPr>
            </w:pPr>
            <w:r>
              <w:rPr>
                <w:rFonts w:hint="eastAsia"/>
                <w:szCs w:val="21"/>
              </w:rPr>
              <w:t xml:space="preserve">                       （签字/签章）</w:t>
            </w:r>
          </w:p>
        </w:tc>
        <w:tc>
          <w:tcPr>
            <w:tcW w:w="1981" w:type="dxa"/>
            <w:vMerge w:val="continue"/>
            <w:vAlign w:val="center"/>
          </w:tcPr>
          <w:p w14:paraId="39D09D04">
            <w:pPr>
              <w:tabs>
                <w:tab w:val="left" w:pos="2400"/>
                <w:tab w:val="left" w:pos="2700"/>
                <w:tab w:val="left" w:pos="3000"/>
                <w:tab w:val="left" w:pos="3300"/>
                <w:tab w:val="left" w:pos="3600"/>
              </w:tabs>
              <w:spacing w:line="360" w:lineRule="auto"/>
              <w:jc w:val="center"/>
              <w:rPr>
                <w:szCs w:val="21"/>
              </w:rPr>
            </w:pPr>
          </w:p>
        </w:tc>
      </w:tr>
      <w:tr w14:paraId="710E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vMerge w:val="continue"/>
            <w:vAlign w:val="center"/>
          </w:tcPr>
          <w:p w14:paraId="7606C5DA">
            <w:pPr>
              <w:tabs>
                <w:tab w:val="left" w:pos="2400"/>
                <w:tab w:val="left" w:pos="2700"/>
                <w:tab w:val="left" w:pos="3000"/>
                <w:tab w:val="left" w:pos="3300"/>
                <w:tab w:val="left" w:pos="3600"/>
              </w:tabs>
              <w:spacing w:line="360" w:lineRule="auto"/>
              <w:jc w:val="center"/>
              <w:rPr>
                <w:szCs w:val="21"/>
              </w:rPr>
            </w:pPr>
          </w:p>
        </w:tc>
        <w:tc>
          <w:tcPr>
            <w:tcW w:w="1559" w:type="dxa"/>
            <w:vAlign w:val="center"/>
          </w:tcPr>
          <w:p w14:paraId="7CE12F0F">
            <w:pPr>
              <w:tabs>
                <w:tab w:val="left" w:pos="2400"/>
                <w:tab w:val="left" w:pos="2700"/>
                <w:tab w:val="left" w:pos="3000"/>
                <w:tab w:val="left" w:pos="3300"/>
                <w:tab w:val="left" w:pos="3600"/>
              </w:tabs>
              <w:jc w:val="center"/>
              <w:rPr>
                <w:szCs w:val="21"/>
              </w:rPr>
            </w:pPr>
            <w:r>
              <w:rPr>
                <w:rFonts w:hint="eastAsia"/>
                <w:szCs w:val="21"/>
              </w:rPr>
              <w:t>委托代理人</w:t>
            </w:r>
          </w:p>
        </w:tc>
        <w:tc>
          <w:tcPr>
            <w:tcW w:w="4536" w:type="dxa"/>
            <w:gridSpan w:val="4"/>
            <w:vAlign w:val="center"/>
          </w:tcPr>
          <w:p w14:paraId="65D73DD2">
            <w:pPr>
              <w:tabs>
                <w:tab w:val="left" w:pos="2400"/>
                <w:tab w:val="left" w:pos="2700"/>
                <w:tab w:val="left" w:pos="3000"/>
                <w:tab w:val="left" w:pos="3300"/>
                <w:tab w:val="left" w:pos="3600"/>
              </w:tabs>
              <w:jc w:val="right"/>
              <w:rPr>
                <w:szCs w:val="21"/>
              </w:rPr>
            </w:pPr>
            <w:r>
              <w:rPr>
                <w:rFonts w:hint="eastAsia"/>
                <w:szCs w:val="21"/>
              </w:rPr>
              <w:t>（签字/签章）</w:t>
            </w:r>
          </w:p>
        </w:tc>
        <w:tc>
          <w:tcPr>
            <w:tcW w:w="1981" w:type="dxa"/>
            <w:vMerge w:val="continue"/>
            <w:vAlign w:val="center"/>
          </w:tcPr>
          <w:p w14:paraId="0D6B865F">
            <w:pPr>
              <w:tabs>
                <w:tab w:val="left" w:pos="2400"/>
                <w:tab w:val="left" w:pos="2700"/>
                <w:tab w:val="left" w:pos="3000"/>
                <w:tab w:val="left" w:pos="3300"/>
                <w:tab w:val="left" w:pos="3600"/>
              </w:tabs>
              <w:spacing w:line="360" w:lineRule="auto"/>
              <w:jc w:val="center"/>
              <w:rPr>
                <w:szCs w:val="21"/>
              </w:rPr>
            </w:pPr>
          </w:p>
        </w:tc>
      </w:tr>
      <w:tr w14:paraId="34F6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vMerge w:val="continue"/>
            <w:vAlign w:val="center"/>
          </w:tcPr>
          <w:p w14:paraId="5900A262">
            <w:pPr>
              <w:tabs>
                <w:tab w:val="left" w:pos="2400"/>
                <w:tab w:val="left" w:pos="2700"/>
                <w:tab w:val="left" w:pos="3000"/>
                <w:tab w:val="left" w:pos="3300"/>
                <w:tab w:val="left" w:pos="3600"/>
              </w:tabs>
              <w:spacing w:line="360" w:lineRule="auto"/>
              <w:jc w:val="center"/>
              <w:rPr>
                <w:szCs w:val="21"/>
              </w:rPr>
            </w:pPr>
          </w:p>
        </w:tc>
        <w:tc>
          <w:tcPr>
            <w:tcW w:w="1559" w:type="dxa"/>
            <w:vAlign w:val="center"/>
          </w:tcPr>
          <w:p w14:paraId="086269BD">
            <w:pPr>
              <w:tabs>
                <w:tab w:val="left" w:pos="2400"/>
                <w:tab w:val="left" w:pos="2700"/>
                <w:tab w:val="left" w:pos="3000"/>
                <w:tab w:val="left" w:pos="3300"/>
                <w:tab w:val="left" w:pos="3600"/>
              </w:tabs>
              <w:jc w:val="center"/>
              <w:rPr>
                <w:szCs w:val="21"/>
              </w:rPr>
            </w:pPr>
            <w:r>
              <w:rPr>
                <w:rFonts w:hint="eastAsia"/>
                <w:szCs w:val="21"/>
              </w:rPr>
              <w:t>联系人</w:t>
            </w:r>
          </w:p>
        </w:tc>
        <w:tc>
          <w:tcPr>
            <w:tcW w:w="4536" w:type="dxa"/>
            <w:gridSpan w:val="4"/>
            <w:vAlign w:val="center"/>
          </w:tcPr>
          <w:p w14:paraId="427F2CDC">
            <w:pPr>
              <w:tabs>
                <w:tab w:val="left" w:pos="2400"/>
                <w:tab w:val="left" w:pos="2700"/>
                <w:tab w:val="left" w:pos="3000"/>
                <w:tab w:val="left" w:pos="3300"/>
                <w:tab w:val="left" w:pos="3600"/>
              </w:tabs>
              <w:jc w:val="right"/>
              <w:rPr>
                <w:szCs w:val="21"/>
              </w:rPr>
            </w:pPr>
            <w:r>
              <w:rPr>
                <w:rFonts w:hint="eastAsia"/>
                <w:szCs w:val="21"/>
              </w:rPr>
              <w:t>（签字/签章）</w:t>
            </w:r>
          </w:p>
        </w:tc>
        <w:tc>
          <w:tcPr>
            <w:tcW w:w="1981" w:type="dxa"/>
            <w:vMerge w:val="continue"/>
            <w:vAlign w:val="center"/>
          </w:tcPr>
          <w:p w14:paraId="23E8CC6A">
            <w:pPr>
              <w:tabs>
                <w:tab w:val="left" w:pos="2400"/>
                <w:tab w:val="left" w:pos="2700"/>
                <w:tab w:val="left" w:pos="3000"/>
                <w:tab w:val="left" w:pos="3300"/>
                <w:tab w:val="left" w:pos="3600"/>
              </w:tabs>
              <w:spacing w:line="360" w:lineRule="auto"/>
              <w:jc w:val="center"/>
              <w:rPr>
                <w:szCs w:val="21"/>
              </w:rPr>
            </w:pPr>
          </w:p>
        </w:tc>
      </w:tr>
      <w:tr w14:paraId="1790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vMerge w:val="continue"/>
            <w:vAlign w:val="center"/>
          </w:tcPr>
          <w:p w14:paraId="7A109FF2">
            <w:pPr>
              <w:tabs>
                <w:tab w:val="left" w:pos="2400"/>
                <w:tab w:val="left" w:pos="2700"/>
                <w:tab w:val="left" w:pos="3000"/>
                <w:tab w:val="left" w:pos="3300"/>
                <w:tab w:val="left" w:pos="3600"/>
              </w:tabs>
              <w:spacing w:line="360" w:lineRule="auto"/>
              <w:jc w:val="center"/>
              <w:rPr>
                <w:szCs w:val="21"/>
              </w:rPr>
            </w:pPr>
          </w:p>
        </w:tc>
        <w:tc>
          <w:tcPr>
            <w:tcW w:w="1559" w:type="dxa"/>
            <w:vAlign w:val="center"/>
          </w:tcPr>
          <w:p w14:paraId="6AD4F4C2">
            <w:pPr>
              <w:tabs>
                <w:tab w:val="left" w:pos="2400"/>
                <w:tab w:val="left" w:pos="2700"/>
                <w:tab w:val="left" w:pos="3000"/>
                <w:tab w:val="left" w:pos="3300"/>
                <w:tab w:val="left" w:pos="3600"/>
              </w:tabs>
              <w:rPr>
                <w:szCs w:val="21"/>
              </w:rPr>
            </w:pPr>
            <w:r>
              <w:rPr>
                <w:rFonts w:hint="eastAsia"/>
                <w:szCs w:val="21"/>
              </w:rPr>
              <w:t>通讯地址</w:t>
            </w:r>
          </w:p>
        </w:tc>
        <w:tc>
          <w:tcPr>
            <w:tcW w:w="2411" w:type="dxa"/>
            <w:gridSpan w:val="2"/>
            <w:vAlign w:val="center"/>
          </w:tcPr>
          <w:p w14:paraId="06BE9B69">
            <w:pPr>
              <w:tabs>
                <w:tab w:val="left" w:pos="2400"/>
                <w:tab w:val="left" w:pos="2700"/>
                <w:tab w:val="left" w:pos="3000"/>
                <w:tab w:val="left" w:pos="3300"/>
                <w:tab w:val="left" w:pos="3600"/>
              </w:tabs>
              <w:jc w:val="center"/>
              <w:rPr>
                <w:szCs w:val="21"/>
              </w:rPr>
            </w:pPr>
          </w:p>
        </w:tc>
        <w:tc>
          <w:tcPr>
            <w:tcW w:w="795" w:type="dxa"/>
            <w:vAlign w:val="center"/>
          </w:tcPr>
          <w:p w14:paraId="595CB208">
            <w:pPr>
              <w:rPr>
                <w:szCs w:val="21"/>
              </w:rPr>
            </w:pPr>
            <w:r>
              <w:rPr>
                <w:szCs w:val="21"/>
              </w:rPr>
              <w:t>邮政</w:t>
            </w:r>
          </w:p>
          <w:p w14:paraId="5426C129">
            <w:pPr>
              <w:rPr>
                <w:szCs w:val="21"/>
              </w:rPr>
            </w:pPr>
            <w:r>
              <w:rPr>
                <w:rFonts w:hint="eastAsia"/>
                <w:szCs w:val="21"/>
              </w:rPr>
              <w:t>编码</w:t>
            </w:r>
          </w:p>
        </w:tc>
        <w:tc>
          <w:tcPr>
            <w:tcW w:w="1330" w:type="dxa"/>
            <w:vAlign w:val="center"/>
          </w:tcPr>
          <w:p w14:paraId="6DCD1D14">
            <w:pPr>
              <w:tabs>
                <w:tab w:val="left" w:pos="2400"/>
                <w:tab w:val="left" w:pos="2700"/>
                <w:tab w:val="left" w:pos="3000"/>
                <w:tab w:val="left" w:pos="3300"/>
                <w:tab w:val="left" w:pos="3600"/>
              </w:tabs>
              <w:jc w:val="center"/>
              <w:rPr>
                <w:szCs w:val="21"/>
              </w:rPr>
            </w:pPr>
          </w:p>
        </w:tc>
        <w:tc>
          <w:tcPr>
            <w:tcW w:w="1981" w:type="dxa"/>
            <w:vMerge w:val="continue"/>
            <w:vAlign w:val="center"/>
          </w:tcPr>
          <w:p w14:paraId="70E18AA3">
            <w:pPr>
              <w:tabs>
                <w:tab w:val="left" w:pos="2400"/>
                <w:tab w:val="left" w:pos="2700"/>
                <w:tab w:val="left" w:pos="3000"/>
                <w:tab w:val="left" w:pos="3300"/>
                <w:tab w:val="left" w:pos="3600"/>
              </w:tabs>
              <w:spacing w:line="360" w:lineRule="auto"/>
              <w:jc w:val="center"/>
              <w:rPr>
                <w:szCs w:val="21"/>
              </w:rPr>
            </w:pPr>
          </w:p>
        </w:tc>
      </w:tr>
      <w:tr w14:paraId="6E5C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vMerge w:val="continue"/>
            <w:vAlign w:val="center"/>
          </w:tcPr>
          <w:p w14:paraId="202B4A00">
            <w:pPr>
              <w:tabs>
                <w:tab w:val="left" w:pos="2400"/>
                <w:tab w:val="left" w:pos="2700"/>
                <w:tab w:val="left" w:pos="3000"/>
                <w:tab w:val="left" w:pos="3300"/>
                <w:tab w:val="left" w:pos="3600"/>
              </w:tabs>
              <w:spacing w:line="360" w:lineRule="auto"/>
              <w:jc w:val="center"/>
              <w:rPr>
                <w:szCs w:val="21"/>
              </w:rPr>
            </w:pPr>
          </w:p>
        </w:tc>
        <w:tc>
          <w:tcPr>
            <w:tcW w:w="1559" w:type="dxa"/>
            <w:vAlign w:val="center"/>
          </w:tcPr>
          <w:p w14:paraId="37C29BB2">
            <w:pPr>
              <w:tabs>
                <w:tab w:val="left" w:pos="2400"/>
                <w:tab w:val="left" w:pos="2700"/>
                <w:tab w:val="left" w:pos="3000"/>
                <w:tab w:val="left" w:pos="3300"/>
                <w:tab w:val="left" w:pos="3600"/>
              </w:tabs>
              <w:jc w:val="center"/>
              <w:rPr>
                <w:szCs w:val="21"/>
              </w:rPr>
            </w:pPr>
            <w:r>
              <w:rPr>
                <w:rFonts w:hint="eastAsia"/>
                <w:szCs w:val="21"/>
              </w:rPr>
              <w:t>电话</w:t>
            </w:r>
          </w:p>
        </w:tc>
        <w:tc>
          <w:tcPr>
            <w:tcW w:w="1664" w:type="dxa"/>
            <w:vAlign w:val="center"/>
          </w:tcPr>
          <w:p w14:paraId="3FDBD042">
            <w:pPr>
              <w:tabs>
                <w:tab w:val="left" w:pos="2400"/>
                <w:tab w:val="left" w:pos="2700"/>
                <w:tab w:val="left" w:pos="3000"/>
                <w:tab w:val="left" w:pos="3300"/>
                <w:tab w:val="left" w:pos="3600"/>
              </w:tabs>
              <w:jc w:val="center"/>
              <w:rPr>
                <w:szCs w:val="21"/>
              </w:rPr>
            </w:pPr>
          </w:p>
        </w:tc>
        <w:tc>
          <w:tcPr>
            <w:tcW w:w="747" w:type="dxa"/>
            <w:vAlign w:val="center"/>
          </w:tcPr>
          <w:p w14:paraId="6ED15096">
            <w:pPr>
              <w:tabs>
                <w:tab w:val="left" w:pos="2400"/>
                <w:tab w:val="left" w:pos="2700"/>
                <w:tab w:val="left" w:pos="3000"/>
                <w:tab w:val="left" w:pos="3300"/>
                <w:tab w:val="left" w:pos="3600"/>
              </w:tabs>
              <w:jc w:val="center"/>
              <w:rPr>
                <w:szCs w:val="21"/>
              </w:rPr>
            </w:pPr>
            <w:r>
              <w:rPr>
                <w:rFonts w:hint="eastAsia"/>
                <w:szCs w:val="21"/>
              </w:rPr>
              <w:t>传真</w:t>
            </w:r>
          </w:p>
        </w:tc>
        <w:tc>
          <w:tcPr>
            <w:tcW w:w="2125" w:type="dxa"/>
            <w:gridSpan w:val="2"/>
            <w:vAlign w:val="center"/>
          </w:tcPr>
          <w:p w14:paraId="6F0D77CF">
            <w:pPr>
              <w:tabs>
                <w:tab w:val="left" w:pos="2400"/>
                <w:tab w:val="left" w:pos="2700"/>
                <w:tab w:val="left" w:pos="3000"/>
                <w:tab w:val="left" w:pos="3300"/>
                <w:tab w:val="left" w:pos="3600"/>
              </w:tabs>
              <w:jc w:val="center"/>
              <w:rPr>
                <w:szCs w:val="21"/>
              </w:rPr>
            </w:pPr>
          </w:p>
        </w:tc>
        <w:tc>
          <w:tcPr>
            <w:tcW w:w="1981" w:type="dxa"/>
            <w:vMerge w:val="continue"/>
            <w:vAlign w:val="center"/>
          </w:tcPr>
          <w:p w14:paraId="72BA4100">
            <w:pPr>
              <w:tabs>
                <w:tab w:val="left" w:pos="2400"/>
                <w:tab w:val="left" w:pos="2700"/>
                <w:tab w:val="left" w:pos="3000"/>
                <w:tab w:val="left" w:pos="3300"/>
                <w:tab w:val="left" w:pos="3600"/>
              </w:tabs>
              <w:spacing w:line="360" w:lineRule="auto"/>
              <w:jc w:val="center"/>
              <w:rPr>
                <w:szCs w:val="21"/>
              </w:rPr>
            </w:pPr>
          </w:p>
        </w:tc>
      </w:tr>
      <w:tr w14:paraId="5719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vMerge w:val="continue"/>
            <w:vAlign w:val="center"/>
          </w:tcPr>
          <w:p w14:paraId="6DAC57D0">
            <w:pPr>
              <w:tabs>
                <w:tab w:val="left" w:pos="2400"/>
                <w:tab w:val="left" w:pos="2700"/>
                <w:tab w:val="left" w:pos="3000"/>
                <w:tab w:val="left" w:pos="3300"/>
                <w:tab w:val="left" w:pos="3600"/>
              </w:tabs>
              <w:spacing w:line="360" w:lineRule="auto"/>
              <w:jc w:val="center"/>
              <w:rPr>
                <w:szCs w:val="21"/>
              </w:rPr>
            </w:pPr>
          </w:p>
        </w:tc>
        <w:tc>
          <w:tcPr>
            <w:tcW w:w="1559" w:type="dxa"/>
            <w:vAlign w:val="center"/>
          </w:tcPr>
          <w:p w14:paraId="07B1C113">
            <w:pPr>
              <w:tabs>
                <w:tab w:val="left" w:pos="2400"/>
                <w:tab w:val="left" w:pos="2700"/>
                <w:tab w:val="left" w:pos="3000"/>
                <w:tab w:val="left" w:pos="3300"/>
                <w:tab w:val="left" w:pos="3600"/>
              </w:tabs>
              <w:jc w:val="center"/>
              <w:rPr>
                <w:szCs w:val="21"/>
              </w:rPr>
            </w:pPr>
            <w:r>
              <w:rPr>
                <w:rFonts w:hint="eastAsia"/>
                <w:szCs w:val="21"/>
              </w:rPr>
              <w:t>开户银行</w:t>
            </w:r>
          </w:p>
        </w:tc>
        <w:tc>
          <w:tcPr>
            <w:tcW w:w="4536" w:type="dxa"/>
            <w:gridSpan w:val="4"/>
            <w:vAlign w:val="center"/>
          </w:tcPr>
          <w:p w14:paraId="4948A8C7">
            <w:pPr>
              <w:tabs>
                <w:tab w:val="left" w:pos="2400"/>
                <w:tab w:val="left" w:pos="2700"/>
                <w:tab w:val="left" w:pos="3000"/>
                <w:tab w:val="left" w:pos="3300"/>
                <w:tab w:val="left" w:pos="3600"/>
              </w:tabs>
              <w:jc w:val="center"/>
              <w:rPr>
                <w:szCs w:val="21"/>
              </w:rPr>
            </w:pPr>
          </w:p>
        </w:tc>
        <w:tc>
          <w:tcPr>
            <w:tcW w:w="1981" w:type="dxa"/>
            <w:vMerge w:val="continue"/>
            <w:vAlign w:val="center"/>
          </w:tcPr>
          <w:p w14:paraId="037FC0F3">
            <w:pPr>
              <w:tabs>
                <w:tab w:val="left" w:pos="2400"/>
                <w:tab w:val="left" w:pos="2700"/>
                <w:tab w:val="left" w:pos="3000"/>
                <w:tab w:val="left" w:pos="3300"/>
                <w:tab w:val="left" w:pos="3600"/>
              </w:tabs>
              <w:spacing w:line="360" w:lineRule="auto"/>
              <w:jc w:val="center"/>
              <w:rPr>
                <w:szCs w:val="21"/>
              </w:rPr>
            </w:pPr>
          </w:p>
        </w:tc>
      </w:tr>
      <w:tr w14:paraId="2A33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vMerge w:val="continue"/>
            <w:vAlign w:val="center"/>
          </w:tcPr>
          <w:p w14:paraId="157CD0E0">
            <w:pPr>
              <w:tabs>
                <w:tab w:val="left" w:pos="2400"/>
                <w:tab w:val="left" w:pos="2700"/>
                <w:tab w:val="left" w:pos="3000"/>
                <w:tab w:val="left" w:pos="3300"/>
                <w:tab w:val="left" w:pos="3600"/>
              </w:tabs>
              <w:spacing w:line="360" w:lineRule="auto"/>
              <w:jc w:val="center"/>
              <w:rPr>
                <w:szCs w:val="21"/>
              </w:rPr>
            </w:pPr>
          </w:p>
        </w:tc>
        <w:tc>
          <w:tcPr>
            <w:tcW w:w="1559" w:type="dxa"/>
            <w:vAlign w:val="center"/>
          </w:tcPr>
          <w:p w14:paraId="7065E2EF">
            <w:pPr>
              <w:tabs>
                <w:tab w:val="left" w:pos="2400"/>
                <w:tab w:val="left" w:pos="2700"/>
                <w:tab w:val="left" w:pos="3000"/>
                <w:tab w:val="left" w:pos="3300"/>
                <w:tab w:val="left" w:pos="3600"/>
              </w:tabs>
              <w:jc w:val="center"/>
              <w:rPr>
                <w:szCs w:val="21"/>
              </w:rPr>
            </w:pPr>
            <w:r>
              <w:rPr>
                <w:rFonts w:hint="eastAsia"/>
                <w:szCs w:val="21"/>
              </w:rPr>
              <w:t>账号</w:t>
            </w:r>
          </w:p>
        </w:tc>
        <w:tc>
          <w:tcPr>
            <w:tcW w:w="4536" w:type="dxa"/>
            <w:gridSpan w:val="4"/>
            <w:vAlign w:val="center"/>
          </w:tcPr>
          <w:p w14:paraId="0FBFE88F">
            <w:pPr>
              <w:tabs>
                <w:tab w:val="left" w:pos="2400"/>
                <w:tab w:val="left" w:pos="2700"/>
                <w:tab w:val="left" w:pos="3000"/>
                <w:tab w:val="left" w:pos="3300"/>
                <w:tab w:val="left" w:pos="3600"/>
              </w:tabs>
              <w:jc w:val="center"/>
              <w:rPr>
                <w:szCs w:val="21"/>
              </w:rPr>
            </w:pPr>
          </w:p>
        </w:tc>
        <w:tc>
          <w:tcPr>
            <w:tcW w:w="1981" w:type="dxa"/>
            <w:vMerge w:val="continue"/>
            <w:vAlign w:val="center"/>
          </w:tcPr>
          <w:p w14:paraId="504961A2">
            <w:pPr>
              <w:tabs>
                <w:tab w:val="left" w:pos="2400"/>
                <w:tab w:val="left" w:pos="2700"/>
                <w:tab w:val="left" w:pos="3000"/>
                <w:tab w:val="left" w:pos="3300"/>
                <w:tab w:val="left" w:pos="3600"/>
              </w:tabs>
              <w:spacing w:line="360" w:lineRule="auto"/>
              <w:jc w:val="center"/>
              <w:rPr>
                <w:szCs w:val="21"/>
              </w:rPr>
            </w:pPr>
          </w:p>
        </w:tc>
      </w:tr>
      <w:tr w14:paraId="49DC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vMerge w:val="continue"/>
            <w:vAlign w:val="center"/>
          </w:tcPr>
          <w:p w14:paraId="0F05C7D5">
            <w:pPr>
              <w:tabs>
                <w:tab w:val="left" w:pos="2400"/>
                <w:tab w:val="left" w:pos="2700"/>
                <w:tab w:val="left" w:pos="3000"/>
                <w:tab w:val="left" w:pos="3300"/>
                <w:tab w:val="left" w:pos="3600"/>
              </w:tabs>
              <w:spacing w:line="360" w:lineRule="auto"/>
              <w:jc w:val="center"/>
              <w:rPr>
                <w:szCs w:val="21"/>
              </w:rPr>
            </w:pPr>
          </w:p>
        </w:tc>
        <w:tc>
          <w:tcPr>
            <w:tcW w:w="1559" w:type="dxa"/>
            <w:vAlign w:val="center"/>
          </w:tcPr>
          <w:p w14:paraId="6BCFDDA4">
            <w:pPr>
              <w:tabs>
                <w:tab w:val="left" w:pos="2400"/>
                <w:tab w:val="left" w:pos="2700"/>
                <w:tab w:val="left" w:pos="3000"/>
                <w:tab w:val="left" w:pos="3300"/>
                <w:tab w:val="left" w:pos="3600"/>
              </w:tabs>
              <w:jc w:val="center"/>
              <w:rPr>
                <w:szCs w:val="21"/>
              </w:rPr>
            </w:pPr>
            <w:r>
              <w:rPr>
                <w:rFonts w:hint="eastAsia"/>
                <w:szCs w:val="21"/>
              </w:rPr>
              <w:t>税号</w:t>
            </w:r>
          </w:p>
        </w:tc>
        <w:tc>
          <w:tcPr>
            <w:tcW w:w="4536" w:type="dxa"/>
            <w:gridSpan w:val="4"/>
            <w:vAlign w:val="center"/>
          </w:tcPr>
          <w:p w14:paraId="2076BD50">
            <w:pPr>
              <w:tabs>
                <w:tab w:val="left" w:pos="2400"/>
                <w:tab w:val="left" w:pos="2700"/>
                <w:tab w:val="left" w:pos="3000"/>
                <w:tab w:val="left" w:pos="3300"/>
                <w:tab w:val="left" w:pos="3600"/>
              </w:tabs>
              <w:jc w:val="center"/>
              <w:rPr>
                <w:szCs w:val="21"/>
              </w:rPr>
            </w:pPr>
          </w:p>
        </w:tc>
        <w:tc>
          <w:tcPr>
            <w:tcW w:w="1981" w:type="dxa"/>
            <w:vMerge w:val="continue"/>
            <w:vAlign w:val="center"/>
          </w:tcPr>
          <w:p w14:paraId="06496CB9">
            <w:pPr>
              <w:tabs>
                <w:tab w:val="left" w:pos="2400"/>
                <w:tab w:val="left" w:pos="2700"/>
                <w:tab w:val="left" w:pos="3000"/>
                <w:tab w:val="left" w:pos="3300"/>
                <w:tab w:val="left" w:pos="3600"/>
              </w:tabs>
              <w:spacing w:line="360" w:lineRule="auto"/>
              <w:jc w:val="center"/>
              <w:rPr>
                <w:szCs w:val="21"/>
              </w:rPr>
            </w:pPr>
          </w:p>
        </w:tc>
      </w:tr>
    </w:tbl>
    <w:p w14:paraId="32E6A03C">
      <w:pPr>
        <w:spacing w:line="360" w:lineRule="auto"/>
        <w:rPr>
          <w:rFonts w:cs="宋体"/>
          <w:b/>
          <w:bCs/>
          <w:sz w:val="24"/>
        </w:rPr>
      </w:pPr>
      <w:bookmarkStart w:id="884" w:name="_Hlk159849926"/>
      <w:r>
        <w:rPr>
          <w:rFonts w:hint="eastAsia" w:cs="宋体"/>
          <w:b/>
          <w:bCs/>
          <w:sz w:val="24"/>
        </w:rPr>
        <w:t>附件1：</w:t>
      </w:r>
    </w:p>
    <w:p w14:paraId="549DFF34">
      <w:pPr>
        <w:tabs>
          <w:tab w:val="left" w:pos="3480"/>
          <w:tab w:val="center" w:pos="4393"/>
        </w:tabs>
        <w:spacing w:line="360" w:lineRule="auto"/>
        <w:jc w:val="center"/>
        <w:rPr>
          <w:rFonts w:cs="宋体"/>
          <w:b/>
          <w:sz w:val="44"/>
          <w:szCs w:val="44"/>
        </w:rPr>
      </w:pPr>
      <w:r>
        <w:rPr>
          <w:rFonts w:hint="eastAsia" w:cs="宋体"/>
          <w:b/>
          <w:sz w:val="44"/>
          <w:szCs w:val="44"/>
        </w:rPr>
        <w:t>安 全 协 议 书</w:t>
      </w:r>
    </w:p>
    <w:p w14:paraId="4C544CD3">
      <w:pPr>
        <w:spacing w:line="360" w:lineRule="auto"/>
        <w:rPr>
          <w:rFonts w:cs="宋体"/>
          <w:bCs/>
          <w:sz w:val="24"/>
        </w:rPr>
      </w:pPr>
      <w:r>
        <w:rPr>
          <w:rFonts w:hint="eastAsia" w:cs="宋体"/>
          <w:b/>
          <w:sz w:val="24"/>
        </w:rPr>
        <w:t>甲方：</w:t>
      </w:r>
      <w:r>
        <w:rPr>
          <w:rFonts w:hint="eastAsia" w:cs="宋体"/>
          <w:bCs/>
          <w:sz w:val="24"/>
        </w:rPr>
        <w:t>北京市地质灾害防治研究所</w:t>
      </w:r>
    </w:p>
    <w:p w14:paraId="591419CF">
      <w:pPr>
        <w:spacing w:line="360" w:lineRule="auto"/>
        <w:rPr>
          <w:rFonts w:cs="宋体"/>
          <w:b/>
          <w:sz w:val="24"/>
        </w:rPr>
      </w:pPr>
      <w:r>
        <w:rPr>
          <w:rFonts w:hint="eastAsia" w:cs="宋体"/>
          <w:b/>
          <w:sz w:val="24"/>
        </w:rPr>
        <w:t>乙方：</w:t>
      </w:r>
    </w:p>
    <w:p w14:paraId="732F0E43">
      <w:pPr>
        <w:spacing w:line="360" w:lineRule="auto"/>
        <w:rPr>
          <w:b/>
          <w:sz w:val="24"/>
        </w:rPr>
      </w:pPr>
      <w:r>
        <w:rPr>
          <w:b/>
          <w:sz w:val="24"/>
        </w:rPr>
        <w:t>一、目的</w:t>
      </w:r>
    </w:p>
    <w:p w14:paraId="6F43080A">
      <w:pPr>
        <w:spacing w:line="360" w:lineRule="auto"/>
        <w:ind w:firstLine="480" w:firstLineChars="200"/>
        <w:rPr>
          <w:sz w:val="24"/>
        </w:rPr>
      </w:pPr>
      <w:r>
        <w:rPr>
          <w:sz w:val="24"/>
        </w:rPr>
        <w:t>为了维护甲乙双方的共同利益，保证施工安全，保持良好的工作秩序和施工场所的卫生环境，经甲乙双方平等协商，签订本安全协议</w:t>
      </w:r>
      <w:r>
        <w:rPr>
          <w:rFonts w:hint="eastAsia"/>
          <w:sz w:val="24"/>
        </w:rPr>
        <w:t>。</w:t>
      </w:r>
    </w:p>
    <w:p w14:paraId="79985074">
      <w:pPr>
        <w:spacing w:line="360" w:lineRule="auto"/>
        <w:rPr>
          <w:sz w:val="24"/>
        </w:rPr>
      </w:pPr>
      <w:r>
        <w:rPr>
          <w:b/>
          <w:sz w:val="24"/>
        </w:rPr>
        <w:t>二、施工项目</w:t>
      </w:r>
    </w:p>
    <w:p w14:paraId="635376D6">
      <w:pPr>
        <w:spacing w:line="360" w:lineRule="auto"/>
        <w:ind w:firstLine="480" w:firstLineChars="200"/>
        <w:rPr>
          <w:sz w:val="24"/>
        </w:rPr>
      </w:pPr>
      <w:r>
        <w:rPr>
          <w:rFonts w:hint="eastAsia"/>
          <w:sz w:val="24"/>
        </w:rPr>
        <w:t>北京市突发地质灾害监测预警系统工程运行其他运行维护服务等采购项目第7包采空塌陷灾害地表变形人工监测服务。</w:t>
      </w:r>
    </w:p>
    <w:p w14:paraId="1402E3F5">
      <w:pPr>
        <w:spacing w:line="360" w:lineRule="auto"/>
        <w:rPr>
          <w:b/>
          <w:sz w:val="24"/>
        </w:rPr>
      </w:pPr>
      <w:r>
        <w:rPr>
          <w:b/>
          <w:sz w:val="24"/>
        </w:rPr>
        <w:t>三、施工地点</w:t>
      </w:r>
    </w:p>
    <w:p w14:paraId="4DEFFD47">
      <w:pPr>
        <w:spacing w:line="360" w:lineRule="auto"/>
        <w:ind w:firstLine="480" w:firstLineChars="200"/>
        <w:rPr>
          <w:sz w:val="24"/>
        </w:rPr>
      </w:pPr>
      <w:r>
        <w:rPr>
          <w:rFonts w:hint="eastAsia"/>
          <w:sz w:val="24"/>
        </w:rPr>
        <w:t>北京市房山区和门头沟区。</w:t>
      </w:r>
    </w:p>
    <w:p w14:paraId="0AD46D61">
      <w:pPr>
        <w:spacing w:line="360" w:lineRule="auto"/>
        <w:rPr>
          <w:b/>
          <w:sz w:val="24"/>
        </w:rPr>
      </w:pPr>
      <w:r>
        <w:rPr>
          <w:b/>
          <w:sz w:val="24"/>
        </w:rPr>
        <w:t>四、施工时间</w:t>
      </w:r>
      <w:r>
        <w:rPr>
          <w:rFonts w:hint="eastAsia" w:cs="宋体"/>
          <w:b/>
          <w:sz w:val="24"/>
        </w:rPr>
        <w:t> </w:t>
      </w:r>
    </w:p>
    <w:p w14:paraId="1274DAE3">
      <w:pPr>
        <w:spacing w:line="360" w:lineRule="auto"/>
        <w:ind w:firstLine="480" w:firstLineChars="200"/>
        <w:rPr>
          <w:sz w:val="24"/>
        </w:rPr>
      </w:pPr>
      <w:r>
        <w:rPr>
          <w:rFonts w:hint="eastAsia"/>
          <w:sz w:val="24"/>
        </w:rPr>
        <w:t>以实际施工日期为准。</w:t>
      </w:r>
    </w:p>
    <w:p w14:paraId="27FDF63B">
      <w:pPr>
        <w:spacing w:line="360" w:lineRule="auto"/>
        <w:ind w:firstLine="482" w:firstLineChars="200"/>
        <w:rPr>
          <w:b/>
          <w:sz w:val="24"/>
        </w:rPr>
      </w:pPr>
      <w:r>
        <w:rPr>
          <w:b/>
          <w:sz w:val="24"/>
        </w:rPr>
        <w:t>五、施工方式</w:t>
      </w:r>
      <w:r>
        <w:rPr>
          <w:rFonts w:hint="eastAsia" w:cs="宋体"/>
          <w:b/>
          <w:sz w:val="24"/>
        </w:rPr>
        <w:t> </w:t>
      </w:r>
    </w:p>
    <w:p w14:paraId="54DBFF03">
      <w:pPr>
        <w:spacing w:line="360" w:lineRule="auto"/>
        <w:ind w:firstLine="480" w:firstLineChars="200"/>
        <w:rPr>
          <w:sz w:val="24"/>
        </w:rPr>
      </w:pPr>
      <w:r>
        <w:rPr>
          <w:sz w:val="24"/>
        </w:rPr>
        <w:t>按照双方签订</w:t>
      </w:r>
      <w:r>
        <w:rPr>
          <w:rFonts w:hint="eastAsia"/>
          <w:sz w:val="24"/>
        </w:rPr>
        <w:t>合</w:t>
      </w:r>
      <w:r>
        <w:rPr>
          <w:sz w:val="24"/>
        </w:rPr>
        <w:t>同及技术要求施工（详见合同相关条款）</w:t>
      </w:r>
      <w:r>
        <w:rPr>
          <w:rFonts w:hint="eastAsia"/>
          <w:sz w:val="24"/>
        </w:rPr>
        <w:t>。</w:t>
      </w:r>
    </w:p>
    <w:p w14:paraId="16D2FE2B">
      <w:pPr>
        <w:spacing w:line="360" w:lineRule="auto"/>
        <w:ind w:left="482" w:hanging="482" w:hangingChars="200"/>
        <w:rPr>
          <w:b/>
          <w:sz w:val="24"/>
        </w:rPr>
      </w:pPr>
      <w:r>
        <w:rPr>
          <w:b/>
          <w:sz w:val="24"/>
        </w:rPr>
        <w:t>六、协议内容</w:t>
      </w:r>
    </w:p>
    <w:p w14:paraId="376D7690">
      <w:pPr>
        <w:spacing w:line="360" w:lineRule="auto"/>
        <w:ind w:firstLine="482" w:firstLineChars="200"/>
        <w:rPr>
          <w:sz w:val="24"/>
        </w:rPr>
      </w:pPr>
      <w:r>
        <w:rPr>
          <w:rFonts w:hint="eastAsia"/>
          <w:b/>
          <w:sz w:val="24"/>
        </w:rPr>
        <w:t>第一条</w:t>
      </w:r>
      <w:r>
        <w:rPr>
          <w:rFonts w:hint="eastAsia"/>
          <w:sz w:val="24"/>
        </w:rPr>
        <w:t xml:space="preserve">  </w:t>
      </w:r>
      <w:r>
        <w:rPr>
          <w:sz w:val="24"/>
        </w:rPr>
        <w:t>乙方在施工期间须指定现场施工负责人，施工现场还需设立安全监督员，便于施工过程中的协调、联系及安全监管</w:t>
      </w:r>
      <w:r>
        <w:rPr>
          <w:rFonts w:hint="eastAsia"/>
          <w:sz w:val="24"/>
        </w:rPr>
        <w:t>等</w:t>
      </w:r>
      <w:r>
        <w:rPr>
          <w:sz w:val="24"/>
        </w:rPr>
        <w:t>工作。</w:t>
      </w:r>
    </w:p>
    <w:p w14:paraId="7D6A3BF7">
      <w:pPr>
        <w:spacing w:line="360" w:lineRule="auto"/>
        <w:ind w:firstLine="482" w:firstLineChars="200"/>
        <w:rPr>
          <w:sz w:val="24"/>
        </w:rPr>
      </w:pPr>
      <w:r>
        <w:rPr>
          <w:rFonts w:hint="eastAsia"/>
          <w:b/>
          <w:sz w:val="24"/>
        </w:rPr>
        <w:t>第二条</w:t>
      </w:r>
      <w:r>
        <w:rPr>
          <w:rFonts w:hint="eastAsia"/>
          <w:sz w:val="24"/>
        </w:rPr>
        <w:t xml:space="preserve">  </w:t>
      </w:r>
      <w:r>
        <w:rPr>
          <w:sz w:val="24"/>
        </w:rPr>
        <w:t>施工人员进行特种作业</w:t>
      </w:r>
      <w:r>
        <w:rPr>
          <w:rFonts w:hint="eastAsia"/>
          <w:sz w:val="24"/>
        </w:rPr>
        <w:t>前</w:t>
      </w:r>
      <w:r>
        <w:rPr>
          <w:sz w:val="24"/>
        </w:rPr>
        <w:t>必须持有效证件（电气焊操作证、电工操作证、起重操作证等），并由甲方审核作业人员资质，审核通过后方可施工。同时，由乙方负责在施工前将</w:t>
      </w:r>
      <w:r>
        <w:rPr>
          <w:rFonts w:hint="eastAsia"/>
          <w:sz w:val="24"/>
        </w:rPr>
        <w:t>相关</w:t>
      </w:r>
      <w:r>
        <w:rPr>
          <w:sz w:val="24"/>
        </w:rPr>
        <w:t>证件复印件</w:t>
      </w:r>
      <w:r>
        <w:rPr>
          <w:rFonts w:hint="eastAsia"/>
          <w:sz w:val="24"/>
        </w:rPr>
        <w:t>（加盖公司公章）</w:t>
      </w:r>
      <w:r>
        <w:rPr>
          <w:sz w:val="24"/>
        </w:rPr>
        <w:t>交至甲方</w:t>
      </w:r>
      <w:r>
        <w:rPr>
          <w:rFonts w:hint="eastAsia"/>
          <w:sz w:val="24"/>
        </w:rPr>
        <w:t>安全保卫科</w:t>
      </w:r>
      <w:r>
        <w:rPr>
          <w:sz w:val="24"/>
        </w:rPr>
        <w:t>存档。</w:t>
      </w:r>
    </w:p>
    <w:p w14:paraId="6F8B61C6">
      <w:pPr>
        <w:spacing w:line="360" w:lineRule="auto"/>
        <w:ind w:firstLine="482" w:firstLineChars="200"/>
        <w:rPr>
          <w:sz w:val="24"/>
        </w:rPr>
      </w:pPr>
      <w:r>
        <w:rPr>
          <w:rFonts w:hint="eastAsia"/>
          <w:b/>
          <w:sz w:val="24"/>
        </w:rPr>
        <w:t>第三条</w:t>
      </w:r>
      <w:r>
        <w:rPr>
          <w:rFonts w:hint="eastAsia"/>
          <w:sz w:val="24"/>
        </w:rPr>
        <w:t xml:space="preserve">  </w:t>
      </w:r>
      <w:r>
        <w:rPr>
          <w:sz w:val="24"/>
        </w:rPr>
        <w:t>对于由乙方原因造成甲方人员伤害，引起火灾、设备事故的，一切损失由乙方负责。</w:t>
      </w:r>
    </w:p>
    <w:p w14:paraId="5132CA43">
      <w:pPr>
        <w:spacing w:line="360" w:lineRule="auto"/>
        <w:ind w:firstLine="482" w:firstLineChars="200"/>
        <w:rPr>
          <w:sz w:val="24"/>
        </w:rPr>
      </w:pPr>
      <w:r>
        <w:rPr>
          <w:rFonts w:hint="eastAsia"/>
          <w:b/>
          <w:sz w:val="24"/>
        </w:rPr>
        <w:t>第四条</w:t>
      </w:r>
      <w:r>
        <w:rPr>
          <w:rFonts w:hint="eastAsia"/>
          <w:sz w:val="24"/>
        </w:rPr>
        <w:t xml:space="preserve">  </w:t>
      </w:r>
      <w:r>
        <w:rPr>
          <w:sz w:val="24"/>
        </w:rPr>
        <w:t>乙方施工队伍的安全防护器材必须配置到位，安全措施得力，乙方对其所有施工人员及相关联人员的人身安全负全部责任，甲方不承担任何责任。</w:t>
      </w:r>
    </w:p>
    <w:p w14:paraId="24864462">
      <w:pPr>
        <w:spacing w:line="360" w:lineRule="auto"/>
        <w:ind w:firstLine="480"/>
        <w:rPr>
          <w:rFonts w:cs="宋体"/>
          <w:sz w:val="24"/>
        </w:rPr>
      </w:pPr>
      <w:r>
        <w:rPr>
          <w:rFonts w:hint="eastAsia"/>
          <w:b/>
          <w:sz w:val="24"/>
        </w:rPr>
        <w:t>第五条</w:t>
      </w:r>
      <w:r>
        <w:rPr>
          <w:rFonts w:hint="eastAsia"/>
          <w:sz w:val="24"/>
        </w:rPr>
        <w:t xml:space="preserve">  </w:t>
      </w:r>
      <w:r>
        <w:rPr>
          <w:rFonts w:cs="宋体"/>
          <w:sz w:val="24"/>
        </w:rPr>
        <w:t>登高观测作业，应检查攀登工具、安全带和观测工具，并保持完好。</w:t>
      </w:r>
    </w:p>
    <w:p w14:paraId="4DFA277C">
      <w:pPr>
        <w:spacing w:line="360" w:lineRule="auto"/>
        <w:ind w:firstLine="480"/>
        <w:rPr>
          <w:rFonts w:cs="宋体"/>
          <w:sz w:val="24"/>
        </w:rPr>
      </w:pPr>
      <w:r>
        <w:rPr>
          <w:rFonts w:hint="eastAsia"/>
          <w:b/>
          <w:sz w:val="24"/>
        </w:rPr>
        <w:t>第六条</w:t>
      </w:r>
      <w:r>
        <w:rPr>
          <w:rFonts w:hint="eastAsia"/>
          <w:sz w:val="24"/>
        </w:rPr>
        <w:t xml:space="preserve">  </w:t>
      </w:r>
      <w:r>
        <w:rPr>
          <w:rFonts w:cs="宋体"/>
          <w:sz w:val="24"/>
        </w:rPr>
        <w:t>电网密集地区作业，应避开变压器、高压输电线等危险区，并禁止使用金属标尺。仪器设备架设与输电线路边缘之间的最小距离应该在15m以外，最少不小于10m。</w:t>
      </w:r>
    </w:p>
    <w:p w14:paraId="10C9AF9E">
      <w:pPr>
        <w:spacing w:line="360" w:lineRule="auto"/>
        <w:ind w:firstLine="480"/>
        <w:rPr>
          <w:rFonts w:cs="宋体"/>
          <w:sz w:val="24"/>
        </w:rPr>
      </w:pPr>
      <w:r>
        <w:rPr>
          <w:rFonts w:hint="eastAsia"/>
          <w:b/>
          <w:sz w:val="24"/>
        </w:rPr>
        <w:t>第七条</w:t>
      </w:r>
      <w:r>
        <w:rPr>
          <w:rFonts w:hint="eastAsia"/>
          <w:sz w:val="24"/>
        </w:rPr>
        <w:t xml:space="preserve">  </w:t>
      </w:r>
      <w:r>
        <w:rPr>
          <w:rFonts w:cs="宋体"/>
          <w:sz w:val="24"/>
        </w:rPr>
        <w:t>野外作业</w:t>
      </w:r>
    </w:p>
    <w:p w14:paraId="246305A2">
      <w:pPr>
        <w:spacing w:line="360" w:lineRule="auto"/>
        <w:ind w:firstLine="480" w:firstLineChars="200"/>
        <w:rPr>
          <w:sz w:val="24"/>
        </w:rPr>
      </w:pPr>
      <w:r>
        <w:rPr>
          <w:rFonts w:hint="eastAsia"/>
          <w:sz w:val="24"/>
        </w:rPr>
        <w:t>1、作业时必须认真对工作场地进行检查，特别要注意是否有毒蛇、毒蜂等危险因素，确认无危险因素后，方可工作。</w:t>
      </w:r>
    </w:p>
    <w:p w14:paraId="05DBEB67">
      <w:pPr>
        <w:spacing w:line="360" w:lineRule="auto"/>
        <w:ind w:firstLine="480"/>
        <w:rPr>
          <w:rFonts w:cs="宋体"/>
          <w:sz w:val="24"/>
        </w:rPr>
      </w:pPr>
      <w:r>
        <w:rPr>
          <w:rFonts w:hint="eastAsia" w:cs="宋体"/>
          <w:sz w:val="24"/>
        </w:rPr>
        <w:t>2. 作</w:t>
      </w:r>
      <w:r>
        <w:rPr>
          <w:rFonts w:cs="宋体"/>
          <w:sz w:val="24"/>
        </w:rPr>
        <w:t>业人员配备野外救生卫生包（常备创口贴、中暑、跌打类药物、防过敏、蚊虫叮咬药物）。</w:t>
      </w:r>
    </w:p>
    <w:p w14:paraId="60E26FD6">
      <w:pPr>
        <w:spacing w:line="360" w:lineRule="auto"/>
        <w:ind w:firstLine="480"/>
        <w:rPr>
          <w:rFonts w:cs="宋体"/>
          <w:sz w:val="24"/>
        </w:rPr>
      </w:pPr>
      <w:r>
        <w:rPr>
          <w:rFonts w:hint="eastAsia" w:cs="宋体"/>
          <w:sz w:val="24"/>
        </w:rPr>
        <w:t>3</w:t>
      </w:r>
      <w:r>
        <w:rPr>
          <w:rFonts w:cs="宋体"/>
          <w:sz w:val="24"/>
        </w:rPr>
        <w:t>. 禁止采、食不识别的野菜、野果。禁止饮用新发现水源水和未经消毒处理水。</w:t>
      </w:r>
    </w:p>
    <w:p w14:paraId="69E93F07">
      <w:pPr>
        <w:spacing w:line="360" w:lineRule="auto"/>
        <w:ind w:firstLine="480"/>
        <w:rPr>
          <w:rFonts w:cs="宋体"/>
          <w:sz w:val="24"/>
        </w:rPr>
      </w:pPr>
      <w:r>
        <w:rPr>
          <w:rFonts w:hint="eastAsia" w:cs="宋体"/>
          <w:sz w:val="24"/>
        </w:rPr>
        <w:t>4</w:t>
      </w:r>
      <w:r>
        <w:rPr>
          <w:rFonts w:cs="宋体"/>
          <w:sz w:val="24"/>
        </w:rPr>
        <w:t>. 野外作业人员</w:t>
      </w:r>
      <w:r>
        <w:rPr>
          <w:rFonts w:hint="eastAsia" w:cs="宋体"/>
          <w:sz w:val="24"/>
        </w:rPr>
        <w:t>必须两人以上才能进山，</w:t>
      </w:r>
      <w:r>
        <w:rPr>
          <w:rFonts w:cs="宋体"/>
          <w:sz w:val="24"/>
        </w:rPr>
        <w:t>应按约定时间和路线返回约定的营地。</w:t>
      </w:r>
    </w:p>
    <w:p w14:paraId="3423EB07">
      <w:pPr>
        <w:spacing w:line="360" w:lineRule="auto"/>
        <w:ind w:firstLine="480"/>
        <w:rPr>
          <w:rFonts w:cs="宋体"/>
          <w:sz w:val="24"/>
        </w:rPr>
      </w:pPr>
      <w:r>
        <w:rPr>
          <w:rFonts w:hint="eastAsia" w:cs="宋体"/>
          <w:sz w:val="24"/>
        </w:rPr>
        <w:t>5</w:t>
      </w:r>
      <w:r>
        <w:rPr>
          <w:rFonts w:cs="宋体"/>
          <w:sz w:val="24"/>
        </w:rPr>
        <w:t>. 野外设备应注意避雷。雷雨天气，禁止在树木下、山顶避雨。雷雨时候要及时把GPS设备关闭，禁止冒雨作业，雷雨临近或五级以上大风时，应停止作业。</w:t>
      </w:r>
    </w:p>
    <w:p w14:paraId="60FC2C34">
      <w:pPr>
        <w:spacing w:line="360" w:lineRule="auto"/>
        <w:ind w:firstLine="480"/>
        <w:rPr>
          <w:rFonts w:cs="宋体"/>
          <w:sz w:val="24"/>
        </w:rPr>
      </w:pPr>
      <w:r>
        <w:rPr>
          <w:rFonts w:hint="eastAsia" w:cs="宋体"/>
          <w:sz w:val="24"/>
        </w:rPr>
        <w:t>6</w:t>
      </w:r>
      <w:r>
        <w:rPr>
          <w:rFonts w:cs="宋体"/>
          <w:sz w:val="24"/>
        </w:rPr>
        <w:t>. 可能危及作业人员或他人人身安全的野外作业，应设置安全标志。尤其在公路主干道作业要设置安全防护标志，</w:t>
      </w:r>
      <w:r>
        <w:rPr>
          <w:rFonts w:hint="eastAsia" w:cs="宋体"/>
          <w:sz w:val="24"/>
        </w:rPr>
        <w:t>配备及穿戴</w:t>
      </w:r>
      <w:r>
        <w:rPr>
          <w:rFonts w:cs="宋体"/>
          <w:sz w:val="24"/>
        </w:rPr>
        <w:t>反光服。</w:t>
      </w:r>
    </w:p>
    <w:p w14:paraId="4538BDBA">
      <w:pPr>
        <w:spacing w:line="360" w:lineRule="auto"/>
        <w:ind w:firstLine="480"/>
        <w:rPr>
          <w:rFonts w:cs="宋体"/>
          <w:sz w:val="24"/>
        </w:rPr>
      </w:pPr>
      <w:r>
        <w:rPr>
          <w:rFonts w:hint="eastAsia"/>
          <w:sz w:val="24"/>
        </w:rPr>
        <w:t>7、施工后及时清理现场</w:t>
      </w:r>
      <w:r>
        <w:rPr>
          <w:rFonts w:hint="eastAsia" w:cs="MingLiU_HKSCS"/>
          <w:sz w:val="24"/>
        </w:rPr>
        <w:t>，</w:t>
      </w:r>
      <w:r>
        <w:rPr>
          <w:rFonts w:hint="eastAsia" w:cs="宋体"/>
          <w:sz w:val="24"/>
        </w:rPr>
        <w:t>做好环保工作。</w:t>
      </w:r>
    </w:p>
    <w:p w14:paraId="2CD3658F">
      <w:pPr>
        <w:spacing w:line="360" w:lineRule="auto"/>
        <w:ind w:firstLine="480"/>
        <w:rPr>
          <w:rFonts w:cs="宋体"/>
          <w:sz w:val="24"/>
        </w:rPr>
      </w:pPr>
      <w:r>
        <w:rPr>
          <w:rFonts w:hint="eastAsia" w:cs="宋体"/>
          <w:sz w:val="24"/>
        </w:rPr>
        <w:t>8</w:t>
      </w:r>
      <w:r>
        <w:rPr>
          <w:rFonts w:cs="宋体"/>
          <w:sz w:val="24"/>
        </w:rPr>
        <w:t>.野外工作车辆，应该注意交通安全，做到不紧不慢，安全第一。</w:t>
      </w:r>
    </w:p>
    <w:p w14:paraId="44EBE262">
      <w:pPr>
        <w:spacing w:line="360" w:lineRule="auto"/>
        <w:ind w:firstLine="480"/>
        <w:rPr>
          <w:rFonts w:cs="宋体"/>
          <w:sz w:val="24"/>
        </w:rPr>
      </w:pPr>
      <w:r>
        <w:rPr>
          <w:rFonts w:hint="eastAsia" w:cs="宋体"/>
          <w:sz w:val="24"/>
        </w:rPr>
        <w:t>9</w:t>
      </w:r>
      <w:r>
        <w:rPr>
          <w:rFonts w:cs="宋体"/>
          <w:sz w:val="24"/>
        </w:rPr>
        <w:t>. 野外营地选择应遵守下列规定：</w:t>
      </w:r>
    </w:p>
    <w:p w14:paraId="2858B5BA">
      <w:pPr>
        <w:spacing w:line="360" w:lineRule="auto"/>
        <w:ind w:firstLine="480"/>
        <w:rPr>
          <w:rFonts w:cs="宋体"/>
          <w:sz w:val="24"/>
        </w:rPr>
      </w:pPr>
      <w:r>
        <w:rPr>
          <w:rFonts w:cs="宋体"/>
          <w:sz w:val="24"/>
        </w:rPr>
        <w:t xml:space="preserve">a) </w:t>
      </w:r>
      <w:r>
        <w:rPr>
          <w:rFonts w:hint="eastAsia" w:cs="宋体"/>
          <w:sz w:val="24"/>
        </w:rPr>
        <w:t>租</w:t>
      </w:r>
      <w:r>
        <w:rPr>
          <w:rFonts w:cs="宋体"/>
          <w:sz w:val="24"/>
        </w:rPr>
        <w:t>住民房应检查房屋周边环境、基础和结构。</w:t>
      </w:r>
    </w:p>
    <w:p w14:paraId="6E40582A">
      <w:pPr>
        <w:spacing w:line="360" w:lineRule="auto"/>
        <w:ind w:firstLine="480"/>
        <w:rPr>
          <w:rFonts w:cs="宋体"/>
          <w:sz w:val="24"/>
        </w:rPr>
      </w:pPr>
      <w:r>
        <w:rPr>
          <w:rFonts w:cs="宋体"/>
          <w:sz w:val="24"/>
        </w:rPr>
        <w:t xml:space="preserve">b) 提高防盗、防抢意识，遇到盗窃、抢劫要及时报警，不要做过多激怒歹徒的行为。特别强调，安全第一。 </w:t>
      </w:r>
    </w:p>
    <w:p w14:paraId="35833AEB">
      <w:pPr>
        <w:spacing w:line="360" w:lineRule="auto"/>
        <w:ind w:firstLine="480"/>
        <w:rPr>
          <w:rFonts w:cs="宋体"/>
          <w:sz w:val="24"/>
        </w:rPr>
      </w:pPr>
      <w:r>
        <w:rPr>
          <w:rFonts w:cs="宋体"/>
          <w:sz w:val="24"/>
        </w:rPr>
        <w:t>c) 注意设备充电时间，尽量避免超时充用电。</w:t>
      </w:r>
    </w:p>
    <w:p w14:paraId="0678265C">
      <w:pPr>
        <w:spacing w:line="360" w:lineRule="auto"/>
        <w:ind w:firstLine="480"/>
        <w:rPr>
          <w:rFonts w:cs="宋体"/>
          <w:sz w:val="24"/>
        </w:rPr>
      </w:pPr>
      <w:r>
        <w:rPr>
          <w:rFonts w:hint="eastAsia"/>
          <w:b/>
          <w:sz w:val="24"/>
        </w:rPr>
        <w:t>第八条</w:t>
      </w:r>
      <w:r>
        <w:rPr>
          <w:rFonts w:hint="eastAsia"/>
          <w:sz w:val="24"/>
        </w:rPr>
        <w:t xml:space="preserve">  </w:t>
      </w:r>
      <w:r>
        <w:rPr>
          <w:rFonts w:cs="宋体"/>
          <w:sz w:val="24"/>
        </w:rPr>
        <w:t>山区、林地作业应遵守下列规定：</w:t>
      </w:r>
    </w:p>
    <w:p w14:paraId="4A645ADB">
      <w:pPr>
        <w:spacing w:line="360" w:lineRule="auto"/>
        <w:ind w:firstLine="480"/>
        <w:rPr>
          <w:rFonts w:cs="宋体"/>
          <w:sz w:val="24"/>
        </w:rPr>
      </w:pPr>
      <w:r>
        <w:rPr>
          <w:rFonts w:cs="宋体"/>
          <w:sz w:val="24"/>
        </w:rPr>
        <w:t>a) 预防动物、植物、微生物伤害源，尤其注意防止村庄养狗伤人，山区丛林应该预防毒蛇叮咬。</w:t>
      </w:r>
    </w:p>
    <w:p w14:paraId="06FE6FAF">
      <w:pPr>
        <w:spacing w:line="360" w:lineRule="auto"/>
        <w:ind w:firstLine="480"/>
        <w:rPr>
          <w:rFonts w:cs="宋体"/>
          <w:sz w:val="24"/>
        </w:rPr>
      </w:pPr>
      <w:r>
        <w:rPr>
          <w:rFonts w:cs="宋体"/>
          <w:sz w:val="24"/>
        </w:rPr>
        <w:t>b) 每日出发前，应了解天气情况、行进路线、路况、作业区地形地貌、地表覆盖等情况。</w:t>
      </w:r>
    </w:p>
    <w:p w14:paraId="6A0F442B">
      <w:pPr>
        <w:spacing w:line="360" w:lineRule="auto"/>
        <w:ind w:firstLine="480"/>
        <w:rPr>
          <w:rFonts w:cs="宋体"/>
          <w:sz w:val="24"/>
        </w:rPr>
      </w:pPr>
      <w:r>
        <w:rPr>
          <w:rFonts w:cs="宋体"/>
          <w:sz w:val="24"/>
        </w:rPr>
        <w:t>c) 在大于30°的陡坡或者垂直的悬崖峭壁上作业，应使用保险绳、安全带。</w:t>
      </w:r>
    </w:p>
    <w:p w14:paraId="66B71D48">
      <w:pPr>
        <w:spacing w:line="360" w:lineRule="auto"/>
        <w:ind w:firstLine="480"/>
        <w:rPr>
          <w:rFonts w:cs="宋体"/>
          <w:sz w:val="24"/>
        </w:rPr>
      </w:pPr>
      <w:r>
        <w:rPr>
          <w:rFonts w:cs="宋体"/>
          <w:sz w:val="24"/>
        </w:rPr>
        <w:t>d) 在悬崖、陡坡进行作业，应清除上部浮石。进行两层或多层作业，上下层间应有安全防护设施。2m及以上高处作业，应系安全带。</w:t>
      </w:r>
    </w:p>
    <w:p w14:paraId="19EB3012">
      <w:pPr>
        <w:spacing w:line="360" w:lineRule="auto"/>
        <w:ind w:firstLine="480"/>
        <w:rPr>
          <w:rFonts w:cs="宋体"/>
          <w:sz w:val="24"/>
        </w:rPr>
      </w:pPr>
      <w:r>
        <w:rPr>
          <w:rFonts w:cs="宋体"/>
          <w:sz w:val="24"/>
        </w:rPr>
        <w:t>e) 山区</w:t>
      </w:r>
      <w:r>
        <w:rPr>
          <w:rFonts w:hint="eastAsia" w:cs="宋体"/>
          <w:sz w:val="24"/>
        </w:rPr>
        <w:t>施工</w:t>
      </w:r>
      <w:r>
        <w:rPr>
          <w:rFonts w:cs="宋体"/>
          <w:sz w:val="24"/>
        </w:rPr>
        <w:t>，暴雨季节注意防洪、山体滑坡、坍塌措施。</w:t>
      </w:r>
    </w:p>
    <w:p w14:paraId="6E9FDF01">
      <w:pPr>
        <w:spacing w:line="360" w:lineRule="auto"/>
        <w:ind w:firstLine="480"/>
        <w:rPr>
          <w:rFonts w:cs="宋体"/>
          <w:sz w:val="24"/>
        </w:rPr>
      </w:pPr>
      <w:r>
        <w:rPr>
          <w:rFonts w:hint="eastAsia" w:cs="宋体"/>
          <w:sz w:val="24"/>
        </w:rPr>
        <w:t>f</w:t>
      </w:r>
      <w:r>
        <w:rPr>
          <w:rFonts w:cs="宋体"/>
          <w:sz w:val="24"/>
        </w:rPr>
        <w:t>) 在森林地区进行作业，应遵守禁区防火规定。</w:t>
      </w:r>
    </w:p>
    <w:p w14:paraId="063B199C">
      <w:pPr>
        <w:spacing w:line="360" w:lineRule="auto"/>
        <w:ind w:firstLine="480"/>
        <w:rPr>
          <w:rFonts w:cs="宋体"/>
          <w:sz w:val="24"/>
        </w:rPr>
      </w:pPr>
      <w:r>
        <w:rPr>
          <w:rFonts w:cs="宋体"/>
          <w:sz w:val="24"/>
        </w:rPr>
        <w:t>G</w:t>
      </w:r>
      <w:r>
        <w:rPr>
          <w:rFonts w:hint="eastAsia" w:cs="宋体"/>
          <w:sz w:val="24"/>
        </w:rPr>
        <w:t xml:space="preserve">)山区施工现场严禁烟火。 </w:t>
      </w:r>
    </w:p>
    <w:p w14:paraId="24522D0C">
      <w:pPr>
        <w:spacing w:line="360" w:lineRule="auto"/>
        <w:ind w:firstLine="480"/>
        <w:rPr>
          <w:rFonts w:cs="宋体"/>
          <w:sz w:val="24"/>
        </w:rPr>
      </w:pPr>
      <w:r>
        <w:rPr>
          <w:rFonts w:hint="eastAsia"/>
          <w:b/>
          <w:sz w:val="24"/>
        </w:rPr>
        <w:t>第九条</w:t>
      </w:r>
      <w:r>
        <w:rPr>
          <w:rFonts w:hint="eastAsia"/>
          <w:sz w:val="24"/>
        </w:rPr>
        <w:t xml:space="preserve">  </w:t>
      </w:r>
      <w:r>
        <w:rPr>
          <w:rFonts w:cs="宋体"/>
          <w:sz w:val="24"/>
        </w:rPr>
        <w:t>水系、沼泽地区作业应遵守下列规定：</w:t>
      </w:r>
    </w:p>
    <w:p w14:paraId="7F96E1BF">
      <w:pPr>
        <w:spacing w:line="360" w:lineRule="auto"/>
        <w:ind w:firstLine="480"/>
        <w:rPr>
          <w:rFonts w:cs="宋体"/>
          <w:sz w:val="24"/>
        </w:rPr>
      </w:pPr>
      <w:r>
        <w:rPr>
          <w:rFonts w:cs="宋体"/>
          <w:sz w:val="24"/>
        </w:rPr>
        <w:t>a) 在沼泽地区作业，应佩戴黑绢网、皮手套，扎紧袖口和裤脚。注意防范蚊虫叮咬。</w:t>
      </w:r>
    </w:p>
    <w:p w14:paraId="5A5F6C06">
      <w:pPr>
        <w:spacing w:line="360" w:lineRule="auto"/>
        <w:ind w:firstLine="480"/>
        <w:rPr>
          <w:rFonts w:cs="宋体"/>
          <w:sz w:val="24"/>
        </w:rPr>
      </w:pPr>
      <w:r>
        <w:rPr>
          <w:rFonts w:hint="eastAsia" w:cs="宋体"/>
          <w:sz w:val="24"/>
        </w:rPr>
        <w:t>b</w:t>
      </w:r>
      <w:r>
        <w:rPr>
          <w:rFonts w:cs="宋体"/>
          <w:sz w:val="24"/>
        </w:rPr>
        <w:t>) 徒步涉水河流、水域，水深应小于半身高，并采取相应防护措施，超过0.7m水深不得徒手下水渡过河流、沟渠。</w:t>
      </w:r>
    </w:p>
    <w:p w14:paraId="19C003F7">
      <w:pPr>
        <w:spacing w:line="360" w:lineRule="auto"/>
        <w:ind w:firstLine="480"/>
        <w:rPr>
          <w:rFonts w:cs="宋体"/>
          <w:sz w:val="24"/>
        </w:rPr>
      </w:pPr>
      <w:r>
        <w:rPr>
          <w:rFonts w:hint="eastAsia" w:cs="宋体"/>
          <w:b/>
          <w:sz w:val="24"/>
        </w:rPr>
        <w:t>第十条</w:t>
      </w:r>
      <w:r>
        <w:rPr>
          <w:rFonts w:hint="eastAsia" w:cs="宋体"/>
          <w:sz w:val="24"/>
        </w:rPr>
        <w:t xml:space="preserve">  乙方应严格遵守上述协议内容，如若违规甲方有权责令其停工或进行处罚。</w:t>
      </w:r>
    </w:p>
    <w:p w14:paraId="7664CFC7">
      <w:pPr>
        <w:spacing w:line="360" w:lineRule="auto"/>
        <w:rPr>
          <w:sz w:val="24"/>
        </w:rPr>
      </w:pPr>
      <w:r>
        <w:rPr>
          <w:rFonts w:hint="eastAsia"/>
          <w:sz w:val="24"/>
        </w:rPr>
        <w:t xml:space="preserve">   </w:t>
      </w:r>
      <w:r>
        <w:rPr>
          <w:rFonts w:hint="eastAsia"/>
          <w:b/>
          <w:sz w:val="24"/>
        </w:rPr>
        <w:t>第十一条</w:t>
      </w:r>
      <w:r>
        <w:rPr>
          <w:rFonts w:hint="eastAsia"/>
          <w:sz w:val="24"/>
        </w:rPr>
        <w:t xml:space="preserve">  </w:t>
      </w:r>
      <w:r>
        <w:rPr>
          <w:sz w:val="24"/>
        </w:rPr>
        <w:t>如因乙方违</w:t>
      </w:r>
      <w:r>
        <w:rPr>
          <w:rFonts w:hint="eastAsia"/>
          <w:sz w:val="24"/>
        </w:rPr>
        <w:t>反</w:t>
      </w:r>
      <w:r>
        <w:rPr>
          <w:sz w:val="24"/>
        </w:rPr>
        <w:t>相关法律、法规及以上规定，所造成的一切不良后果（人员伤亡、财产损失等）均由乙方</w:t>
      </w:r>
      <w:r>
        <w:rPr>
          <w:rFonts w:hint="eastAsia"/>
          <w:sz w:val="24"/>
        </w:rPr>
        <w:t>全部负责，与甲方无关</w:t>
      </w:r>
      <w:r>
        <w:rPr>
          <w:sz w:val="24"/>
        </w:rPr>
        <w:t>。</w:t>
      </w:r>
    </w:p>
    <w:p w14:paraId="1483F636">
      <w:pPr>
        <w:spacing w:line="360" w:lineRule="auto"/>
        <w:rPr>
          <w:sz w:val="24"/>
        </w:rPr>
      </w:pPr>
    </w:p>
    <w:tbl>
      <w:tblPr>
        <w:tblStyle w:val="42"/>
        <w:tblW w:w="8571" w:type="dxa"/>
        <w:jc w:val="center"/>
        <w:tblLayout w:type="fixed"/>
        <w:tblCellMar>
          <w:top w:w="0" w:type="dxa"/>
          <w:left w:w="108" w:type="dxa"/>
          <w:bottom w:w="0" w:type="dxa"/>
          <w:right w:w="108" w:type="dxa"/>
        </w:tblCellMar>
      </w:tblPr>
      <w:tblGrid>
        <w:gridCol w:w="1580"/>
        <w:gridCol w:w="2631"/>
        <w:gridCol w:w="1650"/>
        <w:gridCol w:w="2710"/>
      </w:tblGrid>
      <w:tr w14:paraId="3DC36081">
        <w:tblPrEx>
          <w:tblCellMar>
            <w:top w:w="0" w:type="dxa"/>
            <w:left w:w="108" w:type="dxa"/>
            <w:bottom w:w="0" w:type="dxa"/>
            <w:right w:w="108" w:type="dxa"/>
          </w:tblCellMar>
        </w:tblPrEx>
        <w:trPr>
          <w:trHeight w:val="1042" w:hRule="atLeast"/>
          <w:jc w:val="center"/>
        </w:trPr>
        <w:tc>
          <w:tcPr>
            <w:tcW w:w="1580" w:type="dxa"/>
            <w:vAlign w:val="center"/>
          </w:tcPr>
          <w:p w14:paraId="25894545">
            <w:pPr>
              <w:spacing w:line="360" w:lineRule="auto"/>
              <w:jc w:val="center"/>
              <w:rPr>
                <w:rFonts w:cs="华文仿宋"/>
                <w:sz w:val="24"/>
              </w:rPr>
            </w:pPr>
            <w:r>
              <w:rPr>
                <w:rFonts w:hint="eastAsia" w:cs="华文仿宋"/>
                <w:sz w:val="24"/>
              </w:rPr>
              <w:t>甲方：</w:t>
            </w:r>
          </w:p>
          <w:p w14:paraId="1E331EC4">
            <w:pPr>
              <w:spacing w:line="360" w:lineRule="auto"/>
              <w:jc w:val="center"/>
              <w:rPr>
                <w:rFonts w:cs="华文仿宋"/>
                <w:sz w:val="24"/>
              </w:rPr>
            </w:pPr>
            <w:r>
              <w:rPr>
                <w:rFonts w:hint="eastAsia" w:cs="华文仿宋"/>
                <w:sz w:val="18"/>
              </w:rPr>
              <w:t>（合同章或公章）</w:t>
            </w:r>
          </w:p>
        </w:tc>
        <w:tc>
          <w:tcPr>
            <w:tcW w:w="2631" w:type="dxa"/>
            <w:vAlign w:val="center"/>
          </w:tcPr>
          <w:p w14:paraId="2A300F9C">
            <w:pPr>
              <w:spacing w:line="360" w:lineRule="auto"/>
              <w:jc w:val="center"/>
              <w:rPr>
                <w:rFonts w:cs="华文仿宋"/>
                <w:sz w:val="24"/>
              </w:rPr>
            </w:pPr>
            <w:r>
              <w:rPr>
                <w:rFonts w:hint="eastAsia" w:cs="华文仿宋"/>
                <w:sz w:val="24"/>
              </w:rPr>
              <w:t>北京市地质灾害</w:t>
            </w:r>
          </w:p>
          <w:p w14:paraId="10D39550">
            <w:pPr>
              <w:spacing w:line="360" w:lineRule="auto"/>
              <w:jc w:val="center"/>
              <w:rPr>
                <w:rFonts w:cs="华文仿宋"/>
                <w:sz w:val="24"/>
              </w:rPr>
            </w:pPr>
            <w:r>
              <w:rPr>
                <w:rFonts w:hint="eastAsia" w:cs="华文仿宋"/>
                <w:sz w:val="24"/>
              </w:rPr>
              <w:t>防治研究所</w:t>
            </w:r>
          </w:p>
        </w:tc>
        <w:tc>
          <w:tcPr>
            <w:tcW w:w="1650" w:type="dxa"/>
            <w:vAlign w:val="center"/>
          </w:tcPr>
          <w:p w14:paraId="2013D609">
            <w:pPr>
              <w:spacing w:line="360" w:lineRule="auto"/>
              <w:jc w:val="center"/>
              <w:rPr>
                <w:rFonts w:cs="华文仿宋"/>
                <w:sz w:val="24"/>
              </w:rPr>
            </w:pPr>
            <w:r>
              <w:rPr>
                <w:rFonts w:hint="eastAsia" w:cs="华文仿宋"/>
                <w:sz w:val="24"/>
              </w:rPr>
              <w:t>乙方：</w:t>
            </w:r>
          </w:p>
          <w:p w14:paraId="3406E50C">
            <w:pPr>
              <w:spacing w:line="360" w:lineRule="auto"/>
              <w:jc w:val="center"/>
              <w:rPr>
                <w:rFonts w:cs="华文仿宋"/>
                <w:sz w:val="18"/>
                <w:szCs w:val="18"/>
              </w:rPr>
            </w:pPr>
            <w:r>
              <w:rPr>
                <w:rFonts w:hint="eastAsia" w:cs="华文仿宋"/>
                <w:sz w:val="18"/>
                <w:szCs w:val="18"/>
              </w:rPr>
              <w:t>（合同章或公章）</w:t>
            </w:r>
          </w:p>
        </w:tc>
        <w:tc>
          <w:tcPr>
            <w:tcW w:w="2710" w:type="dxa"/>
            <w:vAlign w:val="center"/>
          </w:tcPr>
          <w:p w14:paraId="078DC5AB">
            <w:pPr>
              <w:spacing w:line="360" w:lineRule="auto"/>
              <w:ind w:left="0" w:leftChars="-2" w:hanging="4" w:hangingChars="2"/>
              <w:jc w:val="center"/>
              <w:rPr>
                <w:rFonts w:cs="华文仿宋"/>
                <w:sz w:val="24"/>
              </w:rPr>
            </w:pPr>
          </w:p>
          <w:p w14:paraId="64E4EF76">
            <w:pPr>
              <w:spacing w:line="360" w:lineRule="auto"/>
              <w:ind w:left="0" w:leftChars="-2" w:hanging="4" w:hangingChars="2"/>
              <w:jc w:val="center"/>
              <w:rPr>
                <w:rFonts w:cs="华文仿宋"/>
                <w:sz w:val="24"/>
              </w:rPr>
            </w:pPr>
          </w:p>
        </w:tc>
      </w:tr>
      <w:tr w14:paraId="4FAEC955">
        <w:tblPrEx>
          <w:tblCellMar>
            <w:top w:w="0" w:type="dxa"/>
            <w:left w:w="108" w:type="dxa"/>
            <w:bottom w:w="0" w:type="dxa"/>
            <w:right w:w="108" w:type="dxa"/>
          </w:tblCellMar>
        </w:tblPrEx>
        <w:trPr>
          <w:trHeight w:val="1207" w:hRule="atLeast"/>
          <w:jc w:val="center"/>
        </w:trPr>
        <w:tc>
          <w:tcPr>
            <w:tcW w:w="1580" w:type="dxa"/>
            <w:vAlign w:val="center"/>
          </w:tcPr>
          <w:p w14:paraId="0B59F827">
            <w:pPr>
              <w:spacing w:line="360" w:lineRule="auto"/>
              <w:jc w:val="center"/>
              <w:rPr>
                <w:rFonts w:cs="华文仿宋"/>
                <w:sz w:val="24"/>
              </w:rPr>
            </w:pPr>
            <w:r>
              <w:rPr>
                <w:rFonts w:hint="eastAsia" w:cs="华文仿宋"/>
                <w:sz w:val="24"/>
              </w:rPr>
              <w:t>法定代表人</w:t>
            </w:r>
          </w:p>
          <w:p w14:paraId="1591A7FE">
            <w:pPr>
              <w:spacing w:line="360" w:lineRule="auto"/>
              <w:jc w:val="center"/>
              <w:rPr>
                <w:rFonts w:cs="华文仿宋"/>
                <w:sz w:val="24"/>
              </w:rPr>
            </w:pPr>
            <w:r>
              <w:rPr>
                <w:rFonts w:hint="eastAsia" w:cs="华文仿宋"/>
                <w:sz w:val="20"/>
              </w:rPr>
              <w:t>（签字）</w:t>
            </w:r>
            <w:r>
              <w:rPr>
                <w:rFonts w:hint="eastAsia" w:cs="华文仿宋"/>
                <w:sz w:val="24"/>
              </w:rPr>
              <w:t>：</w:t>
            </w:r>
          </w:p>
        </w:tc>
        <w:tc>
          <w:tcPr>
            <w:tcW w:w="2631" w:type="dxa"/>
            <w:vAlign w:val="center"/>
          </w:tcPr>
          <w:p w14:paraId="0FE67B1E">
            <w:pPr>
              <w:spacing w:line="360" w:lineRule="auto"/>
              <w:rPr>
                <w:rFonts w:cs="华文仿宋"/>
                <w:sz w:val="24"/>
              </w:rPr>
            </w:pPr>
          </w:p>
        </w:tc>
        <w:tc>
          <w:tcPr>
            <w:tcW w:w="1650" w:type="dxa"/>
            <w:vAlign w:val="center"/>
          </w:tcPr>
          <w:p w14:paraId="180DD816">
            <w:pPr>
              <w:spacing w:line="360" w:lineRule="auto"/>
              <w:jc w:val="center"/>
              <w:rPr>
                <w:rFonts w:cs="华文仿宋"/>
                <w:sz w:val="24"/>
              </w:rPr>
            </w:pPr>
            <w:r>
              <w:rPr>
                <w:rFonts w:hint="eastAsia" w:cs="华文仿宋"/>
                <w:sz w:val="24"/>
              </w:rPr>
              <w:t>法定代表人</w:t>
            </w:r>
          </w:p>
          <w:p w14:paraId="66278195">
            <w:pPr>
              <w:spacing w:line="360" w:lineRule="auto"/>
              <w:jc w:val="center"/>
              <w:rPr>
                <w:rFonts w:cs="华文仿宋"/>
                <w:sz w:val="24"/>
              </w:rPr>
            </w:pPr>
            <w:r>
              <w:rPr>
                <w:rFonts w:hint="eastAsia" w:cs="华文仿宋"/>
                <w:sz w:val="20"/>
              </w:rPr>
              <w:t>（签字）</w:t>
            </w:r>
            <w:r>
              <w:rPr>
                <w:rFonts w:hint="eastAsia" w:cs="华文仿宋"/>
                <w:sz w:val="24"/>
              </w:rPr>
              <w:t>：</w:t>
            </w:r>
          </w:p>
        </w:tc>
        <w:tc>
          <w:tcPr>
            <w:tcW w:w="2710" w:type="dxa"/>
            <w:vAlign w:val="center"/>
          </w:tcPr>
          <w:p w14:paraId="14A316CF">
            <w:pPr>
              <w:spacing w:line="360" w:lineRule="auto"/>
              <w:rPr>
                <w:rFonts w:cs="华文仿宋"/>
                <w:sz w:val="24"/>
              </w:rPr>
            </w:pPr>
          </w:p>
        </w:tc>
      </w:tr>
      <w:tr w14:paraId="68A56D30">
        <w:tblPrEx>
          <w:tblCellMar>
            <w:top w:w="0" w:type="dxa"/>
            <w:left w:w="108" w:type="dxa"/>
            <w:bottom w:w="0" w:type="dxa"/>
            <w:right w:w="108" w:type="dxa"/>
          </w:tblCellMar>
        </w:tblPrEx>
        <w:trPr>
          <w:trHeight w:val="1120" w:hRule="atLeast"/>
          <w:jc w:val="center"/>
        </w:trPr>
        <w:tc>
          <w:tcPr>
            <w:tcW w:w="1580" w:type="dxa"/>
            <w:vAlign w:val="center"/>
          </w:tcPr>
          <w:p w14:paraId="7F6E9C50">
            <w:pPr>
              <w:spacing w:line="360" w:lineRule="auto"/>
              <w:jc w:val="center"/>
              <w:rPr>
                <w:rFonts w:cs="华文仿宋"/>
                <w:sz w:val="24"/>
              </w:rPr>
            </w:pPr>
            <w:r>
              <w:rPr>
                <w:rFonts w:hint="eastAsia" w:cs="华文仿宋"/>
                <w:sz w:val="24"/>
              </w:rPr>
              <w:t>委托代理人</w:t>
            </w:r>
          </w:p>
          <w:p w14:paraId="516FB27B">
            <w:pPr>
              <w:spacing w:line="360" w:lineRule="auto"/>
              <w:jc w:val="center"/>
              <w:rPr>
                <w:rFonts w:cs="华文仿宋"/>
                <w:sz w:val="24"/>
              </w:rPr>
            </w:pPr>
            <w:r>
              <w:rPr>
                <w:rFonts w:hint="eastAsia" w:cs="华文仿宋"/>
                <w:sz w:val="20"/>
              </w:rPr>
              <w:t>（签字）</w:t>
            </w:r>
            <w:r>
              <w:rPr>
                <w:rFonts w:hint="eastAsia" w:cs="华文仿宋"/>
                <w:sz w:val="24"/>
              </w:rPr>
              <w:t>：</w:t>
            </w:r>
          </w:p>
        </w:tc>
        <w:tc>
          <w:tcPr>
            <w:tcW w:w="2631" w:type="dxa"/>
            <w:vAlign w:val="center"/>
          </w:tcPr>
          <w:p w14:paraId="451EF79E">
            <w:pPr>
              <w:spacing w:line="360" w:lineRule="auto"/>
              <w:rPr>
                <w:rFonts w:cs="华文仿宋"/>
                <w:sz w:val="24"/>
              </w:rPr>
            </w:pPr>
          </w:p>
        </w:tc>
        <w:tc>
          <w:tcPr>
            <w:tcW w:w="1650" w:type="dxa"/>
            <w:vAlign w:val="center"/>
          </w:tcPr>
          <w:p w14:paraId="500E478F">
            <w:pPr>
              <w:spacing w:line="360" w:lineRule="auto"/>
              <w:jc w:val="center"/>
              <w:rPr>
                <w:rFonts w:cs="华文仿宋"/>
                <w:sz w:val="24"/>
              </w:rPr>
            </w:pPr>
            <w:r>
              <w:rPr>
                <w:rFonts w:hint="eastAsia" w:cs="华文仿宋"/>
                <w:sz w:val="24"/>
              </w:rPr>
              <w:t>委托代理人</w:t>
            </w:r>
          </w:p>
          <w:p w14:paraId="4EDC06A6">
            <w:pPr>
              <w:spacing w:line="360" w:lineRule="auto"/>
              <w:jc w:val="center"/>
              <w:rPr>
                <w:rFonts w:cs="华文仿宋"/>
                <w:sz w:val="24"/>
              </w:rPr>
            </w:pPr>
            <w:r>
              <w:rPr>
                <w:rFonts w:hint="eastAsia" w:cs="华文仿宋"/>
                <w:sz w:val="20"/>
              </w:rPr>
              <w:t>（签字）</w:t>
            </w:r>
            <w:r>
              <w:rPr>
                <w:rFonts w:hint="eastAsia" w:cs="华文仿宋"/>
                <w:sz w:val="24"/>
              </w:rPr>
              <w:t>：</w:t>
            </w:r>
          </w:p>
        </w:tc>
        <w:tc>
          <w:tcPr>
            <w:tcW w:w="2710" w:type="dxa"/>
            <w:vAlign w:val="center"/>
          </w:tcPr>
          <w:p w14:paraId="69F7F601">
            <w:pPr>
              <w:spacing w:line="360" w:lineRule="auto"/>
              <w:rPr>
                <w:rFonts w:cs="华文仿宋"/>
                <w:sz w:val="24"/>
              </w:rPr>
            </w:pPr>
          </w:p>
        </w:tc>
      </w:tr>
      <w:tr w14:paraId="7ADEA06E">
        <w:tblPrEx>
          <w:tblCellMar>
            <w:top w:w="0" w:type="dxa"/>
            <w:left w:w="108" w:type="dxa"/>
            <w:bottom w:w="0" w:type="dxa"/>
            <w:right w:w="108" w:type="dxa"/>
          </w:tblCellMar>
        </w:tblPrEx>
        <w:trPr>
          <w:trHeight w:val="985" w:hRule="atLeast"/>
          <w:jc w:val="center"/>
        </w:trPr>
        <w:tc>
          <w:tcPr>
            <w:tcW w:w="1580" w:type="dxa"/>
            <w:vAlign w:val="center"/>
          </w:tcPr>
          <w:p w14:paraId="2D5AA8B3">
            <w:pPr>
              <w:spacing w:line="360" w:lineRule="auto"/>
              <w:jc w:val="center"/>
              <w:rPr>
                <w:rFonts w:cs="华文仿宋"/>
                <w:sz w:val="24"/>
              </w:rPr>
            </w:pPr>
            <w:r>
              <w:rPr>
                <w:rFonts w:hint="eastAsia" w:cs="华文仿宋"/>
                <w:sz w:val="24"/>
              </w:rPr>
              <w:t>签订日期：</w:t>
            </w:r>
          </w:p>
        </w:tc>
        <w:tc>
          <w:tcPr>
            <w:tcW w:w="2631" w:type="dxa"/>
            <w:vAlign w:val="center"/>
          </w:tcPr>
          <w:p w14:paraId="0A06A1D7">
            <w:pPr>
              <w:spacing w:line="360" w:lineRule="auto"/>
              <w:jc w:val="right"/>
              <w:rPr>
                <w:rFonts w:cs="华文仿宋"/>
                <w:sz w:val="24"/>
              </w:rPr>
            </w:pPr>
            <w:r>
              <w:rPr>
                <w:rFonts w:hint="eastAsia" w:cs="华文仿宋"/>
                <w:sz w:val="24"/>
                <w:u w:val="single"/>
              </w:rPr>
              <w:t xml:space="preserve">        </w:t>
            </w:r>
            <w:r>
              <w:rPr>
                <w:rFonts w:hint="eastAsia" w:cs="华文仿宋"/>
                <w:sz w:val="24"/>
              </w:rPr>
              <w:t>年</w:t>
            </w:r>
            <w:r>
              <w:rPr>
                <w:rFonts w:hint="eastAsia" w:cs="华文仿宋"/>
                <w:sz w:val="24"/>
                <w:u w:val="single"/>
              </w:rPr>
              <w:t xml:space="preserve">   </w:t>
            </w:r>
            <w:r>
              <w:rPr>
                <w:rFonts w:hint="eastAsia" w:cs="华文仿宋"/>
                <w:sz w:val="24"/>
              </w:rPr>
              <w:t>月</w:t>
            </w:r>
            <w:r>
              <w:rPr>
                <w:rFonts w:hint="eastAsia" w:cs="华文仿宋"/>
                <w:sz w:val="24"/>
                <w:u w:val="single"/>
              </w:rPr>
              <w:t xml:space="preserve">   </w:t>
            </w:r>
            <w:r>
              <w:rPr>
                <w:rFonts w:hint="eastAsia" w:cs="华文仿宋"/>
                <w:sz w:val="24"/>
              </w:rPr>
              <w:t>日</w:t>
            </w:r>
          </w:p>
        </w:tc>
        <w:tc>
          <w:tcPr>
            <w:tcW w:w="1650" w:type="dxa"/>
            <w:vAlign w:val="center"/>
          </w:tcPr>
          <w:p w14:paraId="3B7B5B2B">
            <w:pPr>
              <w:spacing w:line="360" w:lineRule="auto"/>
              <w:jc w:val="center"/>
              <w:rPr>
                <w:rFonts w:cs="华文仿宋"/>
                <w:sz w:val="24"/>
              </w:rPr>
            </w:pPr>
            <w:r>
              <w:rPr>
                <w:rFonts w:hint="eastAsia" w:cs="华文仿宋"/>
                <w:sz w:val="24"/>
              </w:rPr>
              <w:t>签订日期：</w:t>
            </w:r>
          </w:p>
        </w:tc>
        <w:tc>
          <w:tcPr>
            <w:tcW w:w="2710" w:type="dxa"/>
            <w:vAlign w:val="center"/>
          </w:tcPr>
          <w:p w14:paraId="066564F4">
            <w:pPr>
              <w:spacing w:line="360" w:lineRule="auto"/>
              <w:jc w:val="right"/>
              <w:rPr>
                <w:rFonts w:cs="华文仿宋"/>
                <w:sz w:val="24"/>
              </w:rPr>
            </w:pPr>
            <w:r>
              <w:rPr>
                <w:rFonts w:hint="eastAsia" w:cs="华文仿宋"/>
                <w:sz w:val="24"/>
                <w:u w:val="single"/>
              </w:rPr>
              <w:t xml:space="preserve">        </w:t>
            </w:r>
            <w:r>
              <w:rPr>
                <w:rFonts w:hint="eastAsia" w:cs="华文仿宋"/>
                <w:sz w:val="24"/>
              </w:rPr>
              <w:t>年</w:t>
            </w:r>
            <w:r>
              <w:rPr>
                <w:rFonts w:hint="eastAsia" w:cs="华文仿宋"/>
                <w:sz w:val="24"/>
                <w:u w:val="single"/>
              </w:rPr>
              <w:t xml:space="preserve">   </w:t>
            </w:r>
            <w:r>
              <w:rPr>
                <w:rFonts w:hint="eastAsia" w:cs="华文仿宋"/>
                <w:sz w:val="24"/>
              </w:rPr>
              <w:t>月</w:t>
            </w:r>
            <w:r>
              <w:rPr>
                <w:rFonts w:hint="eastAsia" w:cs="华文仿宋"/>
                <w:sz w:val="24"/>
                <w:u w:val="single"/>
              </w:rPr>
              <w:t xml:space="preserve">   </w:t>
            </w:r>
            <w:r>
              <w:rPr>
                <w:rFonts w:hint="eastAsia" w:cs="华文仿宋"/>
                <w:sz w:val="24"/>
              </w:rPr>
              <w:t>日</w:t>
            </w:r>
          </w:p>
        </w:tc>
      </w:tr>
    </w:tbl>
    <w:p w14:paraId="49BD9A37">
      <w:pPr>
        <w:spacing w:line="360" w:lineRule="auto"/>
        <w:rPr>
          <w:rFonts w:cs="宋体"/>
          <w:sz w:val="24"/>
        </w:rPr>
      </w:pPr>
      <w:r>
        <w:rPr>
          <w:rFonts w:cs="宋体"/>
          <w:sz w:val="24"/>
        </w:rPr>
        <w:br w:type="page"/>
      </w:r>
      <w:r>
        <w:rPr>
          <w:rFonts w:hint="eastAsia" w:cs="宋体"/>
          <w:b/>
          <w:bCs/>
          <w:sz w:val="24"/>
        </w:rPr>
        <w:t>附件2：</w:t>
      </w:r>
    </w:p>
    <w:p w14:paraId="09D20C5F">
      <w:pPr>
        <w:spacing w:line="360" w:lineRule="auto"/>
        <w:jc w:val="center"/>
        <w:rPr>
          <w:rFonts w:cs="黑体"/>
          <w:b/>
          <w:bCs/>
          <w:sz w:val="32"/>
          <w:szCs w:val="32"/>
        </w:rPr>
      </w:pPr>
      <w:r>
        <w:rPr>
          <w:rFonts w:hint="eastAsia" w:cs="黑体"/>
          <w:b/>
          <w:bCs/>
          <w:sz w:val="40"/>
          <w:szCs w:val="40"/>
        </w:rPr>
        <w:t>廉政承诺书</w:t>
      </w:r>
    </w:p>
    <w:p w14:paraId="5A314A90">
      <w:pPr>
        <w:spacing w:line="360" w:lineRule="auto"/>
        <w:ind w:firstLine="482" w:firstLineChars="200"/>
        <w:rPr>
          <w:rFonts w:cs="华文仿宋"/>
          <w:sz w:val="24"/>
          <w:u w:val="single"/>
        </w:rPr>
      </w:pPr>
      <w:r>
        <w:rPr>
          <w:rFonts w:hint="eastAsia" w:cs="华文仿宋"/>
          <w:b/>
          <w:bCs/>
          <w:sz w:val="24"/>
        </w:rPr>
        <w:t xml:space="preserve">项目/工程名称: </w:t>
      </w:r>
      <w:r>
        <w:rPr>
          <w:rFonts w:hint="eastAsia" w:cs="华文仿宋"/>
          <w:sz w:val="24"/>
        </w:rPr>
        <w:t>北京市突发地质灾害监测预警系统工程运行其他运行维护服务等采购项目第7包采空塌陷灾害地表变形人工监测服务</w:t>
      </w:r>
    </w:p>
    <w:p w14:paraId="30065D0A">
      <w:pPr>
        <w:spacing w:line="360" w:lineRule="auto"/>
        <w:ind w:firstLine="482" w:firstLineChars="200"/>
        <w:rPr>
          <w:rFonts w:cs="华文仿宋"/>
          <w:sz w:val="24"/>
          <w:u w:val="single"/>
        </w:rPr>
      </w:pPr>
      <w:r>
        <w:rPr>
          <w:rFonts w:hint="eastAsia" w:cs="华文仿宋"/>
          <w:b/>
          <w:bCs/>
          <w:sz w:val="24"/>
        </w:rPr>
        <w:t>甲方：</w:t>
      </w:r>
      <w:r>
        <w:rPr>
          <w:rFonts w:hint="eastAsia" w:cs="华文仿宋"/>
          <w:sz w:val="24"/>
        </w:rPr>
        <w:t xml:space="preserve">北京市地质灾害防治研究所  </w:t>
      </w:r>
    </w:p>
    <w:p w14:paraId="7F2C2398">
      <w:pPr>
        <w:spacing w:line="360" w:lineRule="auto"/>
        <w:ind w:firstLine="482" w:firstLineChars="200"/>
        <w:rPr>
          <w:rFonts w:cs="华文仿宋"/>
          <w:sz w:val="24"/>
          <w:u w:val="single"/>
        </w:rPr>
      </w:pPr>
      <w:r>
        <w:rPr>
          <w:rFonts w:hint="eastAsia" w:cs="华文仿宋"/>
          <w:b/>
          <w:bCs/>
          <w:sz w:val="24"/>
        </w:rPr>
        <w:t>乙方：</w:t>
      </w:r>
    </w:p>
    <w:p w14:paraId="5B5E6BB0">
      <w:pPr>
        <w:spacing w:line="360" w:lineRule="auto"/>
        <w:ind w:firstLine="480" w:firstLineChars="200"/>
        <w:rPr>
          <w:rFonts w:cs="华文仿宋"/>
          <w:sz w:val="24"/>
        </w:rPr>
      </w:pPr>
      <w:r>
        <w:rPr>
          <w:rFonts w:hint="eastAsia" w:cs="华文仿宋"/>
          <w:sz w:val="24"/>
        </w:rPr>
        <w:t>为加强廉政建设，防止发生谋取不正当利益的违法违纪行为，保护国家、集体和当事人的合法权益，根据国家法律法规和廉洁自律有关规定，特订立本廉政承诺书。</w:t>
      </w:r>
    </w:p>
    <w:p w14:paraId="50562750">
      <w:pPr>
        <w:spacing w:line="360" w:lineRule="auto"/>
        <w:ind w:firstLine="482" w:firstLineChars="200"/>
        <w:rPr>
          <w:rFonts w:cs="华文仿宋"/>
          <w:sz w:val="24"/>
        </w:rPr>
      </w:pPr>
      <w:r>
        <w:rPr>
          <w:rFonts w:hint="eastAsia" w:cs="华文仿宋"/>
          <w:b/>
          <w:bCs/>
          <w:sz w:val="24"/>
        </w:rPr>
        <w:t>一、双方的责任</w:t>
      </w:r>
    </w:p>
    <w:p w14:paraId="142F02E1">
      <w:pPr>
        <w:spacing w:line="360" w:lineRule="auto"/>
        <w:ind w:firstLine="480" w:firstLineChars="200"/>
        <w:rPr>
          <w:rFonts w:cs="华文仿宋"/>
          <w:sz w:val="24"/>
        </w:rPr>
      </w:pPr>
      <w:r>
        <w:rPr>
          <w:rFonts w:hint="eastAsia" w:cs="华文仿宋"/>
          <w:sz w:val="24"/>
        </w:rPr>
        <w:t>1.严格遵守党和国家法律法规的有关规定和廉政建设的各项要求。</w:t>
      </w:r>
    </w:p>
    <w:p w14:paraId="6A8E2AE8">
      <w:pPr>
        <w:spacing w:line="360" w:lineRule="auto"/>
        <w:ind w:firstLine="480" w:firstLineChars="200"/>
        <w:rPr>
          <w:rFonts w:cs="华文仿宋"/>
          <w:sz w:val="24"/>
        </w:rPr>
      </w:pPr>
      <w:r>
        <w:rPr>
          <w:rFonts w:hint="eastAsia" w:cs="华文仿宋"/>
          <w:sz w:val="24"/>
        </w:rPr>
        <w:t>2.严格履行合同约定，自觉按合同办事。</w:t>
      </w:r>
    </w:p>
    <w:p w14:paraId="6B10F6D2">
      <w:pPr>
        <w:spacing w:line="360" w:lineRule="auto"/>
        <w:ind w:firstLine="480" w:firstLineChars="200"/>
        <w:rPr>
          <w:rFonts w:cs="华文仿宋"/>
          <w:sz w:val="24"/>
        </w:rPr>
      </w:pPr>
      <w:r>
        <w:rPr>
          <w:rFonts w:hint="eastAsia" w:cs="华文仿宋"/>
          <w:sz w:val="24"/>
        </w:rPr>
        <w:t>3.坚持公开、公平、公正、诚信、透明的原则（除法律法规另有规定者外），不得为获取不正当的利益损害国家、集体和对方利益，不得违反行业规定、规范和相关法律法规。</w:t>
      </w:r>
    </w:p>
    <w:p w14:paraId="04D9CFC0">
      <w:pPr>
        <w:spacing w:line="360" w:lineRule="auto"/>
        <w:ind w:firstLine="480" w:firstLineChars="200"/>
        <w:rPr>
          <w:rFonts w:cs="华文仿宋"/>
          <w:sz w:val="24"/>
        </w:rPr>
      </w:pPr>
      <w:r>
        <w:rPr>
          <w:rFonts w:hint="eastAsia" w:cs="华文仿宋"/>
          <w:sz w:val="24"/>
        </w:rPr>
        <w:t>4.发现对方在业务活动中有违规、违纪、违法行为的，应及时提醒对方，情节严重的，应向其上级主管部门或纪检监察、司法等有关机关举报。</w:t>
      </w:r>
    </w:p>
    <w:p w14:paraId="3303BD29">
      <w:pPr>
        <w:spacing w:line="360" w:lineRule="auto"/>
        <w:ind w:firstLine="482" w:firstLineChars="200"/>
        <w:rPr>
          <w:rFonts w:cs="华文仿宋"/>
          <w:b/>
          <w:bCs/>
          <w:sz w:val="24"/>
        </w:rPr>
      </w:pPr>
      <w:r>
        <w:rPr>
          <w:rFonts w:hint="eastAsia" w:cs="华文仿宋"/>
          <w:b/>
          <w:bCs/>
          <w:sz w:val="24"/>
        </w:rPr>
        <w:t>二、甲方责任</w:t>
      </w:r>
    </w:p>
    <w:p w14:paraId="317CA184">
      <w:pPr>
        <w:spacing w:line="360" w:lineRule="auto"/>
        <w:ind w:firstLine="480" w:firstLineChars="200"/>
        <w:rPr>
          <w:rFonts w:cs="华文仿宋"/>
          <w:sz w:val="24"/>
        </w:rPr>
      </w:pPr>
      <w:r>
        <w:rPr>
          <w:rFonts w:hint="eastAsia" w:cs="华文仿宋"/>
          <w:sz w:val="24"/>
        </w:rPr>
        <w:t>甲方的领导和具体工作人员，在事前、事中、事后应遵守以下规定：</w:t>
      </w:r>
    </w:p>
    <w:p w14:paraId="154D13B5">
      <w:pPr>
        <w:spacing w:line="360" w:lineRule="auto"/>
        <w:ind w:firstLine="480" w:firstLineChars="200"/>
        <w:rPr>
          <w:rFonts w:cs="华文仿宋"/>
          <w:sz w:val="24"/>
        </w:rPr>
      </w:pPr>
      <w:r>
        <w:rPr>
          <w:rFonts w:hint="eastAsia" w:cs="华文仿宋"/>
          <w:sz w:val="24"/>
        </w:rPr>
        <w:t>1.不得向乙方和相关单位索要或接受回扣、礼金、有价证券、贵重物品和好处费、感谢费等。</w:t>
      </w:r>
    </w:p>
    <w:p w14:paraId="48F9B68F">
      <w:pPr>
        <w:spacing w:line="360" w:lineRule="auto"/>
        <w:ind w:firstLine="480" w:firstLineChars="200"/>
        <w:rPr>
          <w:rFonts w:cs="华文仿宋"/>
          <w:sz w:val="24"/>
        </w:rPr>
      </w:pPr>
      <w:r>
        <w:rPr>
          <w:rFonts w:hint="eastAsia" w:cs="华文仿宋"/>
          <w:sz w:val="24"/>
        </w:rPr>
        <w:t>2.不得在乙方和相关单位报销任何应由甲方或个人支付的费用。</w:t>
      </w:r>
    </w:p>
    <w:p w14:paraId="2EDD6172">
      <w:pPr>
        <w:spacing w:line="360" w:lineRule="auto"/>
        <w:ind w:firstLine="480" w:firstLineChars="200"/>
        <w:rPr>
          <w:rFonts w:cs="华文仿宋"/>
          <w:sz w:val="24"/>
        </w:rPr>
      </w:pPr>
      <w:r>
        <w:rPr>
          <w:rFonts w:hint="eastAsia" w:cs="华文仿宋"/>
          <w:sz w:val="24"/>
        </w:rPr>
        <w:t>3不得要求、暗示或接受乙方和相关单位为个人装修住房、婚丧嫁娶、配偶子女的工作安排以及出国（境）、旅游等提供方便。</w:t>
      </w:r>
    </w:p>
    <w:p w14:paraId="7DF00F8D">
      <w:pPr>
        <w:spacing w:line="360" w:lineRule="auto"/>
        <w:ind w:firstLine="480" w:firstLineChars="200"/>
        <w:rPr>
          <w:rFonts w:cs="华文仿宋"/>
          <w:sz w:val="24"/>
        </w:rPr>
      </w:pPr>
      <w:r>
        <w:rPr>
          <w:rFonts w:hint="eastAsia" w:cs="华文仿宋"/>
          <w:sz w:val="24"/>
        </w:rPr>
        <w:t>4.不得以任何理由参加乙方、相关单位或个人组织提供有可能影响公正执行公务的宴请、健身、娱乐等活动。</w:t>
      </w:r>
    </w:p>
    <w:p w14:paraId="7D919CD0">
      <w:pPr>
        <w:spacing w:line="360" w:lineRule="auto"/>
        <w:ind w:firstLine="480" w:firstLineChars="200"/>
        <w:rPr>
          <w:rFonts w:cs="华文仿宋"/>
          <w:sz w:val="24"/>
        </w:rPr>
      </w:pPr>
      <w:r>
        <w:rPr>
          <w:rFonts w:hint="eastAsia" w:cs="华文仿宋"/>
          <w:sz w:val="24"/>
        </w:rPr>
        <w:t>5.不得向乙方和相关单位介绍或为配偶、子女、亲属参与同甲方合同有关的业务活动；不得以任何理由要求乙方和相关单位使用某种产品、材料和设备。</w:t>
      </w:r>
    </w:p>
    <w:p w14:paraId="5639DCDC">
      <w:pPr>
        <w:spacing w:line="360" w:lineRule="auto"/>
        <w:ind w:firstLine="482" w:firstLineChars="200"/>
        <w:rPr>
          <w:rFonts w:cs="华文仿宋"/>
          <w:sz w:val="24"/>
        </w:rPr>
      </w:pPr>
      <w:r>
        <w:rPr>
          <w:rFonts w:hint="eastAsia" w:cs="华文仿宋"/>
          <w:b/>
          <w:bCs/>
          <w:sz w:val="24"/>
        </w:rPr>
        <w:t>三、乙方责任</w:t>
      </w:r>
    </w:p>
    <w:p w14:paraId="04DAC329">
      <w:pPr>
        <w:spacing w:line="360" w:lineRule="auto"/>
        <w:ind w:firstLine="480" w:firstLineChars="200"/>
        <w:rPr>
          <w:rFonts w:cs="华文仿宋"/>
          <w:sz w:val="24"/>
        </w:rPr>
      </w:pPr>
      <w:r>
        <w:rPr>
          <w:rFonts w:hint="eastAsia" w:cs="华文仿宋"/>
          <w:sz w:val="24"/>
        </w:rPr>
        <w:t>应与甲方保持正常的业务交往，按照有关法律法规和程序开展业务工作，严格执行行业规定、规范和相关法律法规，并遵守以下规定：</w:t>
      </w:r>
    </w:p>
    <w:p w14:paraId="577DAA33">
      <w:pPr>
        <w:spacing w:line="360" w:lineRule="auto"/>
        <w:ind w:firstLine="480" w:firstLineChars="200"/>
        <w:rPr>
          <w:rFonts w:cs="华文仿宋"/>
          <w:sz w:val="24"/>
        </w:rPr>
      </w:pPr>
      <w:r>
        <w:rPr>
          <w:rFonts w:hint="eastAsia" w:cs="华文仿宋"/>
          <w:sz w:val="24"/>
        </w:rPr>
        <w:t>1.不得以任何理由向甲方及其工作人员索要、接受或赠送礼金、有价证券、贵重物品及回扣、好处费、感谢费等。</w:t>
      </w:r>
    </w:p>
    <w:p w14:paraId="0AF74A1C">
      <w:pPr>
        <w:spacing w:line="360" w:lineRule="auto"/>
        <w:ind w:firstLine="480" w:firstLineChars="200"/>
        <w:rPr>
          <w:rFonts w:cs="华文仿宋"/>
          <w:sz w:val="24"/>
        </w:rPr>
      </w:pPr>
      <w:r>
        <w:rPr>
          <w:rFonts w:hint="eastAsia" w:cs="华文仿宋"/>
          <w:sz w:val="24"/>
        </w:rPr>
        <w:t>2.不得以任何理由为甲方和相关单位报销应由对方或个人支付的费用。</w:t>
      </w:r>
    </w:p>
    <w:p w14:paraId="4BE2D702">
      <w:pPr>
        <w:spacing w:line="360" w:lineRule="auto"/>
        <w:ind w:firstLine="480" w:firstLineChars="200"/>
        <w:rPr>
          <w:rFonts w:cs="华文仿宋"/>
          <w:sz w:val="24"/>
        </w:rPr>
      </w:pPr>
      <w:r>
        <w:rPr>
          <w:rFonts w:hint="eastAsia" w:cs="华文仿宋"/>
          <w:sz w:val="24"/>
        </w:rPr>
        <w:t>3.不得接受或暗示为甲方、相关单位或个人装修住房、婚丧嫁娶、配偶子女的工作安排以及出国（境）、旅游等提供方便。</w:t>
      </w:r>
    </w:p>
    <w:p w14:paraId="585F4277">
      <w:pPr>
        <w:spacing w:line="360" w:lineRule="auto"/>
        <w:ind w:firstLine="480" w:firstLineChars="200"/>
        <w:rPr>
          <w:rFonts w:cs="华文仿宋"/>
          <w:sz w:val="24"/>
        </w:rPr>
      </w:pPr>
      <w:r>
        <w:rPr>
          <w:rFonts w:hint="eastAsia" w:cs="华文仿宋"/>
          <w:sz w:val="24"/>
        </w:rPr>
        <w:t>4.不得以任何理由为甲方、相关单位或个人组织提供有可能影响公正执行公务的宴请、健身、娱乐等活动。</w:t>
      </w:r>
    </w:p>
    <w:p w14:paraId="5985A7CB">
      <w:pPr>
        <w:spacing w:line="360" w:lineRule="auto"/>
        <w:ind w:firstLine="482" w:firstLineChars="200"/>
        <w:rPr>
          <w:rFonts w:cs="华文仿宋"/>
          <w:b/>
          <w:bCs/>
          <w:sz w:val="24"/>
        </w:rPr>
      </w:pPr>
      <w:r>
        <w:rPr>
          <w:rFonts w:hint="eastAsia" w:cs="华文仿宋"/>
          <w:b/>
          <w:bCs/>
          <w:sz w:val="24"/>
        </w:rPr>
        <w:t>四、违约责任</w:t>
      </w:r>
    </w:p>
    <w:p w14:paraId="77830B68">
      <w:pPr>
        <w:spacing w:line="360" w:lineRule="auto"/>
        <w:ind w:firstLine="480" w:firstLineChars="200"/>
        <w:rPr>
          <w:rFonts w:cs="华文仿宋"/>
          <w:sz w:val="24"/>
        </w:rPr>
      </w:pPr>
      <w:r>
        <w:rPr>
          <w:rFonts w:hint="eastAsia" w:cs="华文仿宋"/>
          <w:sz w:val="24"/>
        </w:rPr>
        <w:t>甲、乙双方相关人员要严格履行本廉政承诺书相关规定。如有违反依据有关法律、法规处理；涉嫌犯罪的，移交司法机关追究刑事责任；造成经济损失的，应予以赔偿。</w:t>
      </w:r>
    </w:p>
    <w:p w14:paraId="79598DDD">
      <w:pPr>
        <w:spacing w:line="360" w:lineRule="auto"/>
        <w:ind w:firstLine="482" w:firstLineChars="200"/>
        <w:rPr>
          <w:rFonts w:cs="华文仿宋"/>
          <w:sz w:val="24"/>
        </w:rPr>
      </w:pPr>
      <w:r>
        <w:rPr>
          <w:rFonts w:hint="eastAsia" w:cs="华文仿宋"/>
          <w:b/>
          <w:bCs/>
          <w:sz w:val="24"/>
        </w:rPr>
        <w:t>五、其他约定</w:t>
      </w:r>
    </w:p>
    <w:p w14:paraId="7BA44580">
      <w:pPr>
        <w:spacing w:line="360" w:lineRule="auto"/>
        <w:ind w:firstLine="480" w:firstLineChars="200"/>
        <w:rPr>
          <w:rFonts w:cs="华文仿宋"/>
          <w:sz w:val="24"/>
        </w:rPr>
      </w:pPr>
      <w:r>
        <w:rPr>
          <w:rFonts w:hint="eastAsia" w:cs="华文仿宋"/>
          <w:sz w:val="24"/>
        </w:rPr>
        <w:t>1.本承诺书由甲乙双方法定代表人或授权的委托代理人签字，并加盖双方公章或合同专用章后生效。</w:t>
      </w:r>
    </w:p>
    <w:p w14:paraId="680B4731">
      <w:pPr>
        <w:spacing w:line="360" w:lineRule="auto"/>
        <w:ind w:firstLine="480" w:firstLineChars="200"/>
        <w:rPr>
          <w:rFonts w:cs="华文仿宋"/>
          <w:sz w:val="24"/>
        </w:rPr>
      </w:pPr>
      <w:r>
        <w:rPr>
          <w:rFonts w:hint="eastAsia" w:cs="华文仿宋"/>
          <w:sz w:val="24"/>
        </w:rPr>
        <w:t>2.本承诺书壹式陆份，甲方执叁份，乙方执叁份。</w:t>
      </w:r>
    </w:p>
    <w:p w14:paraId="13B72135">
      <w:pPr>
        <w:spacing w:line="360" w:lineRule="auto"/>
        <w:ind w:firstLine="480" w:firstLineChars="200"/>
        <w:rPr>
          <w:rFonts w:cs="华文仿宋"/>
          <w:sz w:val="24"/>
        </w:rPr>
      </w:pPr>
      <w:r>
        <w:rPr>
          <w:rFonts w:hint="eastAsia" w:cs="华文仿宋"/>
          <w:sz w:val="24"/>
        </w:rPr>
        <w:t>3.本承诺书作为本合同的组成部分，与本合同具有同等法律效力。</w:t>
      </w:r>
    </w:p>
    <w:tbl>
      <w:tblPr>
        <w:tblStyle w:val="42"/>
        <w:tblW w:w="8619" w:type="dxa"/>
        <w:jc w:val="center"/>
        <w:tblLayout w:type="fixed"/>
        <w:tblCellMar>
          <w:top w:w="0" w:type="dxa"/>
          <w:left w:w="108" w:type="dxa"/>
          <w:bottom w:w="0" w:type="dxa"/>
          <w:right w:w="108" w:type="dxa"/>
        </w:tblCellMar>
      </w:tblPr>
      <w:tblGrid>
        <w:gridCol w:w="1715"/>
        <w:gridCol w:w="2646"/>
        <w:gridCol w:w="1596"/>
        <w:gridCol w:w="2662"/>
      </w:tblGrid>
      <w:tr w14:paraId="519BD848">
        <w:tblPrEx>
          <w:tblCellMar>
            <w:top w:w="0" w:type="dxa"/>
            <w:left w:w="108" w:type="dxa"/>
            <w:bottom w:w="0" w:type="dxa"/>
            <w:right w:w="108" w:type="dxa"/>
          </w:tblCellMar>
        </w:tblPrEx>
        <w:trPr>
          <w:trHeight w:val="622" w:hRule="atLeast"/>
          <w:jc w:val="center"/>
        </w:trPr>
        <w:tc>
          <w:tcPr>
            <w:tcW w:w="8619" w:type="dxa"/>
            <w:gridSpan w:val="4"/>
            <w:vAlign w:val="center"/>
          </w:tcPr>
          <w:p w14:paraId="7381B223">
            <w:pPr>
              <w:spacing w:line="360" w:lineRule="auto"/>
              <w:jc w:val="center"/>
              <w:rPr>
                <w:rFonts w:cs="华文仿宋"/>
                <w:b/>
                <w:sz w:val="28"/>
                <w:szCs w:val="28"/>
              </w:rPr>
            </w:pPr>
            <w:r>
              <w:rPr>
                <w:rFonts w:hint="eastAsia" w:cs="华文仿宋"/>
                <w:b/>
                <w:sz w:val="28"/>
                <w:szCs w:val="28"/>
              </w:rPr>
              <w:t>承诺书签订双方</w:t>
            </w:r>
          </w:p>
        </w:tc>
      </w:tr>
      <w:tr w14:paraId="1EA52BAE">
        <w:tblPrEx>
          <w:tblCellMar>
            <w:top w:w="0" w:type="dxa"/>
            <w:left w:w="108" w:type="dxa"/>
            <w:bottom w:w="0" w:type="dxa"/>
            <w:right w:w="108" w:type="dxa"/>
          </w:tblCellMar>
        </w:tblPrEx>
        <w:trPr>
          <w:trHeight w:val="1256" w:hRule="atLeast"/>
          <w:jc w:val="center"/>
        </w:trPr>
        <w:tc>
          <w:tcPr>
            <w:tcW w:w="1715" w:type="dxa"/>
            <w:vAlign w:val="center"/>
          </w:tcPr>
          <w:p w14:paraId="62C52DD4">
            <w:pPr>
              <w:spacing w:line="360" w:lineRule="auto"/>
              <w:jc w:val="center"/>
              <w:rPr>
                <w:rFonts w:cs="华文仿宋"/>
                <w:sz w:val="24"/>
              </w:rPr>
            </w:pPr>
            <w:r>
              <w:rPr>
                <w:rFonts w:hint="eastAsia" w:cs="华文仿宋"/>
                <w:sz w:val="24"/>
              </w:rPr>
              <w:t>甲方：</w:t>
            </w:r>
          </w:p>
          <w:p w14:paraId="417BF887">
            <w:pPr>
              <w:spacing w:line="360" w:lineRule="auto"/>
              <w:jc w:val="center"/>
              <w:rPr>
                <w:rFonts w:cs="华文仿宋"/>
                <w:sz w:val="24"/>
              </w:rPr>
            </w:pPr>
            <w:r>
              <w:rPr>
                <w:rFonts w:hint="eastAsia" w:cs="华文仿宋"/>
                <w:sz w:val="18"/>
              </w:rPr>
              <w:t>（合同章或公章）</w:t>
            </w:r>
          </w:p>
        </w:tc>
        <w:tc>
          <w:tcPr>
            <w:tcW w:w="2646" w:type="dxa"/>
            <w:vAlign w:val="center"/>
          </w:tcPr>
          <w:p w14:paraId="4BFA3D11">
            <w:pPr>
              <w:spacing w:line="360" w:lineRule="auto"/>
              <w:jc w:val="center"/>
              <w:rPr>
                <w:rFonts w:cs="华文仿宋"/>
                <w:sz w:val="24"/>
              </w:rPr>
            </w:pPr>
            <w:r>
              <w:rPr>
                <w:rFonts w:hint="eastAsia" w:cs="华文仿宋"/>
                <w:sz w:val="24"/>
              </w:rPr>
              <w:t>北京市地质灾害</w:t>
            </w:r>
          </w:p>
          <w:p w14:paraId="5A058FD6">
            <w:pPr>
              <w:spacing w:line="360" w:lineRule="auto"/>
              <w:jc w:val="center"/>
              <w:rPr>
                <w:rFonts w:cs="华文仿宋"/>
                <w:sz w:val="24"/>
              </w:rPr>
            </w:pPr>
            <w:r>
              <w:rPr>
                <w:rFonts w:hint="eastAsia" w:cs="华文仿宋"/>
                <w:sz w:val="24"/>
              </w:rPr>
              <w:t>防治研究所</w:t>
            </w:r>
          </w:p>
        </w:tc>
        <w:tc>
          <w:tcPr>
            <w:tcW w:w="1596" w:type="dxa"/>
            <w:vAlign w:val="center"/>
          </w:tcPr>
          <w:p w14:paraId="226BFCB4">
            <w:pPr>
              <w:spacing w:line="360" w:lineRule="auto"/>
              <w:jc w:val="center"/>
              <w:rPr>
                <w:rFonts w:cs="华文仿宋"/>
                <w:sz w:val="24"/>
              </w:rPr>
            </w:pPr>
            <w:r>
              <w:rPr>
                <w:rFonts w:hint="eastAsia" w:cs="华文仿宋"/>
                <w:sz w:val="24"/>
              </w:rPr>
              <w:t>乙方：</w:t>
            </w:r>
          </w:p>
          <w:p w14:paraId="23CA57D0">
            <w:pPr>
              <w:spacing w:line="360" w:lineRule="auto"/>
              <w:jc w:val="center"/>
              <w:rPr>
                <w:rFonts w:cs="华文仿宋"/>
                <w:sz w:val="18"/>
                <w:szCs w:val="18"/>
              </w:rPr>
            </w:pPr>
            <w:r>
              <w:rPr>
                <w:rFonts w:hint="eastAsia" w:cs="华文仿宋"/>
                <w:sz w:val="18"/>
                <w:szCs w:val="18"/>
              </w:rPr>
              <w:t>（合同章或公章）</w:t>
            </w:r>
          </w:p>
        </w:tc>
        <w:tc>
          <w:tcPr>
            <w:tcW w:w="2662" w:type="dxa"/>
            <w:vAlign w:val="center"/>
          </w:tcPr>
          <w:p w14:paraId="249798E9">
            <w:pPr>
              <w:spacing w:line="360" w:lineRule="auto"/>
              <w:ind w:left="0" w:leftChars="-2" w:hanging="4" w:hangingChars="2"/>
              <w:jc w:val="center"/>
              <w:rPr>
                <w:rFonts w:cs="华文仿宋"/>
                <w:sz w:val="24"/>
              </w:rPr>
            </w:pPr>
          </w:p>
          <w:p w14:paraId="66D1EE05">
            <w:pPr>
              <w:spacing w:line="360" w:lineRule="auto"/>
              <w:ind w:left="0" w:leftChars="-2" w:hanging="4" w:hangingChars="2"/>
              <w:jc w:val="center"/>
              <w:rPr>
                <w:rFonts w:cs="华文仿宋"/>
                <w:sz w:val="24"/>
              </w:rPr>
            </w:pPr>
          </w:p>
        </w:tc>
      </w:tr>
      <w:tr w14:paraId="207C5952">
        <w:tblPrEx>
          <w:tblCellMar>
            <w:top w:w="0" w:type="dxa"/>
            <w:left w:w="108" w:type="dxa"/>
            <w:bottom w:w="0" w:type="dxa"/>
            <w:right w:w="108" w:type="dxa"/>
          </w:tblCellMar>
        </w:tblPrEx>
        <w:trPr>
          <w:trHeight w:val="971" w:hRule="atLeast"/>
          <w:jc w:val="center"/>
        </w:trPr>
        <w:tc>
          <w:tcPr>
            <w:tcW w:w="1715" w:type="dxa"/>
            <w:vAlign w:val="center"/>
          </w:tcPr>
          <w:p w14:paraId="41898156">
            <w:pPr>
              <w:spacing w:line="360" w:lineRule="auto"/>
              <w:jc w:val="center"/>
              <w:rPr>
                <w:rFonts w:cs="华文仿宋"/>
                <w:sz w:val="24"/>
              </w:rPr>
            </w:pPr>
            <w:r>
              <w:rPr>
                <w:rFonts w:hint="eastAsia" w:cs="华文仿宋"/>
                <w:sz w:val="24"/>
              </w:rPr>
              <w:t>法定代表人</w:t>
            </w:r>
          </w:p>
          <w:p w14:paraId="533392E3">
            <w:pPr>
              <w:spacing w:line="360" w:lineRule="auto"/>
              <w:jc w:val="center"/>
              <w:rPr>
                <w:rFonts w:cs="华文仿宋"/>
                <w:sz w:val="24"/>
              </w:rPr>
            </w:pPr>
            <w:r>
              <w:rPr>
                <w:rFonts w:hint="eastAsia" w:cs="华文仿宋"/>
                <w:sz w:val="20"/>
              </w:rPr>
              <w:t>（签字）</w:t>
            </w:r>
            <w:r>
              <w:rPr>
                <w:rFonts w:hint="eastAsia" w:cs="华文仿宋"/>
                <w:sz w:val="24"/>
              </w:rPr>
              <w:t>：</w:t>
            </w:r>
          </w:p>
        </w:tc>
        <w:tc>
          <w:tcPr>
            <w:tcW w:w="2646" w:type="dxa"/>
            <w:vAlign w:val="center"/>
          </w:tcPr>
          <w:p w14:paraId="7C96F5B6">
            <w:pPr>
              <w:spacing w:line="360" w:lineRule="auto"/>
              <w:rPr>
                <w:rFonts w:cs="华文仿宋"/>
                <w:sz w:val="24"/>
              </w:rPr>
            </w:pPr>
          </w:p>
        </w:tc>
        <w:tc>
          <w:tcPr>
            <w:tcW w:w="1596" w:type="dxa"/>
            <w:vAlign w:val="center"/>
          </w:tcPr>
          <w:p w14:paraId="465D52DC">
            <w:pPr>
              <w:spacing w:line="360" w:lineRule="auto"/>
              <w:jc w:val="center"/>
              <w:rPr>
                <w:rFonts w:cs="华文仿宋"/>
                <w:sz w:val="24"/>
              </w:rPr>
            </w:pPr>
            <w:r>
              <w:rPr>
                <w:rFonts w:hint="eastAsia" w:cs="华文仿宋"/>
                <w:sz w:val="24"/>
              </w:rPr>
              <w:t>法定代表人</w:t>
            </w:r>
          </w:p>
          <w:p w14:paraId="054092A0">
            <w:pPr>
              <w:spacing w:line="360" w:lineRule="auto"/>
              <w:jc w:val="center"/>
              <w:rPr>
                <w:rFonts w:cs="华文仿宋"/>
                <w:sz w:val="24"/>
              </w:rPr>
            </w:pPr>
            <w:r>
              <w:rPr>
                <w:rFonts w:hint="eastAsia" w:cs="华文仿宋"/>
                <w:sz w:val="20"/>
              </w:rPr>
              <w:t>（签字）</w:t>
            </w:r>
            <w:r>
              <w:rPr>
                <w:rFonts w:hint="eastAsia" w:cs="华文仿宋"/>
                <w:sz w:val="24"/>
              </w:rPr>
              <w:t>：</w:t>
            </w:r>
          </w:p>
        </w:tc>
        <w:tc>
          <w:tcPr>
            <w:tcW w:w="2662" w:type="dxa"/>
            <w:vAlign w:val="center"/>
          </w:tcPr>
          <w:p w14:paraId="1945A94B">
            <w:pPr>
              <w:spacing w:line="360" w:lineRule="auto"/>
              <w:rPr>
                <w:rFonts w:cs="华文仿宋"/>
                <w:sz w:val="24"/>
              </w:rPr>
            </w:pPr>
          </w:p>
        </w:tc>
      </w:tr>
      <w:tr w14:paraId="7307B8E3">
        <w:tblPrEx>
          <w:tblCellMar>
            <w:top w:w="0" w:type="dxa"/>
            <w:left w:w="108" w:type="dxa"/>
            <w:bottom w:w="0" w:type="dxa"/>
            <w:right w:w="108" w:type="dxa"/>
          </w:tblCellMar>
        </w:tblPrEx>
        <w:trPr>
          <w:trHeight w:val="927" w:hRule="atLeast"/>
          <w:jc w:val="center"/>
        </w:trPr>
        <w:tc>
          <w:tcPr>
            <w:tcW w:w="1715" w:type="dxa"/>
            <w:vAlign w:val="center"/>
          </w:tcPr>
          <w:p w14:paraId="5D7B65AB">
            <w:pPr>
              <w:spacing w:line="360" w:lineRule="auto"/>
              <w:jc w:val="center"/>
              <w:rPr>
                <w:rFonts w:cs="华文仿宋"/>
                <w:sz w:val="24"/>
              </w:rPr>
            </w:pPr>
            <w:r>
              <w:rPr>
                <w:rFonts w:hint="eastAsia" w:cs="华文仿宋"/>
                <w:sz w:val="24"/>
              </w:rPr>
              <w:t>委托代理人</w:t>
            </w:r>
          </w:p>
          <w:p w14:paraId="61F84AE1">
            <w:pPr>
              <w:spacing w:line="360" w:lineRule="auto"/>
              <w:jc w:val="center"/>
              <w:rPr>
                <w:rFonts w:cs="华文仿宋"/>
                <w:sz w:val="24"/>
              </w:rPr>
            </w:pPr>
            <w:r>
              <w:rPr>
                <w:rFonts w:hint="eastAsia" w:cs="华文仿宋"/>
                <w:sz w:val="20"/>
              </w:rPr>
              <w:t>（签字）</w:t>
            </w:r>
            <w:r>
              <w:rPr>
                <w:rFonts w:hint="eastAsia" w:cs="华文仿宋"/>
                <w:sz w:val="24"/>
              </w:rPr>
              <w:t>：</w:t>
            </w:r>
          </w:p>
        </w:tc>
        <w:tc>
          <w:tcPr>
            <w:tcW w:w="2646" w:type="dxa"/>
            <w:vAlign w:val="center"/>
          </w:tcPr>
          <w:p w14:paraId="0D5D79F3">
            <w:pPr>
              <w:spacing w:line="360" w:lineRule="auto"/>
              <w:rPr>
                <w:rFonts w:cs="华文仿宋"/>
                <w:sz w:val="24"/>
              </w:rPr>
            </w:pPr>
          </w:p>
        </w:tc>
        <w:tc>
          <w:tcPr>
            <w:tcW w:w="1596" w:type="dxa"/>
            <w:vAlign w:val="center"/>
          </w:tcPr>
          <w:p w14:paraId="561C1B72">
            <w:pPr>
              <w:spacing w:line="360" w:lineRule="auto"/>
              <w:jc w:val="center"/>
              <w:rPr>
                <w:rFonts w:cs="华文仿宋"/>
                <w:sz w:val="24"/>
              </w:rPr>
            </w:pPr>
            <w:r>
              <w:rPr>
                <w:rFonts w:hint="eastAsia" w:cs="华文仿宋"/>
                <w:sz w:val="24"/>
              </w:rPr>
              <w:t>委托代理人</w:t>
            </w:r>
          </w:p>
          <w:p w14:paraId="0F55B8C9">
            <w:pPr>
              <w:spacing w:line="360" w:lineRule="auto"/>
              <w:jc w:val="center"/>
              <w:rPr>
                <w:rFonts w:cs="华文仿宋"/>
                <w:sz w:val="24"/>
              </w:rPr>
            </w:pPr>
            <w:r>
              <w:rPr>
                <w:rFonts w:hint="eastAsia" w:cs="华文仿宋"/>
                <w:sz w:val="20"/>
              </w:rPr>
              <w:t>（签字）</w:t>
            </w:r>
            <w:r>
              <w:rPr>
                <w:rFonts w:hint="eastAsia" w:cs="华文仿宋"/>
                <w:sz w:val="24"/>
              </w:rPr>
              <w:t>：</w:t>
            </w:r>
          </w:p>
        </w:tc>
        <w:tc>
          <w:tcPr>
            <w:tcW w:w="2662" w:type="dxa"/>
            <w:vAlign w:val="center"/>
          </w:tcPr>
          <w:p w14:paraId="669EBEB9">
            <w:pPr>
              <w:spacing w:line="360" w:lineRule="auto"/>
              <w:rPr>
                <w:rFonts w:cs="华文仿宋"/>
                <w:sz w:val="24"/>
              </w:rPr>
            </w:pPr>
          </w:p>
        </w:tc>
      </w:tr>
      <w:tr w14:paraId="3702D88E">
        <w:tblPrEx>
          <w:tblCellMar>
            <w:top w:w="0" w:type="dxa"/>
            <w:left w:w="108" w:type="dxa"/>
            <w:bottom w:w="0" w:type="dxa"/>
            <w:right w:w="108" w:type="dxa"/>
          </w:tblCellMar>
        </w:tblPrEx>
        <w:trPr>
          <w:trHeight w:val="867" w:hRule="atLeast"/>
          <w:jc w:val="center"/>
        </w:trPr>
        <w:tc>
          <w:tcPr>
            <w:tcW w:w="1715" w:type="dxa"/>
            <w:vAlign w:val="center"/>
          </w:tcPr>
          <w:p w14:paraId="0A4CDC12">
            <w:pPr>
              <w:spacing w:line="360" w:lineRule="auto"/>
              <w:jc w:val="center"/>
              <w:rPr>
                <w:rFonts w:cs="华文仿宋"/>
                <w:sz w:val="24"/>
              </w:rPr>
            </w:pPr>
            <w:r>
              <w:rPr>
                <w:rFonts w:hint="eastAsia" w:cs="华文仿宋"/>
                <w:sz w:val="24"/>
              </w:rPr>
              <w:t>签订日期：</w:t>
            </w:r>
          </w:p>
        </w:tc>
        <w:tc>
          <w:tcPr>
            <w:tcW w:w="2646" w:type="dxa"/>
            <w:vAlign w:val="center"/>
          </w:tcPr>
          <w:p w14:paraId="41A35EE7">
            <w:pPr>
              <w:spacing w:line="360" w:lineRule="auto"/>
              <w:jc w:val="right"/>
              <w:rPr>
                <w:rFonts w:cs="华文仿宋"/>
                <w:sz w:val="24"/>
              </w:rPr>
            </w:pPr>
            <w:r>
              <w:rPr>
                <w:rFonts w:hint="eastAsia" w:cs="华文仿宋"/>
                <w:sz w:val="24"/>
                <w:u w:val="single"/>
              </w:rPr>
              <w:t xml:space="preserve">        </w:t>
            </w:r>
            <w:r>
              <w:rPr>
                <w:rFonts w:hint="eastAsia" w:cs="华文仿宋"/>
                <w:sz w:val="24"/>
              </w:rPr>
              <w:t>年</w:t>
            </w:r>
            <w:r>
              <w:rPr>
                <w:rFonts w:hint="eastAsia" w:cs="华文仿宋"/>
                <w:sz w:val="24"/>
                <w:u w:val="single"/>
              </w:rPr>
              <w:t xml:space="preserve">   </w:t>
            </w:r>
            <w:r>
              <w:rPr>
                <w:rFonts w:hint="eastAsia" w:cs="华文仿宋"/>
                <w:sz w:val="24"/>
              </w:rPr>
              <w:t>月</w:t>
            </w:r>
            <w:r>
              <w:rPr>
                <w:rFonts w:hint="eastAsia" w:cs="华文仿宋"/>
                <w:sz w:val="24"/>
                <w:u w:val="single"/>
              </w:rPr>
              <w:t xml:space="preserve">   </w:t>
            </w:r>
            <w:r>
              <w:rPr>
                <w:rFonts w:hint="eastAsia" w:cs="华文仿宋"/>
                <w:sz w:val="24"/>
              </w:rPr>
              <w:t>日</w:t>
            </w:r>
          </w:p>
        </w:tc>
        <w:tc>
          <w:tcPr>
            <w:tcW w:w="1596" w:type="dxa"/>
            <w:vAlign w:val="center"/>
          </w:tcPr>
          <w:p w14:paraId="337C9EE2">
            <w:pPr>
              <w:spacing w:line="360" w:lineRule="auto"/>
              <w:jc w:val="center"/>
              <w:rPr>
                <w:rFonts w:cs="华文仿宋"/>
                <w:sz w:val="24"/>
              </w:rPr>
            </w:pPr>
            <w:r>
              <w:rPr>
                <w:rFonts w:hint="eastAsia" w:cs="华文仿宋"/>
                <w:sz w:val="24"/>
              </w:rPr>
              <w:t>签订日期：</w:t>
            </w:r>
          </w:p>
        </w:tc>
        <w:tc>
          <w:tcPr>
            <w:tcW w:w="2662" w:type="dxa"/>
            <w:vAlign w:val="center"/>
          </w:tcPr>
          <w:p w14:paraId="4EE80B35">
            <w:pPr>
              <w:spacing w:line="360" w:lineRule="auto"/>
              <w:jc w:val="right"/>
              <w:rPr>
                <w:rFonts w:cs="华文仿宋"/>
                <w:sz w:val="24"/>
              </w:rPr>
            </w:pPr>
            <w:r>
              <w:rPr>
                <w:rFonts w:hint="eastAsia" w:cs="华文仿宋"/>
                <w:sz w:val="24"/>
                <w:u w:val="single"/>
              </w:rPr>
              <w:t xml:space="preserve">        </w:t>
            </w:r>
            <w:r>
              <w:rPr>
                <w:rFonts w:hint="eastAsia" w:cs="华文仿宋"/>
                <w:sz w:val="24"/>
              </w:rPr>
              <w:t>年</w:t>
            </w:r>
            <w:r>
              <w:rPr>
                <w:rFonts w:hint="eastAsia" w:cs="华文仿宋"/>
                <w:sz w:val="24"/>
                <w:u w:val="single"/>
              </w:rPr>
              <w:t xml:space="preserve">   </w:t>
            </w:r>
            <w:r>
              <w:rPr>
                <w:rFonts w:hint="eastAsia" w:cs="华文仿宋"/>
                <w:sz w:val="24"/>
              </w:rPr>
              <w:t>月</w:t>
            </w:r>
            <w:r>
              <w:rPr>
                <w:rFonts w:hint="eastAsia" w:cs="华文仿宋"/>
                <w:sz w:val="24"/>
                <w:u w:val="single"/>
              </w:rPr>
              <w:t xml:space="preserve">   </w:t>
            </w:r>
            <w:r>
              <w:rPr>
                <w:rFonts w:hint="eastAsia" w:cs="华文仿宋"/>
                <w:sz w:val="24"/>
              </w:rPr>
              <w:t>日</w:t>
            </w:r>
          </w:p>
        </w:tc>
      </w:tr>
      <w:bookmarkEnd w:id="884"/>
    </w:tbl>
    <w:p w14:paraId="033A936F"/>
    <w:p w14:paraId="7936C69D"/>
    <w:p w14:paraId="456E6535">
      <w:pPr>
        <w:outlineLvl w:val="1"/>
        <w:rPr>
          <w:b/>
          <w:sz w:val="28"/>
          <w:szCs w:val="28"/>
        </w:rPr>
      </w:pPr>
      <w:r>
        <w:rPr>
          <w:rFonts w:hint="eastAsia"/>
          <w:b/>
          <w:sz w:val="28"/>
          <w:szCs w:val="28"/>
        </w:rPr>
        <w:t>第八包</w:t>
      </w:r>
    </w:p>
    <w:p w14:paraId="372D6983">
      <w:pPr>
        <w:jc w:val="center"/>
        <w:rPr>
          <w:sz w:val="36"/>
          <w:szCs w:val="32"/>
        </w:rPr>
      </w:pPr>
    </w:p>
    <w:p w14:paraId="64359676">
      <w:pPr>
        <w:jc w:val="center"/>
        <w:rPr>
          <w:sz w:val="36"/>
          <w:szCs w:val="32"/>
        </w:rPr>
      </w:pPr>
    </w:p>
    <w:p w14:paraId="76DA1ED5">
      <w:pPr>
        <w:jc w:val="center"/>
        <w:rPr>
          <w:sz w:val="36"/>
          <w:szCs w:val="32"/>
        </w:rPr>
      </w:pPr>
    </w:p>
    <w:p w14:paraId="28DDB5C9">
      <w:pPr>
        <w:jc w:val="center"/>
        <w:rPr>
          <w:sz w:val="36"/>
          <w:szCs w:val="32"/>
        </w:rPr>
      </w:pPr>
    </w:p>
    <w:p w14:paraId="5C93A2C7">
      <w:pPr>
        <w:jc w:val="center"/>
        <w:rPr>
          <w:sz w:val="36"/>
          <w:szCs w:val="32"/>
        </w:rPr>
      </w:pPr>
      <w:r>
        <w:rPr>
          <w:rFonts w:hint="eastAsia"/>
          <w:sz w:val="36"/>
          <w:szCs w:val="32"/>
        </w:rPr>
        <w:t>北京市市级政务云服务协议</w:t>
      </w:r>
    </w:p>
    <w:p w14:paraId="26D8A66E">
      <w:pPr>
        <w:spacing w:line="360" w:lineRule="auto"/>
        <w:jc w:val="center"/>
        <w:rPr>
          <w:rFonts w:hint="eastAsia" w:ascii="宋体" w:hAnsi="宋体" w:cs="宋体"/>
          <w:b/>
          <w:szCs w:val="21"/>
        </w:rPr>
      </w:pPr>
    </w:p>
    <w:p w14:paraId="60758048">
      <w:pPr>
        <w:spacing w:line="288" w:lineRule="auto"/>
        <w:rPr>
          <w:rFonts w:hint="eastAsia" w:ascii="宋体" w:hAnsi="宋体" w:cs="宋体"/>
          <w:b/>
          <w:szCs w:val="21"/>
        </w:rPr>
      </w:pPr>
    </w:p>
    <w:p w14:paraId="16C73E73">
      <w:pPr>
        <w:spacing w:line="288" w:lineRule="auto"/>
        <w:rPr>
          <w:rFonts w:hint="eastAsia" w:ascii="宋体" w:hAnsi="宋体" w:cs="宋体"/>
          <w:b/>
          <w:szCs w:val="21"/>
        </w:rPr>
      </w:pPr>
    </w:p>
    <w:p w14:paraId="74B371A7">
      <w:pPr>
        <w:spacing w:line="360" w:lineRule="auto"/>
        <w:jc w:val="center"/>
        <w:rPr>
          <w:rFonts w:hint="eastAsia" w:ascii="宋体" w:hAnsi="宋体" w:cs="宋体"/>
          <w:b/>
          <w:szCs w:val="21"/>
        </w:rPr>
      </w:pPr>
    </w:p>
    <w:p w14:paraId="231C167F">
      <w:pPr>
        <w:spacing w:after="120" w:line="480" w:lineRule="exact"/>
        <w:ind w:left="420" w:leftChars="200" w:firstLine="422" w:firstLineChars="200"/>
        <w:rPr>
          <w:rFonts w:hint="eastAsia" w:ascii="宋体" w:hAnsi="宋体" w:cs="宋体"/>
          <w:b/>
          <w:szCs w:val="21"/>
        </w:rPr>
      </w:pPr>
    </w:p>
    <w:p w14:paraId="0797BF50">
      <w:pPr>
        <w:spacing w:after="120" w:line="480" w:lineRule="exact"/>
        <w:ind w:left="420" w:leftChars="200" w:firstLine="422" w:firstLineChars="200"/>
        <w:rPr>
          <w:rFonts w:hint="eastAsia" w:ascii="宋体" w:hAnsi="宋体" w:cs="宋体"/>
          <w:b/>
          <w:szCs w:val="21"/>
        </w:rPr>
      </w:pPr>
    </w:p>
    <w:p w14:paraId="639303E0">
      <w:pPr>
        <w:spacing w:after="120" w:line="480" w:lineRule="exact"/>
        <w:ind w:left="420" w:leftChars="200" w:firstLine="422" w:firstLineChars="200"/>
        <w:rPr>
          <w:rFonts w:hint="eastAsia" w:ascii="宋体" w:hAnsi="宋体" w:cs="宋体"/>
          <w:b/>
          <w:szCs w:val="21"/>
        </w:rPr>
      </w:pPr>
    </w:p>
    <w:tbl>
      <w:tblPr>
        <w:tblStyle w:val="43"/>
        <w:tblW w:w="66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75"/>
        <w:gridCol w:w="4721"/>
      </w:tblGrid>
      <w:tr w14:paraId="10C0F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1975" w:type="dxa"/>
            <w:tcBorders>
              <w:tl2br w:val="nil"/>
              <w:tr2bl w:val="nil"/>
            </w:tcBorders>
            <w:vAlign w:val="bottom"/>
          </w:tcPr>
          <w:p w14:paraId="1A08A1D6">
            <w:pPr>
              <w:spacing w:line="288" w:lineRule="auto"/>
              <w:rPr>
                <w:rFonts w:hint="eastAsia" w:ascii="宋体" w:hAnsi="宋体" w:cs="宋体"/>
                <w:bCs/>
                <w:kern w:val="0"/>
                <w:sz w:val="20"/>
                <w:szCs w:val="21"/>
              </w:rPr>
            </w:pPr>
            <w:r>
              <w:rPr>
                <w:rFonts w:ascii="宋体" w:hAnsi="宋体" w:cs="宋体"/>
                <w:bCs/>
                <w:kern w:val="0"/>
                <w:sz w:val="20"/>
                <w:szCs w:val="21"/>
              </w:rPr>
              <w:t>项目名称：</w:t>
            </w:r>
          </w:p>
        </w:tc>
        <w:tc>
          <w:tcPr>
            <w:tcW w:w="4721" w:type="dxa"/>
            <w:tcBorders>
              <w:bottom w:val="single" w:color="auto" w:sz="4" w:space="0"/>
            </w:tcBorders>
            <w:vAlign w:val="bottom"/>
          </w:tcPr>
          <w:p w14:paraId="58355313">
            <w:pPr>
              <w:spacing w:line="288" w:lineRule="auto"/>
              <w:rPr>
                <w:rFonts w:hint="eastAsia" w:ascii="宋体" w:hAnsi="宋体" w:cs="宋体"/>
                <w:bCs/>
                <w:kern w:val="0"/>
                <w:sz w:val="20"/>
                <w:szCs w:val="21"/>
              </w:rPr>
            </w:pPr>
          </w:p>
        </w:tc>
      </w:tr>
      <w:tr w14:paraId="07D13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1975" w:type="dxa"/>
            <w:tcBorders>
              <w:tl2br w:val="nil"/>
              <w:tr2bl w:val="nil"/>
            </w:tcBorders>
            <w:vAlign w:val="bottom"/>
          </w:tcPr>
          <w:p w14:paraId="5533F43E">
            <w:pPr>
              <w:spacing w:line="288" w:lineRule="auto"/>
              <w:rPr>
                <w:rFonts w:hint="eastAsia" w:ascii="宋体" w:hAnsi="宋体" w:cs="宋体"/>
                <w:bCs/>
                <w:kern w:val="0"/>
                <w:sz w:val="20"/>
                <w:szCs w:val="21"/>
              </w:rPr>
            </w:pPr>
            <w:r>
              <w:rPr>
                <w:rFonts w:ascii="宋体" w:hAnsi="宋体" w:cs="宋体"/>
                <w:bCs/>
                <w:kern w:val="0"/>
                <w:sz w:val="20"/>
                <w:szCs w:val="21"/>
              </w:rPr>
              <w:t>甲    方：</w:t>
            </w:r>
          </w:p>
        </w:tc>
        <w:tc>
          <w:tcPr>
            <w:tcW w:w="4721" w:type="dxa"/>
            <w:tcBorders>
              <w:top w:val="single" w:color="auto" w:sz="4" w:space="0"/>
              <w:bottom w:val="single" w:color="auto" w:sz="4" w:space="0"/>
            </w:tcBorders>
            <w:vAlign w:val="bottom"/>
          </w:tcPr>
          <w:p w14:paraId="452DC451">
            <w:pPr>
              <w:spacing w:line="288" w:lineRule="auto"/>
              <w:rPr>
                <w:rFonts w:hint="eastAsia" w:ascii="宋体" w:hAnsi="宋体" w:cs="宋体"/>
                <w:bCs/>
                <w:kern w:val="0"/>
                <w:sz w:val="20"/>
                <w:szCs w:val="21"/>
              </w:rPr>
            </w:pPr>
          </w:p>
        </w:tc>
      </w:tr>
      <w:tr w14:paraId="1284D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jc w:val="center"/>
        </w:trPr>
        <w:tc>
          <w:tcPr>
            <w:tcW w:w="1975" w:type="dxa"/>
            <w:tcBorders>
              <w:tl2br w:val="nil"/>
              <w:tr2bl w:val="nil"/>
            </w:tcBorders>
            <w:vAlign w:val="bottom"/>
          </w:tcPr>
          <w:p w14:paraId="7F3C30CB">
            <w:pPr>
              <w:spacing w:line="288" w:lineRule="auto"/>
              <w:rPr>
                <w:rFonts w:hint="eastAsia" w:ascii="宋体" w:hAnsi="宋体" w:cs="宋体"/>
                <w:bCs/>
                <w:kern w:val="0"/>
                <w:sz w:val="20"/>
                <w:szCs w:val="21"/>
              </w:rPr>
            </w:pPr>
            <w:r>
              <w:rPr>
                <w:rFonts w:ascii="宋体" w:hAnsi="宋体" w:cs="宋体"/>
                <w:bCs/>
                <w:kern w:val="0"/>
                <w:sz w:val="20"/>
                <w:szCs w:val="21"/>
              </w:rPr>
              <w:t>乙    方：</w:t>
            </w:r>
          </w:p>
        </w:tc>
        <w:tc>
          <w:tcPr>
            <w:tcW w:w="4721" w:type="dxa"/>
            <w:tcBorders>
              <w:top w:val="single" w:color="auto" w:sz="4" w:space="0"/>
              <w:bottom w:val="single" w:color="auto" w:sz="4" w:space="0"/>
            </w:tcBorders>
            <w:vAlign w:val="bottom"/>
          </w:tcPr>
          <w:p w14:paraId="4328E278">
            <w:pPr>
              <w:spacing w:line="288" w:lineRule="auto"/>
              <w:rPr>
                <w:rFonts w:hint="eastAsia" w:ascii="宋体" w:hAnsi="宋体" w:cs="宋体"/>
                <w:bCs/>
                <w:kern w:val="0"/>
                <w:sz w:val="20"/>
                <w:szCs w:val="21"/>
              </w:rPr>
            </w:pPr>
          </w:p>
        </w:tc>
      </w:tr>
    </w:tbl>
    <w:p w14:paraId="0E8C61E6">
      <w:pPr>
        <w:spacing w:line="288" w:lineRule="auto"/>
        <w:rPr>
          <w:rFonts w:hint="eastAsia" w:ascii="宋体" w:hAnsi="宋体" w:cs="宋体"/>
          <w:szCs w:val="21"/>
        </w:rPr>
      </w:pPr>
    </w:p>
    <w:p w14:paraId="3A9474C5">
      <w:pPr>
        <w:spacing w:line="288" w:lineRule="auto"/>
        <w:rPr>
          <w:rFonts w:hint="eastAsia" w:ascii="宋体" w:hAnsi="宋体" w:cs="宋体"/>
          <w:szCs w:val="21"/>
        </w:rPr>
      </w:pPr>
    </w:p>
    <w:p w14:paraId="6C507697">
      <w:pPr>
        <w:spacing w:line="288" w:lineRule="auto"/>
        <w:rPr>
          <w:rFonts w:hint="eastAsia" w:ascii="宋体" w:hAnsi="宋体" w:cs="宋体"/>
          <w:szCs w:val="21"/>
        </w:rPr>
      </w:pPr>
    </w:p>
    <w:p w14:paraId="65E27491">
      <w:pPr>
        <w:spacing w:line="288" w:lineRule="auto"/>
        <w:rPr>
          <w:rFonts w:hint="eastAsia" w:ascii="宋体" w:hAnsi="宋体" w:cs="宋体"/>
          <w:szCs w:val="21"/>
        </w:rPr>
      </w:pPr>
    </w:p>
    <w:p w14:paraId="6C84F32D">
      <w:pPr>
        <w:spacing w:line="360" w:lineRule="auto"/>
        <w:ind w:firstLine="420" w:firstLineChars="200"/>
        <w:jc w:val="center"/>
        <w:rPr>
          <w:rFonts w:hint="eastAsia" w:ascii="宋体" w:hAnsi="宋体" w:cs="宋体"/>
          <w:szCs w:val="21"/>
        </w:rPr>
        <w:sectPr>
          <w:headerReference r:id="rId16" w:type="default"/>
          <w:footerReference r:id="rId17" w:type="default"/>
          <w:pgSz w:w="11906" w:h="16838"/>
          <w:pgMar w:top="1440" w:right="1800" w:bottom="1440" w:left="1852" w:header="851" w:footer="992" w:gutter="0"/>
          <w:cols w:space="720" w:num="1"/>
          <w:docGrid w:type="lines" w:linePitch="312" w:charSpace="0"/>
        </w:sectPr>
      </w:pPr>
      <w:r>
        <w:rPr>
          <w:rFonts w:hint="eastAsia" w:ascii="宋体" w:hAnsi="宋体" w:cs="宋体"/>
          <w:szCs w:val="21"/>
        </w:rPr>
        <w:t>合同签订时间：    年   月   日</w:t>
      </w:r>
    </w:p>
    <w:p w14:paraId="552A59D4">
      <w:pPr>
        <w:spacing w:line="360" w:lineRule="auto"/>
        <w:ind w:firstLine="420" w:firstLineChars="200"/>
        <w:rPr>
          <w:rFonts w:hint="eastAsia" w:ascii="宋体" w:hAnsi="宋体" w:cs="宋体"/>
          <w:szCs w:val="21"/>
        </w:rPr>
      </w:pPr>
      <w:r>
        <w:rPr>
          <w:rFonts w:hint="eastAsia" w:ascii="宋体" w:hAnsi="宋体" w:cs="宋体"/>
          <w:szCs w:val="21"/>
        </w:rPr>
        <w:t>甲乙双方根据《中华人民共和国民法典》及相关法律法规的规定，在《北京市市级政务云管理办法》的基础上，经过友好协商，就乙方为甲方提供北京市政务云服务(下称“服务”)事宜订立以下协议，以资共同遵守。</w:t>
      </w:r>
    </w:p>
    <w:p w14:paraId="54C4FC65">
      <w:pPr>
        <w:spacing w:line="360" w:lineRule="auto"/>
        <w:rPr>
          <w:rFonts w:hint="eastAsia" w:ascii="宋体" w:hAnsi="宋体" w:cs="宋体"/>
          <w:b/>
          <w:bCs/>
          <w:szCs w:val="21"/>
        </w:rPr>
      </w:pPr>
      <w:r>
        <w:rPr>
          <w:rFonts w:hint="eastAsia" w:ascii="宋体" w:hAnsi="宋体" w:cs="宋体"/>
          <w:b/>
          <w:bCs/>
          <w:szCs w:val="21"/>
        </w:rPr>
        <w:t xml:space="preserve">第一条 项目角色定义 </w:t>
      </w:r>
    </w:p>
    <w:p w14:paraId="24139B7D">
      <w:pPr>
        <w:spacing w:line="360" w:lineRule="auto"/>
        <w:ind w:firstLine="371" w:firstLineChars="177"/>
        <w:rPr>
          <w:rFonts w:hint="eastAsia" w:ascii="宋体" w:hAnsi="宋体" w:cs="宋体"/>
          <w:szCs w:val="21"/>
        </w:rPr>
      </w:pPr>
      <w:r>
        <w:rPr>
          <w:rFonts w:hint="eastAsia" w:ascii="宋体" w:hAnsi="宋体" w:cs="宋体"/>
          <w:szCs w:val="21"/>
        </w:rPr>
        <w:t>1、云服务商：协议乙方，</w:t>
      </w:r>
      <w:r>
        <w:rPr>
          <w:rFonts w:hint="eastAsia" w:ascii="宋体" w:hAnsi="宋体" w:cs="宋体"/>
          <w:szCs w:val="21"/>
          <w:u w:val="single"/>
        </w:rPr>
        <w:t xml:space="preserve">             </w:t>
      </w:r>
      <w:r>
        <w:rPr>
          <w:rFonts w:hint="eastAsia" w:ascii="宋体" w:hAnsi="宋体" w:cs="宋体"/>
          <w:szCs w:val="21"/>
        </w:rPr>
        <w:t xml:space="preserve">。 </w:t>
      </w:r>
    </w:p>
    <w:p w14:paraId="1F40DA5C">
      <w:pPr>
        <w:spacing w:line="360" w:lineRule="auto"/>
        <w:ind w:firstLine="371" w:firstLineChars="177"/>
        <w:rPr>
          <w:rFonts w:hint="eastAsia" w:ascii="宋体" w:hAnsi="宋体" w:cs="宋体"/>
          <w:szCs w:val="21"/>
        </w:rPr>
      </w:pPr>
      <w:r>
        <w:rPr>
          <w:rFonts w:hint="eastAsia" w:ascii="宋体" w:hAnsi="宋体" w:cs="宋体"/>
          <w:szCs w:val="21"/>
        </w:rPr>
        <w:t>2、使用单位：协议甲方，</w:t>
      </w:r>
      <w:r>
        <w:rPr>
          <w:rFonts w:hint="eastAsia" w:ascii="宋体" w:hAnsi="宋体" w:cs="宋体"/>
          <w:szCs w:val="21"/>
          <w:u w:val="single"/>
        </w:rPr>
        <w:t xml:space="preserve">             </w:t>
      </w:r>
      <w:r>
        <w:rPr>
          <w:rFonts w:hint="eastAsia" w:ascii="宋体" w:hAnsi="宋体" w:cs="宋体"/>
          <w:szCs w:val="21"/>
        </w:rPr>
        <w:t xml:space="preserve">。 </w:t>
      </w:r>
    </w:p>
    <w:p w14:paraId="1605CDFF">
      <w:pPr>
        <w:spacing w:line="360" w:lineRule="auto"/>
        <w:ind w:firstLine="371" w:firstLineChars="177"/>
        <w:rPr>
          <w:rFonts w:hint="eastAsia" w:ascii="宋体" w:hAnsi="宋体" w:cs="宋体"/>
          <w:szCs w:val="21"/>
        </w:rPr>
      </w:pPr>
      <w:r>
        <w:rPr>
          <w:rFonts w:hint="eastAsia" w:ascii="宋体" w:hAnsi="宋体" w:cs="宋体"/>
          <w:szCs w:val="21"/>
        </w:rPr>
        <w:t xml:space="preserve">3、政务云管理单位：北京市政务服务和数据管理局。 </w:t>
      </w:r>
    </w:p>
    <w:p w14:paraId="77BC698E">
      <w:pPr>
        <w:spacing w:line="360" w:lineRule="auto"/>
        <w:ind w:firstLine="371" w:firstLineChars="177"/>
        <w:rPr>
          <w:rFonts w:hint="eastAsia" w:ascii="宋体" w:hAnsi="宋体" w:cs="宋体"/>
          <w:szCs w:val="21"/>
        </w:rPr>
      </w:pPr>
      <w:r>
        <w:rPr>
          <w:rFonts w:hint="eastAsia" w:ascii="宋体" w:hAnsi="宋体" w:cs="宋体"/>
          <w:szCs w:val="21"/>
        </w:rPr>
        <w:t xml:space="preserve">4、云综合监管服务商：经政务云管理单位授权，开展政务云安全、技术监督管理和服务评价的单位。 </w:t>
      </w:r>
    </w:p>
    <w:p w14:paraId="122A5617">
      <w:pPr>
        <w:spacing w:line="360" w:lineRule="auto"/>
        <w:ind w:firstLine="371" w:firstLineChars="177"/>
        <w:rPr>
          <w:rFonts w:hint="eastAsia" w:ascii="宋体" w:hAnsi="宋体" w:cs="宋体"/>
          <w:szCs w:val="21"/>
        </w:rPr>
      </w:pPr>
      <w:r>
        <w:rPr>
          <w:rFonts w:hint="eastAsia" w:ascii="宋体" w:hAnsi="宋体" w:cs="宋体"/>
          <w:szCs w:val="21"/>
        </w:rPr>
        <w:t xml:space="preserve">5、信息系统服务商：为甲方提供信息系统等建设或维护服务的服务商。 </w:t>
      </w:r>
    </w:p>
    <w:p w14:paraId="7D355A3D">
      <w:pPr>
        <w:spacing w:line="360" w:lineRule="auto"/>
        <w:rPr>
          <w:rFonts w:hint="eastAsia" w:ascii="宋体" w:hAnsi="宋体" w:cs="宋体"/>
          <w:b/>
          <w:bCs/>
          <w:szCs w:val="21"/>
        </w:rPr>
      </w:pPr>
      <w:r>
        <w:rPr>
          <w:rFonts w:hint="eastAsia" w:ascii="宋体" w:hAnsi="宋体" w:cs="宋体"/>
          <w:b/>
          <w:bCs/>
          <w:szCs w:val="21"/>
        </w:rPr>
        <w:t>第二条 服务内容</w:t>
      </w:r>
    </w:p>
    <w:p w14:paraId="02D3C49C">
      <w:pPr>
        <w:numPr>
          <w:ilvl w:val="0"/>
          <w:numId w:val="45"/>
        </w:numPr>
        <w:spacing w:line="360" w:lineRule="auto"/>
        <w:rPr>
          <w:rFonts w:hint="eastAsia" w:ascii="宋体" w:hAnsi="宋体" w:cs="宋体"/>
          <w:szCs w:val="21"/>
        </w:rPr>
      </w:pPr>
      <w:r>
        <w:rPr>
          <w:rFonts w:hint="eastAsia" w:ascii="宋体" w:hAnsi="宋体" w:cs="宋体"/>
          <w:szCs w:val="21"/>
        </w:rPr>
        <w:t>甲方应按照《北京市市级政务云管理办法》的有关规定，将如下信息系统部署或迁移至乙方云平台，同时对信息系统开展运维工作。</w:t>
      </w:r>
    </w:p>
    <w:tbl>
      <w:tblPr>
        <w:tblStyle w:val="42"/>
        <w:tblW w:w="8320" w:type="dxa"/>
        <w:tblInd w:w="0" w:type="dxa"/>
        <w:tblLayout w:type="fixed"/>
        <w:tblCellMar>
          <w:top w:w="0" w:type="dxa"/>
          <w:left w:w="0" w:type="dxa"/>
          <w:bottom w:w="0" w:type="dxa"/>
          <w:right w:w="0" w:type="dxa"/>
        </w:tblCellMar>
      </w:tblPr>
      <w:tblGrid>
        <w:gridCol w:w="1081"/>
        <w:gridCol w:w="7239"/>
      </w:tblGrid>
      <w:tr w14:paraId="3D56BE25">
        <w:tblPrEx>
          <w:tblCellMar>
            <w:top w:w="0" w:type="dxa"/>
            <w:left w:w="0" w:type="dxa"/>
            <w:bottom w:w="0" w:type="dxa"/>
            <w:right w:w="0" w:type="dxa"/>
          </w:tblCellMar>
        </w:tblPrEx>
        <w:trPr>
          <w:trHeight w:val="466" w:hRule="atLeast"/>
        </w:trPr>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A3E43">
            <w:pPr>
              <w:widowControl/>
              <w:jc w:val="center"/>
              <w:textAlignment w:val="center"/>
              <w:rPr>
                <w:rFonts w:hint="eastAsia" w:ascii="宋体" w:hAnsi="宋体" w:cs="宋体"/>
                <w:szCs w:val="21"/>
              </w:rPr>
            </w:pPr>
            <w:r>
              <w:rPr>
                <w:rFonts w:hint="eastAsia" w:ascii="宋体" w:hAnsi="宋体" w:cs="宋体"/>
                <w:szCs w:val="21"/>
              </w:rPr>
              <w:t>序号</w:t>
            </w: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33C8D">
            <w:pPr>
              <w:widowControl/>
              <w:textAlignment w:val="center"/>
              <w:rPr>
                <w:rFonts w:hint="eastAsia" w:ascii="宋体" w:hAnsi="宋体" w:cs="宋体"/>
                <w:szCs w:val="21"/>
              </w:rPr>
            </w:pPr>
            <w:r>
              <w:rPr>
                <w:rFonts w:hint="eastAsia" w:ascii="宋体" w:hAnsi="宋体" w:cs="宋体"/>
                <w:szCs w:val="21"/>
              </w:rPr>
              <w:t>系统名称</w:t>
            </w:r>
          </w:p>
        </w:tc>
      </w:tr>
      <w:tr w14:paraId="1E1A56C9">
        <w:tblPrEx>
          <w:tblCellMar>
            <w:top w:w="0" w:type="dxa"/>
            <w:left w:w="0" w:type="dxa"/>
            <w:bottom w:w="0" w:type="dxa"/>
            <w:right w:w="0" w:type="dxa"/>
          </w:tblCellMar>
        </w:tblPrEx>
        <w:trPr>
          <w:trHeight w:val="466" w:hRule="atLeast"/>
        </w:trPr>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971E0">
            <w:pPr>
              <w:widowControl/>
              <w:jc w:val="center"/>
              <w:textAlignment w:val="center"/>
              <w:rPr>
                <w:rFonts w:hint="eastAsia" w:ascii="宋体" w:hAnsi="宋体" w:cs="宋体"/>
                <w:szCs w:val="21"/>
              </w:rPr>
            </w:pPr>
          </w:p>
        </w:tc>
        <w:tc>
          <w:tcPr>
            <w:tcW w:w="7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26F73">
            <w:pPr>
              <w:widowControl/>
              <w:textAlignment w:val="center"/>
              <w:rPr>
                <w:rFonts w:hint="eastAsia" w:ascii="宋体" w:hAnsi="宋体" w:cs="宋体"/>
                <w:szCs w:val="21"/>
              </w:rPr>
            </w:pPr>
          </w:p>
        </w:tc>
      </w:tr>
    </w:tbl>
    <w:p w14:paraId="738025D9">
      <w:pPr>
        <w:spacing w:line="360" w:lineRule="auto"/>
        <w:ind w:firstLine="371" w:firstLineChars="177"/>
        <w:rPr>
          <w:rFonts w:hint="eastAsia" w:ascii="宋体" w:hAnsi="宋体" w:cs="宋体"/>
          <w:szCs w:val="21"/>
        </w:rPr>
      </w:pPr>
      <w:r>
        <w:rPr>
          <w:rFonts w:hint="eastAsia" w:ascii="宋体" w:hAnsi="宋体" w:cs="宋体"/>
          <w:szCs w:val="21"/>
        </w:rPr>
        <w:t>2、本协议期限内，乙方向甲方上面平台系统，提供云资源租用服务。甲方根据业务需要，与乙方协商选择云服务项目，如下：</w:t>
      </w:r>
    </w:p>
    <w:p w14:paraId="1638E4F4">
      <w:pPr>
        <w:spacing w:line="360" w:lineRule="auto"/>
        <w:ind w:left="420"/>
        <w:rPr>
          <w:rFonts w:hint="eastAsia" w:ascii="宋体" w:hAnsi="宋体" w:cs="宋体"/>
          <w:szCs w:val="21"/>
        </w:rPr>
      </w:pPr>
      <w:r>
        <w:rPr>
          <w:rFonts w:hint="eastAsia" w:ascii="宋体" w:hAnsi="宋体" w:cs="宋体"/>
          <w:szCs w:val="21"/>
        </w:rPr>
        <w:t>（1）政务云租用服务（详见附件1 分项明细及报价表）</w:t>
      </w:r>
    </w:p>
    <w:p w14:paraId="1FB42681">
      <w:pPr>
        <w:spacing w:line="360" w:lineRule="auto"/>
        <w:rPr>
          <w:rFonts w:hint="eastAsia" w:ascii="宋体" w:hAnsi="宋体" w:cs="宋体"/>
          <w:b/>
          <w:bCs/>
          <w:szCs w:val="21"/>
        </w:rPr>
      </w:pPr>
      <w:r>
        <w:rPr>
          <w:rFonts w:hint="eastAsia" w:ascii="宋体" w:hAnsi="宋体" w:cs="宋体"/>
          <w:b/>
          <w:bCs/>
          <w:szCs w:val="21"/>
        </w:rPr>
        <w:t xml:space="preserve">第三条 服务水平 </w:t>
      </w:r>
    </w:p>
    <w:p w14:paraId="5D35EFBD">
      <w:pPr>
        <w:spacing w:line="360" w:lineRule="auto"/>
        <w:ind w:firstLine="371" w:firstLineChars="177"/>
        <w:rPr>
          <w:rFonts w:hint="eastAsia" w:ascii="宋体" w:hAnsi="宋体" w:cs="宋体"/>
          <w:szCs w:val="21"/>
        </w:rPr>
      </w:pPr>
      <w:r>
        <w:rPr>
          <w:rFonts w:hint="eastAsia" w:ascii="宋体" w:hAnsi="宋体" w:cs="宋体"/>
          <w:szCs w:val="21"/>
        </w:rPr>
        <w:t xml:space="preserve">1、乙方应为甲方提供本协议约定的全部服务，协助甲方开展信息系统部署迁移工作，做好云主机等云资源或云服务的运维工作。 </w:t>
      </w:r>
    </w:p>
    <w:p w14:paraId="793B0D6F">
      <w:pPr>
        <w:spacing w:line="360" w:lineRule="auto"/>
        <w:ind w:firstLine="371" w:firstLineChars="177"/>
        <w:rPr>
          <w:rFonts w:hint="eastAsia" w:ascii="宋体" w:hAnsi="宋体" w:cs="宋体"/>
          <w:szCs w:val="21"/>
        </w:rPr>
      </w:pPr>
      <w:r>
        <w:rPr>
          <w:rFonts w:hint="eastAsia" w:ascii="宋体" w:hAnsi="宋体" w:cs="宋体"/>
          <w:szCs w:val="21"/>
        </w:rPr>
        <w:t xml:space="preserve">2、乙方应配合甲方搭建信息系统上云的测试环境，测试期由甲乙双方协商确定。 </w:t>
      </w:r>
    </w:p>
    <w:p w14:paraId="697F4B1D">
      <w:pPr>
        <w:spacing w:line="360" w:lineRule="auto"/>
        <w:ind w:firstLine="371" w:firstLineChars="177"/>
        <w:rPr>
          <w:rFonts w:hint="eastAsia" w:ascii="宋体" w:hAnsi="宋体" w:cs="宋体"/>
          <w:szCs w:val="21"/>
        </w:rPr>
      </w:pPr>
      <w:r>
        <w:rPr>
          <w:rFonts w:hint="eastAsia" w:ascii="宋体" w:hAnsi="宋体" w:cs="宋体"/>
          <w:szCs w:val="21"/>
        </w:rPr>
        <w:t xml:space="preserve">3、乙方为甲方提供的服务质量应符合国家有关质量法规、质量标准的规定及相关行业的标准。 </w:t>
      </w:r>
    </w:p>
    <w:p w14:paraId="53719809">
      <w:pPr>
        <w:spacing w:line="360" w:lineRule="auto"/>
        <w:ind w:firstLine="371" w:firstLineChars="177"/>
        <w:rPr>
          <w:rFonts w:hint="eastAsia" w:ascii="宋体" w:hAnsi="宋体" w:cs="宋体"/>
          <w:szCs w:val="21"/>
        </w:rPr>
      </w:pPr>
      <w:r>
        <w:rPr>
          <w:rFonts w:hint="eastAsia" w:ascii="宋体" w:hAnsi="宋体" w:cs="宋体"/>
          <w:szCs w:val="21"/>
        </w:rPr>
        <w:t xml:space="preserve">4、乙方提供的云平台整体可用性应不低于 99.99%，数据可靠性应不低于99.9999%。 </w:t>
      </w:r>
    </w:p>
    <w:p w14:paraId="47E27ED1">
      <w:pPr>
        <w:spacing w:line="360" w:lineRule="auto"/>
        <w:ind w:firstLine="371" w:firstLineChars="177"/>
        <w:rPr>
          <w:rFonts w:hint="eastAsia" w:ascii="宋体" w:hAnsi="宋体" w:cs="宋体"/>
          <w:szCs w:val="21"/>
        </w:rPr>
      </w:pPr>
      <w:r>
        <w:rPr>
          <w:rFonts w:hint="eastAsia" w:ascii="宋体" w:hAnsi="宋体" w:cs="宋体"/>
          <w:szCs w:val="21"/>
        </w:rPr>
        <w:t xml:space="preserve">5、乙方提供的云平台应具备资源动态调整机制，根据甲方信息系统运行情况进行资源的动态调整，如遇信息系统使用高峰期，经双方协商可短期内提供的云资源扩容服务，如需要长期使用扩容服务，以北京市级政务云基础服务目录价格为准双方协商费用，并签订补充协议。 </w:t>
      </w:r>
    </w:p>
    <w:p w14:paraId="5727E0D4">
      <w:pPr>
        <w:spacing w:line="360" w:lineRule="auto"/>
        <w:ind w:firstLine="371" w:firstLineChars="177"/>
        <w:rPr>
          <w:rFonts w:hint="eastAsia" w:ascii="宋体" w:hAnsi="宋体" w:cs="宋体"/>
          <w:szCs w:val="21"/>
        </w:rPr>
      </w:pPr>
      <w:r>
        <w:rPr>
          <w:rFonts w:hint="eastAsia" w:ascii="宋体" w:hAnsi="宋体" w:cs="宋体"/>
          <w:szCs w:val="21"/>
        </w:rPr>
        <w:t>6、乙方应提供技术服务热线(7*24 小时)，负责解答用户在云平台使用中遇到的问题，并及时提出解决问题的建议和操作方法，方式应包括邮件、电话、即时通讯工具等。邮件：</w:t>
      </w:r>
      <w:r>
        <w:rPr>
          <w:rFonts w:hint="eastAsia"/>
          <w:u w:val="single"/>
        </w:rPr>
        <w:t xml:space="preserve">    </w:t>
      </w:r>
      <w:r>
        <w:rPr>
          <w:rFonts w:hint="eastAsia" w:ascii="宋体" w:hAnsi="宋体" w:cs="宋体"/>
          <w:szCs w:val="21"/>
        </w:rPr>
        <w:t>， 电话：</w:t>
      </w:r>
      <w:r>
        <w:rPr>
          <w:rFonts w:hint="eastAsia" w:ascii="宋体" w:hAnsi="宋体" w:cs="宋体"/>
          <w:szCs w:val="21"/>
          <w:u w:val="single"/>
        </w:rPr>
        <w:t xml:space="preserve">     </w:t>
      </w:r>
      <w:r>
        <w:rPr>
          <w:rFonts w:hint="eastAsia" w:ascii="宋体" w:hAnsi="宋体" w:cs="宋体"/>
          <w:szCs w:val="21"/>
        </w:rPr>
        <w:t xml:space="preserve">。 </w:t>
      </w:r>
    </w:p>
    <w:p w14:paraId="2FE91B1B">
      <w:pPr>
        <w:spacing w:line="360" w:lineRule="auto"/>
        <w:ind w:firstLine="371" w:firstLineChars="177"/>
        <w:rPr>
          <w:rFonts w:hint="eastAsia" w:ascii="宋体" w:hAnsi="宋体" w:cs="宋体"/>
          <w:szCs w:val="21"/>
        </w:rPr>
      </w:pPr>
      <w:r>
        <w:rPr>
          <w:rFonts w:hint="eastAsia" w:ascii="宋体" w:hAnsi="宋体" w:cs="宋体"/>
          <w:szCs w:val="21"/>
        </w:rPr>
        <w:t>7、在服务期内，提供 7*24 小时的现场和技术支持服务，对故障10分钟内响应。</w:t>
      </w:r>
    </w:p>
    <w:p w14:paraId="1CC1987A">
      <w:pPr>
        <w:spacing w:line="360" w:lineRule="auto"/>
        <w:ind w:firstLine="371" w:firstLineChars="177"/>
        <w:rPr>
          <w:rFonts w:hint="eastAsia" w:ascii="宋体" w:hAnsi="宋体" w:cs="宋体"/>
          <w:szCs w:val="21"/>
        </w:rPr>
      </w:pPr>
      <w:r>
        <w:rPr>
          <w:rFonts w:hint="eastAsia" w:ascii="宋体" w:hAnsi="宋体" w:cs="宋体"/>
          <w:szCs w:val="21"/>
        </w:rPr>
        <w:t>8、乙方须具备故障快速定位和恢复能力，故障定位排除时限不超过60分钟。</w:t>
      </w:r>
    </w:p>
    <w:p w14:paraId="4A03469A">
      <w:pPr>
        <w:spacing w:line="360" w:lineRule="auto"/>
        <w:rPr>
          <w:rFonts w:hint="eastAsia" w:ascii="宋体" w:hAnsi="宋体" w:cs="宋体"/>
          <w:szCs w:val="21"/>
        </w:rPr>
      </w:pPr>
    </w:p>
    <w:p w14:paraId="7AB86A51">
      <w:pPr>
        <w:spacing w:line="360" w:lineRule="auto"/>
        <w:rPr>
          <w:rFonts w:hint="eastAsia" w:ascii="宋体" w:hAnsi="宋体" w:cs="宋体"/>
          <w:b/>
          <w:bCs/>
          <w:szCs w:val="21"/>
        </w:rPr>
      </w:pPr>
      <w:r>
        <w:rPr>
          <w:rFonts w:hint="eastAsia" w:ascii="宋体" w:hAnsi="宋体" w:cs="宋体"/>
          <w:b/>
          <w:bCs/>
          <w:szCs w:val="21"/>
        </w:rPr>
        <w:t xml:space="preserve">第四条 项目小组及人员要求 </w:t>
      </w:r>
    </w:p>
    <w:p w14:paraId="0FD3A69B">
      <w:pPr>
        <w:spacing w:line="360" w:lineRule="auto"/>
        <w:ind w:firstLine="371" w:firstLineChars="177"/>
        <w:rPr>
          <w:rFonts w:hint="eastAsia" w:ascii="宋体" w:hAnsi="宋体" w:cs="宋体"/>
          <w:szCs w:val="21"/>
        </w:rPr>
      </w:pPr>
      <w:r>
        <w:rPr>
          <w:rFonts w:hint="eastAsia" w:ascii="宋体" w:hAnsi="宋体" w:cs="宋体"/>
          <w:szCs w:val="21"/>
        </w:rPr>
        <w:t>甲乙双方应各指派一名代表作为本项目负责人，项目负责人职责范围包括：</w:t>
      </w:r>
    </w:p>
    <w:p w14:paraId="45AB417B">
      <w:pPr>
        <w:spacing w:line="360" w:lineRule="auto"/>
        <w:ind w:firstLine="371" w:firstLineChars="177"/>
        <w:rPr>
          <w:rFonts w:hint="eastAsia" w:ascii="宋体" w:hAnsi="宋体" w:cs="宋体"/>
          <w:szCs w:val="21"/>
        </w:rPr>
      </w:pPr>
      <w:r>
        <w:rPr>
          <w:rFonts w:hint="eastAsia" w:ascii="宋体" w:hAnsi="宋体" w:cs="宋体"/>
          <w:szCs w:val="21"/>
        </w:rPr>
        <w:t xml:space="preserve">1、制定项目计划：牵头制定项目计划。 </w:t>
      </w:r>
    </w:p>
    <w:p w14:paraId="55FBD5DD">
      <w:pPr>
        <w:spacing w:line="360" w:lineRule="auto"/>
        <w:ind w:firstLine="371" w:firstLineChars="177"/>
        <w:rPr>
          <w:rFonts w:hint="eastAsia" w:ascii="宋体" w:hAnsi="宋体" w:cs="宋体"/>
          <w:szCs w:val="21"/>
        </w:rPr>
      </w:pPr>
      <w:r>
        <w:rPr>
          <w:rFonts w:hint="eastAsia" w:ascii="宋体" w:hAnsi="宋体" w:cs="宋体"/>
          <w:szCs w:val="21"/>
        </w:rPr>
        <w:t>2、跟踪项目执行：迁移方案设计，云服务使用培训，云服务各阶段验收，服务成果确认等管理工作。</w:t>
      </w:r>
    </w:p>
    <w:p w14:paraId="39485262">
      <w:pPr>
        <w:spacing w:line="360" w:lineRule="auto"/>
        <w:ind w:firstLine="371" w:firstLineChars="177"/>
        <w:rPr>
          <w:rFonts w:hint="eastAsia" w:ascii="宋体" w:hAnsi="宋体" w:cs="宋体"/>
          <w:szCs w:val="21"/>
        </w:rPr>
      </w:pPr>
      <w:r>
        <w:rPr>
          <w:rFonts w:hint="eastAsia" w:ascii="宋体" w:hAnsi="宋体" w:cs="宋体"/>
          <w:szCs w:val="21"/>
        </w:rPr>
        <w:t xml:space="preserve">3、项目检查和控制：检查云服务使用过程中各阶段工作质量和进度。协调各种资源，确保项目按计划进度实施。 </w:t>
      </w:r>
    </w:p>
    <w:p w14:paraId="268D3DF0">
      <w:pPr>
        <w:spacing w:line="360" w:lineRule="auto"/>
        <w:ind w:firstLine="371" w:firstLineChars="177"/>
        <w:rPr>
          <w:rFonts w:hint="eastAsia" w:ascii="宋体" w:hAnsi="宋体" w:cs="宋体"/>
          <w:szCs w:val="21"/>
        </w:rPr>
      </w:pPr>
      <w:r>
        <w:rPr>
          <w:rFonts w:hint="eastAsia" w:ascii="宋体" w:hAnsi="宋体" w:cs="宋体"/>
          <w:szCs w:val="21"/>
        </w:rPr>
        <w:t xml:space="preserve">4、项目沟通协调：负责协调解决组织接口及技术接口问题，沟通项目售前、售后情况，解决云服务使用过程中出现的相关问题。 </w:t>
      </w:r>
    </w:p>
    <w:p w14:paraId="138DECD8">
      <w:pPr>
        <w:spacing w:line="360" w:lineRule="auto"/>
        <w:ind w:firstLine="371" w:firstLineChars="177"/>
        <w:rPr>
          <w:rFonts w:hint="eastAsia" w:ascii="宋体" w:hAnsi="宋体" w:cs="宋体"/>
          <w:szCs w:val="21"/>
        </w:rPr>
      </w:pPr>
      <w:r>
        <w:rPr>
          <w:rFonts w:hint="eastAsia" w:ascii="宋体" w:hAnsi="宋体" w:cs="宋体"/>
          <w:szCs w:val="21"/>
        </w:rPr>
        <w:t>5、甲方项目负责人及联系方式：</w:t>
      </w:r>
      <w:r>
        <w:rPr>
          <w:rFonts w:hint="eastAsia" w:ascii="宋体" w:hAnsi="宋体" w:cs="宋体"/>
          <w:szCs w:val="21"/>
          <w:u w:val="single"/>
        </w:rPr>
        <w:t xml:space="preserve">   </w:t>
      </w:r>
      <w:r>
        <w:rPr>
          <w:rFonts w:hint="eastAsia" w:ascii="宋体" w:hAnsi="宋体" w:cs="宋体"/>
          <w:szCs w:val="21"/>
        </w:rPr>
        <w:t>。</w:t>
      </w:r>
    </w:p>
    <w:p w14:paraId="46C3C6FA">
      <w:pPr>
        <w:spacing w:line="360" w:lineRule="auto"/>
        <w:ind w:firstLine="371" w:firstLineChars="177"/>
        <w:rPr>
          <w:rFonts w:hint="eastAsia" w:ascii="宋体" w:hAnsi="宋体" w:cs="宋体"/>
          <w:szCs w:val="21"/>
        </w:rPr>
      </w:pPr>
      <w:r>
        <w:rPr>
          <w:rFonts w:hint="eastAsia" w:ascii="宋体" w:hAnsi="宋体" w:cs="宋体"/>
          <w:szCs w:val="21"/>
        </w:rPr>
        <w:t>6、乙方项目负责人及联系方式：</w:t>
      </w:r>
      <w:r>
        <w:rPr>
          <w:rFonts w:hint="eastAsia" w:ascii="宋体" w:hAnsi="宋体" w:cs="宋体"/>
          <w:szCs w:val="21"/>
          <w:u w:val="single"/>
        </w:rPr>
        <w:t xml:space="preserve">    </w:t>
      </w:r>
      <w:r>
        <w:rPr>
          <w:rFonts w:hint="eastAsia" w:ascii="宋体" w:hAnsi="宋体" w:cs="宋体"/>
          <w:szCs w:val="21"/>
        </w:rPr>
        <w:t>。</w:t>
      </w:r>
    </w:p>
    <w:p w14:paraId="5FB53A9D">
      <w:pPr>
        <w:spacing w:line="360" w:lineRule="auto"/>
        <w:rPr>
          <w:rFonts w:hint="eastAsia" w:ascii="宋体" w:hAnsi="宋体" w:cs="宋体"/>
          <w:szCs w:val="21"/>
        </w:rPr>
      </w:pPr>
    </w:p>
    <w:p w14:paraId="4696720D">
      <w:pPr>
        <w:spacing w:line="360" w:lineRule="auto"/>
        <w:rPr>
          <w:rFonts w:hint="eastAsia" w:ascii="宋体" w:hAnsi="宋体" w:cs="宋体"/>
          <w:b/>
          <w:bCs/>
          <w:szCs w:val="21"/>
        </w:rPr>
      </w:pPr>
      <w:r>
        <w:rPr>
          <w:rFonts w:hint="eastAsia" w:ascii="宋体" w:hAnsi="宋体" w:cs="宋体"/>
          <w:b/>
          <w:bCs/>
          <w:szCs w:val="21"/>
        </w:rPr>
        <w:t xml:space="preserve">第五条 服务期限 </w:t>
      </w:r>
    </w:p>
    <w:p w14:paraId="14A22E79">
      <w:pPr>
        <w:spacing w:line="360" w:lineRule="auto"/>
        <w:ind w:firstLine="371" w:firstLineChars="177"/>
        <w:rPr>
          <w:rFonts w:hint="eastAsia" w:ascii="宋体" w:hAnsi="宋体" w:cs="宋体"/>
          <w:szCs w:val="21"/>
        </w:rPr>
      </w:pPr>
      <w:r>
        <w:rPr>
          <w:rFonts w:hint="eastAsia" w:ascii="宋体" w:hAnsi="宋体" w:cs="宋体"/>
          <w:szCs w:val="21"/>
        </w:rPr>
        <w:t>1、乙方为甲方提供为期</w:t>
      </w:r>
      <w:r>
        <w:rPr>
          <w:rFonts w:hint="eastAsia" w:ascii="宋体" w:hAnsi="宋体" w:cs="宋体"/>
          <w:szCs w:val="21"/>
          <w:u w:val="single"/>
        </w:rPr>
        <w:t>12</w:t>
      </w:r>
      <w:r>
        <w:rPr>
          <w:rFonts w:hint="eastAsia" w:ascii="宋体" w:hAnsi="宋体" w:cs="宋体"/>
          <w:szCs w:val="21"/>
        </w:rPr>
        <w:t>个月的政务云资源租用服务，自</w:t>
      </w:r>
      <w:r>
        <w:rPr>
          <w:rFonts w:hint="eastAsia" w:ascii="宋体" w:hAnsi="宋体" w:cs="宋体"/>
          <w:szCs w:val="21"/>
          <w:u w:val="single"/>
        </w:rPr>
        <w:t xml:space="preserve">    </w:t>
      </w:r>
      <w:r>
        <w:rPr>
          <w:rFonts w:hint="eastAsia" w:ascii="宋体" w:hAnsi="宋体" w:cs="宋体"/>
          <w:szCs w:val="21"/>
        </w:rPr>
        <w:t>起，至</w:t>
      </w:r>
      <w:r>
        <w:rPr>
          <w:rFonts w:hint="eastAsia" w:ascii="宋体" w:hAnsi="宋体" w:cs="宋体"/>
          <w:szCs w:val="21"/>
          <w:u w:val="single"/>
        </w:rPr>
        <w:t xml:space="preserve">   </w:t>
      </w:r>
      <w:r>
        <w:rPr>
          <w:rFonts w:hint="eastAsia" w:ascii="宋体" w:hAnsi="宋体" w:cs="宋体"/>
          <w:szCs w:val="21"/>
        </w:rPr>
        <w:t>止。</w:t>
      </w:r>
    </w:p>
    <w:p w14:paraId="2CDD91F4">
      <w:pPr>
        <w:spacing w:line="360" w:lineRule="auto"/>
        <w:ind w:firstLine="371" w:firstLineChars="177"/>
        <w:rPr>
          <w:rFonts w:hint="eastAsia" w:ascii="宋体" w:hAnsi="宋体" w:cs="宋体"/>
          <w:szCs w:val="21"/>
        </w:rPr>
      </w:pPr>
      <w:r>
        <w:rPr>
          <w:rFonts w:hint="eastAsia" w:ascii="宋体" w:hAnsi="宋体" w:cs="宋体"/>
          <w:szCs w:val="21"/>
        </w:rPr>
        <w:t xml:space="preserve">2、本协议期满，乙方应协助甲方完成系统及数据的备份或迁移，以免丢失重要信息。 </w:t>
      </w:r>
    </w:p>
    <w:p w14:paraId="4B3507BF">
      <w:pPr>
        <w:spacing w:line="360" w:lineRule="auto"/>
        <w:rPr>
          <w:rFonts w:hint="eastAsia" w:ascii="宋体" w:hAnsi="宋体" w:cs="宋体"/>
          <w:b/>
          <w:bCs/>
          <w:szCs w:val="21"/>
        </w:rPr>
      </w:pPr>
      <w:r>
        <w:rPr>
          <w:rFonts w:hint="eastAsia" w:ascii="宋体" w:hAnsi="宋体" w:cs="宋体"/>
          <w:b/>
          <w:bCs/>
          <w:szCs w:val="21"/>
        </w:rPr>
        <w:t xml:space="preserve">第六条 服务验收 </w:t>
      </w:r>
    </w:p>
    <w:p w14:paraId="4C76F683">
      <w:pPr>
        <w:spacing w:line="360" w:lineRule="auto"/>
        <w:ind w:firstLine="371" w:firstLineChars="177"/>
        <w:rPr>
          <w:rFonts w:hint="eastAsia" w:ascii="宋体" w:hAnsi="宋体" w:cs="宋体"/>
          <w:szCs w:val="21"/>
        </w:rPr>
      </w:pPr>
      <w:r>
        <w:rPr>
          <w:rFonts w:hint="eastAsia" w:ascii="宋体" w:hAnsi="宋体" w:cs="宋体"/>
          <w:szCs w:val="21"/>
        </w:rPr>
        <w:t>1、项目验收</w:t>
      </w:r>
    </w:p>
    <w:p w14:paraId="0ADBEE6A">
      <w:pPr>
        <w:spacing w:line="360" w:lineRule="auto"/>
        <w:ind w:firstLine="371" w:firstLineChars="177"/>
        <w:rPr>
          <w:rFonts w:hint="eastAsia" w:ascii="宋体" w:hAnsi="宋体" w:cs="宋体"/>
          <w:szCs w:val="21"/>
        </w:rPr>
      </w:pPr>
      <w:r>
        <w:rPr>
          <w:rFonts w:hint="eastAsia" w:ascii="宋体" w:hAnsi="宋体" w:cs="宋体"/>
          <w:szCs w:val="21"/>
        </w:rPr>
        <w:t>项目检查验收：乙方按甲方要求向甲方提交运维工作总结报告等相关材料，得到甲方认可后，由甲方组织开展项目检查。检查标准以本合同附件以及相关说明文档为标准，具体时间和地点由甲乙双方商议安排。</w:t>
      </w:r>
    </w:p>
    <w:p w14:paraId="3255FE6C">
      <w:r>
        <w:rPr>
          <w:rFonts w:hint="eastAsia" w:ascii="宋体" w:hAnsi="宋体" w:cs="宋体"/>
          <w:szCs w:val="21"/>
        </w:rPr>
        <w:br w:type="page"/>
      </w:r>
    </w:p>
    <w:p w14:paraId="280E4BA1">
      <w:pPr>
        <w:spacing w:line="360" w:lineRule="auto"/>
        <w:rPr>
          <w:rFonts w:hint="eastAsia" w:ascii="宋体" w:hAnsi="宋体" w:cs="宋体"/>
          <w:b/>
          <w:bCs/>
          <w:szCs w:val="21"/>
        </w:rPr>
      </w:pPr>
      <w:r>
        <w:rPr>
          <w:rFonts w:hint="eastAsia" w:ascii="宋体" w:hAnsi="宋体" w:cs="宋体"/>
          <w:b/>
          <w:bCs/>
          <w:szCs w:val="21"/>
        </w:rPr>
        <w:t xml:space="preserve">第七条 服务费用及支付方式 </w:t>
      </w:r>
    </w:p>
    <w:p w14:paraId="47782386">
      <w:pPr>
        <w:spacing w:line="360" w:lineRule="auto"/>
        <w:ind w:firstLine="420" w:firstLineChars="200"/>
        <w:rPr>
          <w:rFonts w:hint="eastAsia" w:ascii="宋体" w:hAnsi="宋体" w:cs="宋体"/>
          <w:szCs w:val="21"/>
        </w:rPr>
      </w:pPr>
      <w:r>
        <w:rPr>
          <w:rFonts w:hint="eastAsia" w:ascii="宋体" w:hAnsi="宋体" w:cs="宋体"/>
          <w:szCs w:val="21"/>
        </w:rPr>
        <w:t>本协议总金额共计人民币小写：</w:t>
      </w:r>
      <w:r>
        <w:rPr>
          <w:sz w:val="24"/>
          <w:u w:val="single"/>
        </w:rPr>
        <w:t>¥</w:t>
      </w:r>
      <w:r>
        <w:rPr>
          <w:rFonts w:hint="eastAsia" w:ascii="宋体" w:hAnsi="宋体" w:cs="宋体"/>
          <w:szCs w:val="21"/>
          <w:u w:val="single"/>
        </w:rPr>
        <w:t xml:space="preserve">   </w:t>
      </w:r>
      <w:r>
        <w:rPr>
          <w:rFonts w:hint="eastAsia" w:ascii="宋体" w:hAnsi="宋体" w:cs="宋体"/>
          <w:szCs w:val="21"/>
        </w:rPr>
        <w:t>元，大写：人民币</w:t>
      </w:r>
      <w:r>
        <w:rPr>
          <w:rFonts w:hint="eastAsia" w:ascii="宋体" w:hAnsi="宋体" w:cs="宋体"/>
          <w:szCs w:val="21"/>
          <w:u w:val="single"/>
        </w:rPr>
        <w:t xml:space="preserve">  元</w:t>
      </w:r>
      <w:r>
        <w:rPr>
          <w:rFonts w:hint="eastAsia" w:ascii="宋体" w:hAnsi="宋体" w:cs="宋体"/>
          <w:szCs w:val="21"/>
        </w:rPr>
        <w:t>整。上述合同价款已包含乙方为完成合同约定全部工作和义务所需的一切费用，包括增值税在内的全部税金；除此之外，甲方无需再向乙方支付任何费用。支付方式以电汇或银行转账方式支付。</w:t>
      </w:r>
    </w:p>
    <w:p w14:paraId="66F7A2D2">
      <w:pPr>
        <w:numPr>
          <w:ilvl w:val="0"/>
          <w:numId w:val="46"/>
        </w:numPr>
        <w:spacing w:line="360" w:lineRule="auto"/>
        <w:ind w:firstLine="367" w:firstLineChars="175"/>
        <w:rPr>
          <w:rFonts w:hint="eastAsia" w:ascii="宋体" w:hAnsi="宋体" w:cs="宋体"/>
          <w:szCs w:val="21"/>
        </w:rPr>
      </w:pPr>
      <w:r>
        <w:rPr>
          <w:rFonts w:hint="eastAsia" w:ascii="宋体" w:hAnsi="宋体" w:cs="宋体"/>
          <w:szCs w:val="21"/>
        </w:rPr>
        <w:t>第一笔款：在合同签订之日起后15个工作日内，甲方向乙方支付合同款的50%，即人民币小写：</w:t>
      </w:r>
      <w:r>
        <w:rPr>
          <w:rFonts w:hint="eastAsia"/>
          <w:sz w:val="24"/>
          <w:u w:val="single"/>
        </w:rPr>
        <w:t xml:space="preserve">   </w:t>
      </w:r>
      <w:r>
        <w:rPr>
          <w:rFonts w:hint="eastAsia" w:ascii="宋体" w:hAnsi="宋体" w:cs="宋体"/>
          <w:szCs w:val="21"/>
          <w:u w:val="single"/>
        </w:rPr>
        <w:t>元</w:t>
      </w:r>
      <w:r>
        <w:rPr>
          <w:rFonts w:hint="eastAsia" w:ascii="宋体" w:hAnsi="宋体" w:cs="宋体"/>
          <w:szCs w:val="21"/>
        </w:rPr>
        <w:t>，大写：</w:t>
      </w:r>
      <w:r>
        <w:rPr>
          <w:rFonts w:hint="eastAsia" w:ascii="宋体" w:hAnsi="宋体" w:cs="宋体"/>
          <w:szCs w:val="21"/>
          <w:u w:val="single"/>
        </w:rPr>
        <w:t xml:space="preserve">   元</w:t>
      </w:r>
      <w:r>
        <w:rPr>
          <w:rFonts w:hint="eastAsia" w:ascii="宋体" w:hAnsi="宋体" w:cs="宋体"/>
          <w:szCs w:val="21"/>
        </w:rPr>
        <w:t>整；</w:t>
      </w:r>
    </w:p>
    <w:p w14:paraId="452E35A5">
      <w:pPr>
        <w:numPr>
          <w:ilvl w:val="0"/>
          <w:numId w:val="46"/>
        </w:numPr>
        <w:spacing w:line="360" w:lineRule="auto"/>
        <w:ind w:firstLine="367" w:firstLineChars="175"/>
        <w:rPr>
          <w:rFonts w:hint="eastAsia" w:ascii="宋体" w:hAnsi="宋体" w:cs="宋体"/>
          <w:szCs w:val="21"/>
        </w:rPr>
      </w:pPr>
      <w:r>
        <w:rPr>
          <w:rFonts w:hint="eastAsia" w:ascii="宋体" w:hAnsi="宋体" w:cs="宋体"/>
          <w:szCs w:val="21"/>
        </w:rPr>
        <w:t>第二笔款：乙方完成12个月的租期服务工作，甲方向乙方支付合同款的50%，即人民币小写：</w:t>
      </w:r>
      <w:r>
        <w:rPr>
          <w:sz w:val="24"/>
          <w:u w:val="single"/>
        </w:rPr>
        <w:t>¥</w:t>
      </w:r>
      <w:r>
        <w:rPr>
          <w:rFonts w:hint="eastAsia" w:ascii="宋体" w:hAnsi="宋体" w:cs="宋体"/>
          <w:szCs w:val="21"/>
          <w:u w:val="single"/>
        </w:rPr>
        <w:t xml:space="preserve">    元</w:t>
      </w:r>
      <w:r>
        <w:rPr>
          <w:rFonts w:hint="eastAsia" w:ascii="宋体" w:hAnsi="宋体" w:cs="宋体"/>
          <w:szCs w:val="21"/>
        </w:rPr>
        <w:t>，大写：</w:t>
      </w:r>
      <w:r>
        <w:rPr>
          <w:rFonts w:hint="eastAsia" w:ascii="宋体" w:hAnsi="宋体" w:cs="宋体"/>
          <w:szCs w:val="21"/>
          <w:u w:val="single"/>
        </w:rPr>
        <w:t xml:space="preserve">   元</w:t>
      </w:r>
      <w:r>
        <w:rPr>
          <w:rFonts w:hint="eastAsia" w:ascii="宋体" w:hAnsi="宋体" w:cs="宋体"/>
          <w:szCs w:val="21"/>
        </w:rPr>
        <w:t>整；</w:t>
      </w:r>
    </w:p>
    <w:p w14:paraId="18CCCF3D">
      <w:pPr>
        <w:numPr>
          <w:ilvl w:val="0"/>
          <w:numId w:val="46"/>
        </w:numPr>
        <w:spacing w:line="360" w:lineRule="auto"/>
        <w:ind w:firstLine="367" w:firstLineChars="175"/>
        <w:rPr>
          <w:rFonts w:cs="宋体"/>
          <w:szCs w:val="21"/>
        </w:rPr>
      </w:pPr>
      <w:r>
        <w:rPr>
          <w:rFonts w:hint="eastAsia" w:ascii="宋体" w:hAnsi="宋体" w:cs="宋体"/>
          <w:szCs w:val="21"/>
        </w:rPr>
        <w:t>乙方收取相应款项前，应向甲方提供正式等额发票，因乙方未提供发票造成付款延迟，甲方不承担违约责任。</w:t>
      </w:r>
    </w:p>
    <w:p w14:paraId="043717E7">
      <w:pPr>
        <w:numPr>
          <w:ilvl w:val="0"/>
          <w:numId w:val="46"/>
        </w:numPr>
        <w:spacing w:line="360" w:lineRule="auto"/>
        <w:ind w:firstLine="367" w:firstLineChars="175"/>
        <w:rPr>
          <w:rFonts w:cs="宋体"/>
          <w:szCs w:val="21"/>
        </w:rPr>
      </w:pPr>
      <w:r>
        <w:rPr>
          <w:rFonts w:cs="宋体"/>
          <w:szCs w:val="21"/>
        </w:rPr>
        <w:t>以上具体支付进度和比例以财政拨款到位情况为准。乙方不得因此向甲方提出索赔或主张权利。</w:t>
      </w:r>
    </w:p>
    <w:p w14:paraId="509CA9FF">
      <w:pPr>
        <w:spacing w:line="360" w:lineRule="auto"/>
        <w:rPr>
          <w:rFonts w:hint="eastAsia" w:ascii="宋体" w:hAnsi="宋体" w:cs="宋体"/>
          <w:b/>
          <w:bCs/>
          <w:szCs w:val="21"/>
        </w:rPr>
      </w:pPr>
      <w:r>
        <w:rPr>
          <w:rFonts w:hint="eastAsia" w:ascii="宋体" w:hAnsi="宋体" w:cs="宋体"/>
          <w:b/>
          <w:bCs/>
          <w:szCs w:val="21"/>
        </w:rPr>
        <w:t xml:space="preserve">第八条 甲方权利义务 </w:t>
      </w:r>
    </w:p>
    <w:p w14:paraId="25327481">
      <w:pPr>
        <w:spacing w:line="360" w:lineRule="auto"/>
        <w:ind w:firstLine="371" w:firstLineChars="177"/>
        <w:rPr>
          <w:rFonts w:hint="eastAsia" w:ascii="宋体" w:hAnsi="宋体" w:cs="宋体"/>
          <w:szCs w:val="21"/>
        </w:rPr>
      </w:pPr>
      <w:r>
        <w:rPr>
          <w:rFonts w:hint="eastAsia" w:ascii="宋体" w:hAnsi="宋体" w:cs="宋体"/>
          <w:szCs w:val="21"/>
        </w:rPr>
        <w:t xml:space="preserve">1、甲方有权对乙方提供的各项服务进行监督、检查和评价。 </w:t>
      </w:r>
    </w:p>
    <w:p w14:paraId="1BAC3CAD">
      <w:pPr>
        <w:spacing w:line="360" w:lineRule="auto"/>
        <w:ind w:firstLine="371" w:firstLineChars="177"/>
        <w:rPr>
          <w:rFonts w:hint="eastAsia" w:ascii="宋体" w:hAnsi="宋体" w:cs="宋体"/>
          <w:szCs w:val="21"/>
        </w:rPr>
      </w:pPr>
      <w:r>
        <w:rPr>
          <w:rFonts w:hint="eastAsia" w:ascii="宋体" w:hAnsi="宋体" w:cs="宋体"/>
          <w:szCs w:val="21"/>
        </w:rPr>
        <w:t xml:space="preserve">2、甲方应提出有关管理、技术需求和要求，协调乙方与信息系统服务商的关系，协调信息系统服务商配合调研、迁移、运维、安全和应急演练等过程的工作。 </w:t>
      </w:r>
    </w:p>
    <w:p w14:paraId="39A07B16">
      <w:pPr>
        <w:spacing w:line="360" w:lineRule="auto"/>
        <w:ind w:firstLine="371" w:firstLineChars="177"/>
        <w:rPr>
          <w:rFonts w:hint="eastAsia" w:ascii="宋体" w:hAnsi="宋体" w:cs="宋体"/>
          <w:szCs w:val="21"/>
        </w:rPr>
      </w:pPr>
      <w:r>
        <w:rPr>
          <w:rFonts w:hint="eastAsia" w:ascii="宋体" w:hAnsi="宋体" w:cs="宋体"/>
          <w:szCs w:val="21"/>
        </w:rPr>
        <w:t xml:space="preserve">3、甲方需按照《北京市市级政务云管理办法》的要求申请、变更、退出云服务；在系统入云、上线、服务变更、退出等关键节点，甲方应提前提交《北京市市级政务云服务统一工单》相应部分内容至政务云管理单位进行备案作为工作依据。甲方应按本协议约定使用乙方提供的云资源，做到资源专用，协议未约定或未提交《北京市市级政务云服务统一工单》至政务云管理单位备案的信息系统不得部署入云。 </w:t>
      </w:r>
    </w:p>
    <w:p w14:paraId="5C9EC458">
      <w:pPr>
        <w:spacing w:line="360" w:lineRule="auto"/>
        <w:ind w:firstLine="371" w:firstLineChars="177"/>
        <w:rPr>
          <w:rFonts w:hint="eastAsia" w:ascii="宋体" w:hAnsi="宋体" w:cs="宋体"/>
          <w:szCs w:val="21"/>
        </w:rPr>
      </w:pPr>
      <w:r>
        <w:rPr>
          <w:rFonts w:hint="eastAsia" w:ascii="宋体" w:hAnsi="宋体" w:cs="宋体"/>
          <w:szCs w:val="21"/>
        </w:rPr>
        <w:t xml:space="preserve">4、甲方的信息系统在迁移、部署到乙方云平台之前，应开展必要的系统入云安全测试。 </w:t>
      </w:r>
    </w:p>
    <w:p w14:paraId="51DF5D80">
      <w:pPr>
        <w:spacing w:line="360" w:lineRule="auto"/>
        <w:ind w:firstLine="371" w:firstLineChars="177"/>
        <w:rPr>
          <w:rFonts w:hint="eastAsia" w:ascii="宋体" w:hAnsi="宋体" w:cs="宋体"/>
          <w:szCs w:val="21"/>
        </w:rPr>
      </w:pPr>
      <w:r>
        <w:rPr>
          <w:rFonts w:hint="eastAsia" w:ascii="宋体" w:hAnsi="宋体" w:cs="宋体"/>
          <w:szCs w:val="21"/>
        </w:rPr>
        <w:t xml:space="preserve">5、甲方负责本单位信息系统和相关基础软件的日常维护、管理、安全和应急保障。 </w:t>
      </w:r>
    </w:p>
    <w:p w14:paraId="0112E92C">
      <w:pPr>
        <w:spacing w:line="360" w:lineRule="auto"/>
        <w:ind w:firstLine="371" w:firstLineChars="177"/>
        <w:rPr>
          <w:rFonts w:hint="eastAsia" w:ascii="宋体" w:hAnsi="宋体" w:cs="宋体"/>
          <w:szCs w:val="21"/>
        </w:rPr>
      </w:pPr>
      <w:r>
        <w:rPr>
          <w:rFonts w:hint="eastAsia" w:ascii="宋体" w:hAnsi="宋体" w:cs="宋体"/>
          <w:szCs w:val="21"/>
        </w:rPr>
        <w:t xml:space="preserve">6、甲方应确保部署在政务云平台的软件具有合法授权，不得擅自安装、使用非法软件。 </w:t>
      </w:r>
    </w:p>
    <w:p w14:paraId="4D87DF27">
      <w:pPr>
        <w:spacing w:line="360" w:lineRule="auto"/>
        <w:ind w:firstLine="371" w:firstLineChars="177"/>
        <w:rPr>
          <w:rFonts w:hint="eastAsia" w:ascii="宋体" w:hAnsi="宋体" w:cs="宋体"/>
          <w:szCs w:val="21"/>
        </w:rPr>
      </w:pPr>
      <w:r>
        <w:rPr>
          <w:rFonts w:hint="eastAsia" w:ascii="宋体" w:hAnsi="宋体" w:cs="宋体"/>
          <w:szCs w:val="21"/>
        </w:rPr>
        <w:t xml:space="preserve">7、甲方如需对已上线信息系统进行维护升级、渗透测试、安全加固等操作， 应提前告知乙方。 </w:t>
      </w:r>
    </w:p>
    <w:p w14:paraId="7088AE69">
      <w:pPr>
        <w:spacing w:line="360" w:lineRule="auto"/>
        <w:ind w:firstLine="371" w:firstLineChars="177"/>
        <w:rPr>
          <w:rFonts w:hint="eastAsia" w:ascii="宋体" w:hAnsi="宋体" w:cs="宋体"/>
          <w:szCs w:val="21"/>
        </w:rPr>
      </w:pPr>
      <w:r>
        <w:rPr>
          <w:rFonts w:hint="eastAsia" w:ascii="宋体" w:hAnsi="宋体" w:cs="宋体"/>
          <w:szCs w:val="21"/>
        </w:rPr>
        <w:t xml:space="preserve">8、甲方有权要求乙方现场技术指导、处理故障及其他服务。 </w:t>
      </w:r>
    </w:p>
    <w:p w14:paraId="4697F63E">
      <w:pPr>
        <w:spacing w:line="360" w:lineRule="auto"/>
        <w:ind w:firstLine="371" w:firstLineChars="177"/>
        <w:rPr>
          <w:rFonts w:hint="eastAsia" w:ascii="宋体" w:hAnsi="宋体" w:cs="宋体"/>
          <w:szCs w:val="21"/>
        </w:rPr>
      </w:pPr>
      <w:r>
        <w:rPr>
          <w:rFonts w:hint="eastAsia" w:ascii="宋体" w:hAnsi="宋体" w:cs="宋体"/>
          <w:szCs w:val="21"/>
        </w:rPr>
        <w:t>9 、甲方其他的权利义务：</w:t>
      </w:r>
      <w:r>
        <w:rPr>
          <w:rFonts w:hint="eastAsia" w:ascii="宋体" w:hAnsi="宋体" w:cs="宋体"/>
          <w:szCs w:val="21"/>
          <w:u w:val="single"/>
        </w:rPr>
        <w:t>无</w:t>
      </w:r>
      <w:r>
        <w:rPr>
          <w:rFonts w:hint="eastAsia" w:ascii="宋体" w:hAnsi="宋体" w:cs="宋体"/>
          <w:szCs w:val="21"/>
        </w:rPr>
        <w:t>。</w:t>
      </w:r>
    </w:p>
    <w:p w14:paraId="4ECE8B5A">
      <w:pPr>
        <w:spacing w:line="360" w:lineRule="auto"/>
        <w:rPr>
          <w:rFonts w:hint="eastAsia" w:ascii="宋体" w:hAnsi="宋体" w:cs="宋体"/>
          <w:b/>
          <w:bCs/>
          <w:szCs w:val="21"/>
        </w:rPr>
      </w:pPr>
      <w:r>
        <w:rPr>
          <w:rFonts w:hint="eastAsia" w:ascii="宋体" w:hAnsi="宋体" w:cs="宋体"/>
          <w:b/>
          <w:bCs/>
          <w:szCs w:val="21"/>
        </w:rPr>
        <w:t xml:space="preserve">第九条 乙方权利义务 </w:t>
      </w:r>
    </w:p>
    <w:p w14:paraId="64C4EBF0">
      <w:pPr>
        <w:spacing w:line="360" w:lineRule="auto"/>
        <w:ind w:firstLine="371" w:firstLineChars="177"/>
        <w:rPr>
          <w:rFonts w:hint="eastAsia" w:ascii="宋体" w:hAnsi="宋体" w:cs="宋体"/>
          <w:szCs w:val="21"/>
        </w:rPr>
      </w:pPr>
      <w:r>
        <w:rPr>
          <w:rFonts w:hint="eastAsia" w:ascii="宋体" w:hAnsi="宋体" w:cs="宋体"/>
          <w:szCs w:val="21"/>
        </w:rPr>
        <w:t xml:space="preserve">1、乙方须按照协议所约定的服务内容标准向甲方提供相关资源和服务。 </w:t>
      </w:r>
    </w:p>
    <w:p w14:paraId="719C33C5">
      <w:pPr>
        <w:spacing w:line="360" w:lineRule="auto"/>
        <w:ind w:firstLine="371" w:firstLineChars="177"/>
        <w:rPr>
          <w:rFonts w:hint="eastAsia" w:ascii="宋体" w:hAnsi="宋体" w:cs="宋体"/>
          <w:szCs w:val="21"/>
        </w:rPr>
      </w:pPr>
      <w:r>
        <w:rPr>
          <w:rFonts w:hint="eastAsia" w:ascii="宋体" w:hAnsi="宋体" w:cs="宋体"/>
          <w:szCs w:val="21"/>
        </w:rPr>
        <w:t xml:space="preserve">2、乙方应针对甲方建立健全信息系统管理配套制度，包括：运维制度、应急预案、安全保障制度、运行监管办法等。 </w:t>
      </w:r>
    </w:p>
    <w:p w14:paraId="107B07C0">
      <w:pPr>
        <w:spacing w:line="360" w:lineRule="auto"/>
        <w:ind w:firstLine="371" w:firstLineChars="177"/>
        <w:rPr>
          <w:rFonts w:hint="eastAsia" w:ascii="宋体" w:hAnsi="宋体" w:cs="宋体"/>
          <w:szCs w:val="21"/>
        </w:rPr>
      </w:pPr>
      <w:r>
        <w:rPr>
          <w:rFonts w:hint="eastAsia" w:ascii="宋体" w:hAnsi="宋体" w:cs="宋体"/>
          <w:szCs w:val="21"/>
        </w:rPr>
        <w:t xml:space="preserve">3、乙方负责云平台基础安全保障和运维工作。 </w:t>
      </w:r>
    </w:p>
    <w:p w14:paraId="5AE51BE7">
      <w:pPr>
        <w:spacing w:line="360" w:lineRule="auto"/>
        <w:ind w:firstLine="371" w:firstLineChars="177"/>
        <w:rPr>
          <w:rFonts w:hint="eastAsia" w:ascii="宋体" w:hAnsi="宋体" w:cs="宋体"/>
          <w:szCs w:val="21"/>
        </w:rPr>
      </w:pPr>
      <w:r>
        <w:rPr>
          <w:rFonts w:hint="eastAsia" w:ascii="宋体" w:hAnsi="宋体" w:cs="宋体"/>
          <w:szCs w:val="21"/>
        </w:rPr>
        <w:t xml:space="preserve">4、乙方应负责本单位人员的安全培训、技术培训，确保工作人员符合岗位要求。 </w:t>
      </w:r>
    </w:p>
    <w:p w14:paraId="226C4DE1">
      <w:pPr>
        <w:spacing w:line="360" w:lineRule="auto"/>
        <w:ind w:firstLine="371" w:firstLineChars="177"/>
        <w:rPr>
          <w:rFonts w:hint="eastAsia" w:ascii="宋体" w:hAnsi="宋体" w:cs="宋体"/>
          <w:szCs w:val="21"/>
        </w:rPr>
      </w:pPr>
      <w:r>
        <w:rPr>
          <w:rFonts w:hint="eastAsia" w:ascii="宋体" w:hAnsi="宋体" w:cs="宋体"/>
          <w:szCs w:val="21"/>
        </w:rPr>
        <w:t xml:space="preserve">5、乙方需按照有关规定进行操作，确保各系统不被人为损坏。 </w:t>
      </w:r>
    </w:p>
    <w:p w14:paraId="2FF465DD">
      <w:pPr>
        <w:spacing w:line="360" w:lineRule="auto"/>
        <w:ind w:firstLine="371" w:firstLineChars="177"/>
        <w:rPr>
          <w:rFonts w:hint="eastAsia" w:ascii="宋体" w:hAnsi="宋体" w:cs="宋体"/>
          <w:szCs w:val="21"/>
        </w:rPr>
      </w:pPr>
      <w:r>
        <w:rPr>
          <w:rFonts w:hint="eastAsia" w:ascii="宋体" w:hAnsi="宋体" w:cs="宋体"/>
          <w:szCs w:val="21"/>
        </w:rPr>
        <w:t xml:space="preserve">6、乙方负责提供资源调度管理和维护，提供云主机状态监控，对甲方所购买使用的资源提供运维服务，未经授权不得擅自修改信息系统数据或发布信息等。 </w:t>
      </w:r>
    </w:p>
    <w:p w14:paraId="4DF4A0CE">
      <w:pPr>
        <w:spacing w:line="360" w:lineRule="auto"/>
        <w:ind w:firstLine="371" w:firstLineChars="177"/>
        <w:rPr>
          <w:rFonts w:hint="eastAsia" w:ascii="宋体" w:hAnsi="宋体" w:cs="宋体"/>
          <w:szCs w:val="21"/>
        </w:rPr>
      </w:pPr>
      <w:r>
        <w:rPr>
          <w:rFonts w:hint="eastAsia" w:ascii="宋体" w:hAnsi="宋体" w:cs="宋体"/>
          <w:szCs w:val="21"/>
        </w:rPr>
        <w:t xml:space="preserve">7、乙方负责管理甲方申请的IP地址，为甲方提供IP地址分配和管理服务 。  </w:t>
      </w:r>
    </w:p>
    <w:p w14:paraId="3CC9F0A7">
      <w:pPr>
        <w:spacing w:line="360" w:lineRule="auto"/>
        <w:ind w:firstLine="371" w:firstLineChars="177"/>
        <w:rPr>
          <w:rFonts w:hint="eastAsia" w:ascii="宋体" w:hAnsi="宋体" w:cs="宋体"/>
          <w:szCs w:val="21"/>
        </w:rPr>
      </w:pPr>
      <w:r>
        <w:rPr>
          <w:rFonts w:hint="eastAsia" w:ascii="宋体" w:hAnsi="宋体" w:cs="宋体"/>
          <w:szCs w:val="21"/>
        </w:rPr>
        <w:t xml:space="preserve">8、信息系统正式上线后，乙方需定期向甲方提供政务云服务报告，以便甲方及时获取政务云资源或服务的使用情况。 </w:t>
      </w:r>
    </w:p>
    <w:p w14:paraId="2A220D23">
      <w:pPr>
        <w:spacing w:line="360" w:lineRule="auto"/>
        <w:ind w:firstLine="371" w:firstLineChars="177"/>
        <w:rPr>
          <w:rFonts w:hint="eastAsia" w:ascii="宋体" w:hAnsi="宋体" w:cs="宋体"/>
          <w:szCs w:val="21"/>
        </w:rPr>
      </w:pPr>
      <w:r>
        <w:rPr>
          <w:rFonts w:hint="eastAsia" w:ascii="宋体" w:hAnsi="宋体" w:cs="宋体"/>
          <w:szCs w:val="21"/>
        </w:rPr>
        <w:t xml:space="preserve">9、甲方如需乙方提供重启服务器操作时，乙方有权要求甲方提供书面申请。除本款约定外，乙方原则上不接受甲方提出的其他可能对甲方服务器造成损坏的任何操作要求。 </w:t>
      </w:r>
    </w:p>
    <w:p w14:paraId="775EC2B7">
      <w:pPr>
        <w:spacing w:line="360" w:lineRule="auto"/>
        <w:ind w:firstLine="371" w:firstLineChars="177"/>
        <w:rPr>
          <w:rFonts w:hint="eastAsia" w:ascii="宋体" w:hAnsi="宋体" w:cs="宋体"/>
          <w:szCs w:val="21"/>
        </w:rPr>
      </w:pPr>
      <w:r>
        <w:rPr>
          <w:rFonts w:hint="eastAsia" w:ascii="宋体" w:hAnsi="宋体" w:cs="宋体"/>
          <w:szCs w:val="21"/>
        </w:rPr>
        <w:t xml:space="preserve">10、乙方应提供技术支持服务，以维护甲方系统的正常运行。 </w:t>
      </w:r>
    </w:p>
    <w:p w14:paraId="0960DFDE">
      <w:pPr>
        <w:spacing w:line="360" w:lineRule="auto"/>
        <w:ind w:firstLine="371" w:firstLineChars="177"/>
        <w:rPr>
          <w:rFonts w:hint="eastAsia" w:ascii="宋体" w:hAnsi="宋体" w:cs="宋体"/>
          <w:szCs w:val="21"/>
        </w:rPr>
      </w:pPr>
      <w:r>
        <w:rPr>
          <w:rFonts w:hint="eastAsia" w:ascii="宋体" w:hAnsi="宋体" w:cs="宋体"/>
          <w:szCs w:val="21"/>
        </w:rPr>
        <w:t xml:space="preserve">11、重大活动期间，乙方应配合甲方制定重保方案并提供云平台的现场值守等服务。 </w:t>
      </w:r>
    </w:p>
    <w:p w14:paraId="64790503">
      <w:pPr>
        <w:spacing w:line="360" w:lineRule="auto"/>
        <w:ind w:firstLine="371" w:firstLineChars="177"/>
        <w:rPr>
          <w:rFonts w:hint="eastAsia" w:ascii="宋体" w:hAnsi="宋体" w:cs="宋体"/>
          <w:szCs w:val="21"/>
        </w:rPr>
      </w:pPr>
      <w:r>
        <w:rPr>
          <w:rFonts w:hint="eastAsia" w:ascii="宋体" w:hAnsi="宋体" w:cs="宋体"/>
          <w:szCs w:val="21"/>
        </w:rPr>
        <w:t xml:space="preserve">12、乙方应配合甲方制定信息系统应急预案，并配合开展信息系统应急演练工作，做好日常应急响应工作。 </w:t>
      </w:r>
    </w:p>
    <w:p w14:paraId="11C23B3B">
      <w:pPr>
        <w:spacing w:line="360" w:lineRule="auto"/>
        <w:ind w:firstLine="371" w:firstLineChars="177"/>
        <w:rPr>
          <w:rFonts w:hint="eastAsia" w:ascii="宋体" w:hAnsi="宋体" w:cs="宋体"/>
          <w:szCs w:val="21"/>
        </w:rPr>
      </w:pPr>
      <w:r>
        <w:rPr>
          <w:rFonts w:hint="eastAsia" w:ascii="宋体" w:hAnsi="宋体" w:cs="宋体"/>
          <w:szCs w:val="21"/>
        </w:rPr>
        <w:t xml:space="preserve">13、乙方接到甲方故障报告后，应及时做好相关信息的登记工作，并进行故障排查。乙方应定时向甲方反馈检查进度及结果，故障排除后，乙方应将结果及时反馈甲方并做好书面报告和故障记录。 </w:t>
      </w:r>
    </w:p>
    <w:p w14:paraId="6366F291">
      <w:pPr>
        <w:spacing w:line="360" w:lineRule="auto"/>
        <w:ind w:firstLine="371" w:firstLineChars="177"/>
        <w:rPr>
          <w:rFonts w:hint="eastAsia" w:ascii="宋体" w:hAnsi="宋体" w:cs="宋体"/>
          <w:szCs w:val="21"/>
        </w:rPr>
      </w:pPr>
      <w:r>
        <w:rPr>
          <w:rFonts w:hint="eastAsia" w:ascii="宋体" w:hAnsi="宋体" w:cs="宋体"/>
          <w:szCs w:val="21"/>
        </w:rPr>
        <w:t>14、由于甲方指定的其他技术服务提供商提供的软件或产品的缺陷，造成的信息系统运行故障、安全漏洞、信息泄露等事故，乙方不承担相应责任，但需要配合甲方进行整改。</w:t>
      </w:r>
    </w:p>
    <w:p w14:paraId="7F747DFD">
      <w:pPr>
        <w:spacing w:line="360" w:lineRule="auto"/>
        <w:ind w:firstLine="371" w:firstLineChars="177"/>
        <w:rPr>
          <w:rFonts w:hint="eastAsia" w:ascii="宋体" w:hAnsi="宋体" w:cs="宋体"/>
          <w:szCs w:val="21"/>
        </w:rPr>
      </w:pPr>
      <w:r>
        <w:rPr>
          <w:rFonts w:hint="eastAsia" w:ascii="宋体" w:hAnsi="宋体" w:cs="宋体"/>
          <w:szCs w:val="21"/>
        </w:rPr>
        <w:t xml:space="preserve">15、当甲方入云信息系统出现严重影响政务云平台安全稳定运行的事件时， 乙方有权暂时中断甲方的云服务并通知甲方，事件处理完毕后恢复服务。 </w:t>
      </w:r>
    </w:p>
    <w:p w14:paraId="33124088">
      <w:pPr>
        <w:spacing w:line="360" w:lineRule="auto"/>
        <w:ind w:firstLine="371" w:firstLineChars="177"/>
        <w:rPr>
          <w:rFonts w:hint="eastAsia" w:ascii="宋体" w:hAnsi="宋体" w:cs="宋体"/>
          <w:szCs w:val="21"/>
        </w:rPr>
      </w:pPr>
      <w:r>
        <w:rPr>
          <w:rFonts w:hint="eastAsia" w:ascii="宋体" w:hAnsi="宋体" w:cs="宋体"/>
          <w:szCs w:val="21"/>
        </w:rPr>
        <w:t>16 、乙方其他的权利义务：</w:t>
      </w:r>
      <w:r>
        <w:rPr>
          <w:rFonts w:hint="eastAsia" w:ascii="宋体" w:hAnsi="宋体" w:cs="宋体"/>
          <w:szCs w:val="21"/>
          <w:u w:val="single"/>
        </w:rPr>
        <w:t>服务期间乙方应就作业安全制定完整可行的方案，作业人员应严格遵守各项规章制度，乙方工作人员在履行本合同期间自身遭受人身损害、财产损失，或致甲方人身损害、财产损失，其后果均由乙方承担</w:t>
      </w:r>
      <w:r>
        <w:rPr>
          <w:rFonts w:hint="eastAsia" w:ascii="宋体" w:hAnsi="宋体" w:cs="宋体"/>
          <w:szCs w:val="21"/>
        </w:rPr>
        <w:t>。</w:t>
      </w:r>
    </w:p>
    <w:p w14:paraId="5E42715A">
      <w:pPr>
        <w:spacing w:line="360" w:lineRule="auto"/>
        <w:rPr>
          <w:rFonts w:hint="eastAsia" w:ascii="宋体" w:hAnsi="宋体" w:cs="宋体"/>
          <w:b/>
          <w:bCs/>
          <w:szCs w:val="21"/>
        </w:rPr>
      </w:pPr>
      <w:r>
        <w:rPr>
          <w:rFonts w:hint="eastAsia" w:ascii="宋体" w:hAnsi="宋体" w:cs="宋体"/>
          <w:b/>
          <w:bCs/>
          <w:szCs w:val="21"/>
        </w:rPr>
        <w:t xml:space="preserve">第十条 安全责任边界 </w:t>
      </w:r>
    </w:p>
    <w:p w14:paraId="360382A1">
      <w:pPr>
        <w:spacing w:line="360" w:lineRule="auto"/>
        <w:ind w:firstLine="371" w:firstLineChars="177"/>
        <w:rPr>
          <w:rFonts w:hint="eastAsia" w:ascii="宋体" w:hAnsi="宋体" w:cs="宋体"/>
          <w:szCs w:val="21"/>
        </w:rPr>
      </w:pPr>
      <w:r>
        <w:rPr>
          <w:rFonts w:hint="eastAsia" w:ascii="宋体" w:hAnsi="宋体" w:cs="宋体"/>
          <w:szCs w:val="21"/>
        </w:rPr>
        <w:t xml:space="preserve">1、甲方安全责任 </w:t>
      </w:r>
    </w:p>
    <w:p w14:paraId="3FB73AC5">
      <w:pPr>
        <w:spacing w:line="360" w:lineRule="auto"/>
        <w:ind w:firstLine="371" w:firstLineChars="177"/>
        <w:rPr>
          <w:rFonts w:hint="eastAsia" w:ascii="宋体" w:hAnsi="宋体" w:cs="宋体"/>
          <w:szCs w:val="21"/>
        </w:rPr>
      </w:pPr>
      <w:r>
        <w:rPr>
          <w:rFonts w:hint="eastAsia" w:ascii="宋体" w:hAnsi="宋体" w:cs="宋体"/>
          <w:szCs w:val="21"/>
        </w:rPr>
        <w:t xml:space="preserve">（1）甲方承担本单位入云信息系统的基础软件、信息系统、数据等方面的安全责任。 </w:t>
      </w:r>
    </w:p>
    <w:p w14:paraId="73568110">
      <w:pPr>
        <w:spacing w:line="360" w:lineRule="auto"/>
        <w:ind w:firstLine="371" w:firstLineChars="177"/>
        <w:rPr>
          <w:rFonts w:hint="eastAsia" w:ascii="宋体" w:hAnsi="宋体" w:cs="宋体"/>
          <w:szCs w:val="21"/>
        </w:rPr>
      </w:pPr>
      <w:r>
        <w:rPr>
          <w:rFonts w:hint="eastAsia" w:ascii="宋体" w:hAnsi="宋体" w:cs="宋体"/>
          <w:szCs w:val="21"/>
        </w:rPr>
        <w:t xml:space="preserve">（2）甲方负责组织信息系统的应急演练，如有需要，甲方有权要求乙方配合应急演练。 </w:t>
      </w:r>
    </w:p>
    <w:p w14:paraId="58A2396C">
      <w:pPr>
        <w:spacing w:line="360" w:lineRule="auto"/>
        <w:ind w:firstLine="371" w:firstLineChars="177"/>
        <w:rPr>
          <w:rFonts w:hint="eastAsia" w:ascii="宋体" w:hAnsi="宋体" w:cs="宋体"/>
          <w:szCs w:val="21"/>
        </w:rPr>
      </w:pPr>
      <w:r>
        <w:rPr>
          <w:rFonts w:hint="eastAsia" w:ascii="宋体" w:hAnsi="宋体" w:cs="宋体"/>
          <w:szCs w:val="21"/>
        </w:rPr>
        <w:t xml:space="preserve">2、乙方安全责任 </w:t>
      </w:r>
    </w:p>
    <w:p w14:paraId="6281D2C0">
      <w:pPr>
        <w:spacing w:line="360" w:lineRule="auto"/>
        <w:ind w:firstLine="371" w:firstLineChars="177"/>
        <w:rPr>
          <w:rFonts w:hint="eastAsia" w:ascii="宋体" w:hAnsi="宋体" w:cs="宋体"/>
          <w:szCs w:val="21"/>
        </w:rPr>
      </w:pPr>
      <w:r>
        <w:rPr>
          <w:rFonts w:hint="eastAsia" w:ascii="宋体" w:hAnsi="宋体" w:cs="宋体"/>
          <w:szCs w:val="21"/>
        </w:rPr>
        <w:t xml:space="preserve">（1）乙方承担云平台层面（主要包括物理资源、计算资源、存储资源、网络资源）的安全责任。 </w:t>
      </w:r>
    </w:p>
    <w:p w14:paraId="297F0CE2">
      <w:pPr>
        <w:spacing w:line="360" w:lineRule="auto"/>
        <w:ind w:firstLine="371" w:firstLineChars="177"/>
        <w:rPr>
          <w:rFonts w:hint="eastAsia" w:ascii="宋体" w:hAnsi="宋体" w:cs="宋体"/>
          <w:szCs w:val="21"/>
        </w:rPr>
      </w:pPr>
      <w:r>
        <w:rPr>
          <w:rFonts w:hint="eastAsia" w:ascii="宋体" w:hAnsi="宋体" w:cs="宋体"/>
          <w:szCs w:val="21"/>
        </w:rPr>
        <w:t xml:space="preserve">（2）乙方在取得甲方许可后，开展云平台应急演练；乙方有义务配合甲方完成信息系统的应急演练。 </w:t>
      </w:r>
    </w:p>
    <w:p w14:paraId="0A1DFA9E">
      <w:pPr>
        <w:spacing w:line="360" w:lineRule="auto"/>
        <w:ind w:firstLine="371" w:firstLineChars="177"/>
        <w:rPr>
          <w:rFonts w:hint="eastAsia" w:ascii="宋体" w:hAnsi="宋体" w:cs="宋体"/>
          <w:szCs w:val="21"/>
        </w:rPr>
      </w:pPr>
      <w:r>
        <w:rPr>
          <w:rFonts w:hint="eastAsia" w:ascii="宋体" w:hAnsi="宋体" w:cs="宋体"/>
          <w:szCs w:val="21"/>
        </w:rPr>
        <w:t>（3）乙方须按照《关于加强党政部门云计算服务网络安全管理的意见》（中网办发文[2015]14 号）的要求和有关网络安全标准，落实并通过所建设的云平台的第三方网络安全审查。</w:t>
      </w:r>
    </w:p>
    <w:p w14:paraId="3B2441EF">
      <w:pPr>
        <w:spacing w:line="360" w:lineRule="auto"/>
        <w:rPr>
          <w:rFonts w:hint="eastAsia" w:ascii="宋体" w:hAnsi="宋体" w:cs="宋体"/>
          <w:b/>
          <w:bCs/>
          <w:szCs w:val="21"/>
        </w:rPr>
      </w:pPr>
      <w:r>
        <w:rPr>
          <w:rFonts w:hint="eastAsia" w:ascii="宋体" w:hAnsi="宋体" w:cs="宋体"/>
          <w:b/>
          <w:bCs/>
          <w:szCs w:val="21"/>
        </w:rPr>
        <w:t xml:space="preserve">第十一条 知识产权归属 </w:t>
      </w:r>
    </w:p>
    <w:p w14:paraId="7902530D">
      <w:pPr>
        <w:spacing w:line="360" w:lineRule="auto"/>
        <w:ind w:firstLine="371" w:firstLineChars="177"/>
        <w:rPr>
          <w:rFonts w:hint="eastAsia" w:ascii="宋体" w:hAnsi="宋体" w:cs="宋体"/>
          <w:szCs w:val="21"/>
        </w:rPr>
      </w:pPr>
      <w:r>
        <w:rPr>
          <w:rFonts w:hint="eastAsia" w:ascii="宋体" w:hAnsi="宋体" w:cs="宋体"/>
          <w:szCs w:val="21"/>
        </w:rPr>
        <w:t xml:space="preserve">1、乙方保证向甲方提供的服务成果是其独立实施完成或取得相应授权，不存在任何侵犯第三方专利权、商标权、著作权等合法权益的情形。如因乙方提供的服务成果侵犯任何第三方的合法权益，导致该第三方追究甲方责任的，乙方应负责解决并赔偿因此给甲方造成的全部损失。 </w:t>
      </w:r>
    </w:p>
    <w:p w14:paraId="693902C5">
      <w:pPr>
        <w:spacing w:line="360" w:lineRule="auto"/>
        <w:ind w:firstLine="371" w:firstLineChars="177"/>
        <w:rPr>
          <w:rFonts w:hint="eastAsia" w:ascii="宋体" w:hAnsi="宋体" w:cs="宋体"/>
          <w:szCs w:val="21"/>
        </w:rPr>
      </w:pPr>
      <w:r>
        <w:rPr>
          <w:rFonts w:hint="eastAsia" w:ascii="宋体" w:hAnsi="宋体" w:cs="宋体"/>
          <w:szCs w:val="21"/>
        </w:rPr>
        <w:t xml:space="preserve">2、双方在对外宣传（如在各自官网、市场营销活动）时，如有涉及对方的内容，应提前通知对方，在取得对方同意后方可发布信息 。 </w:t>
      </w:r>
    </w:p>
    <w:p w14:paraId="4B2C32E1">
      <w:pPr>
        <w:spacing w:line="360" w:lineRule="auto"/>
        <w:ind w:firstLine="371" w:firstLineChars="177"/>
        <w:rPr>
          <w:rFonts w:hint="eastAsia" w:ascii="宋体" w:hAnsi="宋体" w:cs="宋体"/>
          <w:szCs w:val="21"/>
        </w:rPr>
      </w:pPr>
      <w:r>
        <w:rPr>
          <w:rFonts w:hint="eastAsia" w:ascii="宋体" w:hAnsi="宋体" w:cs="宋体"/>
          <w:szCs w:val="21"/>
        </w:rPr>
        <w:t xml:space="preserve">3、在本协议签订前已经存在的或履行过程中产生的其他与本协议无关的成果，包括但不限于设计方案、各种说明书、测试数据资料、计算机软件以及其他技术文档，知识产权归属原权利人所有。 </w:t>
      </w:r>
    </w:p>
    <w:p w14:paraId="79A8D07B">
      <w:pPr>
        <w:spacing w:line="360" w:lineRule="auto"/>
        <w:ind w:firstLine="371" w:firstLineChars="177"/>
        <w:rPr>
          <w:rFonts w:hint="eastAsia" w:ascii="宋体" w:hAnsi="宋体" w:cs="宋体"/>
          <w:szCs w:val="21"/>
        </w:rPr>
      </w:pPr>
      <w:r>
        <w:rPr>
          <w:rFonts w:hint="eastAsia" w:ascii="宋体" w:hAnsi="宋体" w:cs="宋体"/>
          <w:szCs w:val="21"/>
        </w:rPr>
        <w:t xml:space="preserve">4、本协议执行期间产生的相关电子文档（技术文档等）的知识产权归甲方所有，未经甲方书面许可，乙方不得对本次项目所形成的资料及文件擅自复制，或向第三方透露、转让、扩散，或用于本合同外的项目。否则，乙方应承担由此引起的法律后果及赔偿甲方的所有损失。 </w:t>
      </w:r>
    </w:p>
    <w:p w14:paraId="5C52EA5B">
      <w:pPr>
        <w:spacing w:line="360" w:lineRule="auto"/>
        <w:rPr>
          <w:rFonts w:hint="eastAsia" w:ascii="宋体" w:hAnsi="宋体" w:cs="宋体"/>
          <w:b/>
          <w:bCs/>
          <w:szCs w:val="21"/>
        </w:rPr>
      </w:pPr>
      <w:r>
        <w:rPr>
          <w:rFonts w:hint="eastAsia" w:ascii="宋体" w:hAnsi="宋体" w:cs="宋体"/>
          <w:b/>
          <w:bCs/>
          <w:szCs w:val="21"/>
        </w:rPr>
        <w:t xml:space="preserve">第十二条 违约责任及协议解除 </w:t>
      </w:r>
    </w:p>
    <w:p w14:paraId="73F57FA5">
      <w:pPr>
        <w:numPr>
          <w:ilvl w:val="2"/>
          <w:numId w:val="47"/>
        </w:numPr>
        <w:spacing w:line="360" w:lineRule="auto"/>
        <w:ind w:firstLine="403"/>
        <w:rPr>
          <w:rFonts w:ascii="宋体"/>
          <w:szCs w:val="21"/>
        </w:rPr>
      </w:pPr>
      <w:r>
        <w:rPr>
          <w:rFonts w:hint="eastAsia" w:ascii="宋体"/>
          <w:szCs w:val="21"/>
        </w:rPr>
        <w:t>甲乙双方均应全面履行本合同，任何一方不履行或不按约定履行均构成违约，违约方应赔偿因此给其他方造成的损失。任何一方违约金赔偿金上限不超过合同额的5%。</w:t>
      </w:r>
    </w:p>
    <w:p w14:paraId="2C2ECDEF">
      <w:pPr>
        <w:numPr>
          <w:ilvl w:val="2"/>
          <w:numId w:val="47"/>
        </w:numPr>
        <w:spacing w:line="360" w:lineRule="auto"/>
        <w:ind w:firstLine="403"/>
        <w:rPr>
          <w:rFonts w:ascii="宋体"/>
          <w:szCs w:val="21"/>
        </w:rPr>
      </w:pPr>
      <w:r>
        <w:rPr>
          <w:rFonts w:hint="eastAsia" w:ascii="宋体"/>
          <w:szCs w:val="21"/>
        </w:rPr>
        <w:t>甲方迟延支付运维服务费的，每延期一日，应向乙方支付</w:t>
      </w:r>
      <w:r>
        <w:rPr>
          <w:rFonts w:hint="eastAsia" w:ascii="宋体"/>
          <w:szCs w:val="21"/>
          <w:lang w:eastAsia="zh-Hans"/>
        </w:rPr>
        <w:t>本合同总服务费</w:t>
      </w:r>
      <w:r>
        <w:rPr>
          <w:rFonts w:hint="eastAsia" w:ascii="宋体"/>
          <w:szCs w:val="21"/>
          <w:u w:val="single"/>
        </w:rPr>
        <w:t xml:space="preserve">0.01 </w:t>
      </w:r>
      <w:r>
        <w:rPr>
          <w:rFonts w:hint="eastAsia" w:ascii="宋体"/>
          <w:szCs w:val="21"/>
        </w:rPr>
        <w:t>%的违约金。</w:t>
      </w:r>
    </w:p>
    <w:p w14:paraId="1A9F205E">
      <w:pPr>
        <w:numPr>
          <w:ilvl w:val="2"/>
          <w:numId w:val="47"/>
        </w:numPr>
        <w:spacing w:line="360" w:lineRule="auto"/>
        <w:ind w:firstLine="403"/>
        <w:rPr>
          <w:rFonts w:ascii="宋体"/>
          <w:szCs w:val="21"/>
        </w:rPr>
      </w:pPr>
      <w:r>
        <w:rPr>
          <w:rFonts w:hint="eastAsia" w:ascii="宋体"/>
          <w:szCs w:val="21"/>
        </w:rPr>
        <w:t>乙方应在本合同</w:t>
      </w:r>
      <w:r>
        <w:rPr>
          <w:rFonts w:hint="eastAsia" w:ascii="宋体"/>
          <w:szCs w:val="21"/>
          <w:lang w:eastAsia="zh-Hans"/>
        </w:rPr>
        <w:t>服务</w:t>
      </w:r>
      <w:r>
        <w:rPr>
          <w:rFonts w:hint="eastAsia" w:ascii="宋体"/>
          <w:szCs w:val="21"/>
        </w:rPr>
        <w:t>期限内按照本合同约定向甲方提供运维服务。如因乙方原因造成服务延迟，每延迟一日，应向甲方支付本合同总服务费0.01%的违约金，且甲方有权要求乙方作出经济补偿和采取补救措施，并继续履行本合同所规定的义务。延迟超过15日的，甲方有权解除本合同，乙方应当退还已收取且未履行的服务费，并按照本合同总服务费的5%支付违约金，违约金未能弥补甲方损失的，乙方应当继续承担赔偿责任。</w:t>
      </w:r>
    </w:p>
    <w:p w14:paraId="65A9881E">
      <w:pPr>
        <w:numPr>
          <w:ilvl w:val="2"/>
          <w:numId w:val="47"/>
        </w:numPr>
        <w:spacing w:line="360" w:lineRule="auto"/>
        <w:ind w:firstLine="403"/>
        <w:rPr>
          <w:rFonts w:ascii="宋体"/>
          <w:szCs w:val="21"/>
        </w:rPr>
      </w:pPr>
      <w:r>
        <w:rPr>
          <w:rFonts w:hint="eastAsia" w:ascii="宋体"/>
          <w:szCs w:val="21"/>
        </w:rPr>
        <w:t>乙方未尽日常维护义务或维护不当造成系统运行障碍的，由乙方负责排除，并承担由此造成的甲方损失。因乙方的服务缺陷造成甲方服务器与Internet中断超过【24小时以上】的，每中断一日给予甲方</w:t>
      </w:r>
      <w:r>
        <w:rPr>
          <w:rFonts w:hint="eastAsia" w:ascii="宋体"/>
          <w:szCs w:val="21"/>
          <w:lang w:eastAsia="zh-Hans"/>
        </w:rPr>
        <w:t>本合同总服务费用</w:t>
      </w:r>
      <w:r>
        <w:rPr>
          <w:rFonts w:hint="eastAsia" w:ascii="宋体"/>
          <w:szCs w:val="21"/>
          <w:u w:val="single"/>
        </w:rPr>
        <w:t>0.01</w:t>
      </w:r>
      <w:r>
        <w:rPr>
          <w:rFonts w:hint="eastAsia" w:ascii="宋体"/>
          <w:szCs w:val="21"/>
        </w:rPr>
        <w:t>%的违约金。中断超过3日的，甲方有权解除本合同，乙方应当退还已收取且未履行的服务费，并按照本合同总服务费的5%支付违约金，违约金未能弥补甲方损失的，乙方应当继续承担赔偿责任。</w:t>
      </w:r>
    </w:p>
    <w:p w14:paraId="33D7DC2A">
      <w:pPr>
        <w:numPr>
          <w:ilvl w:val="2"/>
          <w:numId w:val="47"/>
        </w:numPr>
        <w:spacing w:line="360" w:lineRule="auto"/>
        <w:ind w:firstLine="403"/>
        <w:rPr>
          <w:rFonts w:ascii="宋体"/>
          <w:szCs w:val="21"/>
        </w:rPr>
      </w:pPr>
      <w:r>
        <w:rPr>
          <w:rFonts w:hint="eastAsia" w:ascii="宋体"/>
          <w:szCs w:val="21"/>
        </w:rPr>
        <w:t>乙方工作人员未经甲方</w:t>
      </w:r>
      <w:r>
        <w:rPr>
          <w:rFonts w:hint="eastAsia" w:ascii="宋体"/>
          <w:szCs w:val="21"/>
          <w:lang w:eastAsia="zh-Hans"/>
        </w:rPr>
        <w:t>事先</w:t>
      </w:r>
      <w:r>
        <w:rPr>
          <w:rFonts w:hint="eastAsia" w:ascii="宋体"/>
          <w:szCs w:val="21"/>
        </w:rPr>
        <w:t>授权，擅自篡改甲方业务数据，或利用甲方现有业务应用系统、网络平台或者冒用甲方身份获取非法利益，甲方有权解除本合同，乙方应当退还已收取且未履行的服务费，并按照本合同总服务费的5%支付违约金，造成甲方或任何第三方损失的，由乙方承担法律责任并负责赔偿相应损失。</w:t>
      </w:r>
    </w:p>
    <w:p w14:paraId="7B25F4FF">
      <w:pPr>
        <w:numPr>
          <w:ilvl w:val="2"/>
          <w:numId w:val="47"/>
        </w:numPr>
        <w:spacing w:line="360" w:lineRule="auto"/>
        <w:ind w:firstLine="403"/>
        <w:rPr>
          <w:rFonts w:ascii="宋体"/>
          <w:szCs w:val="21"/>
        </w:rPr>
      </w:pPr>
      <w:r>
        <w:rPr>
          <w:rFonts w:hint="eastAsia" w:ascii="宋体"/>
          <w:szCs w:val="21"/>
        </w:rPr>
        <w:t>除本合同特别约定以外，如乙方存在未履行或未完全履行本合同、擅自转让本合同权利或义务等违反本合同任一约定或义务的，则视为乙方违约，甲方有权采取如下一种或多种救济措施：</w:t>
      </w:r>
    </w:p>
    <w:p w14:paraId="7A34CE3F">
      <w:pPr>
        <w:spacing w:line="360" w:lineRule="auto"/>
        <w:ind w:left="426"/>
        <w:rPr>
          <w:rFonts w:ascii="宋体"/>
          <w:szCs w:val="21"/>
        </w:rPr>
      </w:pPr>
      <w:r>
        <w:rPr>
          <w:rFonts w:hint="eastAsia" w:ascii="宋体"/>
          <w:szCs w:val="21"/>
        </w:rPr>
        <w:t>（1）有权采取约谈、要求乙方限期整改违约行为等措施。</w:t>
      </w:r>
    </w:p>
    <w:p w14:paraId="56D95194">
      <w:pPr>
        <w:spacing w:line="360" w:lineRule="auto"/>
        <w:ind w:left="426"/>
        <w:rPr>
          <w:rFonts w:ascii="宋体"/>
          <w:szCs w:val="21"/>
        </w:rPr>
      </w:pPr>
      <w:r>
        <w:rPr>
          <w:rFonts w:hint="eastAsia" w:ascii="宋体"/>
          <w:szCs w:val="21"/>
        </w:rPr>
        <w:t>（2）乙方应按照甲方要求期限向甲方支付 本合同总服务费的5%（违约金计算标准）的违约金。</w:t>
      </w:r>
    </w:p>
    <w:p w14:paraId="6A1B7CFF">
      <w:pPr>
        <w:spacing w:line="360" w:lineRule="auto"/>
        <w:ind w:left="426"/>
        <w:rPr>
          <w:rFonts w:ascii="宋体"/>
          <w:szCs w:val="21"/>
        </w:rPr>
      </w:pPr>
      <w:r>
        <w:rPr>
          <w:rFonts w:hint="eastAsia" w:ascii="宋体"/>
          <w:szCs w:val="21"/>
        </w:rPr>
        <w:t>（3）解除本合同。</w:t>
      </w:r>
    </w:p>
    <w:p w14:paraId="3B97217F">
      <w:pPr>
        <w:spacing w:line="360" w:lineRule="auto"/>
        <w:ind w:left="426"/>
        <w:rPr>
          <w:rFonts w:ascii="宋体"/>
          <w:szCs w:val="21"/>
        </w:rPr>
      </w:pPr>
      <w:r>
        <w:rPr>
          <w:rFonts w:hint="eastAsia" w:ascii="宋体"/>
          <w:szCs w:val="21"/>
        </w:rPr>
        <w:t>（4）现行法律法规许可的其他救济措施。</w:t>
      </w:r>
    </w:p>
    <w:p w14:paraId="2FECDD54">
      <w:pPr>
        <w:spacing w:line="360" w:lineRule="auto"/>
        <w:ind w:left="426"/>
        <w:rPr>
          <w:rFonts w:ascii="宋体"/>
          <w:sz w:val="24"/>
        </w:rPr>
      </w:pPr>
    </w:p>
    <w:p w14:paraId="2CF3B157">
      <w:pPr>
        <w:spacing w:line="360" w:lineRule="auto"/>
        <w:rPr>
          <w:rFonts w:hint="eastAsia" w:ascii="宋体" w:hAnsi="宋体" w:cs="宋体"/>
          <w:b/>
          <w:bCs/>
          <w:szCs w:val="21"/>
        </w:rPr>
      </w:pPr>
      <w:r>
        <w:rPr>
          <w:rFonts w:hint="eastAsia" w:ascii="宋体" w:hAnsi="宋体" w:cs="宋体"/>
          <w:b/>
          <w:bCs/>
          <w:szCs w:val="21"/>
        </w:rPr>
        <w:t xml:space="preserve">第十三条 退出 </w:t>
      </w:r>
    </w:p>
    <w:p w14:paraId="1BE71792">
      <w:pPr>
        <w:spacing w:line="360" w:lineRule="auto"/>
        <w:ind w:firstLine="371" w:firstLineChars="177"/>
        <w:rPr>
          <w:rFonts w:hint="eastAsia" w:ascii="宋体" w:hAnsi="宋体" w:cs="宋体"/>
          <w:szCs w:val="21"/>
        </w:rPr>
      </w:pPr>
      <w:r>
        <w:rPr>
          <w:rFonts w:hint="eastAsia" w:ascii="宋体" w:hAnsi="宋体" w:cs="宋体"/>
          <w:szCs w:val="21"/>
        </w:rPr>
        <w:t>1、服务期内，如乙方提出退出要求，需在服务期截止前至少</w:t>
      </w:r>
      <w:r>
        <w:rPr>
          <w:rFonts w:hint="eastAsia" w:ascii="宋体" w:hAnsi="宋体" w:cs="宋体"/>
          <w:szCs w:val="21"/>
          <w:u w:val="single"/>
        </w:rPr>
        <w:t xml:space="preserve"> 6 </w:t>
      </w:r>
      <w:r>
        <w:rPr>
          <w:rFonts w:hint="eastAsia" w:ascii="宋体" w:hAnsi="宋体" w:cs="宋体"/>
          <w:szCs w:val="21"/>
        </w:rPr>
        <w:t xml:space="preserve">个月向甲方提出退出申请，并获得甲方的书面许可后方可退出，对于由此给甲方带来的经济损失，由甲乙双方协商解决。 </w:t>
      </w:r>
    </w:p>
    <w:p w14:paraId="0B800207">
      <w:pPr>
        <w:spacing w:line="360" w:lineRule="auto"/>
        <w:ind w:firstLine="371" w:firstLineChars="177"/>
        <w:rPr>
          <w:rFonts w:hint="eastAsia" w:ascii="宋体" w:hAnsi="宋体" w:cs="宋体"/>
          <w:szCs w:val="21"/>
        </w:rPr>
      </w:pPr>
      <w:r>
        <w:rPr>
          <w:rFonts w:hint="eastAsia" w:ascii="宋体" w:hAnsi="宋体" w:cs="宋体"/>
          <w:szCs w:val="21"/>
        </w:rPr>
        <w:t>2、服务期内，如出现政务云管理单位责令乙方退出，相关补偿费用甲乙双方另行协商；在信息系统迁移和交接工作中，乙方应在甲方提出系统迁出需求后</w:t>
      </w:r>
      <w:r>
        <w:rPr>
          <w:rFonts w:hint="eastAsia" w:ascii="宋体" w:hAnsi="宋体" w:cs="宋体"/>
          <w:szCs w:val="21"/>
          <w:u w:val="single"/>
        </w:rPr>
        <w:t>15</w:t>
      </w:r>
      <w:r>
        <w:rPr>
          <w:rFonts w:hint="eastAsia" w:ascii="宋体" w:hAnsi="宋体" w:cs="宋体"/>
          <w:szCs w:val="21"/>
        </w:rPr>
        <w:t>天内配合甲方完成信息系统迁移的相关工作，包含梳理迁出系统的云资源、安全策略配置等。确保系统在新环境运行稳定后，关停原服务，并对原有系统数据进行安全擦除。否则乙方除应返还甲方已支付未履行的付款项外，还应支付合同金额的20%作为违约金，违约金未能弥补甲方全部损失的，乙方应继续承担赔偿责任。</w:t>
      </w:r>
    </w:p>
    <w:p w14:paraId="48DA6CAE">
      <w:pPr>
        <w:spacing w:line="360" w:lineRule="auto"/>
        <w:rPr>
          <w:rFonts w:hint="eastAsia" w:ascii="宋体" w:hAnsi="宋体" w:cs="宋体"/>
          <w:b/>
          <w:bCs/>
          <w:szCs w:val="21"/>
        </w:rPr>
      </w:pPr>
      <w:r>
        <w:rPr>
          <w:rFonts w:hint="eastAsia" w:ascii="宋体" w:hAnsi="宋体" w:cs="宋体"/>
          <w:b/>
          <w:bCs/>
          <w:szCs w:val="21"/>
        </w:rPr>
        <w:t xml:space="preserve">第十四条 免责条款 </w:t>
      </w:r>
    </w:p>
    <w:p w14:paraId="7E883A81">
      <w:pPr>
        <w:spacing w:line="360" w:lineRule="auto"/>
        <w:ind w:firstLine="371" w:firstLineChars="177"/>
        <w:rPr>
          <w:rFonts w:hint="eastAsia" w:ascii="宋体" w:hAnsi="宋体" w:cs="宋体"/>
          <w:szCs w:val="21"/>
        </w:rPr>
      </w:pPr>
      <w:r>
        <w:rPr>
          <w:rFonts w:hint="eastAsia" w:ascii="宋体" w:hAnsi="宋体" w:cs="宋体"/>
          <w:szCs w:val="21"/>
        </w:rPr>
        <w:t xml:space="preserve">1、本协议中不可抗力指地震、台风、火灾、水灾、战争、罢工以及其他双方共同认同的不能预见、不能避免并不能克服的客观情况。 </w:t>
      </w:r>
    </w:p>
    <w:p w14:paraId="4B396B43">
      <w:pPr>
        <w:spacing w:line="360" w:lineRule="auto"/>
        <w:ind w:firstLine="371" w:firstLineChars="177"/>
        <w:rPr>
          <w:rFonts w:hint="eastAsia" w:ascii="宋体" w:hAnsi="宋体" w:cs="宋体"/>
          <w:szCs w:val="21"/>
        </w:rPr>
      </w:pPr>
      <w:r>
        <w:rPr>
          <w:rFonts w:hint="eastAsia" w:ascii="宋体" w:hAnsi="宋体" w:cs="宋体"/>
          <w:szCs w:val="21"/>
        </w:rPr>
        <w:t xml:space="preserve">2、由于网络运营商的核心设备故障造成的网络中断、阻塞，从而影响到系统的正常访问或响应速率降低，属于不可控事件和不可抗力，甲方应对此表示认同。 </w:t>
      </w:r>
    </w:p>
    <w:p w14:paraId="74D4C1AD">
      <w:pPr>
        <w:spacing w:line="360" w:lineRule="auto"/>
        <w:ind w:firstLine="371" w:firstLineChars="177"/>
        <w:rPr>
          <w:rFonts w:hint="eastAsia" w:ascii="宋体" w:hAnsi="宋体" w:cs="宋体"/>
          <w:szCs w:val="21"/>
        </w:rPr>
      </w:pPr>
      <w:r>
        <w:rPr>
          <w:rFonts w:hint="eastAsia" w:ascii="宋体" w:hAnsi="宋体" w:cs="宋体"/>
          <w:szCs w:val="21"/>
        </w:rPr>
        <w:t>3、由于不可抗力致使协议无法履行的，受不可抗力影响一方应立即将不能履行本协议的事实书面通知对方，并在不可抗力发生之日起</w:t>
      </w:r>
      <w:r>
        <w:rPr>
          <w:rFonts w:hint="eastAsia" w:ascii="宋体" w:hAnsi="宋体" w:cs="宋体"/>
          <w:szCs w:val="21"/>
          <w:u w:val="single"/>
        </w:rPr>
        <w:t xml:space="preserve"> 15 </w:t>
      </w:r>
      <w:r>
        <w:rPr>
          <w:rFonts w:hint="eastAsia" w:ascii="宋体" w:hAnsi="宋体" w:cs="宋体"/>
          <w:szCs w:val="21"/>
        </w:rPr>
        <w:t xml:space="preserve">天内提供相关政府部门或公证机关出具的证明文件。 </w:t>
      </w:r>
    </w:p>
    <w:p w14:paraId="21170FF9">
      <w:pPr>
        <w:spacing w:line="360" w:lineRule="auto"/>
        <w:ind w:firstLine="371" w:firstLineChars="177"/>
        <w:rPr>
          <w:rFonts w:hint="eastAsia" w:ascii="宋体" w:hAnsi="宋体" w:cs="宋体"/>
          <w:szCs w:val="21"/>
        </w:rPr>
      </w:pPr>
      <w:r>
        <w:rPr>
          <w:rFonts w:hint="eastAsia" w:ascii="宋体" w:hAnsi="宋体" w:cs="宋体"/>
          <w:szCs w:val="21"/>
        </w:rPr>
        <w:t xml:space="preserve">4、由于不可抗力致使协议无法履行的，本协议在不可抗力影响范围及其持续期间内将中止履行，本协议执行时间可根据中止的时间相应顺延，双方无须承担违约责任。不可抗力事件消除后，双方应就协议的履行及后续问题进行协商，按照该事件对协议履行的影响程度，决定继续履行协议或终止协议。 </w:t>
      </w:r>
    </w:p>
    <w:p w14:paraId="0CCC7C55">
      <w:pPr>
        <w:spacing w:line="360" w:lineRule="auto"/>
        <w:rPr>
          <w:rFonts w:hint="eastAsia" w:ascii="宋体" w:hAnsi="宋体" w:cs="宋体"/>
          <w:b/>
          <w:bCs/>
          <w:szCs w:val="21"/>
        </w:rPr>
      </w:pPr>
      <w:r>
        <w:rPr>
          <w:rFonts w:hint="eastAsia" w:ascii="宋体" w:hAnsi="宋体" w:cs="宋体"/>
          <w:b/>
          <w:bCs/>
          <w:szCs w:val="21"/>
        </w:rPr>
        <w:t xml:space="preserve">第十五条 保密条款 </w:t>
      </w:r>
    </w:p>
    <w:p w14:paraId="1BCA7730">
      <w:pPr>
        <w:spacing w:line="360" w:lineRule="auto"/>
        <w:ind w:firstLine="371" w:firstLineChars="177"/>
        <w:rPr>
          <w:rFonts w:hint="eastAsia" w:ascii="宋体" w:hAnsi="宋体" w:cs="宋体"/>
          <w:szCs w:val="21"/>
        </w:rPr>
      </w:pPr>
      <w:r>
        <w:rPr>
          <w:rFonts w:hint="eastAsia" w:ascii="宋体" w:hAnsi="宋体" w:cs="宋体"/>
          <w:szCs w:val="21"/>
        </w:rPr>
        <w:t xml:space="preserve">1、乙方因承接本协议约定项目所知悉的该项目信息或甲方信息，以及在项目实施过程中所产生的与该项目有关的全部信息均为甲方的保密信息，乙方应按照甲方关于保密工作的相关要求，对上述保密信息承担保密义务。未经甲方书面同意，乙方不得将甲方保密信息透露给任何第三方。 </w:t>
      </w:r>
    </w:p>
    <w:p w14:paraId="414B29A7">
      <w:pPr>
        <w:spacing w:line="360" w:lineRule="auto"/>
        <w:ind w:firstLine="371" w:firstLineChars="177"/>
        <w:rPr>
          <w:rFonts w:hint="eastAsia" w:ascii="宋体" w:hAnsi="宋体" w:cs="宋体"/>
          <w:szCs w:val="21"/>
        </w:rPr>
      </w:pPr>
      <w:r>
        <w:rPr>
          <w:rFonts w:hint="eastAsia" w:ascii="宋体" w:hAnsi="宋体" w:cs="宋体"/>
          <w:szCs w:val="21"/>
        </w:rPr>
        <w:t xml:space="preserve">2、乙方应对上述保密信息予以妥善保存，并保证仅将其用于与完成本协议项下约定项目实施有关的用途或目的。在缺少相关保密条款约定时，对上述保密信息，乙方应至少采取适用于对自己核心机密进行保护的同等保护措施和审慎程度进行保密。 </w:t>
      </w:r>
    </w:p>
    <w:p w14:paraId="7B89D4DD">
      <w:pPr>
        <w:spacing w:line="360" w:lineRule="auto"/>
        <w:ind w:firstLine="371" w:firstLineChars="177"/>
        <w:rPr>
          <w:rFonts w:hint="eastAsia" w:ascii="宋体" w:hAnsi="宋体" w:cs="宋体"/>
          <w:szCs w:val="21"/>
        </w:rPr>
      </w:pPr>
      <w:r>
        <w:rPr>
          <w:rFonts w:hint="eastAsia" w:ascii="宋体" w:hAnsi="宋体" w:cs="宋体"/>
          <w:szCs w:val="21"/>
        </w:rPr>
        <w:t xml:space="preserve">3、乙方保证将保密信息的披露范围严格控制在直接从事该项目工作且因工作需要有必要知悉保密信息的工作人员范围内，对乙方非从事该项目的人员一律严格保密。 </w:t>
      </w:r>
    </w:p>
    <w:p w14:paraId="71B82362">
      <w:pPr>
        <w:spacing w:line="360" w:lineRule="auto"/>
        <w:ind w:firstLine="371" w:firstLineChars="177"/>
        <w:rPr>
          <w:rFonts w:hint="eastAsia" w:ascii="宋体" w:hAnsi="宋体" w:cs="宋体"/>
          <w:szCs w:val="21"/>
        </w:rPr>
      </w:pPr>
      <w:r>
        <w:rPr>
          <w:rFonts w:hint="eastAsia" w:ascii="宋体" w:hAnsi="宋体" w:cs="宋体"/>
          <w:szCs w:val="21"/>
        </w:rPr>
        <w:t xml:space="preserve">4、乙方应保证在向其工作人员披露甲方的保密信息前，认真做好员工的保密教育工作，明确告知其将知悉的为甲方的保密信息，并明确告知其需承担的保密义务及泄密所应承担的法律责任，并要求全体参与该项目的人员签署书面《保密协议》。 </w:t>
      </w:r>
    </w:p>
    <w:p w14:paraId="4032659B">
      <w:pPr>
        <w:spacing w:line="360" w:lineRule="auto"/>
        <w:ind w:firstLine="371" w:firstLineChars="177"/>
        <w:rPr>
          <w:rFonts w:hint="eastAsia" w:ascii="宋体" w:hAnsi="宋体" w:cs="宋体"/>
          <w:szCs w:val="21"/>
        </w:rPr>
      </w:pPr>
      <w:r>
        <w:rPr>
          <w:rFonts w:hint="eastAsia" w:ascii="宋体" w:hAnsi="宋体" w:cs="宋体"/>
          <w:szCs w:val="21"/>
        </w:rPr>
        <w:t xml:space="preserve">5、任何时间内，一经甲方提出要求，乙方应按照甲方指示在收到甲方书面通知后 5 日内将含有保密信息的所有文件或其他资料归还甲方，且不得保留任何复印件及数据备份。 </w:t>
      </w:r>
    </w:p>
    <w:p w14:paraId="6870C0A6">
      <w:pPr>
        <w:spacing w:line="360" w:lineRule="auto"/>
        <w:ind w:firstLine="371" w:firstLineChars="177"/>
        <w:rPr>
          <w:rFonts w:hint="eastAsia" w:ascii="宋体" w:hAnsi="宋体" w:cs="宋体"/>
          <w:szCs w:val="21"/>
        </w:rPr>
      </w:pPr>
      <w:r>
        <w:rPr>
          <w:rFonts w:hint="eastAsia" w:ascii="宋体" w:hAnsi="宋体" w:cs="宋体"/>
          <w:szCs w:val="21"/>
        </w:rPr>
        <w:t xml:space="preserve">6、非经甲方特别授权，甲方向乙方提供的任何保密信息并不包括授予乙方该保密信息包含的任何专利权、商标权、著作权、商业秘密或其它类型的知识产权。 </w:t>
      </w:r>
    </w:p>
    <w:p w14:paraId="489B9C3C">
      <w:pPr>
        <w:spacing w:line="360" w:lineRule="auto"/>
        <w:ind w:firstLine="371" w:firstLineChars="177"/>
        <w:rPr>
          <w:rFonts w:hint="eastAsia" w:ascii="宋体" w:hAnsi="宋体" w:cs="宋体"/>
          <w:szCs w:val="21"/>
        </w:rPr>
      </w:pPr>
      <w:r>
        <w:rPr>
          <w:rFonts w:hint="eastAsia" w:ascii="宋体" w:hAnsi="宋体" w:cs="宋体"/>
          <w:szCs w:val="21"/>
        </w:rPr>
        <w:t xml:space="preserve">7、乙方需要定期向政务云管理单位和云综合监管服务商提交云平台及入云系统相关信息，内容包括但不限于：云资源租用情况、系统迁移进展、已租用资源的使用绩效情况、安全监控分析、IP 管理、重大活动值守、工作建议等，此时如涉及甲方信息，不属于保密违约。 </w:t>
      </w:r>
    </w:p>
    <w:p w14:paraId="14C59446">
      <w:pPr>
        <w:spacing w:line="360" w:lineRule="auto"/>
        <w:ind w:firstLine="371" w:firstLineChars="177"/>
        <w:rPr>
          <w:rFonts w:hint="eastAsia" w:ascii="宋体" w:hAnsi="宋体" w:cs="宋体"/>
          <w:szCs w:val="21"/>
        </w:rPr>
      </w:pPr>
      <w:r>
        <w:rPr>
          <w:rFonts w:hint="eastAsia" w:ascii="宋体" w:hAnsi="宋体" w:cs="宋体"/>
          <w:szCs w:val="21"/>
        </w:rPr>
        <w:t>8、乙方发现涉密的信息及载体可能被泄露或已经被泄露时，应及时穷尽手段采取有效措施防止知悉范围及损失的进一步扩大，并及时向甲方通报相关情况。</w:t>
      </w:r>
    </w:p>
    <w:p w14:paraId="7AD5F92C">
      <w:pPr>
        <w:spacing w:line="360" w:lineRule="auto"/>
        <w:rPr>
          <w:rFonts w:hint="eastAsia" w:ascii="宋体" w:hAnsi="宋体" w:cs="宋体"/>
          <w:b/>
          <w:bCs/>
          <w:szCs w:val="21"/>
        </w:rPr>
      </w:pPr>
      <w:r>
        <w:rPr>
          <w:rFonts w:hint="eastAsia" w:ascii="宋体" w:hAnsi="宋体" w:cs="宋体"/>
          <w:b/>
          <w:bCs/>
          <w:szCs w:val="21"/>
        </w:rPr>
        <w:t xml:space="preserve">第十六条 争议的解决 </w:t>
      </w:r>
    </w:p>
    <w:p w14:paraId="7DC51294">
      <w:pPr>
        <w:spacing w:line="360" w:lineRule="auto"/>
        <w:ind w:firstLine="371" w:firstLineChars="177"/>
        <w:rPr>
          <w:rFonts w:hint="eastAsia" w:ascii="宋体" w:hAnsi="宋体" w:cs="宋体"/>
          <w:szCs w:val="21"/>
        </w:rPr>
      </w:pPr>
      <w:r>
        <w:rPr>
          <w:rFonts w:hint="eastAsia" w:ascii="宋体" w:hAnsi="宋体" w:cs="宋体"/>
          <w:szCs w:val="21"/>
        </w:rPr>
        <w:t xml:space="preserve">1、本协议按中华人民共和国相关法律、法规进行解释。 </w:t>
      </w:r>
    </w:p>
    <w:p w14:paraId="0C66B2E0">
      <w:pPr>
        <w:spacing w:line="360" w:lineRule="auto"/>
        <w:ind w:firstLine="371" w:firstLineChars="177"/>
        <w:rPr>
          <w:rFonts w:hint="eastAsia" w:ascii="宋体" w:hAnsi="宋体" w:cs="宋体"/>
          <w:szCs w:val="21"/>
        </w:rPr>
      </w:pPr>
      <w:r>
        <w:rPr>
          <w:rFonts w:hint="eastAsia" w:ascii="宋体" w:hAnsi="宋体" w:cs="宋体"/>
          <w:szCs w:val="21"/>
        </w:rPr>
        <w:t xml:space="preserve">2、因履行合同所发生的一切争议，双方应友好协商解决，协商不成的，按下列第（2）种方式解决： </w:t>
      </w:r>
    </w:p>
    <w:p w14:paraId="5AE8FFA2">
      <w:pPr>
        <w:spacing w:line="360" w:lineRule="auto"/>
        <w:ind w:firstLine="371" w:firstLineChars="177"/>
        <w:rPr>
          <w:rFonts w:hint="eastAsia" w:ascii="宋体" w:hAnsi="宋体" w:cs="宋体"/>
          <w:szCs w:val="21"/>
        </w:rPr>
      </w:pPr>
      <w:r>
        <w:rPr>
          <w:rFonts w:hint="eastAsia" w:ascii="宋体" w:hAnsi="宋体" w:cs="宋体"/>
          <w:szCs w:val="21"/>
        </w:rPr>
        <w:t xml:space="preserve">（1）提交北京仲裁委员会仲裁，仲裁裁决为终局裁决； </w:t>
      </w:r>
    </w:p>
    <w:p w14:paraId="37A3D5E6">
      <w:pPr>
        <w:spacing w:line="360" w:lineRule="auto"/>
        <w:ind w:firstLine="371" w:firstLineChars="177"/>
        <w:rPr>
          <w:rFonts w:hint="eastAsia" w:ascii="宋体" w:hAnsi="宋体" w:cs="宋体"/>
          <w:szCs w:val="21"/>
        </w:rPr>
      </w:pPr>
      <w:r>
        <w:rPr>
          <w:rFonts w:hint="eastAsia" w:ascii="宋体" w:hAnsi="宋体" w:cs="宋体"/>
          <w:szCs w:val="21"/>
        </w:rPr>
        <w:t>（2）依法向</w:t>
      </w:r>
      <w:r>
        <w:rPr>
          <w:rFonts w:hint="eastAsia" w:ascii="宋体" w:hAnsi="宋体" w:cs="宋体"/>
          <w:szCs w:val="21"/>
          <w:u w:val="single"/>
        </w:rPr>
        <w:t>甲方住所地有管辖权的</w:t>
      </w:r>
      <w:r>
        <w:rPr>
          <w:rFonts w:hint="eastAsia" w:ascii="宋体" w:hAnsi="宋体" w:cs="宋体"/>
          <w:szCs w:val="21"/>
        </w:rPr>
        <w:t>人民法院起诉。</w:t>
      </w:r>
    </w:p>
    <w:p w14:paraId="2351AF8C">
      <w:pPr>
        <w:spacing w:line="360" w:lineRule="auto"/>
        <w:rPr>
          <w:rFonts w:hint="eastAsia" w:ascii="宋体" w:hAnsi="宋体" w:cs="宋体"/>
          <w:b/>
          <w:bCs/>
          <w:szCs w:val="21"/>
        </w:rPr>
      </w:pPr>
      <w:r>
        <w:rPr>
          <w:rFonts w:hint="eastAsia" w:ascii="宋体" w:hAnsi="宋体" w:cs="宋体"/>
          <w:b/>
          <w:bCs/>
          <w:szCs w:val="21"/>
        </w:rPr>
        <w:t xml:space="preserve">第十七条 协议内容变更 </w:t>
      </w:r>
    </w:p>
    <w:p w14:paraId="0FC86348">
      <w:pPr>
        <w:spacing w:line="360" w:lineRule="auto"/>
        <w:ind w:firstLine="371" w:firstLineChars="177"/>
        <w:rPr>
          <w:rFonts w:hint="eastAsia" w:ascii="宋体" w:hAnsi="宋体" w:cs="宋体"/>
          <w:szCs w:val="21"/>
        </w:rPr>
      </w:pPr>
      <w:r>
        <w:rPr>
          <w:rFonts w:hint="eastAsia" w:ascii="宋体" w:hAnsi="宋体" w:cs="宋体"/>
          <w:szCs w:val="21"/>
        </w:rPr>
        <w:t xml:space="preserve">在本协议履行过程中，甲方提出服务需求变更，应与乙方协商一致并签署补充协议；在变更达成一致前，双方应继续履行其原约定义务。 </w:t>
      </w:r>
    </w:p>
    <w:p w14:paraId="15957755">
      <w:pPr>
        <w:spacing w:line="360" w:lineRule="auto"/>
        <w:rPr>
          <w:rFonts w:hint="eastAsia" w:ascii="宋体" w:hAnsi="宋体" w:cs="宋体"/>
          <w:b/>
          <w:bCs/>
          <w:szCs w:val="21"/>
        </w:rPr>
      </w:pPr>
      <w:r>
        <w:rPr>
          <w:rFonts w:hint="eastAsia" w:ascii="宋体" w:hAnsi="宋体" w:cs="宋体"/>
          <w:b/>
          <w:bCs/>
          <w:szCs w:val="21"/>
        </w:rPr>
        <w:t xml:space="preserve">第十八条 廉政承诺 </w:t>
      </w:r>
    </w:p>
    <w:p w14:paraId="220FB7DF">
      <w:pPr>
        <w:spacing w:line="360" w:lineRule="auto"/>
        <w:ind w:firstLine="371" w:firstLineChars="177"/>
        <w:rPr>
          <w:rFonts w:hint="eastAsia" w:ascii="宋体" w:hAnsi="宋体" w:cs="宋体"/>
          <w:szCs w:val="21"/>
        </w:rPr>
      </w:pPr>
      <w:r>
        <w:rPr>
          <w:rFonts w:hint="eastAsia" w:ascii="宋体" w:hAnsi="宋体" w:cs="宋体"/>
          <w:szCs w:val="21"/>
        </w:rPr>
        <w:t xml:space="preserve">1、合同双方承诺共同加强廉洁自律、反对商业贿赂。 </w:t>
      </w:r>
    </w:p>
    <w:p w14:paraId="500D9E22">
      <w:pPr>
        <w:spacing w:line="360" w:lineRule="auto"/>
        <w:ind w:firstLine="371" w:firstLineChars="177"/>
        <w:rPr>
          <w:rFonts w:hint="eastAsia" w:ascii="宋体" w:hAnsi="宋体" w:cs="宋体"/>
          <w:szCs w:val="21"/>
        </w:rPr>
      </w:pPr>
      <w:r>
        <w:rPr>
          <w:rFonts w:hint="eastAsia" w:ascii="宋体" w:hAnsi="宋体" w:cs="宋体"/>
          <w:szCs w:val="21"/>
        </w:rPr>
        <w:t xml:space="preserve">2、甲方及其工作人员不得索要礼金、有价证券和贵重物品；不得在乙方报销应由本单位或个人支付的费用；不得以参与项目实施为名，接受乙方从该项目中支取的劳务报酬；不得参加乙方安排的超标准宴请和娱乐活动。 </w:t>
      </w:r>
    </w:p>
    <w:p w14:paraId="35785A11">
      <w:pPr>
        <w:spacing w:line="360" w:lineRule="auto"/>
        <w:ind w:firstLine="371" w:firstLineChars="177"/>
        <w:rPr>
          <w:rFonts w:hint="eastAsia" w:ascii="宋体" w:hAnsi="宋体" w:cs="宋体"/>
          <w:szCs w:val="21"/>
        </w:rPr>
      </w:pPr>
      <w:r>
        <w:rPr>
          <w:rFonts w:hint="eastAsia" w:ascii="宋体" w:hAnsi="宋体" w:cs="宋体"/>
          <w:szCs w:val="21"/>
        </w:rPr>
        <w:t xml:space="preserve">3、乙方不得向甲方及其工作人员行贿或馈赠礼金、有价证券、贵重礼品； 不得为其报销应由甲方单位或个人支付的费用；不得向甲方工作人员支付劳务报酬；不得安排甲方工作人员参加超标准宴请及娱乐活动。 </w:t>
      </w:r>
    </w:p>
    <w:p w14:paraId="6523FE3D">
      <w:pPr>
        <w:spacing w:line="360" w:lineRule="auto"/>
        <w:rPr>
          <w:rFonts w:hint="eastAsia" w:ascii="宋体" w:hAnsi="宋体" w:cs="宋体"/>
          <w:b/>
          <w:bCs/>
          <w:szCs w:val="21"/>
        </w:rPr>
      </w:pPr>
      <w:r>
        <w:rPr>
          <w:rFonts w:hint="eastAsia" w:ascii="宋体" w:hAnsi="宋体" w:cs="宋体"/>
          <w:b/>
          <w:bCs/>
          <w:szCs w:val="21"/>
        </w:rPr>
        <w:t xml:space="preserve">第十九条 其他 </w:t>
      </w:r>
    </w:p>
    <w:p w14:paraId="30DD4F9D">
      <w:pPr>
        <w:spacing w:line="360" w:lineRule="auto"/>
        <w:ind w:firstLine="371" w:firstLineChars="177"/>
        <w:rPr>
          <w:rFonts w:hint="eastAsia" w:ascii="宋体" w:hAnsi="宋体" w:cs="宋体"/>
          <w:szCs w:val="21"/>
        </w:rPr>
      </w:pPr>
      <w:r>
        <w:rPr>
          <w:rFonts w:hint="eastAsia" w:ascii="宋体" w:hAnsi="宋体" w:cs="宋体"/>
          <w:szCs w:val="21"/>
        </w:rPr>
        <w:t xml:space="preserve">1、本协议自双方法定代表人或其委托代理人签名并加盖本单位合同专用章或单位公章后生效，至双方履行完毕本协议约定的全部义务时终止。 </w:t>
      </w:r>
    </w:p>
    <w:p w14:paraId="354411A1">
      <w:pPr>
        <w:spacing w:line="360" w:lineRule="auto"/>
        <w:ind w:firstLine="371" w:firstLineChars="177"/>
        <w:rPr>
          <w:rFonts w:hint="eastAsia" w:ascii="宋体" w:hAnsi="宋体" w:cs="宋体"/>
          <w:szCs w:val="21"/>
        </w:rPr>
      </w:pPr>
      <w:r>
        <w:rPr>
          <w:rFonts w:hint="eastAsia" w:ascii="宋体" w:hAnsi="宋体" w:cs="宋体"/>
          <w:szCs w:val="21"/>
        </w:rPr>
        <w:t xml:space="preserve">2、未尽事宜，经双方协商一致，签订书面补充协议，补充协议与本协议不一致的，以补充协议为准。 </w:t>
      </w:r>
    </w:p>
    <w:p w14:paraId="0F650DEE">
      <w:pPr>
        <w:spacing w:line="360" w:lineRule="auto"/>
        <w:ind w:firstLine="371" w:firstLineChars="177"/>
        <w:rPr>
          <w:rFonts w:hint="eastAsia" w:ascii="宋体" w:hAnsi="宋体" w:cs="宋体"/>
          <w:szCs w:val="21"/>
        </w:rPr>
      </w:pPr>
      <w:r>
        <w:rPr>
          <w:rFonts w:hint="eastAsia" w:ascii="宋体" w:hAnsi="宋体" w:cs="宋体"/>
          <w:szCs w:val="21"/>
        </w:rPr>
        <w:t>3、本协议一式</w:t>
      </w:r>
      <w:r>
        <w:rPr>
          <w:rFonts w:hint="eastAsia" w:ascii="宋体" w:hAnsi="宋体" w:cs="宋体"/>
          <w:szCs w:val="21"/>
          <w:u w:val="single"/>
        </w:rPr>
        <w:t xml:space="preserve"> 肆 </w:t>
      </w:r>
      <w:r>
        <w:rPr>
          <w:rFonts w:hint="eastAsia" w:ascii="宋体" w:hAnsi="宋体" w:cs="宋体"/>
          <w:szCs w:val="21"/>
        </w:rPr>
        <w:t>份，甲、乙双方各执</w:t>
      </w:r>
      <w:r>
        <w:rPr>
          <w:rFonts w:hint="eastAsia" w:ascii="宋体" w:hAnsi="宋体" w:cs="宋体"/>
          <w:szCs w:val="21"/>
          <w:u w:val="single"/>
        </w:rPr>
        <w:t xml:space="preserve"> 贰 </w:t>
      </w:r>
      <w:r>
        <w:rPr>
          <w:rFonts w:hint="eastAsia" w:ascii="宋体" w:hAnsi="宋体" w:cs="宋体"/>
          <w:szCs w:val="21"/>
        </w:rPr>
        <w:t xml:space="preserve">份，每份具有同等法律效力。 </w:t>
      </w:r>
    </w:p>
    <w:p w14:paraId="32D41F08">
      <w:pPr>
        <w:spacing w:line="360" w:lineRule="auto"/>
        <w:rPr>
          <w:rFonts w:hint="eastAsia" w:ascii="宋体" w:hAnsi="宋体" w:cs="宋体"/>
          <w:szCs w:val="21"/>
        </w:rPr>
      </w:pPr>
      <w:r>
        <w:rPr>
          <w:rFonts w:hint="eastAsia" w:ascii="宋体" w:hAnsi="宋体" w:cs="宋体"/>
          <w:szCs w:val="21"/>
        </w:rPr>
        <w:t>附件：</w:t>
      </w:r>
    </w:p>
    <w:p w14:paraId="0EB738E5">
      <w:pPr>
        <w:widowControl/>
        <w:spacing w:line="360" w:lineRule="auto"/>
        <w:ind w:firstLine="420" w:firstLineChars="200"/>
        <w:rPr>
          <w:rFonts w:hint="eastAsia" w:ascii="宋体" w:hAnsi="宋体" w:cs="宋体"/>
          <w:szCs w:val="21"/>
        </w:rPr>
      </w:pPr>
      <w:r>
        <w:rPr>
          <w:rFonts w:hint="eastAsia" w:ascii="宋体" w:hAnsi="宋体" w:cs="宋体"/>
          <w:szCs w:val="21"/>
        </w:rPr>
        <w:t>（一）本合同的组成文件如下：</w:t>
      </w:r>
    </w:p>
    <w:p w14:paraId="260E6B81">
      <w:pPr>
        <w:widowControl/>
        <w:spacing w:line="360" w:lineRule="auto"/>
        <w:ind w:firstLine="420" w:firstLineChars="200"/>
        <w:rPr>
          <w:rFonts w:hint="eastAsia" w:ascii="宋体" w:hAnsi="宋体" w:cs="宋体"/>
          <w:szCs w:val="21"/>
        </w:rPr>
      </w:pPr>
      <w:r>
        <w:rPr>
          <w:rFonts w:hint="eastAsia" w:ascii="宋体" w:hAnsi="宋体" w:cs="宋体"/>
          <w:szCs w:val="21"/>
        </w:rPr>
        <w:t>1.在合同实施过程中双方共同签署的补充与修正文件；</w:t>
      </w:r>
    </w:p>
    <w:p w14:paraId="123F0431">
      <w:pPr>
        <w:widowControl/>
        <w:spacing w:line="360" w:lineRule="auto"/>
        <w:ind w:firstLine="420" w:firstLineChars="200"/>
        <w:rPr>
          <w:rFonts w:hint="eastAsia" w:ascii="宋体" w:hAnsi="宋体" w:cs="宋体"/>
          <w:szCs w:val="21"/>
        </w:rPr>
      </w:pPr>
      <w:r>
        <w:rPr>
          <w:rFonts w:hint="eastAsia" w:ascii="宋体" w:hAnsi="宋体" w:cs="宋体"/>
          <w:szCs w:val="21"/>
        </w:rPr>
        <w:t>2.本合同正文；</w:t>
      </w:r>
    </w:p>
    <w:p w14:paraId="1690747D">
      <w:pPr>
        <w:widowControl/>
        <w:spacing w:line="360" w:lineRule="auto"/>
        <w:ind w:firstLine="420" w:firstLineChars="200"/>
        <w:rPr>
          <w:rFonts w:hint="eastAsia" w:ascii="宋体" w:hAnsi="宋体" w:cs="宋体"/>
          <w:szCs w:val="21"/>
        </w:rPr>
      </w:pPr>
      <w:r>
        <w:rPr>
          <w:rFonts w:hint="eastAsia" w:ascii="宋体" w:hAnsi="宋体" w:cs="宋体"/>
          <w:szCs w:val="21"/>
        </w:rPr>
        <w:t>3.本合同附件：</w:t>
      </w:r>
    </w:p>
    <w:p w14:paraId="3ED1AB17">
      <w:pPr>
        <w:widowControl/>
        <w:spacing w:line="360" w:lineRule="auto"/>
        <w:ind w:firstLine="420" w:firstLineChars="200"/>
        <w:rPr>
          <w:rFonts w:hint="eastAsia" w:ascii="宋体" w:hAnsi="宋体" w:cs="宋体"/>
          <w:szCs w:val="21"/>
        </w:rPr>
      </w:pPr>
      <w:r>
        <w:rPr>
          <w:rFonts w:hint="eastAsia" w:ascii="宋体" w:hAnsi="宋体" w:cs="宋体"/>
          <w:szCs w:val="21"/>
        </w:rPr>
        <w:t>（1）《分项明细及报价表》</w:t>
      </w:r>
    </w:p>
    <w:p w14:paraId="0C9D565E">
      <w:pPr>
        <w:rPr>
          <w:rFonts w:hint="eastAsia" w:ascii="宋体" w:hAnsi="宋体" w:cs="宋体"/>
          <w:szCs w:val="21"/>
        </w:rPr>
      </w:pPr>
      <w:r>
        <w:rPr>
          <w:rFonts w:hint="eastAsia" w:ascii="宋体" w:hAnsi="宋体" w:cs="宋体"/>
          <w:szCs w:val="21"/>
        </w:rPr>
        <w:br w:type="page"/>
      </w:r>
    </w:p>
    <w:p w14:paraId="0B0712CB">
      <w:pPr>
        <w:widowControl/>
        <w:spacing w:line="360" w:lineRule="auto"/>
        <w:ind w:firstLine="420" w:firstLineChars="200"/>
        <w:rPr>
          <w:rFonts w:hint="eastAsia" w:ascii="宋体" w:hAnsi="宋体" w:cs="宋体"/>
          <w:szCs w:val="21"/>
          <w:u w:val="single"/>
        </w:rPr>
      </w:pPr>
      <w:bookmarkStart w:id="885" w:name="_Hlk27943571"/>
      <w:r>
        <w:rPr>
          <w:rFonts w:hint="eastAsia" w:ascii="宋体" w:hAnsi="宋体" w:cs="宋体"/>
          <w:szCs w:val="21"/>
          <w:u w:val="single"/>
        </w:rPr>
        <w:t>（以下无正文）</w:t>
      </w:r>
    </w:p>
    <w:tbl>
      <w:tblPr>
        <w:tblStyle w:val="42"/>
        <w:tblW w:w="866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13"/>
        <w:gridCol w:w="1706"/>
        <w:gridCol w:w="2056"/>
        <w:gridCol w:w="1160"/>
        <w:gridCol w:w="1590"/>
        <w:gridCol w:w="1535"/>
      </w:tblGrid>
      <w:tr w14:paraId="0394EA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43" w:hRule="atLeast"/>
          <w:jc w:val="center"/>
        </w:trPr>
        <w:tc>
          <w:tcPr>
            <w:tcW w:w="613" w:type="dxa"/>
            <w:vMerge w:val="restart"/>
            <w:tcBorders>
              <w:top w:val="single" w:color="auto" w:sz="18" w:space="0"/>
              <w:left w:val="single" w:color="auto" w:sz="18" w:space="0"/>
              <w:bottom w:val="single" w:color="auto" w:sz="6" w:space="0"/>
              <w:right w:val="single" w:color="auto" w:sz="6" w:space="0"/>
            </w:tcBorders>
            <w:textDirection w:val="tbRlV"/>
            <w:vAlign w:val="center"/>
          </w:tcPr>
          <w:p w14:paraId="2968A387">
            <w:pPr>
              <w:snapToGrid w:val="0"/>
              <w:spacing w:line="460" w:lineRule="exact"/>
              <w:jc w:val="center"/>
              <w:rPr>
                <w:rFonts w:hint="eastAsia" w:ascii="宋体" w:hAnsi="宋体" w:cs="宋体"/>
                <w:spacing w:val="90"/>
                <w:szCs w:val="21"/>
              </w:rPr>
            </w:pPr>
            <w:r>
              <w:rPr>
                <w:rFonts w:hint="eastAsia" w:ascii="宋体" w:hAnsi="宋体" w:cs="宋体"/>
                <w:szCs w:val="21"/>
              </w:rPr>
              <w:t>委托人（甲方）</w:t>
            </w:r>
          </w:p>
        </w:tc>
        <w:tc>
          <w:tcPr>
            <w:tcW w:w="1706" w:type="dxa"/>
            <w:tcBorders>
              <w:top w:val="single" w:color="auto" w:sz="18" w:space="0"/>
              <w:left w:val="single" w:color="auto" w:sz="6" w:space="0"/>
              <w:bottom w:val="single" w:color="auto" w:sz="6" w:space="0"/>
              <w:right w:val="single" w:color="auto" w:sz="6" w:space="0"/>
            </w:tcBorders>
            <w:vAlign w:val="center"/>
          </w:tcPr>
          <w:p w14:paraId="2E564B36">
            <w:pPr>
              <w:snapToGrid w:val="0"/>
              <w:spacing w:line="460" w:lineRule="exact"/>
              <w:jc w:val="center"/>
              <w:rPr>
                <w:rFonts w:hint="eastAsia" w:ascii="宋体" w:hAnsi="宋体" w:cs="宋体"/>
                <w:szCs w:val="21"/>
              </w:rPr>
            </w:pPr>
            <w:r>
              <w:rPr>
                <w:rFonts w:hint="eastAsia" w:ascii="宋体" w:hAnsi="宋体" w:cs="宋体"/>
                <w:szCs w:val="21"/>
              </w:rPr>
              <w:t>名称</w:t>
            </w:r>
          </w:p>
          <w:p w14:paraId="3F900FF0">
            <w:pPr>
              <w:snapToGrid w:val="0"/>
              <w:spacing w:line="460" w:lineRule="exact"/>
              <w:jc w:val="center"/>
              <w:rPr>
                <w:rFonts w:hint="eastAsia" w:ascii="宋体" w:hAnsi="宋体" w:cs="宋体"/>
                <w:szCs w:val="21"/>
              </w:rPr>
            </w:pPr>
            <w:r>
              <w:rPr>
                <w:rFonts w:hint="eastAsia" w:ascii="宋体" w:hAnsi="宋体" w:cs="宋体"/>
                <w:szCs w:val="21"/>
              </w:rPr>
              <w:t>（或姓名）</w:t>
            </w:r>
          </w:p>
        </w:tc>
        <w:tc>
          <w:tcPr>
            <w:tcW w:w="4806" w:type="dxa"/>
            <w:gridSpan w:val="3"/>
            <w:tcBorders>
              <w:top w:val="single" w:color="auto" w:sz="18" w:space="0"/>
              <w:left w:val="single" w:color="auto" w:sz="6" w:space="0"/>
              <w:bottom w:val="single" w:color="auto" w:sz="6" w:space="0"/>
              <w:right w:val="single" w:color="auto" w:sz="6" w:space="0"/>
            </w:tcBorders>
            <w:vAlign w:val="center"/>
          </w:tcPr>
          <w:p w14:paraId="14C0424E">
            <w:pPr>
              <w:tabs>
                <w:tab w:val="left" w:pos="4461"/>
              </w:tabs>
              <w:snapToGrid w:val="0"/>
              <w:spacing w:line="460" w:lineRule="exact"/>
              <w:rPr>
                <w:rFonts w:hint="eastAsia" w:ascii="宋体" w:hAnsi="宋体" w:cs="宋体"/>
                <w:szCs w:val="21"/>
              </w:rPr>
            </w:pPr>
          </w:p>
        </w:tc>
        <w:tc>
          <w:tcPr>
            <w:tcW w:w="1535" w:type="dxa"/>
            <w:vMerge w:val="restart"/>
            <w:tcBorders>
              <w:top w:val="single" w:color="auto" w:sz="18" w:space="0"/>
              <w:left w:val="single" w:color="auto" w:sz="6" w:space="0"/>
              <w:bottom w:val="single" w:color="auto" w:sz="6" w:space="0"/>
              <w:right w:val="single" w:color="auto" w:sz="18" w:space="0"/>
            </w:tcBorders>
            <w:vAlign w:val="center"/>
          </w:tcPr>
          <w:p w14:paraId="2EBC7531">
            <w:pPr>
              <w:snapToGrid w:val="0"/>
              <w:spacing w:line="460" w:lineRule="exact"/>
              <w:jc w:val="center"/>
              <w:rPr>
                <w:rFonts w:hint="eastAsia" w:ascii="宋体" w:hAnsi="宋体" w:cs="宋体"/>
                <w:spacing w:val="-8"/>
                <w:szCs w:val="21"/>
              </w:rPr>
            </w:pPr>
            <w:r>
              <w:rPr>
                <w:rFonts w:hint="eastAsia" w:ascii="宋体" w:hAnsi="宋体" w:cs="宋体"/>
                <w:spacing w:val="-8"/>
                <w:szCs w:val="21"/>
              </w:rPr>
              <w:t>合同专用章</w:t>
            </w:r>
          </w:p>
          <w:p w14:paraId="0EE89DE3">
            <w:pPr>
              <w:snapToGrid w:val="0"/>
              <w:spacing w:line="460" w:lineRule="exact"/>
              <w:jc w:val="center"/>
              <w:rPr>
                <w:rFonts w:hint="eastAsia" w:ascii="宋体" w:hAnsi="宋体" w:cs="宋体"/>
                <w:szCs w:val="21"/>
              </w:rPr>
            </w:pPr>
            <w:r>
              <w:rPr>
                <w:rFonts w:hint="eastAsia" w:ascii="宋体" w:hAnsi="宋体" w:cs="宋体"/>
                <w:szCs w:val="21"/>
              </w:rPr>
              <w:t>或</w:t>
            </w:r>
          </w:p>
          <w:p w14:paraId="0CFDD314">
            <w:pPr>
              <w:snapToGrid w:val="0"/>
              <w:spacing w:line="460" w:lineRule="exact"/>
              <w:jc w:val="center"/>
              <w:rPr>
                <w:rFonts w:hint="eastAsia" w:ascii="宋体" w:hAnsi="宋体" w:cs="宋体"/>
                <w:spacing w:val="10"/>
                <w:szCs w:val="21"/>
              </w:rPr>
            </w:pPr>
            <w:r>
              <w:rPr>
                <w:rFonts w:hint="eastAsia" w:ascii="宋体" w:hAnsi="宋体" w:cs="宋体"/>
                <w:spacing w:val="10"/>
                <w:szCs w:val="21"/>
              </w:rPr>
              <w:t>单位公章</w:t>
            </w:r>
          </w:p>
          <w:p w14:paraId="00974FEE">
            <w:pPr>
              <w:snapToGrid w:val="0"/>
              <w:spacing w:line="460" w:lineRule="exact"/>
              <w:ind w:firstLine="460" w:firstLineChars="200"/>
              <w:rPr>
                <w:rFonts w:hint="eastAsia" w:ascii="宋体" w:hAnsi="宋体" w:cs="宋体"/>
                <w:spacing w:val="10"/>
                <w:szCs w:val="21"/>
              </w:rPr>
            </w:pPr>
          </w:p>
          <w:p w14:paraId="47E210A3">
            <w:pPr>
              <w:snapToGrid w:val="0"/>
              <w:spacing w:line="460" w:lineRule="exact"/>
              <w:ind w:firstLine="460" w:firstLineChars="200"/>
              <w:rPr>
                <w:rFonts w:hint="eastAsia" w:ascii="宋体" w:hAnsi="宋体" w:cs="宋体"/>
                <w:spacing w:val="10"/>
                <w:szCs w:val="21"/>
              </w:rPr>
            </w:pPr>
          </w:p>
          <w:p w14:paraId="46A51961">
            <w:pPr>
              <w:snapToGrid w:val="0"/>
              <w:spacing w:line="460" w:lineRule="exact"/>
              <w:ind w:firstLine="460" w:firstLineChars="200"/>
              <w:rPr>
                <w:rFonts w:hint="eastAsia" w:ascii="宋体" w:hAnsi="宋体" w:cs="宋体"/>
                <w:spacing w:val="10"/>
                <w:szCs w:val="21"/>
              </w:rPr>
            </w:pPr>
          </w:p>
          <w:p w14:paraId="46CB6D36">
            <w:pPr>
              <w:snapToGrid w:val="0"/>
              <w:spacing w:line="460" w:lineRule="exact"/>
              <w:ind w:firstLine="460" w:firstLineChars="200"/>
              <w:rPr>
                <w:rFonts w:hint="eastAsia" w:ascii="宋体" w:hAnsi="宋体" w:cs="宋体"/>
                <w:spacing w:val="10"/>
                <w:szCs w:val="21"/>
              </w:rPr>
            </w:pPr>
          </w:p>
          <w:p w14:paraId="05299BB2">
            <w:pPr>
              <w:snapToGrid w:val="0"/>
              <w:spacing w:line="460" w:lineRule="exact"/>
              <w:ind w:firstLine="460" w:firstLineChars="200"/>
              <w:rPr>
                <w:rFonts w:hint="eastAsia" w:ascii="宋体" w:hAnsi="宋体" w:cs="宋体"/>
                <w:spacing w:val="10"/>
                <w:szCs w:val="21"/>
              </w:rPr>
            </w:pPr>
          </w:p>
          <w:p w14:paraId="28469E6F">
            <w:pPr>
              <w:snapToGrid w:val="0"/>
              <w:spacing w:line="460" w:lineRule="exact"/>
              <w:ind w:firstLine="460" w:firstLineChars="200"/>
              <w:rPr>
                <w:rFonts w:hint="eastAsia" w:ascii="宋体" w:hAnsi="宋体" w:cs="宋体"/>
                <w:spacing w:val="10"/>
                <w:szCs w:val="21"/>
              </w:rPr>
            </w:pPr>
          </w:p>
          <w:p w14:paraId="3838C697">
            <w:pPr>
              <w:snapToGrid w:val="0"/>
              <w:spacing w:line="460" w:lineRule="exact"/>
              <w:ind w:firstLine="460" w:firstLineChars="200"/>
              <w:rPr>
                <w:rFonts w:hint="eastAsia" w:ascii="宋体" w:hAnsi="宋体" w:cs="宋体"/>
                <w:spacing w:val="10"/>
                <w:szCs w:val="21"/>
              </w:rPr>
            </w:pPr>
          </w:p>
          <w:p w14:paraId="75276685">
            <w:pPr>
              <w:snapToGrid w:val="0"/>
              <w:spacing w:line="460" w:lineRule="exact"/>
              <w:rPr>
                <w:rFonts w:hint="eastAsia" w:ascii="宋体" w:hAnsi="宋体" w:cs="宋体"/>
                <w:spacing w:val="-6"/>
                <w:szCs w:val="21"/>
              </w:rPr>
            </w:pPr>
            <w:r>
              <w:rPr>
                <w:rFonts w:hint="eastAsia" w:ascii="宋体" w:hAnsi="宋体" w:cs="宋体"/>
                <w:spacing w:val="-6"/>
                <w:szCs w:val="21"/>
              </w:rPr>
              <w:t>年    月   日</w:t>
            </w:r>
          </w:p>
        </w:tc>
      </w:tr>
      <w:tr w14:paraId="008E3A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43" w:hRule="atLeast"/>
          <w:jc w:val="center"/>
        </w:trPr>
        <w:tc>
          <w:tcPr>
            <w:tcW w:w="613" w:type="dxa"/>
            <w:vMerge w:val="continue"/>
            <w:tcBorders>
              <w:top w:val="single" w:color="auto" w:sz="18" w:space="0"/>
              <w:left w:val="single" w:color="auto" w:sz="18" w:space="0"/>
              <w:bottom w:val="single" w:color="auto" w:sz="6" w:space="0"/>
              <w:right w:val="single" w:color="auto" w:sz="6" w:space="0"/>
            </w:tcBorders>
            <w:vAlign w:val="center"/>
          </w:tcPr>
          <w:p w14:paraId="02E52BE2">
            <w:pPr>
              <w:widowControl/>
              <w:snapToGrid w:val="0"/>
              <w:spacing w:line="460" w:lineRule="exact"/>
              <w:ind w:firstLine="780" w:firstLineChars="200"/>
              <w:jc w:val="center"/>
              <w:rPr>
                <w:rFonts w:hint="eastAsia" w:ascii="宋体" w:hAnsi="宋体" w:cs="宋体"/>
                <w:spacing w:val="90"/>
                <w:szCs w:val="21"/>
              </w:rPr>
            </w:pPr>
          </w:p>
        </w:tc>
        <w:tc>
          <w:tcPr>
            <w:tcW w:w="1706" w:type="dxa"/>
            <w:tcBorders>
              <w:top w:val="single" w:color="auto" w:sz="6" w:space="0"/>
              <w:left w:val="single" w:color="auto" w:sz="6" w:space="0"/>
              <w:bottom w:val="single" w:color="auto" w:sz="6" w:space="0"/>
              <w:right w:val="single" w:color="auto" w:sz="6" w:space="0"/>
            </w:tcBorders>
            <w:vAlign w:val="center"/>
          </w:tcPr>
          <w:p w14:paraId="2CD12112">
            <w:pPr>
              <w:snapToGrid w:val="0"/>
              <w:spacing w:line="460" w:lineRule="exact"/>
              <w:jc w:val="center"/>
              <w:rPr>
                <w:rFonts w:hint="eastAsia" w:ascii="宋体" w:hAnsi="宋体" w:cs="宋体"/>
                <w:szCs w:val="21"/>
              </w:rPr>
            </w:pPr>
            <w:r>
              <w:rPr>
                <w:rFonts w:hint="eastAsia" w:ascii="宋体" w:hAnsi="宋体" w:cs="宋体"/>
                <w:szCs w:val="21"/>
              </w:rPr>
              <w:t>联系人</w:t>
            </w:r>
          </w:p>
          <w:p w14:paraId="6DEE6A35">
            <w:pPr>
              <w:snapToGrid w:val="0"/>
              <w:spacing w:line="460" w:lineRule="exact"/>
              <w:jc w:val="center"/>
              <w:rPr>
                <w:rFonts w:hint="eastAsia" w:ascii="宋体" w:hAnsi="宋体" w:cs="宋体"/>
                <w:szCs w:val="21"/>
              </w:rPr>
            </w:pPr>
            <w:r>
              <w:rPr>
                <w:rFonts w:hint="eastAsia" w:ascii="宋体" w:hAnsi="宋体" w:cs="宋体"/>
                <w:szCs w:val="21"/>
              </w:rPr>
              <w:t>（承办人）</w:t>
            </w:r>
          </w:p>
        </w:tc>
        <w:tc>
          <w:tcPr>
            <w:tcW w:w="4806" w:type="dxa"/>
            <w:gridSpan w:val="3"/>
            <w:tcBorders>
              <w:top w:val="single" w:color="auto" w:sz="6" w:space="0"/>
              <w:left w:val="single" w:color="auto" w:sz="6" w:space="0"/>
              <w:bottom w:val="single" w:color="auto" w:sz="6" w:space="0"/>
              <w:right w:val="single" w:color="auto" w:sz="6" w:space="0"/>
            </w:tcBorders>
            <w:vAlign w:val="center"/>
          </w:tcPr>
          <w:p w14:paraId="6E6D6CB6">
            <w:pPr>
              <w:snapToGrid w:val="0"/>
              <w:spacing w:line="460" w:lineRule="exact"/>
              <w:jc w:val="right"/>
              <w:rPr>
                <w:rFonts w:hint="eastAsia" w:ascii="宋体" w:hAnsi="宋体" w:cs="宋体"/>
                <w:szCs w:val="21"/>
              </w:rPr>
            </w:pPr>
            <w:r>
              <w:rPr>
                <w:rFonts w:hint="eastAsia" w:ascii="宋体" w:hAnsi="宋体" w:cs="宋体"/>
                <w:szCs w:val="21"/>
              </w:rPr>
              <w:t>（签章）</w:t>
            </w:r>
          </w:p>
        </w:tc>
        <w:tc>
          <w:tcPr>
            <w:tcW w:w="1535" w:type="dxa"/>
            <w:vMerge w:val="continue"/>
            <w:tcBorders>
              <w:top w:val="single" w:color="auto" w:sz="18" w:space="0"/>
              <w:left w:val="single" w:color="auto" w:sz="6" w:space="0"/>
              <w:bottom w:val="single" w:color="auto" w:sz="6" w:space="0"/>
              <w:right w:val="single" w:color="auto" w:sz="18" w:space="0"/>
            </w:tcBorders>
            <w:vAlign w:val="center"/>
          </w:tcPr>
          <w:p w14:paraId="76F06CE3">
            <w:pPr>
              <w:widowControl/>
              <w:snapToGrid w:val="0"/>
              <w:spacing w:line="460" w:lineRule="exact"/>
              <w:ind w:firstLine="396" w:firstLineChars="200"/>
              <w:rPr>
                <w:rFonts w:hint="eastAsia" w:ascii="宋体" w:hAnsi="宋体" w:cs="宋体"/>
                <w:spacing w:val="-6"/>
                <w:szCs w:val="21"/>
              </w:rPr>
            </w:pPr>
          </w:p>
        </w:tc>
      </w:tr>
      <w:tr w14:paraId="095709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43" w:hRule="atLeast"/>
          <w:jc w:val="center"/>
        </w:trPr>
        <w:tc>
          <w:tcPr>
            <w:tcW w:w="613" w:type="dxa"/>
            <w:vMerge w:val="continue"/>
            <w:tcBorders>
              <w:top w:val="single" w:color="auto" w:sz="18" w:space="0"/>
              <w:left w:val="single" w:color="auto" w:sz="18" w:space="0"/>
              <w:bottom w:val="single" w:color="auto" w:sz="6" w:space="0"/>
              <w:right w:val="single" w:color="auto" w:sz="6" w:space="0"/>
            </w:tcBorders>
            <w:vAlign w:val="center"/>
          </w:tcPr>
          <w:p w14:paraId="6B67FC78">
            <w:pPr>
              <w:widowControl/>
              <w:snapToGrid w:val="0"/>
              <w:spacing w:line="460" w:lineRule="exact"/>
              <w:ind w:firstLine="780" w:firstLineChars="200"/>
              <w:jc w:val="center"/>
              <w:rPr>
                <w:rFonts w:hint="eastAsia" w:ascii="宋体" w:hAnsi="宋体" w:cs="宋体"/>
                <w:spacing w:val="90"/>
                <w:szCs w:val="21"/>
              </w:rPr>
            </w:pPr>
          </w:p>
        </w:tc>
        <w:tc>
          <w:tcPr>
            <w:tcW w:w="1706" w:type="dxa"/>
            <w:tcBorders>
              <w:top w:val="single" w:color="auto" w:sz="6" w:space="0"/>
              <w:left w:val="single" w:color="auto" w:sz="6" w:space="0"/>
              <w:bottom w:val="single" w:color="auto" w:sz="6" w:space="0"/>
              <w:right w:val="single" w:color="auto" w:sz="6" w:space="0"/>
            </w:tcBorders>
            <w:vAlign w:val="center"/>
          </w:tcPr>
          <w:p w14:paraId="0F4D86FA">
            <w:pPr>
              <w:snapToGrid w:val="0"/>
              <w:spacing w:line="460" w:lineRule="exact"/>
              <w:jc w:val="center"/>
              <w:rPr>
                <w:rFonts w:hint="eastAsia" w:ascii="宋体" w:hAnsi="宋体" w:cs="宋体"/>
                <w:szCs w:val="21"/>
              </w:rPr>
            </w:pPr>
            <w:r>
              <w:rPr>
                <w:rFonts w:hint="eastAsia" w:ascii="宋体" w:hAnsi="宋体" w:cs="宋体"/>
                <w:szCs w:val="21"/>
              </w:rPr>
              <w:t>住所</w:t>
            </w:r>
          </w:p>
          <w:p w14:paraId="2C3FDBBF">
            <w:pPr>
              <w:snapToGrid w:val="0"/>
              <w:spacing w:line="460" w:lineRule="exact"/>
              <w:jc w:val="center"/>
              <w:rPr>
                <w:rFonts w:hint="eastAsia" w:ascii="宋体" w:hAnsi="宋体" w:cs="宋体"/>
                <w:szCs w:val="21"/>
              </w:rPr>
            </w:pPr>
            <w:r>
              <w:rPr>
                <w:rFonts w:hint="eastAsia" w:ascii="宋体" w:hAnsi="宋体" w:cs="宋体"/>
                <w:szCs w:val="21"/>
              </w:rPr>
              <w:t>（通讯地址）</w:t>
            </w:r>
          </w:p>
        </w:tc>
        <w:tc>
          <w:tcPr>
            <w:tcW w:w="2056" w:type="dxa"/>
            <w:tcBorders>
              <w:top w:val="single" w:color="auto" w:sz="6" w:space="0"/>
              <w:left w:val="single" w:color="auto" w:sz="6" w:space="0"/>
              <w:bottom w:val="single" w:color="auto" w:sz="6" w:space="0"/>
              <w:right w:val="single" w:color="auto" w:sz="6" w:space="0"/>
            </w:tcBorders>
            <w:vAlign w:val="center"/>
          </w:tcPr>
          <w:p w14:paraId="28DDE755">
            <w:pPr>
              <w:snapToGrid w:val="0"/>
              <w:spacing w:line="460" w:lineRule="exact"/>
              <w:rPr>
                <w:rFonts w:hint="eastAsia" w:ascii="宋体" w:hAnsi="宋体" w:cs="宋体"/>
                <w:szCs w:val="21"/>
              </w:rPr>
            </w:pPr>
          </w:p>
        </w:tc>
        <w:tc>
          <w:tcPr>
            <w:tcW w:w="1160" w:type="dxa"/>
            <w:tcBorders>
              <w:top w:val="single" w:color="auto" w:sz="6" w:space="0"/>
              <w:left w:val="single" w:color="auto" w:sz="6" w:space="0"/>
              <w:bottom w:val="single" w:color="auto" w:sz="6" w:space="0"/>
              <w:right w:val="single" w:color="auto" w:sz="6" w:space="0"/>
            </w:tcBorders>
            <w:vAlign w:val="center"/>
          </w:tcPr>
          <w:p w14:paraId="64008384">
            <w:pPr>
              <w:snapToGrid w:val="0"/>
              <w:spacing w:line="460" w:lineRule="exact"/>
              <w:rPr>
                <w:rFonts w:hint="eastAsia" w:ascii="宋体" w:hAnsi="宋体" w:cs="宋体"/>
                <w:spacing w:val="8"/>
                <w:szCs w:val="21"/>
              </w:rPr>
            </w:pPr>
            <w:r>
              <w:rPr>
                <w:rFonts w:hint="eastAsia" w:ascii="宋体" w:hAnsi="宋体" w:cs="宋体"/>
                <w:spacing w:val="8"/>
                <w:szCs w:val="21"/>
              </w:rPr>
              <w:t>邮政编码</w:t>
            </w:r>
          </w:p>
        </w:tc>
        <w:tc>
          <w:tcPr>
            <w:tcW w:w="1590" w:type="dxa"/>
            <w:tcBorders>
              <w:top w:val="single" w:color="auto" w:sz="6" w:space="0"/>
              <w:left w:val="single" w:color="auto" w:sz="6" w:space="0"/>
              <w:bottom w:val="single" w:color="auto" w:sz="6" w:space="0"/>
              <w:right w:val="single" w:color="auto" w:sz="6" w:space="0"/>
            </w:tcBorders>
            <w:vAlign w:val="center"/>
          </w:tcPr>
          <w:p w14:paraId="02C23E6A">
            <w:pPr>
              <w:snapToGrid w:val="0"/>
              <w:spacing w:line="460" w:lineRule="exact"/>
              <w:rPr>
                <w:rFonts w:hint="eastAsia" w:ascii="宋体" w:hAnsi="宋体" w:cs="宋体"/>
                <w:szCs w:val="21"/>
              </w:rPr>
            </w:pPr>
          </w:p>
        </w:tc>
        <w:tc>
          <w:tcPr>
            <w:tcW w:w="1535" w:type="dxa"/>
            <w:vMerge w:val="continue"/>
            <w:tcBorders>
              <w:top w:val="single" w:color="auto" w:sz="18" w:space="0"/>
              <w:left w:val="single" w:color="auto" w:sz="6" w:space="0"/>
              <w:bottom w:val="single" w:color="auto" w:sz="6" w:space="0"/>
              <w:right w:val="single" w:color="auto" w:sz="18" w:space="0"/>
            </w:tcBorders>
            <w:vAlign w:val="center"/>
          </w:tcPr>
          <w:p w14:paraId="70E12BB7">
            <w:pPr>
              <w:widowControl/>
              <w:snapToGrid w:val="0"/>
              <w:spacing w:line="460" w:lineRule="exact"/>
              <w:ind w:firstLine="396" w:firstLineChars="200"/>
              <w:rPr>
                <w:rFonts w:hint="eastAsia" w:ascii="宋体" w:hAnsi="宋体" w:cs="宋体"/>
                <w:spacing w:val="-6"/>
                <w:szCs w:val="21"/>
              </w:rPr>
            </w:pPr>
          </w:p>
        </w:tc>
      </w:tr>
      <w:tr w14:paraId="577BDB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43" w:hRule="atLeast"/>
          <w:jc w:val="center"/>
        </w:trPr>
        <w:tc>
          <w:tcPr>
            <w:tcW w:w="613" w:type="dxa"/>
            <w:vMerge w:val="continue"/>
            <w:tcBorders>
              <w:top w:val="single" w:color="auto" w:sz="18" w:space="0"/>
              <w:left w:val="single" w:color="auto" w:sz="18" w:space="0"/>
              <w:bottom w:val="single" w:color="auto" w:sz="6" w:space="0"/>
              <w:right w:val="single" w:color="auto" w:sz="6" w:space="0"/>
            </w:tcBorders>
            <w:vAlign w:val="center"/>
          </w:tcPr>
          <w:p w14:paraId="6B0385D9">
            <w:pPr>
              <w:widowControl/>
              <w:snapToGrid w:val="0"/>
              <w:spacing w:line="460" w:lineRule="exact"/>
              <w:ind w:firstLine="780" w:firstLineChars="200"/>
              <w:jc w:val="center"/>
              <w:rPr>
                <w:rFonts w:hint="eastAsia" w:ascii="宋体" w:hAnsi="宋体" w:cs="宋体"/>
                <w:spacing w:val="90"/>
                <w:szCs w:val="21"/>
              </w:rPr>
            </w:pPr>
          </w:p>
        </w:tc>
        <w:tc>
          <w:tcPr>
            <w:tcW w:w="1706" w:type="dxa"/>
            <w:tcBorders>
              <w:top w:val="single" w:color="auto" w:sz="6" w:space="0"/>
              <w:left w:val="single" w:color="auto" w:sz="6" w:space="0"/>
              <w:bottom w:val="single" w:color="auto" w:sz="6" w:space="0"/>
              <w:right w:val="single" w:color="auto" w:sz="6" w:space="0"/>
            </w:tcBorders>
            <w:vAlign w:val="center"/>
          </w:tcPr>
          <w:p w14:paraId="0132CA46">
            <w:pPr>
              <w:snapToGrid w:val="0"/>
              <w:spacing w:line="460" w:lineRule="exact"/>
              <w:jc w:val="center"/>
              <w:rPr>
                <w:rFonts w:hint="eastAsia" w:ascii="宋体" w:hAnsi="宋体" w:cs="宋体"/>
                <w:szCs w:val="21"/>
              </w:rPr>
            </w:pPr>
            <w:r>
              <w:rPr>
                <w:rFonts w:hint="eastAsia" w:ascii="宋体" w:hAnsi="宋体" w:cs="宋体"/>
                <w:szCs w:val="21"/>
              </w:rPr>
              <w:t>电话</w:t>
            </w:r>
          </w:p>
        </w:tc>
        <w:tc>
          <w:tcPr>
            <w:tcW w:w="2056" w:type="dxa"/>
            <w:tcBorders>
              <w:top w:val="single" w:color="auto" w:sz="6" w:space="0"/>
              <w:left w:val="single" w:color="auto" w:sz="6" w:space="0"/>
              <w:bottom w:val="single" w:color="auto" w:sz="6" w:space="0"/>
              <w:right w:val="single" w:color="auto" w:sz="6" w:space="0"/>
            </w:tcBorders>
            <w:vAlign w:val="center"/>
          </w:tcPr>
          <w:p w14:paraId="14869D66">
            <w:pPr>
              <w:snapToGrid w:val="0"/>
              <w:spacing w:line="460" w:lineRule="exact"/>
              <w:ind w:firstLine="420" w:firstLineChars="200"/>
              <w:rPr>
                <w:rFonts w:hint="eastAsia" w:ascii="宋体" w:hAnsi="宋体" w:cs="宋体"/>
                <w:szCs w:val="21"/>
              </w:rPr>
            </w:pPr>
          </w:p>
        </w:tc>
        <w:tc>
          <w:tcPr>
            <w:tcW w:w="1160" w:type="dxa"/>
            <w:tcBorders>
              <w:top w:val="single" w:color="auto" w:sz="6" w:space="0"/>
              <w:left w:val="single" w:color="auto" w:sz="6" w:space="0"/>
              <w:bottom w:val="single" w:color="auto" w:sz="6" w:space="0"/>
              <w:right w:val="single" w:color="auto" w:sz="6" w:space="0"/>
            </w:tcBorders>
            <w:vAlign w:val="center"/>
          </w:tcPr>
          <w:p w14:paraId="0B510DDA">
            <w:pPr>
              <w:snapToGrid w:val="0"/>
              <w:spacing w:line="460" w:lineRule="exact"/>
              <w:rPr>
                <w:rFonts w:hint="eastAsia" w:ascii="宋体" w:hAnsi="宋体" w:cs="宋体"/>
                <w:szCs w:val="21"/>
              </w:rPr>
            </w:pPr>
            <w:r>
              <w:rPr>
                <w:rFonts w:hint="eastAsia" w:ascii="宋体" w:hAnsi="宋体" w:cs="宋体"/>
                <w:szCs w:val="21"/>
              </w:rPr>
              <w:t>传真</w:t>
            </w:r>
          </w:p>
        </w:tc>
        <w:tc>
          <w:tcPr>
            <w:tcW w:w="1590" w:type="dxa"/>
            <w:tcBorders>
              <w:top w:val="single" w:color="auto" w:sz="6" w:space="0"/>
              <w:left w:val="single" w:color="auto" w:sz="6" w:space="0"/>
              <w:bottom w:val="single" w:color="auto" w:sz="6" w:space="0"/>
              <w:right w:val="single" w:color="auto" w:sz="6" w:space="0"/>
            </w:tcBorders>
            <w:vAlign w:val="center"/>
          </w:tcPr>
          <w:p w14:paraId="3F8D213A">
            <w:pPr>
              <w:snapToGrid w:val="0"/>
              <w:spacing w:line="460" w:lineRule="exact"/>
              <w:rPr>
                <w:rFonts w:hint="eastAsia" w:ascii="宋体" w:hAnsi="宋体" w:cs="宋体"/>
                <w:szCs w:val="21"/>
              </w:rPr>
            </w:pPr>
          </w:p>
        </w:tc>
        <w:tc>
          <w:tcPr>
            <w:tcW w:w="1535" w:type="dxa"/>
            <w:vMerge w:val="continue"/>
            <w:tcBorders>
              <w:top w:val="single" w:color="auto" w:sz="18" w:space="0"/>
              <w:left w:val="single" w:color="auto" w:sz="6" w:space="0"/>
              <w:bottom w:val="single" w:color="auto" w:sz="6" w:space="0"/>
              <w:right w:val="single" w:color="auto" w:sz="18" w:space="0"/>
            </w:tcBorders>
            <w:vAlign w:val="center"/>
          </w:tcPr>
          <w:p w14:paraId="244072AB">
            <w:pPr>
              <w:widowControl/>
              <w:snapToGrid w:val="0"/>
              <w:spacing w:line="460" w:lineRule="exact"/>
              <w:ind w:firstLine="396" w:firstLineChars="200"/>
              <w:rPr>
                <w:rFonts w:hint="eastAsia" w:ascii="宋体" w:hAnsi="宋体" w:cs="宋体"/>
                <w:spacing w:val="-6"/>
                <w:szCs w:val="21"/>
              </w:rPr>
            </w:pPr>
          </w:p>
        </w:tc>
      </w:tr>
      <w:tr w14:paraId="7AECB0C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43" w:hRule="atLeast"/>
          <w:jc w:val="center"/>
        </w:trPr>
        <w:tc>
          <w:tcPr>
            <w:tcW w:w="613" w:type="dxa"/>
            <w:vMerge w:val="continue"/>
            <w:tcBorders>
              <w:top w:val="single" w:color="auto" w:sz="18" w:space="0"/>
              <w:left w:val="single" w:color="auto" w:sz="18" w:space="0"/>
              <w:bottom w:val="single" w:color="auto" w:sz="6" w:space="0"/>
              <w:right w:val="single" w:color="auto" w:sz="6" w:space="0"/>
            </w:tcBorders>
            <w:vAlign w:val="center"/>
          </w:tcPr>
          <w:p w14:paraId="45B193E0">
            <w:pPr>
              <w:widowControl/>
              <w:snapToGrid w:val="0"/>
              <w:spacing w:line="460" w:lineRule="exact"/>
              <w:ind w:firstLine="780" w:firstLineChars="200"/>
              <w:jc w:val="center"/>
              <w:rPr>
                <w:rFonts w:hint="eastAsia" w:ascii="宋体" w:hAnsi="宋体" w:cs="宋体"/>
                <w:spacing w:val="90"/>
                <w:szCs w:val="21"/>
              </w:rPr>
            </w:pPr>
          </w:p>
        </w:tc>
        <w:tc>
          <w:tcPr>
            <w:tcW w:w="1706" w:type="dxa"/>
            <w:tcBorders>
              <w:top w:val="single" w:color="auto" w:sz="6" w:space="0"/>
              <w:left w:val="single" w:color="auto" w:sz="6" w:space="0"/>
              <w:bottom w:val="single" w:color="auto" w:sz="6" w:space="0"/>
              <w:right w:val="single" w:color="auto" w:sz="6" w:space="0"/>
            </w:tcBorders>
            <w:vAlign w:val="center"/>
          </w:tcPr>
          <w:p w14:paraId="4882E4B9">
            <w:pPr>
              <w:snapToGrid w:val="0"/>
              <w:spacing w:line="460" w:lineRule="exact"/>
              <w:jc w:val="center"/>
              <w:rPr>
                <w:rFonts w:hint="eastAsia" w:ascii="宋体" w:hAnsi="宋体" w:cs="宋体"/>
                <w:szCs w:val="21"/>
              </w:rPr>
            </w:pPr>
            <w:r>
              <w:rPr>
                <w:rFonts w:hint="eastAsia" w:ascii="宋体" w:hAnsi="宋体" w:cs="宋体"/>
                <w:szCs w:val="21"/>
              </w:rPr>
              <w:t>开户银行</w:t>
            </w:r>
          </w:p>
        </w:tc>
        <w:tc>
          <w:tcPr>
            <w:tcW w:w="4806" w:type="dxa"/>
            <w:gridSpan w:val="3"/>
            <w:tcBorders>
              <w:top w:val="single" w:color="auto" w:sz="6" w:space="0"/>
              <w:left w:val="single" w:color="auto" w:sz="6" w:space="0"/>
              <w:bottom w:val="single" w:color="auto" w:sz="6" w:space="0"/>
              <w:right w:val="single" w:color="auto" w:sz="6" w:space="0"/>
            </w:tcBorders>
            <w:vAlign w:val="center"/>
          </w:tcPr>
          <w:p w14:paraId="608D59B5">
            <w:pPr>
              <w:snapToGrid w:val="0"/>
              <w:spacing w:line="460" w:lineRule="exact"/>
              <w:jc w:val="center"/>
              <w:rPr>
                <w:rFonts w:hint="eastAsia" w:ascii="宋体" w:hAnsi="宋体" w:cs="宋体"/>
                <w:szCs w:val="21"/>
              </w:rPr>
            </w:pPr>
          </w:p>
        </w:tc>
        <w:tc>
          <w:tcPr>
            <w:tcW w:w="1535" w:type="dxa"/>
            <w:vMerge w:val="continue"/>
            <w:tcBorders>
              <w:top w:val="single" w:color="auto" w:sz="18" w:space="0"/>
              <w:left w:val="single" w:color="auto" w:sz="6" w:space="0"/>
              <w:bottom w:val="single" w:color="auto" w:sz="6" w:space="0"/>
              <w:right w:val="single" w:color="auto" w:sz="18" w:space="0"/>
            </w:tcBorders>
            <w:vAlign w:val="center"/>
          </w:tcPr>
          <w:p w14:paraId="29B7600E">
            <w:pPr>
              <w:widowControl/>
              <w:snapToGrid w:val="0"/>
              <w:spacing w:line="460" w:lineRule="exact"/>
              <w:ind w:firstLine="396" w:firstLineChars="200"/>
              <w:rPr>
                <w:rFonts w:hint="eastAsia" w:ascii="宋体" w:hAnsi="宋体" w:cs="宋体"/>
                <w:spacing w:val="-6"/>
                <w:szCs w:val="21"/>
              </w:rPr>
            </w:pPr>
          </w:p>
        </w:tc>
      </w:tr>
      <w:tr w14:paraId="3008B9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43" w:hRule="atLeast"/>
          <w:jc w:val="center"/>
        </w:trPr>
        <w:tc>
          <w:tcPr>
            <w:tcW w:w="613" w:type="dxa"/>
            <w:vMerge w:val="continue"/>
            <w:tcBorders>
              <w:top w:val="single" w:color="auto" w:sz="18" w:space="0"/>
              <w:left w:val="single" w:color="auto" w:sz="18" w:space="0"/>
              <w:bottom w:val="single" w:color="auto" w:sz="6" w:space="0"/>
              <w:right w:val="single" w:color="auto" w:sz="6" w:space="0"/>
            </w:tcBorders>
            <w:vAlign w:val="center"/>
          </w:tcPr>
          <w:p w14:paraId="6545DABD">
            <w:pPr>
              <w:widowControl/>
              <w:snapToGrid w:val="0"/>
              <w:spacing w:line="460" w:lineRule="exact"/>
              <w:ind w:firstLine="780" w:firstLineChars="200"/>
              <w:jc w:val="center"/>
              <w:rPr>
                <w:rFonts w:hint="eastAsia" w:ascii="宋体" w:hAnsi="宋体" w:cs="宋体"/>
                <w:spacing w:val="90"/>
                <w:szCs w:val="21"/>
              </w:rPr>
            </w:pPr>
          </w:p>
        </w:tc>
        <w:tc>
          <w:tcPr>
            <w:tcW w:w="1706" w:type="dxa"/>
            <w:tcBorders>
              <w:top w:val="single" w:color="auto" w:sz="6" w:space="0"/>
              <w:left w:val="single" w:color="auto" w:sz="6" w:space="0"/>
              <w:bottom w:val="single" w:color="auto" w:sz="6" w:space="0"/>
              <w:right w:val="single" w:color="auto" w:sz="6" w:space="0"/>
            </w:tcBorders>
            <w:vAlign w:val="center"/>
          </w:tcPr>
          <w:p w14:paraId="43E583F7">
            <w:pPr>
              <w:snapToGrid w:val="0"/>
              <w:spacing w:line="460" w:lineRule="exact"/>
              <w:jc w:val="center"/>
              <w:rPr>
                <w:rFonts w:hint="eastAsia" w:ascii="宋体" w:hAnsi="宋体" w:cs="宋体"/>
                <w:szCs w:val="21"/>
              </w:rPr>
            </w:pPr>
            <w:r>
              <w:rPr>
                <w:rFonts w:hint="eastAsia" w:ascii="宋体" w:hAnsi="宋体" w:cs="宋体"/>
                <w:szCs w:val="21"/>
              </w:rPr>
              <w:t>账号</w:t>
            </w:r>
          </w:p>
        </w:tc>
        <w:tc>
          <w:tcPr>
            <w:tcW w:w="4806" w:type="dxa"/>
            <w:gridSpan w:val="3"/>
            <w:tcBorders>
              <w:top w:val="single" w:color="auto" w:sz="6" w:space="0"/>
              <w:left w:val="single" w:color="auto" w:sz="6" w:space="0"/>
              <w:bottom w:val="single" w:color="auto" w:sz="6" w:space="0"/>
              <w:right w:val="single" w:color="auto" w:sz="6" w:space="0"/>
            </w:tcBorders>
            <w:vAlign w:val="center"/>
          </w:tcPr>
          <w:p w14:paraId="57046582">
            <w:pPr>
              <w:snapToGrid w:val="0"/>
              <w:spacing w:line="460" w:lineRule="exact"/>
              <w:jc w:val="center"/>
              <w:rPr>
                <w:rFonts w:hint="eastAsia" w:ascii="宋体" w:hAnsi="宋体" w:cs="宋体"/>
                <w:szCs w:val="21"/>
              </w:rPr>
            </w:pPr>
          </w:p>
        </w:tc>
        <w:tc>
          <w:tcPr>
            <w:tcW w:w="1535" w:type="dxa"/>
            <w:vMerge w:val="continue"/>
            <w:tcBorders>
              <w:top w:val="single" w:color="auto" w:sz="18" w:space="0"/>
              <w:left w:val="single" w:color="auto" w:sz="6" w:space="0"/>
              <w:bottom w:val="single" w:color="auto" w:sz="6" w:space="0"/>
              <w:right w:val="single" w:color="auto" w:sz="18" w:space="0"/>
            </w:tcBorders>
            <w:vAlign w:val="center"/>
          </w:tcPr>
          <w:p w14:paraId="5EB710B4">
            <w:pPr>
              <w:widowControl/>
              <w:snapToGrid w:val="0"/>
              <w:spacing w:line="460" w:lineRule="exact"/>
              <w:ind w:firstLine="396" w:firstLineChars="200"/>
              <w:rPr>
                <w:rFonts w:hint="eastAsia" w:ascii="宋体" w:hAnsi="宋体" w:cs="宋体"/>
                <w:spacing w:val="-6"/>
                <w:szCs w:val="21"/>
              </w:rPr>
            </w:pPr>
          </w:p>
        </w:tc>
      </w:tr>
      <w:tr w14:paraId="399BC0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43" w:hRule="atLeast"/>
          <w:jc w:val="center"/>
        </w:trPr>
        <w:tc>
          <w:tcPr>
            <w:tcW w:w="613" w:type="dxa"/>
            <w:vMerge w:val="restart"/>
            <w:tcBorders>
              <w:top w:val="single" w:color="auto" w:sz="6" w:space="0"/>
              <w:left w:val="single" w:color="auto" w:sz="18" w:space="0"/>
              <w:bottom w:val="single" w:color="auto" w:sz="18" w:space="0"/>
              <w:right w:val="single" w:color="auto" w:sz="6" w:space="0"/>
            </w:tcBorders>
            <w:textDirection w:val="tbRlV"/>
            <w:vAlign w:val="center"/>
          </w:tcPr>
          <w:p w14:paraId="59C099B2">
            <w:pPr>
              <w:snapToGrid w:val="0"/>
              <w:spacing w:line="460" w:lineRule="exact"/>
              <w:jc w:val="center"/>
              <w:rPr>
                <w:rFonts w:hint="eastAsia" w:ascii="宋体" w:hAnsi="宋体" w:cs="宋体"/>
                <w:szCs w:val="21"/>
              </w:rPr>
            </w:pPr>
            <w:r>
              <w:rPr>
                <w:rFonts w:hint="eastAsia" w:ascii="宋体" w:hAnsi="宋体" w:cs="宋体"/>
                <w:szCs w:val="21"/>
              </w:rPr>
              <w:t>受托人（乙方）</w:t>
            </w:r>
          </w:p>
        </w:tc>
        <w:tc>
          <w:tcPr>
            <w:tcW w:w="1706" w:type="dxa"/>
            <w:tcBorders>
              <w:top w:val="single" w:color="auto" w:sz="6" w:space="0"/>
              <w:left w:val="single" w:color="auto" w:sz="6" w:space="0"/>
              <w:bottom w:val="single" w:color="auto" w:sz="6" w:space="0"/>
              <w:right w:val="single" w:color="auto" w:sz="6" w:space="0"/>
            </w:tcBorders>
            <w:vAlign w:val="center"/>
          </w:tcPr>
          <w:p w14:paraId="4CD51EB9">
            <w:pPr>
              <w:snapToGrid w:val="0"/>
              <w:spacing w:line="460" w:lineRule="exact"/>
              <w:jc w:val="center"/>
              <w:rPr>
                <w:rFonts w:hint="eastAsia" w:ascii="宋体" w:hAnsi="宋体" w:cs="宋体"/>
                <w:szCs w:val="21"/>
              </w:rPr>
            </w:pPr>
            <w:r>
              <w:rPr>
                <w:rFonts w:hint="eastAsia" w:ascii="宋体" w:hAnsi="宋体" w:cs="宋体"/>
                <w:szCs w:val="21"/>
              </w:rPr>
              <w:t>名称</w:t>
            </w:r>
          </w:p>
          <w:p w14:paraId="27088FFA">
            <w:pPr>
              <w:snapToGrid w:val="0"/>
              <w:spacing w:line="460" w:lineRule="exact"/>
              <w:jc w:val="center"/>
              <w:rPr>
                <w:rFonts w:hint="eastAsia" w:ascii="宋体" w:hAnsi="宋体" w:cs="宋体"/>
                <w:szCs w:val="21"/>
              </w:rPr>
            </w:pPr>
            <w:r>
              <w:rPr>
                <w:rFonts w:hint="eastAsia" w:ascii="宋体" w:hAnsi="宋体" w:cs="宋体"/>
                <w:szCs w:val="21"/>
              </w:rPr>
              <w:t>（或姓名）</w:t>
            </w:r>
          </w:p>
        </w:tc>
        <w:tc>
          <w:tcPr>
            <w:tcW w:w="4806" w:type="dxa"/>
            <w:gridSpan w:val="3"/>
            <w:tcBorders>
              <w:top w:val="single" w:color="auto" w:sz="6" w:space="0"/>
              <w:left w:val="single" w:color="auto" w:sz="6" w:space="0"/>
              <w:bottom w:val="single" w:color="auto" w:sz="6" w:space="0"/>
              <w:right w:val="single" w:color="auto" w:sz="6" w:space="0"/>
            </w:tcBorders>
            <w:vAlign w:val="center"/>
          </w:tcPr>
          <w:p w14:paraId="0E882B76">
            <w:pPr>
              <w:snapToGrid w:val="0"/>
              <w:spacing w:line="460" w:lineRule="exact"/>
              <w:rPr>
                <w:rFonts w:hint="eastAsia" w:ascii="宋体" w:hAnsi="宋体" w:cs="宋体"/>
                <w:szCs w:val="21"/>
              </w:rPr>
            </w:pPr>
          </w:p>
        </w:tc>
        <w:tc>
          <w:tcPr>
            <w:tcW w:w="1535" w:type="dxa"/>
            <w:vMerge w:val="restart"/>
            <w:tcBorders>
              <w:top w:val="single" w:color="auto" w:sz="6" w:space="0"/>
              <w:left w:val="single" w:color="auto" w:sz="6" w:space="0"/>
              <w:bottom w:val="single" w:color="auto" w:sz="18" w:space="0"/>
              <w:right w:val="single" w:color="auto" w:sz="18" w:space="0"/>
            </w:tcBorders>
            <w:vAlign w:val="center"/>
          </w:tcPr>
          <w:p w14:paraId="18F805D7">
            <w:pPr>
              <w:snapToGrid w:val="0"/>
              <w:spacing w:line="460" w:lineRule="exact"/>
              <w:jc w:val="center"/>
              <w:rPr>
                <w:rFonts w:hint="eastAsia" w:ascii="宋体" w:hAnsi="宋体" w:cs="宋体"/>
                <w:spacing w:val="-8"/>
                <w:szCs w:val="21"/>
              </w:rPr>
            </w:pPr>
            <w:r>
              <w:rPr>
                <w:rFonts w:hint="eastAsia" w:ascii="宋体" w:hAnsi="宋体" w:cs="宋体"/>
                <w:spacing w:val="-8"/>
                <w:szCs w:val="21"/>
              </w:rPr>
              <w:t>合同专用章</w:t>
            </w:r>
          </w:p>
          <w:p w14:paraId="7E04D6E1">
            <w:pPr>
              <w:snapToGrid w:val="0"/>
              <w:spacing w:line="460" w:lineRule="exact"/>
              <w:jc w:val="center"/>
              <w:rPr>
                <w:rFonts w:hint="eastAsia" w:ascii="宋体" w:hAnsi="宋体" w:cs="宋体"/>
                <w:szCs w:val="21"/>
              </w:rPr>
            </w:pPr>
            <w:r>
              <w:rPr>
                <w:rFonts w:hint="eastAsia" w:ascii="宋体" w:hAnsi="宋体" w:cs="宋体"/>
                <w:szCs w:val="21"/>
              </w:rPr>
              <w:t>或</w:t>
            </w:r>
          </w:p>
          <w:p w14:paraId="1AB46469">
            <w:pPr>
              <w:snapToGrid w:val="0"/>
              <w:spacing w:line="460" w:lineRule="exact"/>
              <w:jc w:val="center"/>
              <w:rPr>
                <w:rFonts w:hint="eastAsia" w:ascii="宋体" w:hAnsi="宋体" w:cs="宋体"/>
                <w:spacing w:val="10"/>
                <w:szCs w:val="21"/>
              </w:rPr>
            </w:pPr>
            <w:r>
              <w:rPr>
                <w:rFonts w:hint="eastAsia" w:ascii="宋体" w:hAnsi="宋体" w:cs="宋体"/>
                <w:spacing w:val="10"/>
                <w:szCs w:val="21"/>
              </w:rPr>
              <w:t>单位公章</w:t>
            </w:r>
          </w:p>
          <w:p w14:paraId="157CCE90">
            <w:pPr>
              <w:snapToGrid w:val="0"/>
              <w:spacing w:line="460" w:lineRule="exact"/>
              <w:ind w:firstLine="420" w:firstLineChars="200"/>
              <w:rPr>
                <w:rFonts w:hint="eastAsia" w:ascii="宋体" w:hAnsi="宋体" w:cs="宋体"/>
                <w:szCs w:val="21"/>
              </w:rPr>
            </w:pPr>
          </w:p>
          <w:p w14:paraId="700D298D">
            <w:pPr>
              <w:snapToGrid w:val="0"/>
              <w:spacing w:line="460" w:lineRule="exact"/>
              <w:ind w:firstLine="420" w:firstLineChars="200"/>
              <w:rPr>
                <w:rFonts w:hint="eastAsia" w:ascii="宋体" w:hAnsi="宋体" w:cs="宋体"/>
                <w:szCs w:val="21"/>
              </w:rPr>
            </w:pPr>
          </w:p>
          <w:p w14:paraId="43FFEBC0">
            <w:pPr>
              <w:snapToGrid w:val="0"/>
              <w:spacing w:line="460" w:lineRule="exact"/>
              <w:ind w:firstLine="420" w:firstLineChars="200"/>
              <w:rPr>
                <w:rFonts w:hint="eastAsia" w:ascii="宋体" w:hAnsi="宋体" w:cs="宋体"/>
                <w:szCs w:val="21"/>
              </w:rPr>
            </w:pPr>
          </w:p>
          <w:p w14:paraId="4C040362">
            <w:pPr>
              <w:snapToGrid w:val="0"/>
              <w:spacing w:line="460" w:lineRule="exact"/>
              <w:ind w:firstLine="420" w:firstLineChars="200"/>
              <w:rPr>
                <w:rFonts w:hint="eastAsia" w:ascii="宋体" w:hAnsi="宋体" w:cs="宋体"/>
                <w:szCs w:val="21"/>
              </w:rPr>
            </w:pPr>
          </w:p>
          <w:p w14:paraId="5102B040">
            <w:pPr>
              <w:snapToGrid w:val="0"/>
              <w:spacing w:line="460" w:lineRule="exact"/>
              <w:ind w:firstLine="420" w:firstLineChars="200"/>
              <w:rPr>
                <w:rFonts w:hint="eastAsia" w:ascii="宋体" w:hAnsi="宋体" w:cs="宋体"/>
                <w:szCs w:val="21"/>
              </w:rPr>
            </w:pPr>
          </w:p>
          <w:p w14:paraId="6F30656F">
            <w:pPr>
              <w:snapToGrid w:val="0"/>
              <w:spacing w:line="460" w:lineRule="exact"/>
              <w:ind w:firstLine="420" w:firstLineChars="200"/>
              <w:rPr>
                <w:rFonts w:hint="eastAsia" w:ascii="宋体" w:hAnsi="宋体" w:cs="宋体"/>
                <w:szCs w:val="21"/>
              </w:rPr>
            </w:pPr>
          </w:p>
          <w:p w14:paraId="2EB03987">
            <w:pPr>
              <w:snapToGrid w:val="0"/>
              <w:spacing w:line="460" w:lineRule="exact"/>
              <w:jc w:val="right"/>
              <w:rPr>
                <w:rFonts w:hint="eastAsia" w:ascii="宋体" w:hAnsi="宋体" w:cs="宋体"/>
                <w:szCs w:val="21"/>
              </w:rPr>
            </w:pPr>
            <w:r>
              <w:rPr>
                <w:rFonts w:hint="eastAsia" w:ascii="宋体" w:hAnsi="宋体" w:cs="宋体"/>
                <w:spacing w:val="-6"/>
                <w:szCs w:val="21"/>
              </w:rPr>
              <w:t>年    月   日</w:t>
            </w:r>
          </w:p>
        </w:tc>
      </w:tr>
      <w:tr w14:paraId="3C6E4C5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43" w:hRule="atLeast"/>
          <w:jc w:val="center"/>
        </w:trPr>
        <w:tc>
          <w:tcPr>
            <w:tcW w:w="613" w:type="dxa"/>
            <w:vMerge w:val="continue"/>
            <w:tcBorders>
              <w:top w:val="single" w:color="auto" w:sz="6" w:space="0"/>
              <w:left w:val="single" w:color="auto" w:sz="18" w:space="0"/>
              <w:bottom w:val="single" w:color="auto" w:sz="18" w:space="0"/>
              <w:right w:val="single" w:color="auto" w:sz="6" w:space="0"/>
            </w:tcBorders>
            <w:vAlign w:val="center"/>
          </w:tcPr>
          <w:p w14:paraId="273844D0">
            <w:pPr>
              <w:snapToGrid w:val="0"/>
              <w:spacing w:line="460" w:lineRule="exact"/>
              <w:jc w:val="center"/>
              <w:rPr>
                <w:rFonts w:hint="eastAsia" w:ascii="宋体" w:hAnsi="宋体" w:cs="宋体"/>
                <w:szCs w:val="21"/>
              </w:rPr>
            </w:pPr>
          </w:p>
        </w:tc>
        <w:tc>
          <w:tcPr>
            <w:tcW w:w="1706" w:type="dxa"/>
            <w:tcBorders>
              <w:top w:val="single" w:color="auto" w:sz="6" w:space="0"/>
              <w:left w:val="single" w:color="auto" w:sz="6" w:space="0"/>
              <w:bottom w:val="single" w:color="auto" w:sz="6" w:space="0"/>
              <w:right w:val="single" w:color="auto" w:sz="6" w:space="0"/>
            </w:tcBorders>
            <w:vAlign w:val="center"/>
          </w:tcPr>
          <w:p w14:paraId="34B49EE1">
            <w:pPr>
              <w:snapToGrid w:val="0"/>
              <w:spacing w:line="460" w:lineRule="exact"/>
              <w:jc w:val="center"/>
              <w:rPr>
                <w:rFonts w:hint="eastAsia" w:ascii="宋体" w:hAnsi="宋体" w:cs="宋体"/>
                <w:szCs w:val="21"/>
              </w:rPr>
            </w:pPr>
            <w:r>
              <w:rPr>
                <w:rFonts w:hint="eastAsia" w:ascii="宋体" w:hAnsi="宋体" w:cs="宋体"/>
                <w:szCs w:val="21"/>
              </w:rPr>
              <w:t>联系人</w:t>
            </w:r>
          </w:p>
          <w:p w14:paraId="103FE3E0">
            <w:pPr>
              <w:snapToGrid w:val="0"/>
              <w:spacing w:line="460" w:lineRule="exact"/>
              <w:jc w:val="center"/>
              <w:rPr>
                <w:rFonts w:hint="eastAsia" w:ascii="宋体" w:hAnsi="宋体" w:cs="宋体"/>
                <w:szCs w:val="21"/>
              </w:rPr>
            </w:pPr>
            <w:r>
              <w:rPr>
                <w:rFonts w:hint="eastAsia" w:ascii="宋体" w:hAnsi="宋体" w:cs="宋体"/>
                <w:szCs w:val="21"/>
              </w:rPr>
              <w:t>（经办人）</w:t>
            </w:r>
          </w:p>
        </w:tc>
        <w:tc>
          <w:tcPr>
            <w:tcW w:w="4806" w:type="dxa"/>
            <w:gridSpan w:val="3"/>
            <w:tcBorders>
              <w:top w:val="single" w:color="auto" w:sz="6" w:space="0"/>
              <w:left w:val="single" w:color="auto" w:sz="6" w:space="0"/>
              <w:bottom w:val="single" w:color="auto" w:sz="6" w:space="0"/>
              <w:right w:val="single" w:color="auto" w:sz="6" w:space="0"/>
            </w:tcBorders>
            <w:vAlign w:val="center"/>
          </w:tcPr>
          <w:p w14:paraId="7E15BC72">
            <w:pPr>
              <w:snapToGrid w:val="0"/>
              <w:spacing w:line="460" w:lineRule="exact"/>
              <w:jc w:val="right"/>
              <w:rPr>
                <w:rFonts w:hint="eastAsia" w:ascii="宋体" w:hAnsi="宋体" w:cs="宋体"/>
                <w:szCs w:val="21"/>
              </w:rPr>
            </w:pPr>
            <w:r>
              <w:rPr>
                <w:rFonts w:hint="eastAsia" w:ascii="宋体" w:hAnsi="宋体" w:cs="宋体"/>
                <w:szCs w:val="21"/>
              </w:rPr>
              <w:t>（签章）</w:t>
            </w:r>
          </w:p>
        </w:tc>
        <w:tc>
          <w:tcPr>
            <w:tcW w:w="1535" w:type="dxa"/>
            <w:vMerge w:val="continue"/>
            <w:tcBorders>
              <w:top w:val="single" w:color="auto" w:sz="6" w:space="0"/>
              <w:left w:val="single" w:color="auto" w:sz="6" w:space="0"/>
              <w:bottom w:val="single" w:color="auto" w:sz="18" w:space="0"/>
              <w:right w:val="single" w:color="auto" w:sz="18" w:space="0"/>
            </w:tcBorders>
            <w:vAlign w:val="center"/>
          </w:tcPr>
          <w:p w14:paraId="22EB6AD6">
            <w:pPr>
              <w:widowControl/>
              <w:snapToGrid w:val="0"/>
              <w:spacing w:line="460" w:lineRule="exact"/>
              <w:ind w:firstLine="420" w:firstLineChars="200"/>
              <w:rPr>
                <w:rFonts w:hint="eastAsia" w:ascii="宋体" w:hAnsi="宋体" w:cs="宋体"/>
                <w:szCs w:val="21"/>
              </w:rPr>
            </w:pPr>
          </w:p>
        </w:tc>
      </w:tr>
      <w:tr w14:paraId="47081BC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43" w:hRule="atLeast"/>
          <w:jc w:val="center"/>
        </w:trPr>
        <w:tc>
          <w:tcPr>
            <w:tcW w:w="613" w:type="dxa"/>
            <w:vMerge w:val="continue"/>
            <w:tcBorders>
              <w:top w:val="single" w:color="auto" w:sz="6" w:space="0"/>
              <w:left w:val="single" w:color="auto" w:sz="18" w:space="0"/>
              <w:bottom w:val="single" w:color="auto" w:sz="18" w:space="0"/>
              <w:right w:val="single" w:color="auto" w:sz="6" w:space="0"/>
            </w:tcBorders>
            <w:vAlign w:val="center"/>
          </w:tcPr>
          <w:p w14:paraId="6E727838">
            <w:pPr>
              <w:snapToGrid w:val="0"/>
              <w:spacing w:line="460" w:lineRule="exact"/>
              <w:jc w:val="center"/>
              <w:rPr>
                <w:rFonts w:hint="eastAsia" w:ascii="宋体" w:hAnsi="宋体" w:cs="宋体"/>
                <w:szCs w:val="21"/>
              </w:rPr>
            </w:pPr>
          </w:p>
        </w:tc>
        <w:tc>
          <w:tcPr>
            <w:tcW w:w="1706" w:type="dxa"/>
            <w:tcBorders>
              <w:top w:val="single" w:color="auto" w:sz="6" w:space="0"/>
              <w:left w:val="single" w:color="auto" w:sz="6" w:space="0"/>
              <w:bottom w:val="single" w:color="auto" w:sz="6" w:space="0"/>
              <w:right w:val="single" w:color="auto" w:sz="6" w:space="0"/>
            </w:tcBorders>
            <w:vAlign w:val="center"/>
          </w:tcPr>
          <w:p w14:paraId="387AF069">
            <w:pPr>
              <w:snapToGrid w:val="0"/>
              <w:spacing w:line="460" w:lineRule="exact"/>
              <w:jc w:val="center"/>
              <w:rPr>
                <w:rFonts w:hint="eastAsia" w:ascii="宋体" w:hAnsi="宋体" w:cs="宋体"/>
                <w:szCs w:val="21"/>
              </w:rPr>
            </w:pPr>
            <w:r>
              <w:rPr>
                <w:rFonts w:hint="eastAsia" w:ascii="宋体" w:hAnsi="宋体" w:cs="宋体"/>
                <w:szCs w:val="21"/>
              </w:rPr>
              <w:t>住所</w:t>
            </w:r>
          </w:p>
          <w:p w14:paraId="5F65AD8E">
            <w:pPr>
              <w:snapToGrid w:val="0"/>
              <w:spacing w:line="460" w:lineRule="exact"/>
              <w:jc w:val="center"/>
              <w:rPr>
                <w:rFonts w:hint="eastAsia" w:ascii="宋体" w:hAnsi="宋体" w:cs="宋体"/>
                <w:szCs w:val="21"/>
              </w:rPr>
            </w:pPr>
            <w:r>
              <w:rPr>
                <w:rFonts w:hint="eastAsia" w:ascii="宋体" w:hAnsi="宋体" w:cs="宋体"/>
                <w:szCs w:val="21"/>
              </w:rPr>
              <w:t>（通讯地址）</w:t>
            </w:r>
          </w:p>
        </w:tc>
        <w:tc>
          <w:tcPr>
            <w:tcW w:w="2056" w:type="dxa"/>
            <w:tcBorders>
              <w:top w:val="single" w:color="auto" w:sz="6" w:space="0"/>
              <w:left w:val="single" w:color="auto" w:sz="6" w:space="0"/>
              <w:bottom w:val="single" w:color="auto" w:sz="6" w:space="0"/>
              <w:right w:val="single" w:color="auto" w:sz="6" w:space="0"/>
            </w:tcBorders>
            <w:vAlign w:val="center"/>
          </w:tcPr>
          <w:p w14:paraId="5AC01061">
            <w:pPr>
              <w:snapToGrid w:val="0"/>
              <w:spacing w:line="460" w:lineRule="exact"/>
              <w:jc w:val="center"/>
              <w:rPr>
                <w:rFonts w:hint="eastAsia" w:ascii="宋体" w:hAnsi="宋体" w:cs="宋体"/>
                <w:szCs w:val="21"/>
              </w:rPr>
            </w:pPr>
          </w:p>
        </w:tc>
        <w:tc>
          <w:tcPr>
            <w:tcW w:w="1160" w:type="dxa"/>
            <w:tcBorders>
              <w:top w:val="single" w:color="auto" w:sz="6" w:space="0"/>
              <w:left w:val="single" w:color="auto" w:sz="6" w:space="0"/>
              <w:bottom w:val="single" w:color="auto" w:sz="6" w:space="0"/>
              <w:right w:val="single" w:color="auto" w:sz="6" w:space="0"/>
            </w:tcBorders>
            <w:vAlign w:val="center"/>
          </w:tcPr>
          <w:p w14:paraId="15413361">
            <w:pPr>
              <w:snapToGrid w:val="0"/>
              <w:spacing w:line="460" w:lineRule="exact"/>
              <w:jc w:val="center"/>
              <w:rPr>
                <w:rFonts w:hint="eastAsia" w:ascii="宋体" w:hAnsi="宋体" w:cs="宋体"/>
                <w:szCs w:val="21"/>
              </w:rPr>
            </w:pPr>
            <w:r>
              <w:rPr>
                <w:rFonts w:hint="eastAsia" w:ascii="宋体" w:hAnsi="宋体" w:cs="宋体"/>
                <w:szCs w:val="21"/>
              </w:rPr>
              <w:t>邮政编码</w:t>
            </w:r>
          </w:p>
        </w:tc>
        <w:tc>
          <w:tcPr>
            <w:tcW w:w="1590" w:type="dxa"/>
            <w:tcBorders>
              <w:top w:val="single" w:color="auto" w:sz="6" w:space="0"/>
              <w:left w:val="single" w:color="auto" w:sz="6" w:space="0"/>
              <w:bottom w:val="single" w:color="auto" w:sz="6" w:space="0"/>
              <w:right w:val="single" w:color="auto" w:sz="6" w:space="0"/>
            </w:tcBorders>
            <w:vAlign w:val="center"/>
          </w:tcPr>
          <w:p w14:paraId="015CD76D">
            <w:pPr>
              <w:snapToGrid w:val="0"/>
              <w:spacing w:line="460" w:lineRule="exact"/>
              <w:jc w:val="center"/>
              <w:rPr>
                <w:rFonts w:hint="eastAsia" w:ascii="宋体" w:hAnsi="宋体" w:cs="宋体"/>
                <w:szCs w:val="21"/>
              </w:rPr>
            </w:pPr>
          </w:p>
        </w:tc>
        <w:tc>
          <w:tcPr>
            <w:tcW w:w="1535" w:type="dxa"/>
            <w:vMerge w:val="continue"/>
            <w:tcBorders>
              <w:top w:val="single" w:color="auto" w:sz="6" w:space="0"/>
              <w:left w:val="single" w:color="auto" w:sz="6" w:space="0"/>
              <w:bottom w:val="single" w:color="auto" w:sz="18" w:space="0"/>
              <w:right w:val="single" w:color="auto" w:sz="18" w:space="0"/>
            </w:tcBorders>
            <w:vAlign w:val="center"/>
          </w:tcPr>
          <w:p w14:paraId="61C11323">
            <w:pPr>
              <w:widowControl/>
              <w:snapToGrid w:val="0"/>
              <w:spacing w:line="460" w:lineRule="exact"/>
              <w:ind w:firstLine="420" w:firstLineChars="200"/>
              <w:rPr>
                <w:rFonts w:hint="eastAsia" w:ascii="宋体" w:hAnsi="宋体" w:cs="宋体"/>
                <w:szCs w:val="21"/>
              </w:rPr>
            </w:pPr>
          </w:p>
        </w:tc>
      </w:tr>
      <w:tr w14:paraId="43F175B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43" w:hRule="atLeast"/>
          <w:jc w:val="center"/>
        </w:trPr>
        <w:tc>
          <w:tcPr>
            <w:tcW w:w="613" w:type="dxa"/>
            <w:vMerge w:val="continue"/>
            <w:tcBorders>
              <w:top w:val="single" w:color="auto" w:sz="6" w:space="0"/>
              <w:left w:val="single" w:color="auto" w:sz="18" w:space="0"/>
              <w:bottom w:val="single" w:color="auto" w:sz="18" w:space="0"/>
              <w:right w:val="single" w:color="auto" w:sz="6" w:space="0"/>
            </w:tcBorders>
            <w:vAlign w:val="center"/>
          </w:tcPr>
          <w:p w14:paraId="1D1F76F8">
            <w:pPr>
              <w:snapToGrid w:val="0"/>
              <w:spacing w:line="460" w:lineRule="exact"/>
              <w:jc w:val="center"/>
              <w:rPr>
                <w:rFonts w:hint="eastAsia" w:ascii="宋体" w:hAnsi="宋体" w:cs="宋体"/>
                <w:szCs w:val="21"/>
              </w:rPr>
            </w:pPr>
          </w:p>
        </w:tc>
        <w:tc>
          <w:tcPr>
            <w:tcW w:w="1706" w:type="dxa"/>
            <w:tcBorders>
              <w:top w:val="single" w:color="auto" w:sz="6" w:space="0"/>
              <w:left w:val="single" w:color="auto" w:sz="6" w:space="0"/>
              <w:bottom w:val="single" w:color="auto" w:sz="6" w:space="0"/>
              <w:right w:val="single" w:color="auto" w:sz="6" w:space="0"/>
            </w:tcBorders>
            <w:vAlign w:val="center"/>
          </w:tcPr>
          <w:p w14:paraId="5B23C65C">
            <w:pPr>
              <w:snapToGrid w:val="0"/>
              <w:spacing w:line="460" w:lineRule="exact"/>
              <w:jc w:val="center"/>
              <w:rPr>
                <w:rFonts w:hint="eastAsia" w:ascii="宋体" w:hAnsi="宋体" w:cs="宋体"/>
                <w:szCs w:val="21"/>
              </w:rPr>
            </w:pPr>
            <w:r>
              <w:rPr>
                <w:rFonts w:hint="eastAsia" w:ascii="宋体" w:hAnsi="宋体" w:cs="宋体"/>
                <w:szCs w:val="21"/>
              </w:rPr>
              <w:t>电话</w:t>
            </w:r>
          </w:p>
        </w:tc>
        <w:tc>
          <w:tcPr>
            <w:tcW w:w="2056" w:type="dxa"/>
            <w:tcBorders>
              <w:top w:val="single" w:color="auto" w:sz="6" w:space="0"/>
              <w:left w:val="single" w:color="auto" w:sz="6" w:space="0"/>
              <w:bottom w:val="single" w:color="auto" w:sz="6" w:space="0"/>
              <w:right w:val="single" w:color="auto" w:sz="6" w:space="0"/>
            </w:tcBorders>
            <w:vAlign w:val="center"/>
          </w:tcPr>
          <w:p w14:paraId="067D8F18">
            <w:pPr>
              <w:snapToGrid w:val="0"/>
              <w:spacing w:line="460" w:lineRule="exact"/>
              <w:jc w:val="center"/>
              <w:rPr>
                <w:rFonts w:hint="eastAsia" w:ascii="宋体" w:hAnsi="宋体" w:cs="宋体"/>
                <w:szCs w:val="21"/>
              </w:rPr>
            </w:pPr>
          </w:p>
        </w:tc>
        <w:tc>
          <w:tcPr>
            <w:tcW w:w="1160" w:type="dxa"/>
            <w:tcBorders>
              <w:top w:val="single" w:color="auto" w:sz="6" w:space="0"/>
              <w:left w:val="single" w:color="auto" w:sz="6" w:space="0"/>
              <w:bottom w:val="single" w:color="auto" w:sz="6" w:space="0"/>
              <w:right w:val="single" w:color="auto" w:sz="6" w:space="0"/>
            </w:tcBorders>
            <w:vAlign w:val="center"/>
          </w:tcPr>
          <w:p w14:paraId="19E72CC4">
            <w:pPr>
              <w:snapToGrid w:val="0"/>
              <w:spacing w:line="460" w:lineRule="exact"/>
              <w:jc w:val="center"/>
              <w:rPr>
                <w:rFonts w:hint="eastAsia" w:ascii="宋体" w:hAnsi="宋体" w:cs="宋体"/>
                <w:szCs w:val="21"/>
              </w:rPr>
            </w:pPr>
            <w:r>
              <w:rPr>
                <w:rFonts w:hint="eastAsia" w:ascii="宋体" w:hAnsi="宋体" w:cs="宋体"/>
                <w:szCs w:val="21"/>
              </w:rPr>
              <w:t>传真</w:t>
            </w:r>
          </w:p>
        </w:tc>
        <w:tc>
          <w:tcPr>
            <w:tcW w:w="1590" w:type="dxa"/>
            <w:tcBorders>
              <w:top w:val="single" w:color="auto" w:sz="6" w:space="0"/>
              <w:left w:val="single" w:color="auto" w:sz="6" w:space="0"/>
              <w:bottom w:val="single" w:color="auto" w:sz="6" w:space="0"/>
              <w:right w:val="single" w:color="auto" w:sz="6" w:space="0"/>
            </w:tcBorders>
            <w:vAlign w:val="center"/>
          </w:tcPr>
          <w:p w14:paraId="54AD12A6">
            <w:pPr>
              <w:snapToGrid w:val="0"/>
              <w:spacing w:line="460" w:lineRule="exact"/>
              <w:jc w:val="center"/>
              <w:rPr>
                <w:rFonts w:hint="eastAsia" w:ascii="宋体" w:hAnsi="宋体" w:cs="宋体"/>
                <w:szCs w:val="21"/>
              </w:rPr>
            </w:pPr>
          </w:p>
        </w:tc>
        <w:tc>
          <w:tcPr>
            <w:tcW w:w="1535" w:type="dxa"/>
            <w:vMerge w:val="continue"/>
            <w:tcBorders>
              <w:top w:val="single" w:color="auto" w:sz="6" w:space="0"/>
              <w:left w:val="single" w:color="auto" w:sz="6" w:space="0"/>
              <w:bottom w:val="single" w:color="auto" w:sz="18" w:space="0"/>
              <w:right w:val="single" w:color="auto" w:sz="18" w:space="0"/>
            </w:tcBorders>
            <w:vAlign w:val="center"/>
          </w:tcPr>
          <w:p w14:paraId="0EB15408">
            <w:pPr>
              <w:widowControl/>
              <w:snapToGrid w:val="0"/>
              <w:spacing w:line="460" w:lineRule="exact"/>
              <w:ind w:firstLine="420" w:firstLineChars="200"/>
              <w:rPr>
                <w:rFonts w:hint="eastAsia" w:ascii="宋体" w:hAnsi="宋体" w:cs="宋体"/>
                <w:szCs w:val="21"/>
              </w:rPr>
            </w:pPr>
          </w:p>
        </w:tc>
      </w:tr>
      <w:tr w14:paraId="72E8E0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43" w:hRule="atLeast"/>
          <w:jc w:val="center"/>
        </w:trPr>
        <w:tc>
          <w:tcPr>
            <w:tcW w:w="613" w:type="dxa"/>
            <w:vMerge w:val="continue"/>
            <w:tcBorders>
              <w:top w:val="single" w:color="auto" w:sz="6" w:space="0"/>
              <w:left w:val="single" w:color="auto" w:sz="18" w:space="0"/>
              <w:bottom w:val="single" w:color="auto" w:sz="18" w:space="0"/>
              <w:right w:val="single" w:color="auto" w:sz="6" w:space="0"/>
            </w:tcBorders>
            <w:vAlign w:val="center"/>
          </w:tcPr>
          <w:p w14:paraId="213D0FBF">
            <w:pPr>
              <w:snapToGrid w:val="0"/>
              <w:spacing w:line="460" w:lineRule="exact"/>
              <w:jc w:val="center"/>
              <w:rPr>
                <w:rFonts w:hint="eastAsia" w:ascii="宋体" w:hAnsi="宋体" w:cs="宋体"/>
                <w:szCs w:val="21"/>
              </w:rPr>
            </w:pPr>
          </w:p>
        </w:tc>
        <w:tc>
          <w:tcPr>
            <w:tcW w:w="1706" w:type="dxa"/>
            <w:tcBorders>
              <w:top w:val="single" w:color="auto" w:sz="6" w:space="0"/>
              <w:left w:val="single" w:color="auto" w:sz="6" w:space="0"/>
              <w:bottom w:val="single" w:color="auto" w:sz="6" w:space="0"/>
              <w:right w:val="single" w:color="auto" w:sz="6" w:space="0"/>
            </w:tcBorders>
            <w:vAlign w:val="center"/>
          </w:tcPr>
          <w:p w14:paraId="3E91E34F">
            <w:pPr>
              <w:snapToGrid w:val="0"/>
              <w:spacing w:line="460" w:lineRule="exact"/>
              <w:jc w:val="center"/>
              <w:rPr>
                <w:rFonts w:hint="eastAsia" w:ascii="宋体" w:hAnsi="宋体" w:cs="宋体"/>
                <w:szCs w:val="21"/>
              </w:rPr>
            </w:pPr>
            <w:r>
              <w:rPr>
                <w:rFonts w:hint="eastAsia" w:ascii="宋体" w:hAnsi="宋体" w:cs="宋体"/>
                <w:szCs w:val="21"/>
              </w:rPr>
              <w:t>开户银行</w:t>
            </w:r>
          </w:p>
        </w:tc>
        <w:tc>
          <w:tcPr>
            <w:tcW w:w="4806" w:type="dxa"/>
            <w:gridSpan w:val="3"/>
            <w:tcBorders>
              <w:top w:val="single" w:color="auto" w:sz="6" w:space="0"/>
              <w:left w:val="single" w:color="auto" w:sz="6" w:space="0"/>
              <w:bottom w:val="single" w:color="auto" w:sz="6" w:space="0"/>
              <w:right w:val="single" w:color="auto" w:sz="6" w:space="0"/>
            </w:tcBorders>
            <w:vAlign w:val="center"/>
          </w:tcPr>
          <w:p w14:paraId="7DCA2E21">
            <w:pPr>
              <w:snapToGrid w:val="0"/>
              <w:spacing w:line="460" w:lineRule="exact"/>
              <w:jc w:val="center"/>
              <w:rPr>
                <w:rFonts w:hint="eastAsia" w:ascii="宋体" w:hAnsi="宋体" w:cs="宋体"/>
                <w:szCs w:val="21"/>
              </w:rPr>
            </w:pPr>
          </w:p>
        </w:tc>
        <w:tc>
          <w:tcPr>
            <w:tcW w:w="1535" w:type="dxa"/>
            <w:vMerge w:val="continue"/>
            <w:tcBorders>
              <w:top w:val="single" w:color="auto" w:sz="6" w:space="0"/>
              <w:left w:val="single" w:color="auto" w:sz="6" w:space="0"/>
              <w:bottom w:val="single" w:color="auto" w:sz="18" w:space="0"/>
              <w:right w:val="single" w:color="auto" w:sz="18" w:space="0"/>
            </w:tcBorders>
            <w:vAlign w:val="center"/>
          </w:tcPr>
          <w:p w14:paraId="50589F6C">
            <w:pPr>
              <w:widowControl/>
              <w:snapToGrid w:val="0"/>
              <w:spacing w:line="460" w:lineRule="exact"/>
              <w:ind w:firstLine="420" w:firstLineChars="200"/>
              <w:rPr>
                <w:rFonts w:hint="eastAsia" w:ascii="宋体" w:hAnsi="宋体" w:cs="宋体"/>
                <w:szCs w:val="21"/>
              </w:rPr>
            </w:pPr>
          </w:p>
        </w:tc>
      </w:tr>
      <w:tr w14:paraId="3FCAE2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43" w:hRule="atLeast"/>
          <w:jc w:val="center"/>
        </w:trPr>
        <w:tc>
          <w:tcPr>
            <w:tcW w:w="613" w:type="dxa"/>
            <w:vMerge w:val="continue"/>
            <w:tcBorders>
              <w:top w:val="single" w:color="auto" w:sz="6" w:space="0"/>
              <w:left w:val="single" w:color="auto" w:sz="18" w:space="0"/>
              <w:bottom w:val="single" w:color="auto" w:sz="18" w:space="0"/>
              <w:right w:val="single" w:color="auto" w:sz="6" w:space="0"/>
            </w:tcBorders>
            <w:vAlign w:val="center"/>
          </w:tcPr>
          <w:p w14:paraId="6B0322E1">
            <w:pPr>
              <w:snapToGrid w:val="0"/>
              <w:spacing w:line="460" w:lineRule="exact"/>
              <w:jc w:val="center"/>
              <w:rPr>
                <w:rFonts w:hint="eastAsia" w:ascii="宋体" w:hAnsi="宋体" w:cs="宋体"/>
                <w:szCs w:val="21"/>
              </w:rPr>
            </w:pPr>
          </w:p>
        </w:tc>
        <w:tc>
          <w:tcPr>
            <w:tcW w:w="1706" w:type="dxa"/>
            <w:tcBorders>
              <w:top w:val="single" w:color="auto" w:sz="6" w:space="0"/>
              <w:left w:val="single" w:color="auto" w:sz="6" w:space="0"/>
              <w:bottom w:val="single" w:color="auto" w:sz="18" w:space="0"/>
              <w:right w:val="single" w:color="auto" w:sz="6" w:space="0"/>
            </w:tcBorders>
            <w:vAlign w:val="center"/>
          </w:tcPr>
          <w:p w14:paraId="725DF8C3">
            <w:pPr>
              <w:snapToGrid w:val="0"/>
              <w:spacing w:line="460" w:lineRule="exact"/>
              <w:jc w:val="center"/>
              <w:rPr>
                <w:rFonts w:hint="eastAsia" w:ascii="宋体" w:hAnsi="宋体" w:cs="宋体"/>
                <w:szCs w:val="21"/>
              </w:rPr>
            </w:pPr>
            <w:r>
              <w:rPr>
                <w:rFonts w:hint="eastAsia" w:ascii="宋体" w:hAnsi="宋体" w:cs="宋体"/>
                <w:szCs w:val="21"/>
              </w:rPr>
              <w:t>账号</w:t>
            </w:r>
          </w:p>
        </w:tc>
        <w:tc>
          <w:tcPr>
            <w:tcW w:w="4806" w:type="dxa"/>
            <w:gridSpan w:val="3"/>
            <w:tcBorders>
              <w:top w:val="single" w:color="auto" w:sz="6" w:space="0"/>
              <w:left w:val="single" w:color="auto" w:sz="6" w:space="0"/>
              <w:bottom w:val="single" w:color="auto" w:sz="18" w:space="0"/>
              <w:right w:val="single" w:color="auto" w:sz="6" w:space="0"/>
            </w:tcBorders>
            <w:vAlign w:val="center"/>
          </w:tcPr>
          <w:p w14:paraId="1A1D47C1">
            <w:pPr>
              <w:snapToGrid w:val="0"/>
              <w:spacing w:line="460" w:lineRule="exact"/>
              <w:jc w:val="center"/>
              <w:rPr>
                <w:rFonts w:hint="eastAsia" w:ascii="宋体" w:hAnsi="宋体" w:cs="宋体"/>
                <w:szCs w:val="21"/>
              </w:rPr>
            </w:pPr>
          </w:p>
        </w:tc>
        <w:tc>
          <w:tcPr>
            <w:tcW w:w="1535" w:type="dxa"/>
            <w:vMerge w:val="continue"/>
            <w:tcBorders>
              <w:top w:val="single" w:color="auto" w:sz="6" w:space="0"/>
              <w:left w:val="single" w:color="auto" w:sz="6" w:space="0"/>
              <w:bottom w:val="single" w:color="auto" w:sz="18" w:space="0"/>
              <w:right w:val="single" w:color="auto" w:sz="18" w:space="0"/>
            </w:tcBorders>
            <w:vAlign w:val="center"/>
          </w:tcPr>
          <w:p w14:paraId="705674C7">
            <w:pPr>
              <w:widowControl/>
              <w:snapToGrid w:val="0"/>
              <w:spacing w:line="460" w:lineRule="exact"/>
              <w:ind w:firstLine="420" w:firstLineChars="200"/>
              <w:rPr>
                <w:rFonts w:hint="eastAsia" w:ascii="宋体" w:hAnsi="宋体" w:cs="宋体"/>
                <w:szCs w:val="21"/>
              </w:rPr>
            </w:pPr>
          </w:p>
        </w:tc>
      </w:tr>
    </w:tbl>
    <w:p w14:paraId="090C4D16">
      <w:pPr>
        <w:sectPr>
          <w:pgSz w:w="11906" w:h="16838"/>
          <w:pgMar w:top="1440" w:right="1800" w:bottom="1440" w:left="1800" w:header="851" w:footer="992" w:gutter="0"/>
          <w:cols w:space="720" w:num="1"/>
          <w:docGrid w:type="lines" w:linePitch="312" w:charSpace="0"/>
        </w:sectPr>
      </w:pPr>
    </w:p>
    <w:bookmarkEnd w:id="885"/>
    <w:p w14:paraId="3A28A3DE">
      <w:pPr>
        <w:spacing w:line="288" w:lineRule="auto"/>
        <w:rPr>
          <w:rFonts w:hint="eastAsia" w:ascii="黑体" w:hAnsi="黑体" w:eastAsia="黑体" w:cs="黑体"/>
          <w:szCs w:val="21"/>
        </w:rPr>
      </w:pPr>
      <w:r>
        <w:rPr>
          <w:rFonts w:ascii="黑体" w:hAnsi="黑体" w:eastAsia="黑体" w:cs="黑体"/>
          <w:szCs w:val="21"/>
        </w:rPr>
        <w:t>附件1：《分项明细及报价表》</w:t>
      </w:r>
    </w:p>
    <w:p w14:paraId="442352F1">
      <w:pPr>
        <w:widowControl/>
        <w:jc w:val="left"/>
        <w:rPr>
          <w:rFonts w:hint="eastAsia" w:ascii="黑体" w:hAnsi="黑体" w:eastAsia="黑体" w:cs="黑体"/>
          <w:szCs w:val="21"/>
        </w:rPr>
      </w:pPr>
      <w:r>
        <w:rPr>
          <w:rFonts w:ascii="黑体" w:hAnsi="黑体" w:eastAsia="黑体" w:cs="黑体"/>
          <w:szCs w:val="21"/>
        </w:rPr>
        <w:br w:type="page"/>
      </w:r>
    </w:p>
    <w:p w14:paraId="1A31B27B">
      <w:pPr>
        <w:rPr>
          <w:b/>
          <w:bCs/>
          <w:sz w:val="24"/>
        </w:rPr>
      </w:pPr>
      <w:r>
        <w:rPr>
          <w:b/>
          <w:bCs/>
          <w:sz w:val="24"/>
        </w:rPr>
        <w:t>附件</w:t>
      </w:r>
      <w:r>
        <w:rPr>
          <w:rFonts w:hint="eastAsia"/>
          <w:b/>
          <w:bCs/>
          <w:sz w:val="24"/>
        </w:rPr>
        <w:t>1</w:t>
      </w:r>
      <w:r>
        <w:rPr>
          <w:b/>
          <w:bCs/>
          <w:sz w:val="24"/>
        </w:rPr>
        <w:t>：</w:t>
      </w:r>
    </w:p>
    <w:p w14:paraId="7F98E4BB">
      <w:pPr>
        <w:autoSpaceDE w:val="0"/>
        <w:autoSpaceDN w:val="0"/>
        <w:adjustRightInd w:val="0"/>
        <w:jc w:val="center"/>
        <w:rPr>
          <w:kern w:val="0"/>
          <w:sz w:val="32"/>
          <w:szCs w:val="32"/>
        </w:rPr>
      </w:pPr>
      <w:r>
        <w:rPr>
          <w:b/>
          <w:bCs/>
          <w:kern w:val="0"/>
          <w:sz w:val="32"/>
          <w:szCs w:val="32"/>
        </w:rPr>
        <w:t>廉政承诺书</w:t>
      </w:r>
    </w:p>
    <w:p w14:paraId="278BE826">
      <w:pPr>
        <w:spacing w:line="460" w:lineRule="exact"/>
        <w:ind w:firstLine="480" w:firstLineChars="200"/>
        <w:rPr>
          <w:sz w:val="24"/>
          <w:u w:val="single"/>
        </w:rPr>
      </w:pPr>
      <w:r>
        <w:rPr>
          <w:sz w:val="24"/>
        </w:rPr>
        <w:t xml:space="preserve">项目/工程名称: </w:t>
      </w:r>
      <w:r>
        <w:rPr>
          <w:rFonts w:hint="eastAsia"/>
          <w:sz w:val="24"/>
          <w:u w:val="single"/>
        </w:rPr>
        <w:t xml:space="preserve">                       </w:t>
      </w:r>
    </w:p>
    <w:p w14:paraId="3D55CA5A">
      <w:pPr>
        <w:autoSpaceDE w:val="0"/>
        <w:autoSpaceDN w:val="0"/>
        <w:spacing w:line="460" w:lineRule="exact"/>
        <w:ind w:firstLine="480" w:firstLineChars="200"/>
        <w:jc w:val="left"/>
        <w:rPr>
          <w:kern w:val="0"/>
          <w:sz w:val="24"/>
          <w:u w:val="single"/>
        </w:rPr>
      </w:pPr>
      <w:r>
        <w:rPr>
          <w:kern w:val="0"/>
          <w:sz w:val="24"/>
        </w:rPr>
        <w:t>甲方：</w:t>
      </w:r>
      <w:r>
        <w:rPr>
          <w:kern w:val="0"/>
          <w:sz w:val="24"/>
          <w:u w:val="single"/>
        </w:rPr>
        <w:t xml:space="preserve">北京市地质灾害防治研究所    </w:t>
      </w:r>
    </w:p>
    <w:p w14:paraId="1F40C2A7">
      <w:pPr>
        <w:spacing w:line="460" w:lineRule="exact"/>
        <w:ind w:firstLine="480" w:firstLineChars="200"/>
        <w:rPr>
          <w:kern w:val="0"/>
          <w:sz w:val="24"/>
          <w:u w:val="single"/>
        </w:rPr>
      </w:pPr>
      <w:r>
        <w:rPr>
          <w:kern w:val="0"/>
          <w:sz w:val="24"/>
        </w:rPr>
        <w:t>乙方：</w:t>
      </w:r>
      <w:r>
        <w:rPr>
          <w:rFonts w:hint="eastAsia"/>
          <w:kern w:val="0"/>
          <w:sz w:val="24"/>
          <w:u w:val="single"/>
        </w:rPr>
        <w:t xml:space="preserve">                           </w:t>
      </w:r>
      <w:r>
        <w:rPr>
          <w:kern w:val="0"/>
          <w:sz w:val="24"/>
          <w:u w:val="single"/>
        </w:rPr>
        <w:t xml:space="preserve"> </w:t>
      </w:r>
    </w:p>
    <w:p w14:paraId="12783FFC">
      <w:pPr>
        <w:spacing w:line="460" w:lineRule="exact"/>
        <w:ind w:firstLine="480" w:firstLineChars="200"/>
        <w:rPr>
          <w:kern w:val="0"/>
          <w:sz w:val="24"/>
        </w:rPr>
      </w:pPr>
      <w:r>
        <w:rPr>
          <w:kern w:val="0"/>
          <w:sz w:val="24"/>
        </w:rPr>
        <w:t>为加强廉政建设，防止发生谋取不正当利益的违法违纪行为，保护国家、集体和当事人的合法权益，根据国家法律法规和廉洁自律有关规定，特订立本廉政承诺书。</w:t>
      </w:r>
    </w:p>
    <w:p w14:paraId="2A3B6CAE">
      <w:pPr>
        <w:autoSpaceDE w:val="0"/>
        <w:autoSpaceDN w:val="0"/>
        <w:spacing w:line="460" w:lineRule="exact"/>
        <w:ind w:firstLine="482" w:firstLineChars="200"/>
        <w:rPr>
          <w:kern w:val="0"/>
          <w:sz w:val="24"/>
        </w:rPr>
      </w:pPr>
      <w:r>
        <w:rPr>
          <w:b/>
          <w:bCs/>
          <w:kern w:val="0"/>
          <w:sz w:val="24"/>
        </w:rPr>
        <w:t>一、双方的责任</w:t>
      </w:r>
    </w:p>
    <w:p w14:paraId="44C529A6">
      <w:pPr>
        <w:spacing w:line="460" w:lineRule="exact"/>
        <w:ind w:firstLine="480" w:firstLineChars="200"/>
        <w:rPr>
          <w:kern w:val="0"/>
          <w:sz w:val="24"/>
        </w:rPr>
      </w:pPr>
      <w:r>
        <w:rPr>
          <w:kern w:val="0"/>
          <w:sz w:val="24"/>
        </w:rPr>
        <w:t>1.严格遵守党和国家法律法规的有关规定和廉政建设的各项要求。</w:t>
      </w:r>
    </w:p>
    <w:p w14:paraId="5ADBA85C">
      <w:pPr>
        <w:spacing w:line="460" w:lineRule="exact"/>
        <w:ind w:firstLine="480" w:firstLineChars="200"/>
        <w:rPr>
          <w:kern w:val="0"/>
          <w:sz w:val="24"/>
        </w:rPr>
      </w:pPr>
      <w:r>
        <w:rPr>
          <w:kern w:val="0"/>
          <w:sz w:val="24"/>
        </w:rPr>
        <w:t>2.严格履行合同约定，自觉按合同办事。</w:t>
      </w:r>
    </w:p>
    <w:p w14:paraId="37D6B035">
      <w:pPr>
        <w:autoSpaceDE w:val="0"/>
        <w:autoSpaceDN w:val="0"/>
        <w:spacing w:line="460" w:lineRule="exact"/>
        <w:ind w:firstLine="480" w:firstLineChars="200"/>
        <w:rPr>
          <w:kern w:val="0"/>
          <w:sz w:val="24"/>
        </w:rPr>
      </w:pPr>
      <w:r>
        <w:rPr>
          <w:kern w:val="0"/>
          <w:sz w:val="24"/>
        </w:rPr>
        <w:t>3.坚持公开、公平、公正、诚信、透明的原则（除法律法规另有规定者外），不得为获取不正当的利益损害国家、集体和对方利益，不得违反行业规定、规范和相关法律法规。</w:t>
      </w:r>
    </w:p>
    <w:p w14:paraId="4232B27A">
      <w:pPr>
        <w:autoSpaceDE w:val="0"/>
        <w:autoSpaceDN w:val="0"/>
        <w:spacing w:line="460" w:lineRule="exact"/>
        <w:ind w:firstLine="480" w:firstLineChars="200"/>
        <w:rPr>
          <w:kern w:val="0"/>
          <w:sz w:val="24"/>
        </w:rPr>
      </w:pPr>
      <w:r>
        <w:rPr>
          <w:kern w:val="0"/>
          <w:sz w:val="24"/>
        </w:rPr>
        <w:t>4.发现对方在业务活动中有违规、违纪、违法行为的，应及时提醒对方，情节严重的，应向其上级主管部门或纪检监察、司法等有关机关举报。</w:t>
      </w:r>
    </w:p>
    <w:p w14:paraId="2DF5C844">
      <w:pPr>
        <w:autoSpaceDE w:val="0"/>
        <w:autoSpaceDN w:val="0"/>
        <w:spacing w:line="460" w:lineRule="exact"/>
        <w:ind w:firstLine="482" w:firstLineChars="200"/>
        <w:rPr>
          <w:b/>
          <w:bCs/>
          <w:kern w:val="0"/>
          <w:sz w:val="24"/>
        </w:rPr>
      </w:pPr>
      <w:r>
        <w:rPr>
          <w:b/>
          <w:bCs/>
          <w:kern w:val="0"/>
          <w:sz w:val="24"/>
        </w:rPr>
        <w:t>二、甲方责任</w:t>
      </w:r>
    </w:p>
    <w:p w14:paraId="4910994B">
      <w:pPr>
        <w:autoSpaceDE w:val="0"/>
        <w:autoSpaceDN w:val="0"/>
        <w:spacing w:line="460" w:lineRule="exact"/>
        <w:ind w:firstLine="480" w:firstLineChars="200"/>
        <w:rPr>
          <w:kern w:val="0"/>
          <w:sz w:val="24"/>
        </w:rPr>
      </w:pPr>
      <w:r>
        <w:rPr>
          <w:kern w:val="0"/>
          <w:sz w:val="24"/>
        </w:rPr>
        <w:t>甲方的领导和具体工作人员，在事前、事中、事后应遵守以下规定：</w:t>
      </w:r>
    </w:p>
    <w:p w14:paraId="1CD59BC1">
      <w:pPr>
        <w:autoSpaceDE w:val="0"/>
        <w:autoSpaceDN w:val="0"/>
        <w:spacing w:line="460" w:lineRule="exact"/>
        <w:ind w:firstLine="480" w:firstLineChars="200"/>
        <w:rPr>
          <w:kern w:val="0"/>
          <w:sz w:val="24"/>
        </w:rPr>
      </w:pPr>
      <w:r>
        <w:rPr>
          <w:kern w:val="0"/>
          <w:sz w:val="24"/>
        </w:rPr>
        <w:t>1.不得向乙方和相关单位索要或接受回扣、礼金、有价证券、贵重物品和好处费、感谢费等。</w:t>
      </w:r>
    </w:p>
    <w:p w14:paraId="49C4F5DB">
      <w:pPr>
        <w:autoSpaceDE w:val="0"/>
        <w:autoSpaceDN w:val="0"/>
        <w:spacing w:line="460" w:lineRule="exact"/>
        <w:ind w:firstLine="480" w:firstLineChars="200"/>
        <w:rPr>
          <w:kern w:val="0"/>
          <w:sz w:val="24"/>
        </w:rPr>
      </w:pPr>
      <w:r>
        <w:rPr>
          <w:kern w:val="0"/>
          <w:sz w:val="24"/>
        </w:rPr>
        <w:t>2.不得在乙方和相关单位报销任何应由甲方或个人支付的费用。</w:t>
      </w:r>
    </w:p>
    <w:p w14:paraId="2418BBFC">
      <w:pPr>
        <w:autoSpaceDE w:val="0"/>
        <w:autoSpaceDN w:val="0"/>
        <w:spacing w:line="460" w:lineRule="exact"/>
        <w:ind w:firstLine="480" w:firstLineChars="200"/>
        <w:rPr>
          <w:kern w:val="0"/>
          <w:sz w:val="24"/>
        </w:rPr>
      </w:pPr>
      <w:r>
        <w:rPr>
          <w:kern w:val="0"/>
          <w:sz w:val="24"/>
        </w:rPr>
        <w:t>3</w:t>
      </w:r>
      <w:r>
        <w:rPr>
          <w:rFonts w:hint="eastAsia"/>
          <w:kern w:val="0"/>
          <w:sz w:val="24"/>
        </w:rPr>
        <w:t>.</w:t>
      </w:r>
      <w:r>
        <w:rPr>
          <w:kern w:val="0"/>
          <w:sz w:val="24"/>
        </w:rPr>
        <w:t>不得要求、暗示或接受乙方和相关单位为个人装修住房、婚丧嫁娶、配偶子女的工作安排以及出国（境）、旅游等提供方便。</w:t>
      </w:r>
    </w:p>
    <w:p w14:paraId="63F07BD3">
      <w:pPr>
        <w:autoSpaceDE w:val="0"/>
        <w:autoSpaceDN w:val="0"/>
        <w:spacing w:line="460" w:lineRule="exact"/>
        <w:ind w:firstLine="480" w:firstLineChars="200"/>
        <w:rPr>
          <w:kern w:val="0"/>
          <w:sz w:val="24"/>
        </w:rPr>
      </w:pPr>
      <w:r>
        <w:rPr>
          <w:kern w:val="0"/>
          <w:sz w:val="24"/>
        </w:rPr>
        <w:t>4.不得以任何理由参加乙方、相关单位或个人组织提供有可能影响公正执行公务的宴请、健身、娱乐等活动。</w:t>
      </w:r>
    </w:p>
    <w:p w14:paraId="1BCB4038">
      <w:pPr>
        <w:autoSpaceDE w:val="0"/>
        <w:autoSpaceDN w:val="0"/>
        <w:spacing w:line="460" w:lineRule="exact"/>
        <w:ind w:firstLine="480" w:firstLineChars="200"/>
        <w:rPr>
          <w:kern w:val="0"/>
          <w:sz w:val="24"/>
        </w:rPr>
      </w:pPr>
      <w:r>
        <w:rPr>
          <w:kern w:val="0"/>
          <w:sz w:val="24"/>
        </w:rPr>
        <w:t>5.不得向乙方和相关单位介绍或为配偶、子女、亲属参与同甲方合同有关的业务活动；不得以任何理由要求乙方和相关单位使用某种产品、材料和设备。</w:t>
      </w:r>
    </w:p>
    <w:p w14:paraId="5F6B73C4">
      <w:pPr>
        <w:autoSpaceDE w:val="0"/>
        <w:autoSpaceDN w:val="0"/>
        <w:spacing w:line="460" w:lineRule="exact"/>
        <w:ind w:firstLine="482" w:firstLineChars="200"/>
        <w:rPr>
          <w:kern w:val="0"/>
          <w:sz w:val="24"/>
        </w:rPr>
      </w:pPr>
      <w:r>
        <w:rPr>
          <w:b/>
          <w:bCs/>
          <w:kern w:val="0"/>
          <w:sz w:val="24"/>
        </w:rPr>
        <w:t>三、乙方责任</w:t>
      </w:r>
    </w:p>
    <w:p w14:paraId="384514B9">
      <w:pPr>
        <w:autoSpaceDE w:val="0"/>
        <w:autoSpaceDN w:val="0"/>
        <w:spacing w:line="460" w:lineRule="exact"/>
        <w:ind w:firstLine="480" w:firstLineChars="200"/>
        <w:rPr>
          <w:kern w:val="0"/>
          <w:sz w:val="24"/>
        </w:rPr>
      </w:pPr>
      <w:r>
        <w:rPr>
          <w:kern w:val="0"/>
          <w:sz w:val="24"/>
        </w:rPr>
        <w:t>应与甲方保持正常的业务交往，按照有关法律法规和程序开展业务工作，严格执行行业规定、规范和相关法律法规，并遵守以下规定：</w:t>
      </w:r>
    </w:p>
    <w:p w14:paraId="4D38D3F9">
      <w:pPr>
        <w:autoSpaceDE w:val="0"/>
        <w:autoSpaceDN w:val="0"/>
        <w:spacing w:line="460" w:lineRule="exact"/>
        <w:ind w:firstLine="480" w:firstLineChars="200"/>
        <w:rPr>
          <w:kern w:val="0"/>
          <w:sz w:val="24"/>
        </w:rPr>
      </w:pPr>
      <w:r>
        <w:rPr>
          <w:kern w:val="0"/>
          <w:sz w:val="24"/>
        </w:rPr>
        <w:t>1.不得以任何理由向甲方及其工作人员索要、接受或赠送礼金、有价证券、贵重物品及回扣、好处费、感谢费等。</w:t>
      </w:r>
    </w:p>
    <w:p w14:paraId="1828DE56">
      <w:pPr>
        <w:autoSpaceDE w:val="0"/>
        <w:autoSpaceDN w:val="0"/>
        <w:spacing w:line="460" w:lineRule="exact"/>
        <w:ind w:firstLine="480" w:firstLineChars="200"/>
        <w:rPr>
          <w:kern w:val="0"/>
          <w:sz w:val="24"/>
        </w:rPr>
      </w:pPr>
      <w:r>
        <w:rPr>
          <w:kern w:val="0"/>
          <w:sz w:val="24"/>
        </w:rPr>
        <w:t>2.不得以任何理由为甲方和相关单位报销应由对方或个人支付的费用。</w:t>
      </w:r>
    </w:p>
    <w:p w14:paraId="72E64BC7">
      <w:pPr>
        <w:autoSpaceDE w:val="0"/>
        <w:autoSpaceDN w:val="0"/>
        <w:spacing w:line="460" w:lineRule="exact"/>
        <w:ind w:firstLine="480" w:firstLineChars="200"/>
        <w:rPr>
          <w:kern w:val="0"/>
          <w:sz w:val="24"/>
        </w:rPr>
      </w:pPr>
      <w:r>
        <w:rPr>
          <w:kern w:val="0"/>
          <w:sz w:val="24"/>
        </w:rPr>
        <w:t>3.不得接受或暗示为甲方、相关单位或个人装修住房、婚丧嫁娶、配偶子女的工作安排以及出国（境）、旅游等提供方便。</w:t>
      </w:r>
    </w:p>
    <w:p w14:paraId="07F5F686">
      <w:pPr>
        <w:autoSpaceDE w:val="0"/>
        <w:autoSpaceDN w:val="0"/>
        <w:spacing w:line="460" w:lineRule="exact"/>
        <w:ind w:firstLine="480" w:firstLineChars="200"/>
        <w:rPr>
          <w:kern w:val="0"/>
          <w:sz w:val="24"/>
        </w:rPr>
      </w:pPr>
      <w:r>
        <w:rPr>
          <w:kern w:val="0"/>
          <w:sz w:val="24"/>
        </w:rPr>
        <w:t>4.不得以任何理由为甲方、相关单位或个人组织提供有可能影响公正执行公务的宴请、健身、娱乐等活动。</w:t>
      </w:r>
    </w:p>
    <w:p w14:paraId="01FF3572">
      <w:pPr>
        <w:autoSpaceDE w:val="0"/>
        <w:autoSpaceDN w:val="0"/>
        <w:spacing w:line="460" w:lineRule="exact"/>
        <w:ind w:firstLine="482" w:firstLineChars="200"/>
        <w:rPr>
          <w:b/>
          <w:bCs/>
          <w:kern w:val="0"/>
          <w:sz w:val="24"/>
        </w:rPr>
      </w:pPr>
      <w:r>
        <w:rPr>
          <w:b/>
          <w:bCs/>
          <w:kern w:val="0"/>
          <w:sz w:val="24"/>
        </w:rPr>
        <w:t>四、违约责任</w:t>
      </w:r>
    </w:p>
    <w:p w14:paraId="36B203D2">
      <w:pPr>
        <w:autoSpaceDE w:val="0"/>
        <w:autoSpaceDN w:val="0"/>
        <w:spacing w:line="460" w:lineRule="exact"/>
        <w:ind w:firstLine="480" w:firstLineChars="200"/>
        <w:rPr>
          <w:kern w:val="0"/>
          <w:sz w:val="24"/>
        </w:rPr>
      </w:pPr>
      <w:r>
        <w:rPr>
          <w:kern w:val="0"/>
          <w:sz w:val="24"/>
        </w:rPr>
        <w:t>甲、乙双方相关人员要严格履行本廉政承诺书相关规定。如有违反依据有关法律、法规处理；涉嫌犯罪的，移交司法机关追究刑事责任；造成经济损失的，应予以赔偿。</w:t>
      </w:r>
    </w:p>
    <w:p w14:paraId="66496BFA">
      <w:pPr>
        <w:autoSpaceDE w:val="0"/>
        <w:autoSpaceDN w:val="0"/>
        <w:spacing w:line="460" w:lineRule="exact"/>
        <w:ind w:firstLine="482" w:firstLineChars="200"/>
        <w:rPr>
          <w:kern w:val="0"/>
          <w:sz w:val="24"/>
        </w:rPr>
      </w:pPr>
      <w:r>
        <w:rPr>
          <w:b/>
          <w:bCs/>
          <w:kern w:val="0"/>
          <w:sz w:val="24"/>
        </w:rPr>
        <w:t>五、其他约定</w:t>
      </w:r>
    </w:p>
    <w:p w14:paraId="29C03AC0">
      <w:pPr>
        <w:autoSpaceDE w:val="0"/>
        <w:autoSpaceDN w:val="0"/>
        <w:spacing w:line="460" w:lineRule="exact"/>
        <w:ind w:firstLine="480" w:firstLineChars="200"/>
        <w:rPr>
          <w:kern w:val="0"/>
          <w:sz w:val="24"/>
        </w:rPr>
      </w:pPr>
      <w:r>
        <w:rPr>
          <w:kern w:val="0"/>
          <w:sz w:val="24"/>
        </w:rPr>
        <w:t>1.本承诺书由甲乙双方法定代表人或授权的委托代理人签字，并加盖双方公章或合同专用章后生效。</w:t>
      </w:r>
    </w:p>
    <w:p w14:paraId="4E9AA4ED">
      <w:pPr>
        <w:autoSpaceDE w:val="0"/>
        <w:autoSpaceDN w:val="0"/>
        <w:spacing w:line="460" w:lineRule="exact"/>
        <w:ind w:firstLine="480" w:firstLineChars="200"/>
        <w:rPr>
          <w:kern w:val="0"/>
          <w:sz w:val="24"/>
        </w:rPr>
      </w:pPr>
      <w:r>
        <w:rPr>
          <w:kern w:val="0"/>
          <w:sz w:val="24"/>
        </w:rPr>
        <w:t>2.本承诺书总份数及甲乙双方执合同份数与主合同要求一致。</w:t>
      </w:r>
    </w:p>
    <w:p w14:paraId="1DB5F563">
      <w:pPr>
        <w:autoSpaceDE w:val="0"/>
        <w:autoSpaceDN w:val="0"/>
        <w:spacing w:line="460" w:lineRule="exact"/>
        <w:ind w:firstLine="480" w:firstLineChars="200"/>
        <w:rPr>
          <w:kern w:val="0"/>
          <w:sz w:val="24"/>
        </w:rPr>
      </w:pPr>
      <w:r>
        <w:rPr>
          <w:kern w:val="0"/>
          <w:sz w:val="24"/>
        </w:rPr>
        <w:t>3.本承诺书作为本合同的组成部分，与本合同具有同等法律效力。</w:t>
      </w:r>
    </w:p>
    <w:tbl>
      <w:tblPr>
        <w:tblStyle w:val="42"/>
        <w:tblW w:w="9147" w:type="dxa"/>
        <w:jc w:val="center"/>
        <w:tblLayout w:type="fixed"/>
        <w:tblCellMar>
          <w:top w:w="0" w:type="dxa"/>
          <w:left w:w="108" w:type="dxa"/>
          <w:bottom w:w="0" w:type="dxa"/>
          <w:right w:w="108" w:type="dxa"/>
        </w:tblCellMar>
      </w:tblPr>
      <w:tblGrid>
        <w:gridCol w:w="1600"/>
        <w:gridCol w:w="2975"/>
        <w:gridCol w:w="1630"/>
        <w:gridCol w:w="2942"/>
      </w:tblGrid>
      <w:tr w14:paraId="0004B949">
        <w:tblPrEx>
          <w:tblCellMar>
            <w:top w:w="0" w:type="dxa"/>
            <w:left w:w="108" w:type="dxa"/>
            <w:bottom w:w="0" w:type="dxa"/>
            <w:right w:w="108" w:type="dxa"/>
          </w:tblCellMar>
        </w:tblPrEx>
        <w:trPr>
          <w:trHeight w:val="803" w:hRule="atLeast"/>
          <w:jc w:val="center"/>
        </w:trPr>
        <w:tc>
          <w:tcPr>
            <w:tcW w:w="9147" w:type="dxa"/>
            <w:gridSpan w:val="4"/>
            <w:vAlign w:val="center"/>
          </w:tcPr>
          <w:p w14:paraId="68938FE8">
            <w:pPr>
              <w:spacing w:line="320" w:lineRule="exact"/>
              <w:jc w:val="center"/>
              <w:rPr>
                <w:rFonts w:eastAsia="华文宋体"/>
                <w:b/>
                <w:szCs w:val="21"/>
              </w:rPr>
            </w:pPr>
            <w:r>
              <w:rPr>
                <w:rFonts w:eastAsia="华文宋体"/>
                <w:b/>
                <w:sz w:val="28"/>
                <w:szCs w:val="28"/>
              </w:rPr>
              <w:t>承诺书签订双方</w:t>
            </w:r>
          </w:p>
        </w:tc>
      </w:tr>
      <w:tr w14:paraId="053C8E34">
        <w:tblPrEx>
          <w:tblCellMar>
            <w:top w:w="0" w:type="dxa"/>
            <w:left w:w="108" w:type="dxa"/>
            <w:bottom w:w="0" w:type="dxa"/>
            <w:right w:w="108" w:type="dxa"/>
          </w:tblCellMar>
        </w:tblPrEx>
        <w:trPr>
          <w:trHeight w:val="997" w:hRule="atLeast"/>
          <w:jc w:val="center"/>
        </w:trPr>
        <w:tc>
          <w:tcPr>
            <w:tcW w:w="1600" w:type="dxa"/>
            <w:vAlign w:val="center"/>
          </w:tcPr>
          <w:p w14:paraId="5044DE9D">
            <w:pPr>
              <w:spacing w:line="320" w:lineRule="exact"/>
              <w:jc w:val="center"/>
              <w:rPr>
                <w:rFonts w:eastAsia="华文宋体"/>
                <w:szCs w:val="21"/>
              </w:rPr>
            </w:pPr>
            <w:r>
              <w:rPr>
                <w:rFonts w:eastAsia="华文宋体"/>
                <w:szCs w:val="21"/>
              </w:rPr>
              <w:t>甲方（盖章）：</w:t>
            </w:r>
          </w:p>
        </w:tc>
        <w:tc>
          <w:tcPr>
            <w:tcW w:w="2975" w:type="dxa"/>
            <w:vAlign w:val="center"/>
          </w:tcPr>
          <w:p w14:paraId="7D1D169B">
            <w:pPr>
              <w:spacing w:line="320" w:lineRule="exact"/>
              <w:jc w:val="center"/>
              <w:rPr>
                <w:rFonts w:eastAsia="华文宋体"/>
                <w:szCs w:val="21"/>
              </w:rPr>
            </w:pPr>
            <w:r>
              <w:rPr>
                <w:rFonts w:eastAsia="华文宋体"/>
                <w:szCs w:val="21"/>
              </w:rPr>
              <w:t>北京市地质灾害防治研究所</w:t>
            </w:r>
          </w:p>
        </w:tc>
        <w:tc>
          <w:tcPr>
            <w:tcW w:w="1630" w:type="dxa"/>
            <w:vAlign w:val="center"/>
          </w:tcPr>
          <w:p w14:paraId="5FF943C0">
            <w:pPr>
              <w:spacing w:line="320" w:lineRule="exact"/>
              <w:jc w:val="center"/>
              <w:rPr>
                <w:rFonts w:eastAsia="华文宋体"/>
                <w:szCs w:val="21"/>
              </w:rPr>
            </w:pPr>
            <w:r>
              <w:rPr>
                <w:rFonts w:eastAsia="华文宋体"/>
                <w:szCs w:val="21"/>
              </w:rPr>
              <w:t>乙方（盖章）：</w:t>
            </w:r>
          </w:p>
        </w:tc>
        <w:tc>
          <w:tcPr>
            <w:tcW w:w="2942" w:type="dxa"/>
            <w:vAlign w:val="center"/>
          </w:tcPr>
          <w:p w14:paraId="78A8F7EF">
            <w:pPr>
              <w:spacing w:line="320" w:lineRule="exact"/>
              <w:ind w:leftChars="-2" w:hanging="4" w:hangingChars="2"/>
              <w:jc w:val="center"/>
              <w:rPr>
                <w:rFonts w:eastAsia="华文宋体"/>
                <w:szCs w:val="21"/>
              </w:rPr>
            </w:pPr>
          </w:p>
        </w:tc>
      </w:tr>
      <w:tr w14:paraId="27A6187D">
        <w:tblPrEx>
          <w:tblCellMar>
            <w:top w:w="0" w:type="dxa"/>
            <w:left w:w="108" w:type="dxa"/>
            <w:bottom w:w="0" w:type="dxa"/>
            <w:right w:w="108" w:type="dxa"/>
          </w:tblCellMar>
        </w:tblPrEx>
        <w:trPr>
          <w:trHeight w:val="1087" w:hRule="atLeast"/>
          <w:jc w:val="center"/>
        </w:trPr>
        <w:tc>
          <w:tcPr>
            <w:tcW w:w="1600" w:type="dxa"/>
            <w:vAlign w:val="center"/>
          </w:tcPr>
          <w:p w14:paraId="7F281676">
            <w:pPr>
              <w:spacing w:line="320" w:lineRule="exact"/>
              <w:jc w:val="center"/>
              <w:rPr>
                <w:rFonts w:eastAsia="华文宋体"/>
                <w:szCs w:val="21"/>
              </w:rPr>
            </w:pPr>
            <w:r>
              <w:rPr>
                <w:rFonts w:eastAsia="华文宋体"/>
                <w:szCs w:val="21"/>
              </w:rPr>
              <w:t>法定代表人</w:t>
            </w:r>
          </w:p>
          <w:p w14:paraId="3FF2A833">
            <w:pPr>
              <w:spacing w:line="320" w:lineRule="exact"/>
              <w:jc w:val="center"/>
              <w:rPr>
                <w:rFonts w:eastAsia="华文宋体"/>
                <w:szCs w:val="21"/>
              </w:rPr>
            </w:pPr>
            <w:r>
              <w:rPr>
                <w:rFonts w:eastAsia="华文宋体"/>
                <w:szCs w:val="21"/>
              </w:rPr>
              <w:t>（签字）：</w:t>
            </w:r>
          </w:p>
        </w:tc>
        <w:tc>
          <w:tcPr>
            <w:tcW w:w="2975" w:type="dxa"/>
            <w:vAlign w:val="center"/>
          </w:tcPr>
          <w:p w14:paraId="5B2B85C4">
            <w:pPr>
              <w:spacing w:line="320" w:lineRule="exact"/>
              <w:rPr>
                <w:rFonts w:eastAsia="华文宋体"/>
                <w:szCs w:val="21"/>
              </w:rPr>
            </w:pPr>
          </w:p>
        </w:tc>
        <w:tc>
          <w:tcPr>
            <w:tcW w:w="1630" w:type="dxa"/>
            <w:vAlign w:val="center"/>
          </w:tcPr>
          <w:p w14:paraId="2FB796DB">
            <w:pPr>
              <w:spacing w:line="320" w:lineRule="exact"/>
              <w:jc w:val="center"/>
              <w:rPr>
                <w:rFonts w:eastAsia="华文宋体"/>
                <w:szCs w:val="21"/>
              </w:rPr>
            </w:pPr>
            <w:r>
              <w:rPr>
                <w:rFonts w:eastAsia="华文宋体"/>
                <w:szCs w:val="21"/>
              </w:rPr>
              <w:t>法定代表人</w:t>
            </w:r>
          </w:p>
          <w:p w14:paraId="3123238E">
            <w:pPr>
              <w:spacing w:line="320" w:lineRule="exact"/>
              <w:jc w:val="center"/>
              <w:rPr>
                <w:rFonts w:eastAsia="华文宋体"/>
                <w:szCs w:val="21"/>
              </w:rPr>
            </w:pPr>
            <w:r>
              <w:rPr>
                <w:rFonts w:eastAsia="华文宋体"/>
                <w:szCs w:val="21"/>
              </w:rPr>
              <w:t>（签字）：</w:t>
            </w:r>
          </w:p>
        </w:tc>
        <w:tc>
          <w:tcPr>
            <w:tcW w:w="2942" w:type="dxa"/>
            <w:vAlign w:val="center"/>
          </w:tcPr>
          <w:p w14:paraId="2C17C9D1">
            <w:pPr>
              <w:spacing w:line="320" w:lineRule="exact"/>
              <w:rPr>
                <w:rFonts w:eastAsia="华文宋体"/>
                <w:szCs w:val="21"/>
              </w:rPr>
            </w:pPr>
          </w:p>
        </w:tc>
      </w:tr>
      <w:tr w14:paraId="29C7CE66">
        <w:tblPrEx>
          <w:tblCellMar>
            <w:top w:w="0" w:type="dxa"/>
            <w:left w:w="108" w:type="dxa"/>
            <w:bottom w:w="0" w:type="dxa"/>
            <w:right w:w="108" w:type="dxa"/>
          </w:tblCellMar>
        </w:tblPrEx>
        <w:trPr>
          <w:trHeight w:val="1087" w:hRule="atLeast"/>
          <w:jc w:val="center"/>
        </w:trPr>
        <w:tc>
          <w:tcPr>
            <w:tcW w:w="1600" w:type="dxa"/>
            <w:vAlign w:val="center"/>
          </w:tcPr>
          <w:p w14:paraId="2A064AC7">
            <w:pPr>
              <w:spacing w:line="320" w:lineRule="exact"/>
              <w:jc w:val="center"/>
              <w:rPr>
                <w:rFonts w:eastAsia="华文宋体"/>
                <w:szCs w:val="21"/>
              </w:rPr>
            </w:pPr>
            <w:r>
              <w:rPr>
                <w:rFonts w:eastAsia="华文宋体"/>
                <w:szCs w:val="21"/>
              </w:rPr>
              <w:t>委托代理人</w:t>
            </w:r>
          </w:p>
          <w:p w14:paraId="4E6F8630">
            <w:pPr>
              <w:spacing w:line="320" w:lineRule="exact"/>
              <w:jc w:val="center"/>
              <w:rPr>
                <w:rFonts w:eastAsia="华文宋体"/>
                <w:szCs w:val="21"/>
              </w:rPr>
            </w:pPr>
            <w:r>
              <w:rPr>
                <w:rFonts w:eastAsia="华文宋体"/>
                <w:szCs w:val="21"/>
              </w:rPr>
              <w:t>（签字）：</w:t>
            </w:r>
          </w:p>
        </w:tc>
        <w:tc>
          <w:tcPr>
            <w:tcW w:w="2975" w:type="dxa"/>
            <w:vAlign w:val="center"/>
          </w:tcPr>
          <w:p w14:paraId="277BCDBC">
            <w:pPr>
              <w:spacing w:line="320" w:lineRule="exact"/>
              <w:rPr>
                <w:rFonts w:eastAsia="华文宋体"/>
                <w:szCs w:val="21"/>
              </w:rPr>
            </w:pPr>
          </w:p>
        </w:tc>
        <w:tc>
          <w:tcPr>
            <w:tcW w:w="1630" w:type="dxa"/>
            <w:vAlign w:val="center"/>
          </w:tcPr>
          <w:p w14:paraId="53906728">
            <w:pPr>
              <w:spacing w:line="320" w:lineRule="exact"/>
              <w:jc w:val="center"/>
              <w:rPr>
                <w:rFonts w:eastAsia="华文宋体"/>
                <w:szCs w:val="21"/>
              </w:rPr>
            </w:pPr>
            <w:r>
              <w:rPr>
                <w:rFonts w:eastAsia="华文宋体"/>
                <w:szCs w:val="21"/>
              </w:rPr>
              <w:t>委托代理人</w:t>
            </w:r>
          </w:p>
          <w:p w14:paraId="65D25CC5">
            <w:pPr>
              <w:spacing w:line="320" w:lineRule="exact"/>
              <w:jc w:val="center"/>
              <w:rPr>
                <w:rFonts w:eastAsia="华文宋体"/>
                <w:szCs w:val="21"/>
              </w:rPr>
            </w:pPr>
            <w:r>
              <w:rPr>
                <w:rFonts w:eastAsia="华文宋体"/>
                <w:szCs w:val="21"/>
              </w:rPr>
              <w:t>（签字）：</w:t>
            </w:r>
          </w:p>
        </w:tc>
        <w:tc>
          <w:tcPr>
            <w:tcW w:w="2942" w:type="dxa"/>
            <w:vAlign w:val="center"/>
          </w:tcPr>
          <w:p w14:paraId="523DD957">
            <w:pPr>
              <w:spacing w:line="320" w:lineRule="exact"/>
              <w:rPr>
                <w:rFonts w:eastAsia="华文宋体"/>
                <w:szCs w:val="21"/>
              </w:rPr>
            </w:pPr>
          </w:p>
        </w:tc>
      </w:tr>
      <w:tr w14:paraId="3FC8D5EA">
        <w:tblPrEx>
          <w:tblCellMar>
            <w:top w:w="0" w:type="dxa"/>
            <w:left w:w="108" w:type="dxa"/>
            <w:bottom w:w="0" w:type="dxa"/>
            <w:right w:w="108" w:type="dxa"/>
          </w:tblCellMar>
        </w:tblPrEx>
        <w:trPr>
          <w:trHeight w:val="1087" w:hRule="atLeast"/>
          <w:jc w:val="center"/>
        </w:trPr>
        <w:tc>
          <w:tcPr>
            <w:tcW w:w="1600" w:type="dxa"/>
            <w:vAlign w:val="center"/>
          </w:tcPr>
          <w:p w14:paraId="7145F931">
            <w:pPr>
              <w:spacing w:line="320" w:lineRule="exact"/>
              <w:jc w:val="center"/>
              <w:rPr>
                <w:rFonts w:eastAsia="华文宋体"/>
                <w:szCs w:val="21"/>
              </w:rPr>
            </w:pPr>
            <w:r>
              <w:rPr>
                <w:rFonts w:eastAsia="华文宋体"/>
                <w:szCs w:val="21"/>
              </w:rPr>
              <w:t>签订日期：</w:t>
            </w:r>
          </w:p>
        </w:tc>
        <w:tc>
          <w:tcPr>
            <w:tcW w:w="2975" w:type="dxa"/>
            <w:vAlign w:val="center"/>
          </w:tcPr>
          <w:p w14:paraId="2475BA59">
            <w:pPr>
              <w:spacing w:line="320" w:lineRule="exact"/>
              <w:jc w:val="right"/>
              <w:rPr>
                <w:rFonts w:eastAsia="华文宋体"/>
                <w:szCs w:val="21"/>
              </w:rPr>
            </w:pPr>
            <w:r>
              <w:rPr>
                <w:rFonts w:eastAsia="华文宋体"/>
                <w:szCs w:val="21"/>
              </w:rPr>
              <w:t>________年____月____日</w:t>
            </w:r>
          </w:p>
        </w:tc>
        <w:tc>
          <w:tcPr>
            <w:tcW w:w="1630" w:type="dxa"/>
            <w:vAlign w:val="center"/>
          </w:tcPr>
          <w:p w14:paraId="537AB163">
            <w:pPr>
              <w:spacing w:line="320" w:lineRule="exact"/>
              <w:jc w:val="center"/>
              <w:rPr>
                <w:rFonts w:eastAsia="华文宋体"/>
                <w:szCs w:val="21"/>
              </w:rPr>
            </w:pPr>
            <w:r>
              <w:rPr>
                <w:rFonts w:eastAsia="华文宋体"/>
                <w:szCs w:val="21"/>
              </w:rPr>
              <w:t>签订日期：</w:t>
            </w:r>
          </w:p>
        </w:tc>
        <w:tc>
          <w:tcPr>
            <w:tcW w:w="2942" w:type="dxa"/>
            <w:vAlign w:val="center"/>
          </w:tcPr>
          <w:p w14:paraId="24F400A1">
            <w:pPr>
              <w:spacing w:line="320" w:lineRule="exact"/>
              <w:jc w:val="right"/>
              <w:rPr>
                <w:rFonts w:eastAsia="华文宋体"/>
                <w:szCs w:val="21"/>
              </w:rPr>
            </w:pPr>
            <w:r>
              <w:rPr>
                <w:rFonts w:eastAsia="华文宋体"/>
                <w:szCs w:val="21"/>
              </w:rPr>
              <w:t>________年____月____日</w:t>
            </w:r>
          </w:p>
        </w:tc>
      </w:tr>
    </w:tbl>
    <w:p w14:paraId="16C3390B"/>
    <w:p w14:paraId="5A7015F7">
      <w:pPr>
        <w:spacing w:after="120" w:line="480" w:lineRule="exact"/>
        <w:ind w:left="420" w:leftChars="200" w:firstLine="480" w:firstLineChars="200"/>
        <w:rPr>
          <w:sz w:val="24"/>
          <w:szCs w:val="20"/>
        </w:rPr>
      </w:pPr>
    </w:p>
    <w:p w14:paraId="19077CB3">
      <w:pPr>
        <w:rPr>
          <w:sz w:val="32"/>
          <w:szCs w:val="40"/>
        </w:rPr>
      </w:pPr>
      <w:r>
        <w:rPr>
          <w:rFonts w:hint="eastAsia"/>
          <w:sz w:val="32"/>
          <w:szCs w:val="40"/>
        </w:rPr>
        <w:br w:type="page"/>
      </w:r>
    </w:p>
    <w:p w14:paraId="4F479BF2">
      <w:pPr>
        <w:rPr>
          <w:b/>
          <w:bCs/>
          <w:sz w:val="24"/>
        </w:rPr>
      </w:pPr>
      <w:r>
        <w:rPr>
          <w:rFonts w:hint="eastAsia"/>
          <w:b/>
          <w:bCs/>
          <w:sz w:val="24"/>
        </w:rPr>
        <w:t>附件2：</w:t>
      </w:r>
    </w:p>
    <w:p w14:paraId="0936603E">
      <w:pPr>
        <w:spacing w:line="500" w:lineRule="exact"/>
        <w:jc w:val="center"/>
        <w:rPr>
          <w:rFonts w:hint="eastAsia" w:ascii="宋体" w:hAnsi="宋体" w:cs="宋体"/>
          <w:b/>
          <w:bCs/>
          <w:sz w:val="32"/>
          <w:szCs w:val="21"/>
        </w:rPr>
      </w:pPr>
      <w:r>
        <w:rPr>
          <w:rFonts w:hint="eastAsia" w:ascii="宋体" w:hAnsi="宋体" w:cs="宋体"/>
          <w:b/>
          <w:bCs/>
          <w:sz w:val="32"/>
          <w:szCs w:val="21"/>
        </w:rPr>
        <w:t>安全协议书</w:t>
      </w:r>
    </w:p>
    <w:p w14:paraId="0616EF63">
      <w:pPr>
        <w:spacing w:line="500" w:lineRule="exact"/>
        <w:rPr>
          <w:rFonts w:eastAsia="仿宋"/>
          <w:sz w:val="28"/>
        </w:rPr>
      </w:pPr>
    </w:p>
    <w:p w14:paraId="38EA59AB">
      <w:pPr>
        <w:spacing w:line="440" w:lineRule="exact"/>
        <w:rPr>
          <w:sz w:val="24"/>
          <w:u w:val="single"/>
        </w:rPr>
      </w:pPr>
      <w:r>
        <w:rPr>
          <w:sz w:val="24"/>
        </w:rPr>
        <w:t>甲方：</w:t>
      </w:r>
      <w:r>
        <w:rPr>
          <w:sz w:val="24"/>
          <w:u w:val="single"/>
        </w:rPr>
        <w:t xml:space="preserve">                                       </w:t>
      </w:r>
    </w:p>
    <w:p w14:paraId="117ED183">
      <w:pPr>
        <w:spacing w:line="440" w:lineRule="exact"/>
        <w:rPr>
          <w:sz w:val="24"/>
        </w:rPr>
      </w:pPr>
      <w:r>
        <w:rPr>
          <w:sz w:val="24"/>
        </w:rPr>
        <w:t>乙方：</w:t>
      </w:r>
      <w:r>
        <w:rPr>
          <w:sz w:val="24"/>
          <w:u w:val="single"/>
        </w:rPr>
        <w:t xml:space="preserve">                                       </w:t>
      </w:r>
    </w:p>
    <w:p w14:paraId="493840A4">
      <w:pPr>
        <w:spacing w:line="440" w:lineRule="exact"/>
        <w:rPr>
          <w:b/>
          <w:bCs/>
          <w:sz w:val="24"/>
        </w:rPr>
      </w:pPr>
      <w:r>
        <w:rPr>
          <w:b/>
          <w:bCs/>
          <w:sz w:val="24"/>
        </w:rPr>
        <w:t>一、目的</w:t>
      </w:r>
    </w:p>
    <w:p w14:paraId="0E14BA4F">
      <w:pPr>
        <w:spacing w:line="440" w:lineRule="exact"/>
        <w:ind w:firstLine="480" w:firstLineChars="200"/>
        <w:rPr>
          <w:sz w:val="24"/>
        </w:rPr>
      </w:pPr>
      <w:r>
        <w:rPr>
          <w:sz w:val="24"/>
        </w:rPr>
        <w:t>为了维护甲乙双方的共同利益，保证施工安全，保持良好的工作秩序和施工场所的卫生环境，经甲乙双方平等协商，签订本安全协议。</w:t>
      </w:r>
    </w:p>
    <w:p w14:paraId="4C3C1D4C">
      <w:pPr>
        <w:spacing w:line="440" w:lineRule="exact"/>
        <w:rPr>
          <w:b/>
          <w:bCs/>
          <w:sz w:val="24"/>
        </w:rPr>
      </w:pPr>
      <w:r>
        <w:rPr>
          <w:b/>
          <w:bCs/>
          <w:sz w:val="24"/>
        </w:rPr>
        <w:t>二、施工项目</w:t>
      </w:r>
    </w:p>
    <w:p w14:paraId="393CDA15">
      <w:pPr>
        <w:spacing w:line="440" w:lineRule="exact"/>
        <w:ind w:firstLine="480" w:firstLineChars="200"/>
        <w:rPr>
          <w:sz w:val="24"/>
        </w:rPr>
      </w:pPr>
      <w:r>
        <w:rPr>
          <w:sz w:val="24"/>
        </w:rPr>
        <w:t xml:space="preserve"> </w:t>
      </w:r>
    </w:p>
    <w:p w14:paraId="6E871990">
      <w:pPr>
        <w:spacing w:line="440" w:lineRule="exact"/>
        <w:rPr>
          <w:b/>
          <w:bCs/>
          <w:sz w:val="24"/>
        </w:rPr>
      </w:pPr>
      <w:r>
        <w:rPr>
          <w:b/>
          <w:bCs/>
          <w:sz w:val="24"/>
        </w:rPr>
        <w:t>三、施工地点</w:t>
      </w:r>
    </w:p>
    <w:p w14:paraId="4FECA385">
      <w:pPr>
        <w:spacing w:line="440" w:lineRule="exact"/>
        <w:ind w:firstLine="600" w:firstLineChars="250"/>
        <w:rPr>
          <w:sz w:val="24"/>
        </w:rPr>
      </w:pPr>
    </w:p>
    <w:p w14:paraId="444A090C">
      <w:pPr>
        <w:spacing w:line="440" w:lineRule="exact"/>
        <w:ind w:firstLine="602" w:firstLineChars="250"/>
        <w:rPr>
          <w:b/>
          <w:bCs/>
          <w:sz w:val="24"/>
        </w:rPr>
      </w:pPr>
      <w:r>
        <w:rPr>
          <w:b/>
          <w:bCs/>
          <w:sz w:val="24"/>
        </w:rPr>
        <w:t>四、施工时间</w:t>
      </w:r>
    </w:p>
    <w:p w14:paraId="6749E221">
      <w:pPr>
        <w:spacing w:line="440" w:lineRule="exact"/>
        <w:ind w:firstLine="480" w:firstLineChars="200"/>
        <w:rPr>
          <w:sz w:val="24"/>
        </w:rPr>
      </w:pPr>
      <w:r>
        <w:rPr>
          <w:sz w:val="24"/>
        </w:rPr>
        <w:t>以实际施工日期为准。</w:t>
      </w:r>
    </w:p>
    <w:p w14:paraId="187504DA">
      <w:pPr>
        <w:spacing w:line="440" w:lineRule="exact"/>
        <w:ind w:firstLine="482" w:firstLineChars="200"/>
        <w:rPr>
          <w:b/>
          <w:bCs/>
          <w:sz w:val="24"/>
        </w:rPr>
      </w:pPr>
      <w:r>
        <w:rPr>
          <w:b/>
          <w:bCs/>
          <w:sz w:val="24"/>
        </w:rPr>
        <w:t>五、施工方式</w:t>
      </w:r>
    </w:p>
    <w:p w14:paraId="5C47D225">
      <w:pPr>
        <w:spacing w:line="440" w:lineRule="exact"/>
        <w:ind w:firstLine="480" w:firstLineChars="200"/>
        <w:rPr>
          <w:sz w:val="24"/>
        </w:rPr>
      </w:pPr>
      <w:r>
        <w:rPr>
          <w:sz w:val="24"/>
        </w:rPr>
        <w:t>按照双方签订同及技术要求施工（详见合同相关条款）。</w:t>
      </w:r>
    </w:p>
    <w:p w14:paraId="4A55C310">
      <w:pPr>
        <w:spacing w:line="440" w:lineRule="exact"/>
        <w:ind w:left="482" w:hanging="482" w:hangingChars="200"/>
        <w:rPr>
          <w:b/>
          <w:bCs/>
          <w:sz w:val="24"/>
        </w:rPr>
      </w:pPr>
      <w:r>
        <w:rPr>
          <w:b/>
          <w:bCs/>
          <w:sz w:val="24"/>
        </w:rPr>
        <w:t>六、协议内容</w:t>
      </w:r>
    </w:p>
    <w:p w14:paraId="57290CAF">
      <w:pPr>
        <w:spacing w:line="440" w:lineRule="exact"/>
        <w:ind w:firstLine="480" w:firstLineChars="200"/>
        <w:rPr>
          <w:sz w:val="24"/>
        </w:rPr>
      </w:pPr>
      <w:r>
        <w:rPr>
          <w:sz w:val="24"/>
        </w:rPr>
        <w:t>1、乙方在甲方属地施工期间须指定现场施工负责人，施工现场还需设立安全监督员，便于施工过程中的协调、联系及安全监管工作。</w:t>
      </w:r>
    </w:p>
    <w:p w14:paraId="5CD8878A">
      <w:pPr>
        <w:spacing w:line="440" w:lineRule="exact"/>
        <w:ind w:firstLine="480" w:firstLineChars="200"/>
        <w:rPr>
          <w:sz w:val="24"/>
        </w:rPr>
      </w:pPr>
      <w:r>
        <w:rPr>
          <w:sz w:val="24"/>
        </w:rPr>
        <w:t>2、乙方施工人员进入施工现场必需佩戴施安全帽，穿戴完整的个人防护用品，携带完好的高空安全带，服从甲方安全管理人员的管理，未经甲方同意，严禁进入甲方生产区域.</w:t>
      </w:r>
    </w:p>
    <w:p w14:paraId="79D49D89">
      <w:pPr>
        <w:spacing w:line="440" w:lineRule="exact"/>
        <w:ind w:firstLine="480" w:firstLineChars="200"/>
        <w:rPr>
          <w:sz w:val="24"/>
        </w:rPr>
      </w:pPr>
      <w:r>
        <w:rPr>
          <w:sz w:val="24"/>
        </w:rPr>
        <w:t>3</w:t>
      </w:r>
      <w:r>
        <w:rPr>
          <w:rFonts w:hint="eastAsia"/>
          <w:sz w:val="24"/>
        </w:rPr>
        <w:t>、</w:t>
      </w:r>
      <w:r>
        <w:rPr>
          <w:sz w:val="24"/>
        </w:rPr>
        <w:t>在没有可靠安全防护设施的高处（2米以上含2米）和陡坡施工时，必须系好合格的安全带，安全带要系挂牢固，高挂低用，同时高处作业不得穿硬底和带钉易滑的鞋，穿防滑胶鞋；高空作业时，不准往下或向上抛材料和工具等物件，应做好安全提示。</w:t>
      </w:r>
    </w:p>
    <w:p w14:paraId="6CAC79E4">
      <w:pPr>
        <w:spacing w:line="440" w:lineRule="exact"/>
        <w:ind w:firstLine="480" w:firstLineChars="200"/>
        <w:rPr>
          <w:sz w:val="24"/>
        </w:rPr>
      </w:pPr>
      <w:r>
        <w:rPr>
          <w:sz w:val="24"/>
        </w:rPr>
        <w:t>4</w:t>
      </w:r>
      <w:r>
        <w:rPr>
          <w:rFonts w:hint="eastAsia"/>
          <w:sz w:val="24"/>
        </w:rPr>
        <w:t>、</w:t>
      </w:r>
      <w:r>
        <w:rPr>
          <w:sz w:val="24"/>
        </w:rPr>
        <w:t>高空作业所用材料要堆放平稳，工具应随手放入工具袋内，上下传递物体禁止抛掷。</w:t>
      </w:r>
    </w:p>
    <w:p w14:paraId="2FCD1A0A">
      <w:pPr>
        <w:spacing w:line="440" w:lineRule="exact"/>
        <w:ind w:firstLine="480" w:firstLineChars="200"/>
        <w:rPr>
          <w:sz w:val="24"/>
        </w:rPr>
      </w:pPr>
      <w:r>
        <w:rPr>
          <w:sz w:val="24"/>
        </w:rPr>
        <w:t>5</w:t>
      </w:r>
      <w:r>
        <w:rPr>
          <w:rFonts w:hint="eastAsia"/>
          <w:sz w:val="24"/>
        </w:rPr>
        <w:t>、</w:t>
      </w:r>
      <w:r>
        <w:rPr>
          <w:sz w:val="24"/>
        </w:rPr>
        <w:t>悬空作业应有牢靠的立足处，并必须视具体情况，配置防护网、栏杆或其他安全设施。凡不符合作业的人员，一律禁止高处作业。并严禁酒后高处作业。</w:t>
      </w:r>
    </w:p>
    <w:p w14:paraId="6A6CAEFF">
      <w:pPr>
        <w:spacing w:line="440" w:lineRule="exact"/>
        <w:ind w:firstLine="480" w:firstLineChars="200"/>
        <w:rPr>
          <w:sz w:val="24"/>
        </w:rPr>
      </w:pPr>
      <w:r>
        <w:rPr>
          <w:sz w:val="24"/>
        </w:rPr>
        <w:t>6</w:t>
      </w:r>
      <w:r>
        <w:rPr>
          <w:rFonts w:hint="eastAsia"/>
          <w:sz w:val="24"/>
        </w:rPr>
        <w:t>、</w:t>
      </w:r>
      <w:r>
        <w:rPr>
          <w:sz w:val="24"/>
        </w:rPr>
        <w:t>施工人员进行特种作业必须持有效证件（电气焊操作证、电工操作证、起重操作证等），并由甲方审核作业人员资质，审核通过后方可施工。同时，由乙方负责在施工前将相关证件复印件（加盖公司公章）交至甲方安全保卫科存档。</w:t>
      </w:r>
    </w:p>
    <w:p w14:paraId="668263C5">
      <w:pPr>
        <w:spacing w:line="440" w:lineRule="exact"/>
        <w:ind w:firstLine="480" w:firstLineChars="200"/>
        <w:rPr>
          <w:sz w:val="24"/>
        </w:rPr>
      </w:pPr>
      <w:r>
        <w:rPr>
          <w:sz w:val="24"/>
        </w:rPr>
        <w:t>7、乙方应在施工区域设置明显警示标志，对于时间较长的集中性施工项目必要时做到封闭处理。施工人员应在施工区域内活动，不得随意进入非施工区域，不得擅动与施工无关的设施及设备，施工中对施工区域内的甲方设备应采取保护措施，不得造成甲方设备损坏，因乙方施工原因引起乙方人员、施工设备事故的一切损失由乙方承担。</w:t>
      </w:r>
    </w:p>
    <w:p w14:paraId="333A756D">
      <w:pPr>
        <w:spacing w:line="440" w:lineRule="exact"/>
        <w:ind w:firstLine="480" w:firstLineChars="200"/>
        <w:rPr>
          <w:sz w:val="24"/>
        </w:rPr>
      </w:pPr>
      <w:r>
        <w:rPr>
          <w:sz w:val="24"/>
        </w:rPr>
        <w:t>8、对于由乙方原因造成甲方人员伤害，引起火灾、设备事故的，一切损失由乙方负责。</w:t>
      </w:r>
    </w:p>
    <w:p w14:paraId="64B7AFE9">
      <w:pPr>
        <w:spacing w:line="440" w:lineRule="exact"/>
        <w:ind w:firstLine="480" w:firstLineChars="200"/>
        <w:rPr>
          <w:sz w:val="24"/>
        </w:rPr>
      </w:pPr>
      <w:r>
        <w:rPr>
          <w:sz w:val="24"/>
        </w:rPr>
        <w:t>9</w:t>
      </w:r>
      <w:r>
        <w:rPr>
          <w:rFonts w:hint="eastAsia"/>
          <w:sz w:val="24"/>
        </w:rPr>
        <w:t>、</w:t>
      </w:r>
      <w:r>
        <w:rPr>
          <w:sz w:val="24"/>
        </w:rPr>
        <w:t>施工现场临时用电安全规定</w:t>
      </w:r>
    </w:p>
    <w:p w14:paraId="75E46B43">
      <w:pPr>
        <w:spacing w:line="440" w:lineRule="exact"/>
        <w:ind w:firstLine="480" w:firstLineChars="200"/>
        <w:rPr>
          <w:sz w:val="24"/>
        </w:rPr>
      </w:pPr>
      <w:r>
        <w:rPr>
          <w:rFonts w:hint="eastAsia"/>
          <w:sz w:val="24"/>
        </w:rPr>
        <w:t>（</w:t>
      </w:r>
      <w:r>
        <w:rPr>
          <w:sz w:val="24"/>
        </w:rPr>
        <w:t>1</w:t>
      </w:r>
      <w:r>
        <w:rPr>
          <w:rFonts w:hint="eastAsia"/>
          <w:sz w:val="24"/>
        </w:rPr>
        <w:t>）</w:t>
      </w:r>
      <w:r>
        <w:rPr>
          <w:sz w:val="24"/>
        </w:rPr>
        <w:t>电工必须持证上岗作业，操作证必须有效，严禁无证操作上岗。</w:t>
      </w:r>
    </w:p>
    <w:p w14:paraId="56F3DF93">
      <w:pPr>
        <w:spacing w:line="440" w:lineRule="exact"/>
        <w:ind w:firstLine="480" w:firstLineChars="200"/>
        <w:rPr>
          <w:sz w:val="24"/>
        </w:rPr>
      </w:pPr>
      <w:r>
        <w:rPr>
          <w:rFonts w:hint="eastAsia"/>
          <w:sz w:val="24"/>
        </w:rPr>
        <w:t>（</w:t>
      </w:r>
      <w:r>
        <w:rPr>
          <w:sz w:val="24"/>
        </w:rPr>
        <w:t>2</w:t>
      </w:r>
      <w:r>
        <w:rPr>
          <w:rFonts w:hint="eastAsia"/>
          <w:sz w:val="24"/>
        </w:rPr>
        <w:t>）</w:t>
      </w:r>
      <w:r>
        <w:rPr>
          <w:sz w:val="24"/>
        </w:rPr>
        <w:t>上班时，必须坚守本职工作岗位，认真操作，不得离岗串岗，不得让非电工人员乱拉乱接电线，严禁带电作业。</w:t>
      </w:r>
    </w:p>
    <w:p w14:paraId="64D4FC84">
      <w:pPr>
        <w:spacing w:line="440" w:lineRule="exact"/>
        <w:ind w:firstLine="480" w:firstLineChars="200"/>
        <w:rPr>
          <w:sz w:val="24"/>
        </w:rPr>
      </w:pPr>
      <w:r>
        <w:rPr>
          <w:rFonts w:hint="eastAsia"/>
          <w:sz w:val="24"/>
        </w:rPr>
        <w:t>（</w:t>
      </w:r>
      <w:r>
        <w:rPr>
          <w:sz w:val="24"/>
        </w:rPr>
        <w:t>3</w:t>
      </w:r>
      <w:r>
        <w:rPr>
          <w:rFonts w:hint="eastAsia"/>
          <w:sz w:val="24"/>
        </w:rPr>
        <w:t>）</w:t>
      </w:r>
      <w:r>
        <w:rPr>
          <w:sz w:val="24"/>
        </w:rPr>
        <w:t>在施工现场不准乱拉乱接线，严禁在现场煮饭以及电热水壶。</w:t>
      </w:r>
    </w:p>
    <w:p w14:paraId="59E8464B">
      <w:pPr>
        <w:spacing w:line="440" w:lineRule="exact"/>
        <w:ind w:firstLine="480" w:firstLineChars="200"/>
        <w:rPr>
          <w:sz w:val="24"/>
        </w:rPr>
      </w:pPr>
      <w:r>
        <w:rPr>
          <w:rFonts w:hint="eastAsia"/>
          <w:sz w:val="24"/>
        </w:rPr>
        <w:t>（</w:t>
      </w:r>
      <w:r>
        <w:rPr>
          <w:sz w:val="24"/>
        </w:rPr>
        <w:t>4</w:t>
      </w:r>
      <w:r>
        <w:rPr>
          <w:rFonts w:hint="eastAsia"/>
          <w:sz w:val="24"/>
        </w:rPr>
        <w:t>）</w:t>
      </w:r>
      <w:r>
        <w:rPr>
          <w:sz w:val="24"/>
        </w:rPr>
        <w:t>再用点处离电源比较远时应架空。</w:t>
      </w:r>
    </w:p>
    <w:p w14:paraId="3EDD8C21">
      <w:pPr>
        <w:spacing w:line="440" w:lineRule="exact"/>
        <w:ind w:firstLine="480" w:firstLineChars="200"/>
        <w:rPr>
          <w:sz w:val="24"/>
        </w:rPr>
      </w:pPr>
      <w:r>
        <w:rPr>
          <w:rFonts w:hint="eastAsia"/>
          <w:sz w:val="24"/>
        </w:rPr>
        <w:t>（</w:t>
      </w:r>
      <w:r>
        <w:rPr>
          <w:sz w:val="24"/>
        </w:rPr>
        <w:t>5</w:t>
      </w:r>
      <w:r>
        <w:rPr>
          <w:rFonts w:hint="eastAsia"/>
          <w:sz w:val="24"/>
        </w:rPr>
        <w:t>）</w:t>
      </w:r>
      <w:r>
        <w:rPr>
          <w:sz w:val="24"/>
        </w:rPr>
        <w:t>严禁使用无漏电开关插座以及非皮套线。</w:t>
      </w:r>
    </w:p>
    <w:p w14:paraId="5455A282">
      <w:pPr>
        <w:spacing w:line="440" w:lineRule="exact"/>
        <w:ind w:firstLine="480" w:firstLineChars="200"/>
        <w:rPr>
          <w:sz w:val="24"/>
        </w:rPr>
      </w:pPr>
      <w:r>
        <w:rPr>
          <w:sz w:val="24"/>
        </w:rPr>
        <w:t>10</w:t>
      </w:r>
      <w:r>
        <w:rPr>
          <w:rFonts w:hint="eastAsia"/>
          <w:sz w:val="24"/>
        </w:rPr>
        <w:t>、</w:t>
      </w:r>
      <w:r>
        <w:rPr>
          <w:sz w:val="24"/>
        </w:rPr>
        <w:t>施工现场气割、电焊作业安全规定</w:t>
      </w:r>
    </w:p>
    <w:p w14:paraId="74482ADE">
      <w:pPr>
        <w:spacing w:line="440" w:lineRule="exact"/>
        <w:ind w:firstLine="480" w:firstLineChars="200"/>
        <w:rPr>
          <w:sz w:val="24"/>
        </w:rPr>
      </w:pPr>
      <w:r>
        <w:rPr>
          <w:rFonts w:hint="eastAsia"/>
          <w:sz w:val="24"/>
        </w:rPr>
        <w:t>（</w:t>
      </w:r>
      <w:r>
        <w:rPr>
          <w:sz w:val="24"/>
        </w:rPr>
        <w:t>1</w:t>
      </w:r>
      <w:r>
        <w:rPr>
          <w:rFonts w:hint="eastAsia"/>
          <w:sz w:val="24"/>
        </w:rPr>
        <w:t>）</w:t>
      </w:r>
      <w:r>
        <w:rPr>
          <w:sz w:val="24"/>
        </w:rPr>
        <w:t>焊工必须持证上岗，无特种作业人员安全操作证的人员，不准进行焊、割作业。</w:t>
      </w:r>
    </w:p>
    <w:p w14:paraId="0FA17818">
      <w:pPr>
        <w:spacing w:line="440" w:lineRule="exact"/>
        <w:ind w:firstLine="480" w:firstLineChars="200"/>
        <w:rPr>
          <w:sz w:val="24"/>
        </w:rPr>
      </w:pPr>
      <w:r>
        <w:rPr>
          <w:rFonts w:hint="eastAsia"/>
          <w:sz w:val="24"/>
        </w:rPr>
        <w:t>（</w:t>
      </w:r>
      <w:r>
        <w:rPr>
          <w:sz w:val="24"/>
        </w:rPr>
        <w:t>2</w:t>
      </w:r>
      <w:r>
        <w:rPr>
          <w:rFonts w:hint="eastAsia"/>
          <w:sz w:val="24"/>
        </w:rPr>
        <w:t>）</w:t>
      </w:r>
      <w:r>
        <w:rPr>
          <w:sz w:val="24"/>
        </w:rPr>
        <w:t>凡属一、二、三级动火范围的焊、割作业，未经办理动火审批手续，不准进行焊、割。</w:t>
      </w:r>
    </w:p>
    <w:p w14:paraId="4088E47F">
      <w:pPr>
        <w:spacing w:line="440" w:lineRule="exact"/>
        <w:ind w:firstLine="480" w:firstLineChars="200"/>
        <w:rPr>
          <w:sz w:val="24"/>
        </w:rPr>
      </w:pPr>
      <w:r>
        <w:rPr>
          <w:rFonts w:hint="eastAsia"/>
          <w:sz w:val="24"/>
        </w:rPr>
        <w:t>（</w:t>
      </w:r>
      <w:r>
        <w:rPr>
          <w:sz w:val="24"/>
        </w:rPr>
        <w:t>3</w:t>
      </w:r>
      <w:r>
        <w:rPr>
          <w:rFonts w:hint="eastAsia"/>
          <w:sz w:val="24"/>
        </w:rPr>
        <w:t>）</w:t>
      </w:r>
      <w:r>
        <w:rPr>
          <w:sz w:val="24"/>
        </w:rPr>
        <w:t>焊工不了解焊、割现场周围情况，不得进行焊、割。</w:t>
      </w:r>
    </w:p>
    <w:p w14:paraId="5EB2A351">
      <w:pPr>
        <w:spacing w:line="440" w:lineRule="exact"/>
        <w:ind w:firstLine="480" w:firstLineChars="200"/>
        <w:rPr>
          <w:sz w:val="24"/>
        </w:rPr>
      </w:pPr>
      <w:r>
        <w:rPr>
          <w:rFonts w:hint="eastAsia"/>
          <w:sz w:val="24"/>
        </w:rPr>
        <w:t>（</w:t>
      </w:r>
      <w:r>
        <w:rPr>
          <w:sz w:val="24"/>
        </w:rPr>
        <w:t>4</w:t>
      </w:r>
      <w:r>
        <w:rPr>
          <w:rFonts w:hint="eastAsia"/>
          <w:sz w:val="24"/>
        </w:rPr>
        <w:t>）</w:t>
      </w:r>
      <w:r>
        <w:rPr>
          <w:sz w:val="24"/>
        </w:rPr>
        <w:t>焊工不了解焊件内部是否安全时，不得进行焊、割。</w:t>
      </w:r>
    </w:p>
    <w:p w14:paraId="063049B3">
      <w:pPr>
        <w:spacing w:line="440" w:lineRule="exact"/>
        <w:ind w:firstLine="480" w:firstLineChars="200"/>
        <w:rPr>
          <w:sz w:val="24"/>
        </w:rPr>
      </w:pPr>
      <w:r>
        <w:rPr>
          <w:rFonts w:hint="eastAsia"/>
          <w:sz w:val="24"/>
        </w:rPr>
        <w:t>（</w:t>
      </w:r>
      <w:r>
        <w:rPr>
          <w:sz w:val="24"/>
        </w:rPr>
        <w:t>5</w:t>
      </w:r>
      <w:r>
        <w:rPr>
          <w:rFonts w:hint="eastAsia"/>
          <w:sz w:val="24"/>
        </w:rPr>
        <w:t>）</w:t>
      </w:r>
      <w:r>
        <w:rPr>
          <w:sz w:val="24"/>
        </w:rPr>
        <w:t>各种装过可燃气体、易燃液体和有毒物质的容器，未经彻底清洗，排除危险性之前，不准进行焊、割。</w:t>
      </w:r>
    </w:p>
    <w:p w14:paraId="05880164">
      <w:pPr>
        <w:spacing w:line="440" w:lineRule="exact"/>
        <w:ind w:firstLine="480" w:firstLineChars="200"/>
        <w:rPr>
          <w:sz w:val="24"/>
        </w:rPr>
      </w:pPr>
      <w:r>
        <w:rPr>
          <w:rFonts w:hint="eastAsia"/>
          <w:sz w:val="24"/>
        </w:rPr>
        <w:t>（</w:t>
      </w:r>
      <w:r>
        <w:rPr>
          <w:sz w:val="24"/>
        </w:rPr>
        <w:t>6</w:t>
      </w:r>
      <w:r>
        <w:rPr>
          <w:rFonts w:hint="eastAsia"/>
          <w:sz w:val="24"/>
        </w:rPr>
        <w:t>）</w:t>
      </w:r>
      <w:r>
        <w:rPr>
          <w:sz w:val="24"/>
        </w:rPr>
        <w:t>用可燃材料作保温层、冷却层、隔音、隔热设备的部位，或火星能飞溅到的地方，在未采取切实可靠的安全措施之前，不准焊、割。</w:t>
      </w:r>
    </w:p>
    <w:p w14:paraId="4DAA16FE">
      <w:pPr>
        <w:spacing w:line="440" w:lineRule="exact"/>
        <w:ind w:firstLine="480" w:firstLineChars="200"/>
        <w:rPr>
          <w:sz w:val="24"/>
        </w:rPr>
      </w:pPr>
      <w:r>
        <w:rPr>
          <w:rFonts w:hint="eastAsia"/>
          <w:sz w:val="24"/>
        </w:rPr>
        <w:t>（</w:t>
      </w:r>
      <w:r>
        <w:rPr>
          <w:sz w:val="24"/>
        </w:rPr>
        <w:t>7</w:t>
      </w:r>
      <w:r>
        <w:rPr>
          <w:rFonts w:hint="eastAsia"/>
          <w:sz w:val="24"/>
        </w:rPr>
        <w:t>）</w:t>
      </w:r>
      <w:r>
        <w:rPr>
          <w:sz w:val="24"/>
        </w:rPr>
        <w:t>有压力或密闭的管道、容器，不准焊、割。</w:t>
      </w:r>
    </w:p>
    <w:p w14:paraId="1140FAEC">
      <w:pPr>
        <w:spacing w:line="440" w:lineRule="exact"/>
        <w:ind w:firstLine="480" w:firstLineChars="200"/>
        <w:rPr>
          <w:sz w:val="24"/>
        </w:rPr>
      </w:pPr>
      <w:r>
        <w:rPr>
          <w:rFonts w:hint="eastAsia"/>
          <w:sz w:val="24"/>
        </w:rPr>
        <w:t>（</w:t>
      </w:r>
      <w:r>
        <w:rPr>
          <w:sz w:val="24"/>
        </w:rPr>
        <w:t>8</w:t>
      </w:r>
      <w:r>
        <w:rPr>
          <w:rFonts w:hint="eastAsia"/>
          <w:sz w:val="24"/>
        </w:rPr>
        <w:t>）</w:t>
      </w:r>
      <w:r>
        <w:rPr>
          <w:sz w:val="24"/>
        </w:rPr>
        <w:t>焊、割部位附近有易燃易爆物品，在未作清理或未采取有效的安全措施之前，不准焊、割。</w:t>
      </w:r>
    </w:p>
    <w:p w14:paraId="04E6F1C0">
      <w:pPr>
        <w:spacing w:line="440" w:lineRule="exact"/>
        <w:ind w:firstLine="480" w:firstLineChars="200"/>
        <w:rPr>
          <w:sz w:val="24"/>
        </w:rPr>
      </w:pPr>
      <w:r>
        <w:rPr>
          <w:sz w:val="24"/>
        </w:rPr>
        <w:t>11</w:t>
      </w:r>
      <w:r>
        <w:rPr>
          <w:rFonts w:hint="eastAsia"/>
          <w:sz w:val="24"/>
        </w:rPr>
        <w:t>、</w:t>
      </w:r>
      <w:r>
        <w:rPr>
          <w:sz w:val="24"/>
        </w:rPr>
        <w:t>附近有与明火作业相抵触的工种在作业时，不准焊、割。乙方施工队伍的安全防护器材必须配置到位，安全措施得力，乙方对其所有施工人员及相关联人员的人身安全负全部责任，甲方不承担任何责任。</w:t>
      </w:r>
    </w:p>
    <w:p w14:paraId="2AD50734">
      <w:pPr>
        <w:spacing w:line="440" w:lineRule="exact"/>
        <w:ind w:firstLine="480" w:firstLineChars="200"/>
        <w:rPr>
          <w:sz w:val="24"/>
        </w:rPr>
      </w:pPr>
      <w:r>
        <w:rPr>
          <w:sz w:val="24"/>
        </w:rPr>
        <w:t>12、施工车辆进出及转弯时必须减速行驶（低于5km/h）.</w:t>
      </w:r>
    </w:p>
    <w:p w14:paraId="49820F10">
      <w:pPr>
        <w:spacing w:line="440" w:lineRule="exact"/>
        <w:ind w:firstLine="480" w:firstLineChars="200"/>
        <w:rPr>
          <w:sz w:val="24"/>
        </w:rPr>
      </w:pPr>
      <w:r>
        <w:rPr>
          <w:sz w:val="24"/>
        </w:rPr>
        <w:t>13、如因乙方违法相关法律、法规及以上规定，所造成的一切不良后果（人员伤亡、财产损失等）均由乙方全部负责，与甲方无关。</w:t>
      </w:r>
    </w:p>
    <w:p w14:paraId="1D88A2FE">
      <w:pPr>
        <w:spacing w:line="440" w:lineRule="exact"/>
        <w:ind w:firstLine="480" w:firstLineChars="200"/>
        <w:rPr>
          <w:sz w:val="24"/>
        </w:rPr>
      </w:pPr>
      <w:r>
        <w:rPr>
          <w:sz w:val="24"/>
        </w:rPr>
        <w:t>14、其它未尽事宜由甲乙双方协商解决。</w:t>
      </w:r>
    </w:p>
    <w:p w14:paraId="1DE1BD5F">
      <w:pPr>
        <w:spacing w:line="440" w:lineRule="exact"/>
        <w:rPr>
          <w:b/>
          <w:bCs/>
          <w:sz w:val="24"/>
        </w:rPr>
      </w:pPr>
      <w:r>
        <w:rPr>
          <w:b/>
          <w:bCs/>
          <w:sz w:val="24"/>
        </w:rPr>
        <w:t>七、其他</w:t>
      </w:r>
    </w:p>
    <w:p w14:paraId="782AA9D8">
      <w:pPr>
        <w:spacing w:line="440" w:lineRule="exact"/>
        <w:ind w:firstLine="480" w:firstLineChars="200"/>
        <w:rPr>
          <w:sz w:val="24"/>
        </w:rPr>
      </w:pPr>
      <w:r>
        <w:rPr>
          <w:sz w:val="24"/>
        </w:rPr>
        <w:t>本协议</w:t>
      </w:r>
      <w:r>
        <w:rPr>
          <w:rFonts w:hint="eastAsia"/>
          <w:sz w:val="24"/>
        </w:rPr>
        <w:t>份数与主合同相同</w:t>
      </w:r>
      <w:r>
        <w:rPr>
          <w:sz w:val="24"/>
        </w:rPr>
        <w:t>，自甲乙双方法定代表人或经授权的委托代理人签字并加盖双方公章或合同专用章之日起生效，各份协议具有同等法律效力。</w:t>
      </w:r>
    </w:p>
    <w:p w14:paraId="17C2B67D">
      <w:pPr>
        <w:spacing w:line="440" w:lineRule="exact"/>
        <w:rPr>
          <w:sz w:val="24"/>
        </w:rPr>
      </w:pPr>
      <w:r>
        <w:rPr>
          <w:sz w:val="24"/>
        </w:rPr>
        <w:t>（以下无正文）</w:t>
      </w:r>
    </w:p>
    <w:tbl>
      <w:tblPr>
        <w:tblStyle w:val="42"/>
        <w:tblW w:w="9147" w:type="dxa"/>
        <w:jc w:val="center"/>
        <w:tblLayout w:type="fixed"/>
        <w:tblCellMar>
          <w:top w:w="0" w:type="dxa"/>
          <w:left w:w="108" w:type="dxa"/>
          <w:bottom w:w="0" w:type="dxa"/>
          <w:right w:w="108" w:type="dxa"/>
        </w:tblCellMar>
      </w:tblPr>
      <w:tblGrid>
        <w:gridCol w:w="1600"/>
        <w:gridCol w:w="2975"/>
        <w:gridCol w:w="1630"/>
        <w:gridCol w:w="2942"/>
      </w:tblGrid>
      <w:tr w14:paraId="51243E09">
        <w:tblPrEx>
          <w:tblCellMar>
            <w:top w:w="0" w:type="dxa"/>
            <w:left w:w="108" w:type="dxa"/>
            <w:bottom w:w="0" w:type="dxa"/>
            <w:right w:w="108" w:type="dxa"/>
          </w:tblCellMar>
        </w:tblPrEx>
        <w:trPr>
          <w:trHeight w:val="803" w:hRule="atLeast"/>
          <w:jc w:val="center"/>
        </w:trPr>
        <w:tc>
          <w:tcPr>
            <w:tcW w:w="9147" w:type="dxa"/>
            <w:gridSpan w:val="4"/>
            <w:vAlign w:val="center"/>
          </w:tcPr>
          <w:p w14:paraId="23DF85FF">
            <w:pPr>
              <w:spacing w:line="320" w:lineRule="exact"/>
              <w:jc w:val="center"/>
              <w:rPr>
                <w:rFonts w:hint="eastAsia" w:ascii="华文宋体" w:hAnsi="华文宋体" w:eastAsia="华文宋体" w:cs="华文宋体"/>
                <w:b/>
                <w:szCs w:val="21"/>
              </w:rPr>
            </w:pPr>
            <w:r>
              <w:rPr>
                <w:rFonts w:hint="eastAsia" w:ascii="华文宋体" w:hAnsi="华文宋体" w:eastAsia="华文宋体" w:cs="华文宋体"/>
                <w:b/>
                <w:sz w:val="28"/>
                <w:szCs w:val="28"/>
              </w:rPr>
              <w:t>协议签订双方</w:t>
            </w:r>
          </w:p>
        </w:tc>
      </w:tr>
      <w:tr w14:paraId="299A2C35">
        <w:tblPrEx>
          <w:tblCellMar>
            <w:top w:w="0" w:type="dxa"/>
            <w:left w:w="108" w:type="dxa"/>
            <w:bottom w:w="0" w:type="dxa"/>
            <w:right w:w="108" w:type="dxa"/>
          </w:tblCellMar>
        </w:tblPrEx>
        <w:trPr>
          <w:trHeight w:val="997" w:hRule="atLeast"/>
          <w:jc w:val="center"/>
        </w:trPr>
        <w:tc>
          <w:tcPr>
            <w:tcW w:w="1600" w:type="dxa"/>
            <w:vAlign w:val="center"/>
          </w:tcPr>
          <w:p w14:paraId="766CB429">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甲方（盖章）：</w:t>
            </w:r>
          </w:p>
        </w:tc>
        <w:tc>
          <w:tcPr>
            <w:tcW w:w="2975" w:type="dxa"/>
            <w:vAlign w:val="center"/>
          </w:tcPr>
          <w:p w14:paraId="43488161">
            <w:pPr>
              <w:spacing w:line="320" w:lineRule="exact"/>
              <w:jc w:val="center"/>
              <w:rPr>
                <w:rFonts w:hint="eastAsia" w:ascii="华文宋体" w:hAnsi="华文宋体" w:eastAsia="华文宋体" w:cs="华文宋体"/>
                <w:szCs w:val="21"/>
              </w:rPr>
            </w:pPr>
          </w:p>
        </w:tc>
        <w:tc>
          <w:tcPr>
            <w:tcW w:w="1630" w:type="dxa"/>
            <w:vAlign w:val="center"/>
          </w:tcPr>
          <w:p w14:paraId="4F984313">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乙方（盖章）：</w:t>
            </w:r>
          </w:p>
        </w:tc>
        <w:tc>
          <w:tcPr>
            <w:tcW w:w="2942" w:type="dxa"/>
            <w:vAlign w:val="center"/>
          </w:tcPr>
          <w:p w14:paraId="1F520BC4">
            <w:pPr>
              <w:spacing w:line="320" w:lineRule="exact"/>
              <w:ind w:leftChars="-2" w:hanging="4" w:hangingChars="2"/>
              <w:jc w:val="center"/>
              <w:rPr>
                <w:rFonts w:hint="eastAsia" w:ascii="华文宋体" w:hAnsi="华文宋体" w:eastAsia="华文宋体" w:cs="华文宋体"/>
                <w:szCs w:val="21"/>
              </w:rPr>
            </w:pPr>
          </w:p>
        </w:tc>
      </w:tr>
      <w:tr w14:paraId="4FB57175">
        <w:tblPrEx>
          <w:tblCellMar>
            <w:top w:w="0" w:type="dxa"/>
            <w:left w:w="108" w:type="dxa"/>
            <w:bottom w:w="0" w:type="dxa"/>
            <w:right w:w="108" w:type="dxa"/>
          </w:tblCellMar>
        </w:tblPrEx>
        <w:trPr>
          <w:trHeight w:val="1087" w:hRule="atLeast"/>
          <w:jc w:val="center"/>
        </w:trPr>
        <w:tc>
          <w:tcPr>
            <w:tcW w:w="1600" w:type="dxa"/>
            <w:vAlign w:val="center"/>
          </w:tcPr>
          <w:p w14:paraId="1A9EA41B">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法定代表人</w:t>
            </w:r>
          </w:p>
          <w:p w14:paraId="530A51C9">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75" w:type="dxa"/>
            <w:vAlign w:val="center"/>
          </w:tcPr>
          <w:p w14:paraId="4DF06BC7">
            <w:pPr>
              <w:spacing w:line="320" w:lineRule="exact"/>
              <w:rPr>
                <w:rFonts w:hint="eastAsia" w:ascii="华文宋体" w:hAnsi="华文宋体" w:eastAsia="华文宋体" w:cs="华文宋体"/>
                <w:szCs w:val="21"/>
              </w:rPr>
            </w:pPr>
          </w:p>
        </w:tc>
        <w:tc>
          <w:tcPr>
            <w:tcW w:w="1630" w:type="dxa"/>
            <w:vAlign w:val="center"/>
          </w:tcPr>
          <w:p w14:paraId="1B639061">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法定代表人</w:t>
            </w:r>
          </w:p>
          <w:p w14:paraId="55A69FF8">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42" w:type="dxa"/>
            <w:vAlign w:val="center"/>
          </w:tcPr>
          <w:p w14:paraId="7453D8EA">
            <w:pPr>
              <w:spacing w:line="320" w:lineRule="exact"/>
              <w:rPr>
                <w:rFonts w:hint="eastAsia" w:ascii="华文宋体" w:hAnsi="华文宋体" w:eastAsia="华文宋体" w:cs="华文宋体"/>
                <w:szCs w:val="21"/>
              </w:rPr>
            </w:pPr>
          </w:p>
        </w:tc>
      </w:tr>
      <w:tr w14:paraId="3B2E2742">
        <w:tblPrEx>
          <w:tblCellMar>
            <w:top w:w="0" w:type="dxa"/>
            <w:left w:w="108" w:type="dxa"/>
            <w:bottom w:w="0" w:type="dxa"/>
            <w:right w:w="108" w:type="dxa"/>
          </w:tblCellMar>
        </w:tblPrEx>
        <w:trPr>
          <w:trHeight w:val="1087" w:hRule="atLeast"/>
          <w:jc w:val="center"/>
        </w:trPr>
        <w:tc>
          <w:tcPr>
            <w:tcW w:w="1600" w:type="dxa"/>
            <w:vAlign w:val="center"/>
          </w:tcPr>
          <w:p w14:paraId="7ECE776F">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委托代理人</w:t>
            </w:r>
          </w:p>
          <w:p w14:paraId="51C8C6AC">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75" w:type="dxa"/>
            <w:vAlign w:val="center"/>
          </w:tcPr>
          <w:p w14:paraId="1E7A9D50">
            <w:pPr>
              <w:spacing w:line="320" w:lineRule="exact"/>
              <w:rPr>
                <w:rFonts w:hint="eastAsia" w:ascii="华文宋体" w:hAnsi="华文宋体" w:eastAsia="华文宋体" w:cs="华文宋体"/>
                <w:szCs w:val="21"/>
              </w:rPr>
            </w:pPr>
          </w:p>
        </w:tc>
        <w:tc>
          <w:tcPr>
            <w:tcW w:w="1630" w:type="dxa"/>
            <w:vAlign w:val="center"/>
          </w:tcPr>
          <w:p w14:paraId="60F1BDF5">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委托代理人</w:t>
            </w:r>
          </w:p>
          <w:p w14:paraId="35114D2D">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（签字）：</w:t>
            </w:r>
          </w:p>
        </w:tc>
        <w:tc>
          <w:tcPr>
            <w:tcW w:w="2942" w:type="dxa"/>
            <w:vAlign w:val="center"/>
          </w:tcPr>
          <w:p w14:paraId="73CA83C6">
            <w:pPr>
              <w:spacing w:line="320" w:lineRule="exact"/>
              <w:rPr>
                <w:rFonts w:hint="eastAsia" w:ascii="华文宋体" w:hAnsi="华文宋体" w:eastAsia="华文宋体" w:cs="华文宋体"/>
                <w:szCs w:val="21"/>
              </w:rPr>
            </w:pPr>
          </w:p>
        </w:tc>
      </w:tr>
      <w:tr w14:paraId="1230654F">
        <w:tblPrEx>
          <w:tblCellMar>
            <w:top w:w="0" w:type="dxa"/>
            <w:left w:w="108" w:type="dxa"/>
            <w:bottom w:w="0" w:type="dxa"/>
            <w:right w:w="108" w:type="dxa"/>
          </w:tblCellMar>
        </w:tblPrEx>
        <w:trPr>
          <w:trHeight w:val="1087" w:hRule="atLeast"/>
          <w:jc w:val="center"/>
        </w:trPr>
        <w:tc>
          <w:tcPr>
            <w:tcW w:w="1600" w:type="dxa"/>
            <w:vAlign w:val="center"/>
          </w:tcPr>
          <w:p w14:paraId="74A4F134">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签订日期：</w:t>
            </w:r>
          </w:p>
        </w:tc>
        <w:tc>
          <w:tcPr>
            <w:tcW w:w="2975" w:type="dxa"/>
            <w:vAlign w:val="center"/>
          </w:tcPr>
          <w:p w14:paraId="76C65D1C">
            <w:pPr>
              <w:spacing w:line="320" w:lineRule="exact"/>
              <w:jc w:val="right"/>
              <w:rPr>
                <w:rFonts w:hint="eastAsia" w:ascii="华文宋体" w:hAnsi="华文宋体" w:eastAsia="华文宋体" w:cs="华文宋体"/>
                <w:szCs w:val="21"/>
              </w:rPr>
            </w:pPr>
            <w:r>
              <w:rPr>
                <w:rFonts w:hint="eastAsia" w:ascii="华文宋体" w:hAnsi="华文宋体" w:eastAsia="华文宋体" w:cs="华文宋体"/>
                <w:szCs w:val="21"/>
              </w:rPr>
              <w:t>________年____月____日</w:t>
            </w:r>
          </w:p>
        </w:tc>
        <w:tc>
          <w:tcPr>
            <w:tcW w:w="1630" w:type="dxa"/>
            <w:vAlign w:val="center"/>
          </w:tcPr>
          <w:p w14:paraId="32EEF9E0">
            <w:pPr>
              <w:spacing w:line="320" w:lineRule="exact"/>
              <w:jc w:val="center"/>
              <w:rPr>
                <w:rFonts w:hint="eastAsia" w:ascii="华文宋体" w:hAnsi="华文宋体" w:eastAsia="华文宋体" w:cs="华文宋体"/>
                <w:szCs w:val="21"/>
              </w:rPr>
            </w:pPr>
            <w:r>
              <w:rPr>
                <w:rFonts w:hint="eastAsia" w:ascii="华文宋体" w:hAnsi="华文宋体" w:eastAsia="华文宋体" w:cs="华文宋体"/>
                <w:szCs w:val="21"/>
              </w:rPr>
              <w:t>签订日期：</w:t>
            </w:r>
          </w:p>
        </w:tc>
        <w:tc>
          <w:tcPr>
            <w:tcW w:w="2942" w:type="dxa"/>
            <w:vAlign w:val="center"/>
          </w:tcPr>
          <w:p w14:paraId="14F4E636">
            <w:pPr>
              <w:spacing w:line="320" w:lineRule="exact"/>
              <w:jc w:val="right"/>
              <w:rPr>
                <w:rFonts w:hint="eastAsia" w:ascii="华文宋体" w:hAnsi="华文宋体" w:eastAsia="华文宋体" w:cs="华文宋体"/>
                <w:szCs w:val="21"/>
              </w:rPr>
            </w:pPr>
            <w:r>
              <w:rPr>
                <w:rFonts w:hint="eastAsia" w:ascii="华文宋体" w:hAnsi="华文宋体" w:eastAsia="华文宋体" w:cs="华文宋体"/>
                <w:szCs w:val="21"/>
              </w:rPr>
              <w:t>________年____月____日</w:t>
            </w:r>
          </w:p>
        </w:tc>
      </w:tr>
    </w:tbl>
    <w:p w14:paraId="65AB4A4F">
      <w:pPr>
        <w:tabs>
          <w:tab w:val="left" w:pos="900"/>
          <w:tab w:val="left" w:pos="1080"/>
        </w:tabs>
        <w:snapToGrid w:val="0"/>
        <w:spacing w:line="360" w:lineRule="auto"/>
        <w:rPr>
          <w:sz w:val="24"/>
        </w:rPr>
      </w:pPr>
    </w:p>
    <w:bookmarkEnd w:id="849"/>
    <w:p w14:paraId="774EA4E5">
      <w:pPr>
        <w:spacing w:line="360" w:lineRule="auto"/>
        <w:jc w:val="center"/>
        <w:outlineLvl w:val="0"/>
        <w:rPr>
          <w:b/>
          <w:sz w:val="36"/>
          <w:szCs w:val="36"/>
        </w:rPr>
      </w:pPr>
      <w:r>
        <w:rPr>
          <w:b/>
          <w:sz w:val="36"/>
          <w:szCs w:val="36"/>
        </w:rPr>
        <w:br w:type="page"/>
      </w:r>
      <w:bookmarkStart w:id="886" w:name="_Toc99301426"/>
      <w:r>
        <w:rPr>
          <w:b/>
          <w:sz w:val="36"/>
          <w:szCs w:val="36"/>
        </w:rPr>
        <w:t>第七章   投标文件格式</w:t>
      </w:r>
      <w:bookmarkEnd w:id="886"/>
    </w:p>
    <w:p w14:paraId="1F18CA1F">
      <w:pPr>
        <w:tabs>
          <w:tab w:val="left" w:pos="900"/>
          <w:tab w:val="left" w:pos="1980"/>
        </w:tabs>
        <w:snapToGrid w:val="0"/>
        <w:spacing w:line="360" w:lineRule="auto"/>
        <w:ind w:left="142"/>
        <w:rPr>
          <w:b/>
          <w:sz w:val="24"/>
        </w:rPr>
      </w:pPr>
    </w:p>
    <w:p w14:paraId="150ED484">
      <w:pPr>
        <w:tabs>
          <w:tab w:val="left" w:pos="900"/>
          <w:tab w:val="left" w:pos="1980"/>
        </w:tabs>
        <w:snapToGrid w:val="0"/>
        <w:spacing w:line="360" w:lineRule="auto"/>
        <w:ind w:left="142"/>
        <w:rPr>
          <w:b/>
          <w:sz w:val="24"/>
        </w:rPr>
      </w:pPr>
    </w:p>
    <w:p w14:paraId="74FB89D7">
      <w:pPr>
        <w:tabs>
          <w:tab w:val="left" w:pos="900"/>
          <w:tab w:val="left" w:pos="1980"/>
        </w:tabs>
        <w:snapToGrid w:val="0"/>
        <w:spacing w:line="360" w:lineRule="auto"/>
        <w:ind w:left="142"/>
        <w:rPr>
          <w:sz w:val="24"/>
        </w:rPr>
      </w:pPr>
      <w:r>
        <w:rPr>
          <w:b/>
          <w:sz w:val="24"/>
        </w:rPr>
        <w:t>投标人编制文件须知</w:t>
      </w:r>
    </w:p>
    <w:p w14:paraId="70E3FEA7">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75AD4F1D">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14C114E2">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E4AD3A1">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27A5A3CD">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1889C0EC">
      <w:pPr>
        <w:rPr>
          <w:b/>
          <w:spacing w:val="20"/>
          <w:szCs w:val="21"/>
        </w:rPr>
      </w:pPr>
    </w:p>
    <w:p w14:paraId="77BAE237">
      <w:pPr>
        <w:rPr>
          <w:b/>
          <w:sz w:val="24"/>
        </w:rPr>
      </w:pPr>
      <w:r>
        <w:rPr>
          <w:b/>
          <w:spacing w:val="20"/>
          <w:sz w:val="24"/>
        </w:rPr>
        <w:t>投标文件（资格证明文件）</w:t>
      </w:r>
      <w:r>
        <w:rPr>
          <w:b/>
          <w:sz w:val="24"/>
        </w:rPr>
        <w:t>封面（非实质性格式）</w:t>
      </w:r>
    </w:p>
    <w:p w14:paraId="578558EE">
      <w:pPr>
        <w:jc w:val="center"/>
        <w:rPr>
          <w:szCs w:val="21"/>
        </w:rPr>
      </w:pPr>
    </w:p>
    <w:p w14:paraId="31B19387">
      <w:pPr>
        <w:jc w:val="center"/>
        <w:rPr>
          <w:b/>
          <w:spacing w:val="60"/>
          <w:sz w:val="84"/>
          <w:szCs w:val="84"/>
        </w:rPr>
      </w:pPr>
      <w:r>
        <w:rPr>
          <w:b/>
          <w:spacing w:val="60"/>
          <w:sz w:val="84"/>
          <w:szCs w:val="84"/>
        </w:rPr>
        <w:t>投 标 文 件</w:t>
      </w:r>
    </w:p>
    <w:p w14:paraId="04757F8F">
      <w:pPr>
        <w:jc w:val="center"/>
        <w:rPr>
          <w:b/>
          <w:spacing w:val="60"/>
          <w:sz w:val="52"/>
          <w:szCs w:val="52"/>
        </w:rPr>
      </w:pPr>
      <w:r>
        <w:rPr>
          <w:b/>
          <w:spacing w:val="60"/>
          <w:sz w:val="52"/>
          <w:szCs w:val="52"/>
        </w:rPr>
        <w:t>（资格证明文件）</w:t>
      </w:r>
    </w:p>
    <w:p w14:paraId="2AAB3870">
      <w:pPr>
        <w:ind w:firstLine="542" w:firstLineChars="150"/>
        <w:rPr>
          <w:b/>
          <w:spacing w:val="20"/>
          <w:sz w:val="32"/>
          <w:szCs w:val="32"/>
        </w:rPr>
      </w:pPr>
    </w:p>
    <w:p w14:paraId="05A0EFF7">
      <w:pPr>
        <w:ind w:firstLine="542" w:firstLineChars="150"/>
        <w:rPr>
          <w:b/>
          <w:spacing w:val="20"/>
          <w:sz w:val="32"/>
          <w:szCs w:val="32"/>
        </w:rPr>
      </w:pPr>
    </w:p>
    <w:p w14:paraId="0A2290F4">
      <w:pPr>
        <w:ind w:firstLine="542" w:firstLineChars="150"/>
        <w:rPr>
          <w:b/>
          <w:spacing w:val="20"/>
          <w:sz w:val="32"/>
          <w:szCs w:val="32"/>
        </w:rPr>
      </w:pPr>
      <w:r>
        <w:rPr>
          <w:b/>
          <w:spacing w:val="20"/>
          <w:sz w:val="32"/>
          <w:szCs w:val="32"/>
        </w:rPr>
        <w:t>项目名称:</w:t>
      </w:r>
    </w:p>
    <w:p w14:paraId="6B1F9949">
      <w:pPr>
        <w:ind w:firstLine="542" w:firstLineChars="150"/>
        <w:rPr>
          <w:b/>
          <w:spacing w:val="20"/>
          <w:sz w:val="32"/>
          <w:szCs w:val="32"/>
        </w:rPr>
      </w:pPr>
      <w:r>
        <w:rPr>
          <w:b/>
          <w:spacing w:val="20"/>
          <w:sz w:val="32"/>
          <w:szCs w:val="32"/>
        </w:rPr>
        <w:t>项目编号/包号：</w:t>
      </w:r>
    </w:p>
    <w:p w14:paraId="36486BA6">
      <w:pPr>
        <w:ind w:firstLine="542" w:firstLineChars="150"/>
        <w:rPr>
          <w:b/>
          <w:spacing w:val="20"/>
          <w:sz w:val="32"/>
          <w:szCs w:val="32"/>
        </w:rPr>
      </w:pPr>
    </w:p>
    <w:p w14:paraId="135688F6">
      <w:pPr>
        <w:ind w:firstLine="542" w:firstLineChars="150"/>
        <w:rPr>
          <w:b/>
          <w:spacing w:val="20"/>
          <w:sz w:val="32"/>
          <w:szCs w:val="32"/>
        </w:rPr>
      </w:pPr>
    </w:p>
    <w:p w14:paraId="79D10E0B">
      <w:pPr>
        <w:jc w:val="center"/>
        <w:rPr>
          <w:b/>
          <w:sz w:val="32"/>
          <w:szCs w:val="32"/>
        </w:rPr>
      </w:pPr>
    </w:p>
    <w:p w14:paraId="6414C38A">
      <w:pPr>
        <w:jc w:val="center"/>
        <w:rPr>
          <w:b/>
          <w:sz w:val="32"/>
          <w:szCs w:val="32"/>
        </w:rPr>
      </w:pPr>
    </w:p>
    <w:p w14:paraId="0B9E759B">
      <w:pPr>
        <w:jc w:val="center"/>
        <w:rPr>
          <w:b/>
          <w:sz w:val="32"/>
          <w:szCs w:val="32"/>
        </w:rPr>
      </w:pPr>
    </w:p>
    <w:p w14:paraId="59126112">
      <w:pPr>
        <w:jc w:val="center"/>
        <w:rPr>
          <w:b/>
          <w:spacing w:val="20"/>
          <w:sz w:val="32"/>
          <w:szCs w:val="32"/>
        </w:rPr>
      </w:pPr>
    </w:p>
    <w:p w14:paraId="3122DE5C">
      <w:pPr>
        <w:jc w:val="center"/>
        <w:rPr>
          <w:b/>
          <w:spacing w:val="20"/>
          <w:sz w:val="32"/>
          <w:szCs w:val="32"/>
        </w:rPr>
      </w:pPr>
    </w:p>
    <w:p w14:paraId="21B93BB3">
      <w:pPr>
        <w:jc w:val="center"/>
        <w:rPr>
          <w:b/>
          <w:spacing w:val="20"/>
          <w:sz w:val="32"/>
          <w:szCs w:val="32"/>
        </w:rPr>
      </w:pPr>
    </w:p>
    <w:p w14:paraId="5A34186B">
      <w:pPr>
        <w:spacing w:line="360" w:lineRule="auto"/>
        <w:ind w:firstLine="1445" w:firstLineChars="400"/>
        <w:jc w:val="left"/>
        <w:rPr>
          <w:b/>
          <w:spacing w:val="20"/>
          <w:sz w:val="32"/>
          <w:szCs w:val="32"/>
        </w:rPr>
      </w:pPr>
      <w:r>
        <w:rPr>
          <w:b/>
          <w:spacing w:val="20"/>
          <w:sz w:val="32"/>
          <w:szCs w:val="32"/>
        </w:rPr>
        <w:t>投标人名称：</w:t>
      </w:r>
    </w:p>
    <w:p w14:paraId="1B99AB46">
      <w:pPr>
        <w:jc w:val="center"/>
        <w:rPr>
          <w:b/>
          <w:sz w:val="32"/>
          <w:szCs w:val="32"/>
        </w:rPr>
      </w:pPr>
    </w:p>
    <w:p w14:paraId="714C4D35">
      <w:pPr>
        <w:rPr>
          <w:b/>
        </w:rPr>
      </w:pPr>
      <w:r>
        <w:rPr>
          <w:b/>
          <w:spacing w:val="20"/>
          <w:sz w:val="32"/>
          <w:szCs w:val="32"/>
        </w:rPr>
        <w:br w:type="page"/>
      </w:r>
    </w:p>
    <w:p w14:paraId="173ACD9D">
      <w:pPr>
        <w:numPr>
          <w:ilvl w:val="0"/>
          <w:numId w:val="48"/>
        </w:numPr>
        <w:tabs>
          <w:tab w:val="left" w:pos="360"/>
        </w:tabs>
        <w:snapToGrid w:val="0"/>
        <w:spacing w:line="360" w:lineRule="auto"/>
        <w:outlineLvl w:val="1"/>
        <w:rPr>
          <w:color w:val="000000"/>
          <w:sz w:val="24"/>
          <w:szCs w:val="20"/>
        </w:rPr>
      </w:pPr>
      <w:r>
        <w:rPr>
          <w:sz w:val="24"/>
        </w:rPr>
        <w:t>满足《中华人民共和国政府采购法》第二十二条规定</w:t>
      </w:r>
    </w:p>
    <w:p w14:paraId="45EEAE1E">
      <w:pPr>
        <w:spacing w:line="360" w:lineRule="auto"/>
        <w:outlineLvl w:val="2"/>
        <w:rPr>
          <w:color w:val="000000"/>
          <w:sz w:val="24"/>
          <w:szCs w:val="20"/>
        </w:rPr>
      </w:pPr>
      <w:r>
        <w:rPr>
          <w:color w:val="000000"/>
          <w:sz w:val="24"/>
          <w:szCs w:val="20"/>
        </w:rPr>
        <w:t>1-1 营业执照等证明文件</w:t>
      </w:r>
    </w:p>
    <w:p w14:paraId="709A8392">
      <w:pPr>
        <w:tabs>
          <w:tab w:val="left" w:pos="1080"/>
        </w:tabs>
        <w:snapToGrid w:val="0"/>
        <w:rPr>
          <w:sz w:val="24"/>
        </w:rPr>
      </w:pPr>
    </w:p>
    <w:p w14:paraId="72B66D99">
      <w:pPr>
        <w:widowControl/>
        <w:jc w:val="left"/>
        <w:rPr>
          <w:color w:val="000000"/>
          <w:sz w:val="24"/>
          <w:szCs w:val="20"/>
        </w:rPr>
      </w:pPr>
      <w:r>
        <w:rPr>
          <w:color w:val="000000"/>
          <w:sz w:val="24"/>
        </w:rPr>
        <w:br w:type="page"/>
      </w:r>
    </w:p>
    <w:p w14:paraId="5B9786A2">
      <w:pPr>
        <w:pStyle w:val="5"/>
        <w:rPr>
          <w:rFonts w:ascii="Times New Roman"/>
          <w:b w:val="0"/>
          <w:bCs/>
          <w:color w:val="000000"/>
          <w:u w:val="none"/>
        </w:rPr>
      </w:pPr>
      <w:r>
        <w:rPr>
          <w:rFonts w:ascii="Times New Roman"/>
          <w:b w:val="0"/>
          <w:color w:val="000000"/>
          <w:u w:val="none"/>
        </w:rPr>
        <w:t>1-2 投标人资格声明书</w:t>
      </w:r>
    </w:p>
    <w:p w14:paraId="5F14DF06">
      <w:pPr>
        <w:jc w:val="center"/>
        <w:rPr>
          <w:b/>
          <w:color w:val="000000"/>
          <w:sz w:val="36"/>
          <w:szCs w:val="36"/>
        </w:rPr>
      </w:pPr>
      <w:r>
        <w:rPr>
          <w:b/>
          <w:color w:val="000000"/>
          <w:sz w:val="36"/>
          <w:szCs w:val="36"/>
        </w:rPr>
        <w:t>投标人资格声明书</w:t>
      </w:r>
    </w:p>
    <w:p w14:paraId="3EBCD1C8">
      <w:pPr>
        <w:tabs>
          <w:tab w:val="left" w:pos="5580"/>
        </w:tabs>
        <w:spacing w:line="360" w:lineRule="auto"/>
        <w:rPr>
          <w:sz w:val="24"/>
        </w:rPr>
      </w:pPr>
    </w:p>
    <w:p w14:paraId="6CC8AF02">
      <w:pPr>
        <w:tabs>
          <w:tab w:val="left" w:pos="5580"/>
        </w:tabs>
        <w:spacing w:line="360" w:lineRule="auto"/>
        <w:rPr>
          <w:sz w:val="24"/>
        </w:rPr>
      </w:pPr>
      <w:r>
        <w:rPr>
          <w:sz w:val="24"/>
        </w:rPr>
        <w:t>致：</w:t>
      </w:r>
      <w:r>
        <w:rPr>
          <w:sz w:val="24"/>
          <w:u w:val="single"/>
        </w:rPr>
        <w:t>采购人或采购代理机构</w:t>
      </w:r>
    </w:p>
    <w:p w14:paraId="69EED942">
      <w:pPr>
        <w:spacing w:line="360" w:lineRule="auto"/>
        <w:ind w:firstLine="480" w:firstLineChars="200"/>
        <w:rPr>
          <w:sz w:val="24"/>
        </w:rPr>
      </w:pPr>
      <w:r>
        <w:rPr>
          <w:sz w:val="24"/>
        </w:rPr>
        <w:t>在参与本次项目投标中，我单位承诺：</w:t>
      </w:r>
    </w:p>
    <w:p w14:paraId="0B11AACC">
      <w:pPr>
        <w:numPr>
          <w:ilvl w:val="0"/>
          <w:numId w:val="49"/>
        </w:numPr>
        <w:spacing w:line="360" w:lineRule="auto"/>
        <w:ind w:left="1134"/>
        <w:rPr>
          <w:sz w:val="24"/>
          <w:szCs w:val="22"/>
        </w:rPr>
      </w:pPr>
      <w:r>
        <w:rPr>
          <w:sz w:val="24"/>
          <w:szCs w:val="22"/>
        </w:rPr>
        <w:t>具有良好的商业信誉和健全的财务会计制度；</w:t>
      </w:r>
    </w:p>
    <w:p w14:paraId="3FD20437">
      <w:pPr>
        <w:numPr>
          <w:ilvl w:val="0"/>
          <w:numId w:val="49"/>
        </w:numPr>
        <w:spacing w:line="360" w:lineRule="auto"/>
        <w:ind w:left="1134"/>
        <w:rPr>
          <w:sz w:val="24"/>
          <w:szCs w:val="22"/>
        </w:rPr>
      </w:pPr>
      <w:r>
        <w:rPr>
          <w:sz w:val="24"/>
          <w:szCs w:val="22"/>
        </w:rPr>
        <w:t>具有履行合同所必需的设备和专业技术能力；</w:t>
      </w:r>
    </w:p>
    <w:p w14:paraId="76F87CFB">
      <w:pPr>
        <w:numPr>
          <w:ilvl w:val="0"/>
          <w:numId w:val="49"/>
        </w:numPr>
        <w:spacing w:line="360" w:lineRule="auto"/>
        <w:ind w:left="1134"/>
        <w:rPr>
          <w:sz w:val="24"/>
          <w:szCs w:val="22"/>
        </w:rPr>
      </w:pPr>
      <w:r>
        <w:rPr>
          <w:sz w:val="24"/>
          <w:szCs w:val="22"/>
        </w:rPr>
        <w:t>有依法缴纳税收和社会保障资金的良好记录；</w:t>
      </w:r>
    </w:p>
    <w:p w14:paraId="35DFA292">
      <w:pPr>
        <w:numPr>
          <w:ilvl w:val="0"/>
          <w:numId w:val="4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F6C7867">
      <w:pPr>
        <w:numPr>
          <w:ilvl w:val="0"/>
          <w:numId w:val="4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5F53FE8D">
      <w:pPr>
        <w:numPr>
          <w:ilvl w:val="0"/>
          <w:numId w:val="4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4596015">
      <w:pPr>
        <w:numPr>
          <w:ilvl w:val="0"/>
          <w:numId w:val="49"/>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87C2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C7DEF1">
            <w:pPr>
              <w:jc w:val="center"/>
              <w:rPr>
                <w:sz w:val="24"/>
              </w:rPr>
            </w:pPr>
            <w:r>
              <w:rPr>
                <w:sz w:val="24"/>
              </w:rPr>
              <w:t>序号</w:t>
            </w:r>
          </w:p>
        </w:tc>
        <w:tc>
          <w:tcPr>
            <w:tcW w:w="4574" w:type="dxa"/>
            <w:vAlign w:val="center"/>
          </w:tcPr>
          <w:p w14:paraId="05C0B12D">
            <w:pPr>
              <w:jc w:val="center"/>
              <w:rPr>
                <w:sz w:val="24"/>
              </w:rPr>
            </w:pPr>
            <w:r>
              <w:rPr>
                <w:sz w:val="24"/>
              </w:rPr>
              <w:t>单位名称</w:t>
            </w:r>
          </w:p>
        </w:tc>
        <w:tc>
          <w:tcPr>
            <w:tcW w:w="2976" w:type="dxa"/>
            <w:vAlign w:val="center"/>
          </w:tcPr>
          <w:p w14:paraId="4C59B4DC">
            <w:pPr>
              <w:jc w:val="center"/>
              <w:rPr>
                <w:sz w:val="24"/>
              </w:rPr>
            </w:pPr>
            <w:r>
              <w:rPr>
                <w:sz w:val="24"/>
              </w:rPr>
              <w:t>相互关系</w:t>
            </w:r>
          </w:p>
        </w:tc>
      </w:tr>
      <w:tr w14:paraId="1DDDC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E052416">
            <w:pPr>
              <w:jc w:val="center"/>
              <w:rPr>
                <w:sz w:val="24"/>
              </w:rPr>
            </w:pPr>
            <w:r>
              <w:rPr>
                <w:sz w:val="24"/>
              </w:rPr>
              <w:t>1</w:t>
            </w:r>
          </w:p>
        </w:tc>
        <w:tc>
          <w:tcPr>
            <w:tcW w:w="4574" w:type="dxa"/>
            <w:vAlign w:val="center"/>
          </w:tcPr>
          <w:p w14:paraId="664622C0">
            <w:pPr>
              <w:jc w:val="center"/>
              <w:rPr>
                <w:sz w:val="24"/>
              </w:rPr>
            </w:pPr>
          </w:p>
        </w:tc>
        <w:tc>
          <w:tcPr>
            <w:tcW w:w="2976" w:type="dxa"/>
            <w:vAlign w:val="center"/>
          </w:tcPr>
          <w:p w14:paraId="2BB019E2">
            <w:pPr>
              <w:jc w:val="center"/>
              <w:rPr>
                <w:sz w:val="24"/>
              </w:rPr>
            </w:pPr>
          </w:p>
        </w:tc>
      </w:tr>
      <w:tr w14:paraId="6A5D8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179464E">
            <w:pPr>
              <w:jc w:val="center"/>
              <w:rPr>
                <w:sz w:val="24"/>
              </w:rPr>
            </w:pPr>
            <w:r>
              <w:rPr>
                <w:sz w:val="24"/>
              </w:rPr>
              <w:t>2</w:t>
            </w:r>
          </w:p>
        </w:tc>
        <w:tc>
          <w:tcPr>
            <w:tcW w:w="4574" w:type="dxa"/>
            <w:vAlign w:val="center"/>
          </w:tcPr>
          <w:p w14:paraId="048B1AF2">
            <w:pPr>
              <w:jc w:val="center"/>
              <w:rPr>
                <w:sz w:val="24"/>
              </w:rPr>
            </w:pPr>
          </w:p>
        </w:tc>
        <w:tc>
          <w:tcPr>
            <w:tcW w:w="2976" w:type="dxa"/>
            <w:vAlign w:val="center"/>
          </w:tcPr>
          <w:p w14:paraId="67956C03">
            <w:pPr>
              <w:jc w:val="center"/>
              <w:rPr>
                <w:sz w:val="24"/>
              </w:rPr>
            </w:pPr>
          </w:p>
        </w:tc>
      </w:tr>
      <w:tr w14:paraId="68071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22F9A91">
            <w:pPr>
              <w:jc w:val="center"/>
              <w:rPr>
                <w:sz w:val="24"/>
              </w:rPr>
            </w:pPr>
            <w:r>
              <w:rPr>
                <w:sz w:val="24"/>
              </w:rPr>
              <w:t>…</w:t>
            </w:r>
          </w:p>
        </w:tc>
        <w:tc>
          <w:tcPr>
            <w:tcW w:w="4574" w:type="dxa"/>
            <w:vAlign w:val="center"/>
          </w:tcPr>
          <w:p w14:paraId="174961A7">
            <w:pPr>
              <w:jc w:val="center"/>
              <w:rPr>
                <w:sz w:val="24"/>
              </w:rPr>
            </w:pPr>
          </w:p>
        </w:tc>
        <w:tc>
          <w:tcPr>
            <w:tcW w:w="2976" w:type="dxa"/>
            <w:vAlign w:val="center"/>
          </w:tcPr>
          <w:p w14:paraId="75340740">
            <w:pPr>
              <w:jc w:val="center"/>
              <w:rPr>
                <w:sz w:val="24"/>
              </w:rPr>
            </w:pPr>
          </w:p>
        </w:tc>
      </w:tr>
    </w:tbl>
    <w:p w14:paraId="73D5D87D"/>
    <w:p w14:paraId="6DDF32C9">
      <w:pPr>
        <w:ind w:firstLine="480" w:firstLineChars="200"/>
        <w:rPr>
          <w:sz w:val="24"/>
          <w:szCs w:val="22"/>
        </w:rPr>
      </w:pPr>
      <w:r>
        <w:rPr>
          <w:sz w:val="24"/>
        </w:rPr>
        <w:t>上述声明真实有效，否则我方负全部责任。</w:t>
      </w:r>
    </w:p>
    <w:p w14:paraId="26AC4122">
      <w:pPr>
        <w:spacing w:line="360" w:lineRule="auto"/>
        <w:rPr>
          <w:sz w:val="24"/>
        </w:rPr>
      </w:pPr>
    </w:p>
    <w:p w14:paraId="394B6F6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1DFE534F">
      <w:pPr>
        <w:spacing w:line="360" w:lineRule="auto"/>
        <w:ind w:right="360" w:firstLine="480"/>
        <w:jc w:val="right"/>
        <w:rPr>
          <w:sz w:val="24"/>
        </w:rPr>
      </w:pPr>
      <w:r>
        <w:rPr>
          <w:color w:val="000000"/>
          <w:sz w:val="24"/>
          <w:szCs w:val="20"/>
        </w:rPr>
        <w:t xml:space="preserve">日期：_____年______月______日   </w:t>
      </w:r>
    </w:p>
    <w:p w14:paraId="40CEC5B5">
      <w:pPr>
        <w:spacing w:line="360" w:lineRule="auto"/>
        <w:rPr>
          <w:sz w:val="24"/>
        </w:rPr>
      </w:pPr>
      <w:r>
        <w:rPr>
          <w:sz w:val="24"/>
        </w:rPr>
        <w:t>说明：供应商承诺不实的，依据《政府采购法》第七十七条“提供虚假材料谋取中标、成交的”有关规定予以处理。</w:t>
      </w:r>
    </w:p>
    <w:p w14:paraId="00275260">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69DC383F">
      <w:pPr>
        <w:numPr>
          <w:ilvl w:val="0"/>
          <w:numId w:val="48"/>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4066B10A">
      <w:pPr>
        <w:spacing w:line="360" w:lineRule="auto"/>
        <w:outlineLvl w:val="2"/>
        <w:rPr>
          <w:color w:val="000000"/>
          <w:sz w:val="24"/>
          <w:szCs w:val="20"/>
        </w:rPr>
      </w:pPr>
      <w:r>
        <w:rPr>
          <w:color w:val="000000"/>
          <w:sz w:val="24"/>
          <w:szCs w:val="20"/>
        </w:rPr>
        <w:t>2-1 中小企业政策证明文件</w:t>
      </w:r>
    </w:p>
    <w:p w14:paraId="3EA2928B">
      <w:pPr>
        <w:tabs>
          <w:tab w:val="left" w:pos="5580"/>
        </w:tabs>
        <w:spacing w:line="360" w:lineRule="auto"/>
        <w:rPr>
          <w:sz w:val="24"/>
        </w:rPr>
      </w:pPr>
      <w:r>
        <w:rPr>
          <w:sz w:val="24"/>
        </w:rPr>
        <w:t>说明：</w:t>
      </w:r>
    </w:p>
    <w:p w14:paraId="7DDCA407">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148D8FF7">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5D8AE1B">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49BFE34">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87" w:name="_Hlk145526067"/>
      <w:r>
        <w:rPr>
          <w:sz w:val="24"/>
        </w:rPr>
        <w:t>如供应商为联合体的，</w:t>
      </w:r>
      <w:bookmarkEnd w:id="887"/>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F73D3CD">
      <w:pPr>
        <w:tabs>
          <w:tab w:val="left" w:pos="5580"/>
        </w:tabs>
        <w:spacing w:line="360" w:lineRule="auto"/>
        <w:rPr>
          <w:sz w:val="24"/>
        </w:rPr>
      </w:pPr>
      <w:r>
        <w:rPr>
          <w:sz w:val="24"/>
        </w:rPr>
        <w:t>（5）中小企业声明函填写注意事项</w:t>
      </w:r>
    </w:p>
    <w:p w14:paraId="7991412D">
      <w:pPr>
        <w:tabs>
          <w:tab w:val="left" w:pos="5580"/>
        </w:tabs>
        <w:spacing w:line="360" w:lineRule="auto"/>
        <w:rPr>
          <w:sz w:val="24"/>
        </w:rPr>
      </w:pPr>
      <w:r>
        <w:rPr>
          <w:sz w:val="24"/>
        </w:rPr>
        <w:t>1）《中小企业声明函》由参加政府采购活动的投标人出具。联合体投标的，《中小企业声明函》可由牵头人出具。</w:t>
      </w:r>
    </w:p>
    <w:p w14:paraId="547E5627">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DBC0B49">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2099F54">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63208A5">
      <w:pPr>
        <w:tabs>
          <w:tab w:val="left" w:pos="5580"/>
        </w:tabs>
        <w:spacing w:line="360" w:lineRule="auto"/>
        <w:rPr>
          <w:sz w:val="24"/>
        </w:rPr>
      </w:pPr>
    </w:p>
    <w:p w14:paraId="08828574">
      <w:pPr>
        <w:tabs>
          <w:tab w:val="left" w:pos="5580"/>
        </w:tabs>
        <w:spacing w:line="360" w:lineRule="auto"/>
        <w:rPr>
          <w:sz w:val="24"/>
        </w:rPr>
      </w:pPr>
      <w:r>
        <w:rPr>
          <w:sz w:val="24"/>
        </w:rPr>
        <w:br w:type="page"/>
      </w:r>
    </w:p>
    <w:p w14:paraId="12465FA7">
      <w:pPr>
        <w:pStyle w:val="6"/>
        <w:rPr>
          <w:b/>
          <w:bCs/>
        </w:rPr>
      </w:pPr>
      <w:r>
        <w:rPr>
          <w:rFonts w:hint="eastAsia"/>
          <w:b/>
          <w:bCs/>
        </w:rPr>
        <w:t>本项目采购包1、采购包2、采购包3、采购包5、采购包7适用</w:t>
      </w:r>
    </w:p>
    <w:p w14:paraId="30D03919">
      <w:pPr>
        <w:pStyle w:val="6"/>
      </w:pPr>
      <w:r>
        <w:t>2-1-1 中小企业证明文件</w:t>
      </w:r>
    </w:p>
    <w:p w14:paraId="3F2B4D19">
      <w:pPr>
        <w:spacing w:before="240" w:beforeLines="100" w:after="240" w:afterLines="100" w:line="360" w:lineRule="auto"/>
        <w:jc w:val="center"/>
        <w:rPr>
          <w:b/>
          <w:bCs/>
          <w:color w:val="000000"/>
          <w:sz w:val="36"/>
          <w:szCs w:val="36"/>
        </w:rPr>
      </w:pPr>
      <w:r>
        <w:rPr>
          <w:b/>
          <w:bCs/>
          <w:color w:val="000000"/>
          <w:sz w:val="36"/>
          <w:szCs w:val="36"/>
        </w:rPr>
        <w:t>中小企业声明函格式</w:t>
      </w:r>
    </w:p>
    <w:p w14:paraId="7B3989D3">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号）的规定，本公司（联合体）参加（单位名称）的（项目名称）采购活动，服务全部由符合政策要求的中小企业承接。相关企业（含联合体中的中小企业、签订分包意向协议的中小企业）的具体情况如下：</w:t>
      </w:r>
    </w:p>
    <w:p w14:paraId="69696A5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0C22AF22">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9A55F0E">
      <w:pPr>
        <w:spacing w:line="360" w:lineRule="auto"/>
        <w:ind w:firstLine="504"/>
        <w:rPr>
          <w:spacing w:val="6"/>
          <w:sz w:val="24"/>
        </w:rPr>
      </w:pPr>
    </w:p>
    <w:p w14:paraId="483C5C4D">
      <w:pPr>
        <w:spacing w:line="360" w:lineRule="auto"/>
        <w:ind w:firstLine="504"/>
        <w:rPr>
          <w:spacing w:val="6"/>
          <w:sz w:val="24"/>
        </w:rPr>
      </w:pPr>
      <w:r>
        <w:rPr>
          <w:spacing w:val="6"/>
          <w:sz w:val="24"/>
        </w:rPr>
        <w:t>……</w:t>
      </w:r>
    </w:p>
    <w:p w14:paraId="4EADC3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B1EA659">
      <w:pPr>
        <w:spacing w:line="360" w:lineRule="auto"/>
        <w:ind w:firstLine="504"/>
        <w:rPr>
          <w:spacing w:val="6"/>
          <w:sz w:val="24"/>
        </w:rPr>
      </w:pPr>
      <w:r>
        <w:rPr>
          <w:spacing w:val="6"/>
          <w:sz w:val="24"/>
        </w:rPr>
        <w:t>本企业对上述声明内容的真实性负责。如有虚假，将依法承担相应责任。</w:t>
      </w:r>
    </w:p>
    <w:p w14:paraId="61E08BE2">
      <w:pPr>
        <w:spacing w:line="360" w:lineRule="auto"/>
        <w:ind w:right="360" w:firstLine="480"/>
        <w:jc w:val="right"/>
        <w:rPr>
          <w:color w:val="000000"/>
          <w:sz w:val="24"/>
        </w:rPr>
      </w:pPr>
    </w:p>
    <w:p w14:paraId="7E633823">
      <w:pPr>
        <w:spacing w:line="360" w:lineRule="auto"/>
        <w:ind w:right="360" w:firstLine="480"/>
        <w:jc w:val="right"/>
        <w:rPr>
          <w:color w:val="000000"/>
          <w:sz w:val="24"/>
        </w:rPr>
      </w:pPr>
      <w:r>
        <w:rPr>
          <w:color w:val="000000"/>
          <w:sz w:val="24"/>
        </w:rPr>
        <w:t>企业名称（盖章）：________</w:t>
      </w:r>
    </w:p>
    <w:p w14:paraId="3F6D8B27">
      <w:pPr>
        <w:spacing w:line="360" w:lineRule="auto"/>
        <w:ind w:right="360" w:firstLine="480"/>
        <w:jc w:val="right"/>
        <w:rPr>
          <w:color w:val="000000"/>
          <w:sz w:val="24"/>
        </w:rPr>
      </w:pPr>
      <w:r>
        <w:rPr>
          <w:color w:val="000000"/>
          <w:sz w:val="24"/>
        </w:rPr>
        <w:t>日 期：________</w:t>
      </w:r>
    </w:p>
    <w:p w14:paraId="68803B7F">
      <w:pPr>
        <w:adjustRightInd w:val="0"/>
        <w:snapToGrid w:val="0"/>
        <w:jc w:val="left"/>
        <w:rPr>
          <w:color w:val="000000"/>
          <w:sz w:val="24"/>
          <w:szCs w:val="21"/>
        </w:rPr>
      </w:pPr>
    </w:p>
    <w:p w14:paraId="1A77594C">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1599D0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FA96A2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5E9E6FD">
      <w:pPr>
        <w:adjustRightInd w:val="0"/>
        <w:snapToGrid w:val="0"/>
        <w:jc w:val="left"/>
        <w:rPr>
          <w:color w:val="000000"/>
          <w:szCs w:val="21"/>
          <w:vertAlign w:val="superscript"/>
        </w:rPr>
      </w:pPr>
    </w:p>
    <w:p w14:paraId="294F62C2">
      <w:pPr>
        <w:spacing w:line="360" w:lineRule="auto"/>
        <w:ind w:right="360" w:firstLine="480"/>
        <w:jc w:val="right"/>
        <w:rPr>
          <w:color w:val="000000"/>
          <w:sz w:val="24"/>
        </w:rPr>
      </w:pPr>
    </w:p>
    <w:p w14:paraId="658C8736">
      <w:pPr>
        <w:spacing w:line="360" w:lineRule="auto"/>
        <w:ind w:right="360" w:firstLine="480"/>
        <w:jc w:val="right"/>
        <w:rPr>
          <w:color w:val="000000"/>
          <w:sz w:val="24"/>
        </w:rPr>
      </w:pPr>
    </w:p>
    <w:p w14:paraId="5B2C218B">
      <w:pPr>
        <w:spacing w:line="360" w:lineRule="auto"/>
        <w:rPr>
          <w:color w:val="000000"/>
          <w:sz w:val="24"/>
          <w:szCs w:val="20"/>
        </w:rPr>
      </w:pPr>
      <w:r>
        <w:rPr>
          <w:color w:val="000000"/>
          <w:sz w:val="24"/>
          <w:szCs w:val="20"/>
        </w:rPr>
        <w:br w:type="page"/>
      </w:r>
    </w:p>
    <w:p w14:paraId="470FC629">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4331E59E">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6C42A641">
      <w:pPr>
        <w:spacing w:line="588" w:lineRule="exact"/>
        <w:ind w:firstLine="482"/>
        <w:rPr>
          <w:b/>
          <w:spacing w:val="6"/>
          <w:sz w:val="24"/>
        </w:rPr>
      </w:pPr>
      <w:r>
        <w:rPr>
          <w:b/>
          <w:sz w:val="24"/>
        </w:rPr>
        <w:t>□</w:t>
      </w:r>
      <w:r>
        <w:rPr>
          <w:b/>
          <w:spacing w:val="6"/>
          <w:sz w:val="24"/>
        </w:rPr>
        <w:t>不属于符合条件的残疾人福利性单位。</w:t>
      </w:r>
    </w:p>
    <w:p w14:paraId="53F0ECD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CBBF828">
      <w:pPr>
        <w:spacing w:line="588" w:lineRule="exact"/>
        <w:ind w:firstLine="506" w:firstLineChars="200"/>
        <w:rPr>
          <w:spacing w:val="6"/>
          <w:sz w:val="24"/>
        </w:rPr>
      </w:pPr>
      <w:r>
        <w:rPr>
          <w:b/>
          <w:spacing w:val="6"/>
          <w:sz w:val="24"/>
        </w:rPr>
        <w:t>本单位对上述声明的真实性负责。如有虚假，将依法承担相应责任。</w:t>
      </w:r>
    </w:p>
    <w:p w14:paraId="322C0BDF">
      <w:pPr>
        <w:spacing w:line="588" w:lineRule="exact"/>
        <w:ind w:firstLine="504" w:firstLineChars="200"/>
        <w:rPr>
          <w:spacing w:val="6"/>
          <w:sz w:val="24"/>
        </w:rPr>
      </w:pPr>
    </w:p>
    <w:p w14:paraId="5ED02EB8">
      <w:pPr>
        <w:spacing w:line="588" w:lineRule="exact"/>
        <w:ind w:firstLine="504" w:firstLineChars="200"/>
        <w:rPr>
          <w:spacing w:val="6"/>
          <w:sz w:val="24"/>
        </w:rPr>
      </w:pPr>
    </w:p>
    <w:p w14:paraId="739D3856">
      <w:pPr>
        <w:tabs>
          <w:tab w:val="left" w:pos="4860"/>
        </w:tabs>
        <w:spacing w:line="588" w:lineRule="exact"/>
        <w:ind w:right="1560" w:firstLine="504" w:firstLineChars="200"/>
        <w:jc w:val="center"/>
        <w:rPr>
          <w:spacing w:val="6"/>
          <w:sz w:val="24"/>
        </w:rPr>
      </w:pPr>
      <w:r>
        <w:rPr>
          <w:spacing w:val="6"/>
          <w:sz w:val="24"/>
        </w:rPr>
        <w:t xml:space="preserve">               单位名称（盖章）：</w:t>
      </w:r>
    </w:p>
    <w:p w14:paraId="71871FDE">
      <w:pPr>
        <w:tabs>
          <w:tab w:val="left" w:pos="4860"/>
        </w:tabs>
        <w:spacing w:line="588" w:lineRule="exact"/>
        <w:ind w:right="1560" w:firstLine="504" w:firstLineChars="200"/>
        <w:jc w:val="center"/>
        <w:rPr>
          <w:spacing w:val="6"/>
          <w:sz w:val="24"/>
        </w:rPr>
      </w:pPr>
      <w:r>
        <w:rPr>
          <w:spacing w:val="6"/>
          <w:sz w:val="24"/>
        </w:rPr>
        <w:t xml:space="preserve">       日  期：</w:t>
      </w:r>
    </w:p>
    <w:p w14:paraId="67DE85C0">
      <w:pPr>
        <w:widowControl/>
        <w:jc w:val="left"/>
        <w:rPr>
          <w:color w:val="000000"/>
          <w:sz w:val="24"/>
          <w:szCs w:val="20"/>
        </w:rPr>
      </w:pPr>
      <w:r>
        <w:rPr>
          <w:color w:val="000000"/>
          <w:sz w:val="24"/>
          <w:szCs w:val="20"/>
        </w:rPr>
        <w:br w:type="page"/>
      </w:r>
    </w:p>
    <w:p w14:paraId="5EBE0B90">
      <w:pPr>
        <w:numPr>
          <w:ilvl w:val="0"/>
          <w:numId w:val="48"/>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3BCE73F8">
      <w:pPr>
        <w:widowControl/>
        <w:jc w:val="left"/>
        <w:rPr>
          <w:sz w:val="24"/>
          <w:szCs w:val="20"/>
        </w:rPr>
      </w:pPr>
      <w:r>
        <w:rPr>
          <w:rFonts w:hint="eastAsia"/>
          <w:b/>
          <w:bCs/>
          <w:sz w:val="24"/>
          <w:szCs w:val="20"/>
        </w:rPr>
        <w:t>本项目07包投标人须具有国家测绘行政主管部门颁发的甲级测绘资质和国家建设行政主管部门颁发的工程勘察综合类甲级资质。</w:t>
      </w:r>
      <w:r>
        <w:rPr>
          <w:sz w:val="24"/>
          <w:szCs w:val="20"/>
        </w:rPr>
        <w:br w:type="page"/>
      </w:r>
    </w:p>
    <w:p w14:paraId="7A43D711">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179EAF8C">
      <w:pPr>
        <w:rPr>
          <w:b/>
          <w:spacing w:val="20"/>
          <w:szCs w:val="21"/>
        </w:rPr>
      </w:pPr>
    </w:p>
    <w:p w14:paraId="3DC157D0">
      <w:pPr>
        <w:rPr>
          <w:b/>
          <w:sz w:val="24"/>
        </w:rPr>
      </w:pPr>
      <w:r>
        <w:rPr>
          <w:b/>
          <w:spacing w:val="20"/>
          <w:sz w:val="24"/>
        </w:rPr>
        <w:t>投标文件（商务技术文件）</w:t>
      </w:r>
      <w:r>
        <w:rPr>
          <w:b/>
          <w:sz w:val="24"/>
        </w:rPr>
        <w:t>封面（非实质性格式）</w:t>
      </w:r>
    </w:p>
    <w:p w14:paraId="3D52AB1E">
      <w:pPr>
        <w:jc w:val="center"/>
        <w:rPr>
          <w:szCs w:val="21"/>
        </w:rPr>
      </w:pPr>
    </w:p>
    <w:p w14:paraId="277B6E99">
      <w:pPr>
        <w:jc w:val="center"/>
        <w:rPr>
          <w:b/>
          <w:spacing w:val="60"/>
          <w:sz w:val="84"/>
          <w:szCs w:val="84"/>
        </w:rPr>
      </w:pPr>
      <w:r>
        <w:rPr>
          <w:b/>
          <w:spacing w:val="60"/>
          <w:sz w:val="84"/>
          <w:szCs w:val="84"/>
        </w:rPr>
        <w:t>投 标 文 件</w:t>
      </w:r>
    </w:p>
    <w:p w14:paraId="454EAF1C">
      <w:pPr>
        <w:jc w:val="center"/>
        <w:rPr>
          <w:b/>
          <w:spacing w:val="60"/>
          <w:sz w:val="52"/>
          <w:szCs w:val="52"/>
        </w:rPr>
      </w:pPr>
      <w:r>
        <w:rPr>
          <w:b/>
          <w:spacing w:val="60"/>
          <w:sz w:val="52"/>
          <w:szCs w:val="52"/>
        </w:rPr>
        <w:t>（商务技术文件）</w:t>
      </w:r>
    </w:p>
    <w:p w14:paraId="76A0A29B">
      <w:pPr>
        <w:ind w:firstLine="542" w:firstLineChars="150"/>
        <w:rPr>
          <w:b/>
          <w:spacing w:val="20"/>
          <w:sz w:val="32"/>
          <w:szCs w:val="32"/>
        </w:rPr>
      </w:pPr>
    </w:p>
    <w:p w14:paraId="0B8B018F">
      <w:pPr>
        <w:ind w:firstLine="542" w:firstLineChars="150"/>
        <w:rPr>
          <w:b/>
          <w:spacing w:val="20"/>
          <w:sz w:val="32"/>
          <w:szCs w:val="32"/>
        </w:rPr>
      </w:pPr>
    </w:p>
    <w:p w14:paraId="6EC77821">
      <w:pPr>
        <w:ind w:firstLine="542" w:firstLineChars="150"/>
        <w:rPr>
          <w:b/>
          <w:spacing w:val="20"/>
          <w:sz w:val="32"/>
          <w:szCs w:val="32"/>
        </w:rPr>
      </w:pPr>
      <w:r>
        <w:rPr>
          <w:b/>
          <w:spacing w:val="20"/>
          <w:sz w:val="32"/>
          <w:szCs w:val="32"/>
        </w:rPr>
        <w:t>项目名称:</w:t>
      </w:r>
    </w:p>
    <w:p w14:paraId="75587821">
      <w:pPr>
        <w:ind w:firstLine="542" w:firstLineChars="150"/>
        <w:rPr>
          <w:b/>
          <w:spacing w:val="20"/>
          <w:sz w:val="32"/>
          <w:szCs w:val="32"/>
        </w:rPr>
      </w:pPr>
      <w:r>
        <w:rPr>
          <w:b/>
          <w:spacing w:val="20"/>
          <w:sz w:val="32"/>
          <w:szCs w:val="32"/>
        </w:rPr>
        <w:t>项目编号/包号：</w:t>
      </w:r>
    </w:p>
    <w:p w14:paraId="5E058ACA">
      <w:pPr>
        <w:ind w:firstLine="542" w:firstLineChars="150"/>
        <w:rPr>
          <w:b/>
          <w:spacing w:val="20"/>
          <w:sz w:val="32"/>
          <w:szCs w:val="32"/>
        </w:rPr>
      </w:pPr>
    </w:p>
    <w:p w14:paraId="15AA4A84">
      <w:pPr>
        <w:ind w:firstLine="542" w:firstLineChars="150"/>
        <w:rPr>
          <w:b/>
          <w:spacing w:val="20"/>
          <w:sz w:val="32"/>
          <w:szCs w:val="32"/>
        </w:rPr>
      </w:pPr>
    </w:p>
    <w:p w14:paraId="40F96958">
      <w:pPr>
        <w:jc w:val="center"/>
        <w:rPr>
          <w:b/>
          <w:sz w:val="32"/>
          <w:szCs w:val="32"/>
        </w:rPr>
      </w:pPr>
    </w:p>
    <w:p w14:paraId="3B4B2212">
      <w:pPr>
        <w:jc w:val="center"/>
        <w:rPr>
          <w:b/>
          <w:sz w:val="32"/>
          <w:szCs w:val="32"/>
        </w:rPr>
      </w:pPr>
    </w:p>
    <w:p w14:paraId="4C66E2DB">
      <w:pPr>
        <w:jc w:val="center"/>
        <w:rPr>
          <w:b/>
          <w:sz w:val="32"/>
          <w:szCs w:val="32"/>
        </w:rPr>
      </w:pPr>
    </w:p>
    <w:p w14:paraId="2219CEFE">
      <w:pPr>
        <w:jc w:val="center"/>
        <w:rPr>
          <w:b/>
          <w:spacing w:val="20"/>
          <w:sz w:val="32"/>
          <w:szCs w:val="32"/>
        </w:rPr>
      </w:pPr>
    </w:p>
    <w:p w14:paraId="53269B2C">
      <w:pPr>
        <w:jc w:val="center"/>
        <w:rPr>
          <w:b/>
          <w:spacing w:val="20"/>
          <w:sz w:val="32"/>
          <w:szCs w:val="32"/>
        </w:rPr>
      </w:pPr>
    </w:p>
    <w:p w14:paraId="0B1BC9F8">
      <w:pPr>
        <w:jc w:val="center"/>
        <w:rPr>
          <w:b/>
          <w:spacing w:val="20"/>
          <w:sz w:val="32"/>
          <w:szCs w:val="32"/>
        </w:rPr>
      </w:pPr>
    </w:p>
    <w:p w14:paraId="441FE08C">
      <w:pPr>
        <w:spacing w:line="360" w:lineRule="auto"/>
        <w:ind w:firstLine="1445" w:firstLineChars="400"/>
        <w:jc w:val="left"/>
        <w:rPr>
          <w:b/>
          <w:spacing w:val="20"/>
          <w:sz w:val="32"/>
          <w:szCs w:val="32"/>
        </w:rPr>
      </w:pPr>
      <w:r>
        <w:rPr>
          <w:b/>
          <w:spacing w:val="20"/>
          <w:sz w:val="32"/>
          <w:szCs w:val="32"/>
        </w:rPr>
        <w:t>投标人名称：</w:t>
      </w:r>
    </w:p>
    <w:p w14:paraId="15F63035">
      <w:pPr>
        <w:jc w:val="center"/>
        <w:rPr>
          <w:b/>
          <w:sz w:val="32"/>
          <w:szCs w:val="32"/>
        </w:rPr>
      </w:pPr>
    </w:p>
    <w:p w14:paraId="20A41076">
      <w:pPr>
        <w:widowControl/>
        <w:jc w:val="left"/>
        <w:rPr>
          <w:b/>
          <w:sz w:val="24"/>
        </w:rPr>
      </w:pPr>
      <w:r>
        <w:rPr>
          <w:b/>
          <w:sz w:val="24"/>
        </w:rPr>
        <w:br w:type="page"/>
      </w:r>
    </w:p>
    <w:p w14:paraId="511842FA">
      <w:pPr>
        <w:numPr>
          <w:ilvl w:val="0"/>
          <w:numId w:val="50"/>
        </w:numPr>
        <w:tabs>
          <w:tab w:val="left" w:pos="360"/>
        </w:tabs>
        <w:snapToGrid w:val="0"/>
        <w:spacing w:line="360" w:lineRule="auto"/>
        <w:outlineLvl w:val="1"/>
        <w:rPr>
          <w:color w:val="000000"/>
          <w:sz w:val="24"/>
          <w:szCs w:val="20"/>
        </w:rPr>
      </w:pPr>
      <w:bookmarkStart w:id="888" w:name="_Hlt520273711"/>
      <w:bookmarkEnd w:id="888"/>
      <w:bookmarkStart w:id="889" w:name="_Hlt520274407"/>
      <w:bookmarkEnd w:id="889"/>
      <w:bookmarkStart w:id="890" w:name="_Hlt520350918"/>
      <w:bookmarkEnd w:id="890"/>
      <w:bookmarkStart w:id="891" w:name="_Hlt520343000"/>
      <w:bookmarkEnd w:id="891"/>
      <w:bookmarkStart w:id="892" w:name="_Hlt520271212"/>
      <w:bookmarkEnd w:id="892"/>
      <w:bookmarkStart w:id="893" w:name="_Hlt520274065"/>
      <w:bookmarkEnd w:id="893"/>
      <w:bookmarkStart w:id="894" w:name="_Hlt520343392"/>
      <w:bookmarkEnd w:id="894"/>
      <w:bookmarkStart w:id="895" w:name="_Hlt520355504"/>
      <w:bookmarkEnd w:id="895"/>
      <w:bookmarkStart w:id="896" w:name="_Hlt520274393"/>
      <w:bookmarkEnd w:id="896"/>
      <w:bookmarkStart w:id="897" w:name="_Hlt520274121"/>
      <w:bookmarkEnd w:id="897"/>
      <w:bookmarkStart w:id="898" w:name="_Toc480942349"/>
      <w:bookmarkStart w:id="899" w:name="_Ref467988698"/>
      <w:bookmarkStart w:id="900" w:name="_Toc520356217"/>
      <w:bookmarkStart w:id="901" w:name="_Toc226965829"/>
      <w:bookmarkStart w:id="902" w:name="_Toc226965746"/>
      <w:bookmarkStart w:id="903" w:name="_Toc142311058"/>
      <w:bookmarkStart w:id="904" w:name="_Toc226309800"/>
      <w:bookmarkStart w:id="905" w:name="_Toc127151556"/>
      <w:bookmarkStart w:id="906" w:name="_Toc226337252"/>
      <w:bookmarkStart w:id="907" w:name="_Toc195842921"/>
      <w:bookmarkStart w:id="908" w:name="_Toc150774761"/>
      <w:bookmarkStart w:id="909" w:name="_Toc150480794"/>
      <w:r>
        <w:rPr>
          <w:color w:val="000000"/>
          <w:sz w:val="24"/>
        </w:rPr>
        <w:t>投标</w:t>
      </w:r>
      <w:bookmarkEnd w:id="898"/>
      <w:bookmarkEnd w:id="899"/>
      <w:r>
        <w:rPr>
          <w:color w:val="000000"/>
          <w:sz w:val="24"/>
        </w:rPr>
        <w:t>书</w:t>
      </w:r>
      <w:bookmarkEnd w:id="900"/>
      <w:bookmarkEnd w:id="901"/>
      <w:bookmarkEnd w:id="902"/>
      <w:bookmarkEnd w:id="903"/>
      <w:bookmarkEnd w:id="904"/>
      <w:bookmarkEnd w:id="905"/>
      <w:bookmarkEnd w:id="906"/>
      <w:bookmarkEnd w:id="907"/>
      <w:bookmarkEnd w:id="908"/>
      <w:bookmarkEnd w:id="909"/>
      <w:r>
        <w:rPr>
          <w:color w:val="000000"/>
          <w:sz w:val="24"/>
          <w:szCs w:val="20"/>
        </w:rPr>
        <w:t>（实质性格式）</w:t>
      </w:r>
    </w:p>
    <w:p w14:paraId="2ACE4EEF">
      <w:pPr>
        <w:tabs>
          <w:tab w:val="left" w:pos="5580"/>
        </w:tabs>
        <w:spacing w:line="360" w:lineRule="auto"/>
        <w:rPr>
          <w:color w:val="000000"/>
          <w:sz w:val="24"/>
        </w:rPr>
      </w:pPr>
    </w:p>
    <w:p w14:paraId="47B6DFB2">
      <w:pPr>
        <w:spacing w:line="360" w:lineRule="auto"/>
        <w:jc w:val="center"/>
        <w:rPr>
          <w:b/>
          <w:color w:val="000000"/>
          <w:sz w:val="36"/>
          <w:szCs w:val="36"/>
        </w:rPr>
      </w:pPr>
      <w:r>
        <w:rPr>
          <w:b/>
          <w:color w:val="000000"/>
          <w:sz w:val="36"/>
          <w:szCs w:val="36"/>
        </w:rPr>
        <w:t>投标书</w:t>
      </w:r>
    </w:p>
    <w:p w14:paraId="4DB0845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7D19476">
      <w:pPr>
        <w:tabs>
          <w:tab w:val="left" w:pos="5580"/>
        </w:tabs>
        <w:spacing w:line="360" w:lineRule="auto"/>
        <w:rPr>
          <w:color w:val="000000"/>
          <w:sz w:val="24"/>
          <w:szCs w:val="20"/>
        </w:rPr>
      </w:pPr>
    </w:p>
    <w:p w14:paraId="0E3935B5">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43CE1521">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540D6B8D">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21E3F4E3">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41367B30">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6220A84B">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19E52681">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702F3DD">
      <w:pPr>
        <w:spacing w:line="360" w:lineRule="auto"/>
        <w:ind w:firstLine="480" w:firstLineChars="200"/>
        <w:rPr>
          <w:color w:val="000000"/>
          <w:sz w:val="24"/>
        </w:rPr>
      </w:pPr>
      <w:r>
        <w:rPr>
          <w:color w:val="000000"/>
          <w:sz w:val="24"/>
        </w:rPr>
        <w:t>与本投标有关的一切正式往来信函请寄：</w:t>
      </w:r>
    </w:p>
    <w:p w14:paraId="17522653">
      <w:pPr>
        <w:tabs>
          <w:tab w:val="left" w:pos="5580"/>
        </w:tabs>
        <w:spacing w:line="360" w:lineRule="auto"/>
        <w:ind w:left="420"/>
        <w:rPr>
          <w:color w:val="000000"/>
          <w:sz w:val="24"/>
          <w:szCs w:val="20"/>
        </w:rPr>
      </w:pPr>
    </w:p>
    <w:p w14:paraId="45950B1B">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01D7D332">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4FCDC41C">
      <w:pPr>
        <w:tabs>
          <w:tab w:val="left" w:pos="5580"/>
        </w:tabs>
        <w:spacing w:line="360" w:lineRule="auto"/>
        <w:ind w:left="420"/>
        <w:rPr>
          <w:color w:val="000000"/>
          <w:sz w:val="24"/>
          <w:szCs w:val="20"/>
        </w:rPr>
      </w:pPr>
    </w:p>
    <w:p w14:paraId="23E940B1">
      <w:pPr>
        <w:tabs>
          <w:tab w:val="left" w:pos="5580"/>
        </w:tabs>
        <w:spacing w:line="360" w:lineRule="auto"/>
        <w:ind w:left="420"/>
        <w:rPr>
          <w:color w:val="000000"/>
          <w:sz w:val="24"/>
          <w:szCs w:val="20"/>
        </w:rPr>
      </w:pPr>
      <w:r>
        <w:rPr>
          <w:color w:val="000000"/>
          <w:sz w:val="24"/>
          <w:szCs w:val="20"/>
        </w:rPr>
        <w:t>投标人名称（加盖公章） ___________</w:t>
      </w:r>
    </w:p>
    <w:p w14:paraId="46637A9A">
      <w:pPr>
        <w:tabs>
          <w:tab w:val="left" w:pos="5580"/>
        </w:tabs>
        <w:spacing w:line="360" w:lineRule="auto"/>
        <w:ind w:left="420"/>
        <w:rPr>
          <w:color w:val="000000"/>
          <w:sz w:val="24"/>
          <w:szCs w:val="20"/>
        </w:rPr>
      </w:pPr>
      <w:r>
        <w:rPr>
          <w:color w:val="000000"/>
          <w:sz w:val="24"/>
          <w:szCs w:val="20"/>
        </w:rPr>
        <w:t xml:space="preserve">日期：_____年______月______日    </w:t>
      </w:r>
    </w:p>
    <w:p w14:paraId="7163378A">
      <w:pPr>
        <w:tabs>
          <w:tab w:val="left" w:pos="5580"/>
        </w:tabs>
        <w:spacing w:line="360" w:lineRule="auto"/>
        <w:ind w:left="420"/>
        <w:rPr>
          <w:color w:val="000000"/>
          <w:sz w:val="24"/>
          <w:szCs w:val="20"/>
          <w:u w:val="single"/>
        </w:rPr>
      </w:pPr>
    </w:p>
    <w:p w14:paraId="0656A1EC">
      <w:pPr>
        <w:widowControl/>
        <w:jc w:val="left"/>
        <w:rPr>
          <w:color w:val="000000"/>
          <w:sz w:val="24"/>
        </w:rPr>
      </w:pPr>
      <w:bookmarkStart w:id="910" w:name="_Hlt520355938"/>
      <w:bookmarkEnd w:id="910"/>
      <w:bookmarkStart w:id="911" w:name="_Hlt520356243"/>
      <w:bookmarkEnd w:id="911"/>
      <w:bookmarkStart w:id="912" w:name="_Toc150774762"/>
      <w:bookmarkStart w:id="913" w:name="_Ref467988705"/>
      <w:bookmarkStart w:id="914" w:name="_Toc226337253"/>
      <w:bookmarkStart w:id="915" w:name="_Toc226965747"/>
      <w:bookmarkStart w:id="916" w:name="_Toc265228395"/>
      <w:bookmarkStart w:id="917" w:name="_Toc127151557"/>
      <w:bookmarkStart w:id="918" w:name="_Toc226309801"/>
      <w:bookmarkStart w:id="919" w:name="_Toc480942350"/>
      <w:bookmarkStart w:id="920" w:name="_Toc305158825"/>
      <w:bookmarkStart w:id="921" w:name="_Toc264969247"/>
      <w:bookmarkStart w:id="922" w:name="_Toc520356218"/>
      <w:bookmarkStart w:id="923" w:name="_Toc226965830"/>
      <w:bookmarkStart w:id="924" w:name="_Toc305158899"/>
      <w:bookmarkStart w:id="925" w:name="_Toc195842922"/>
      <w:bookmarkStart w:id="926" w:name="_Toc142311059"/>
      <w:bookmarkStart w:id="927" w:name="_Toc150480795"/>
      <w:r>
        <w:rPr>
          <w:color w:val="000000"/>
          <w:sz w:val="24"/>
        </w:rPr>
        <w:br w:type="page"/>
      </w:r>
    </w:p>
    <w:p w14:paraId="448E86B8">
      <w:pPr>
        <w:numPr>
          <w:ilvl w:val="0"/>
          <w:numId w:val="50"/>
        </w:numPr>
        <w:tabs>
          <w:tab w:val="left" w:pos="360"/>
        </w:tabs>
        <w:snapToGrid w:val="0"/>
        <w:spacing w:line="360" w:lineRule="auto"/>
        <w:outlineLvl w:val="1"/>
        <w:rPr>
          <w:color w:val="000000"/>
          <w:sz w:val="24"/>
        </w:rPr>
      </w:pPr>
      <w:r>
        <w:rPr>
          <w:color w:val="000000"/>
          <w:sz w:val="24"/>
        </w:rPr>
        <w:t>授权委托书（实质性格式）</w:t>
      </w:r>
    </w:p>
    <w:p w14:paraId="2AD30C39">
      <w:pPr>
        <w:jc w:val="center"/>
        <w:rPr>
          <w:b/>
          <w:color w:val="000000"/>
          <w:sz w:val="36"/>
          <w:szCs w:val="36"/>
        </w:rPr>
      </w:pPr>
      <w:r>
        <w:rPr>
          <w:b/>
          <w:color w:val="000000"/>
          <w:sz w:val="36"/>
          <w:szCs w:val="36"/>
        </w:rPr>
        <w:t>授权委托书</w:t>
      </w:r>
    </w:p>
    <w:p w14:paraId="7D88B634">
      <w:pPr>
        <w:spacing w:line="360" w:lineRule="auto"/>
        <w:ind w:firstLine="420"/>
        <w:rPr>
          <w:color w:val="000000"/>
          <w:sz w:val="24"/>
          <w:szCs w:val="20"/>
        </w:rPr>
      </w:pPr>
    </w:p>
    <w:p w14:paraId="00C2DE62">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4EDA01E2">
      <w:pPr>
        <w:spacing w:line="360" w:lineRule="auto"/>
        <w:ind w:firstLine="420"/>
        <w:rPr>
          <w:color w:val="000000"/>
          <w:sz w:val="24"/>
          <w:szCs w:val="20"/>
        </w:rPr>
      </w:pPr>
      <w:r>
        <w:rPr>
          <w:color w:val="000000"/>
          <w:sz w:val="24"/>
          <w:szCs w:val="20"/>
        </w:rPr>
        <w:t>委托期限：自本授权委托书签署之日起至投标有效期届满之日止。</w:t>
      </w:r>
    </w:p>
    <w:p w14:paraId="1C87225B">
      <w:pPr>
        <w:spacing w:line="360" w:lineRule="auto"/>
        <w:ind w:firstLine="420"/>
        <w:rPr>
          <w:color w:val="000000"/>
          <w:sz w:val="24"/>
          <w:szCs w:val="20"/>
        </w:rPr>
      </w:pPr>
      <w:r>
        <w:rPr>
          <w:color w:val="000000"/>
          <w:sz w:val="24"/>
          <w:szCs w:val="20"/>
        </w:rPr>
        <w:t>代理人无转委托权。</w:t>
      </w:r>
      <w:r>
        <w:rPr>
          <w:color w:val="000000"/>
          <w:sz w:val="24"/>
          <w:szCs w:val="20"/>
        </w:rPr>
        <w:cr/>
      </w:r>
    </w:p>
    <w:p w14:paraId="073DC78B">
      <w:pPr>
        <w:spacing w:line="360" w:lineRule="auto"/>
        <w:rPr>
          <w:color w:val="000000"/>
          <w:sz w:val="24"/>
          <w:lang w:val="zh-CN"/>
        </w:rPr>
      </w:pPr>
      <w:r>
        <w:rPr>
          <w:color w:val="000000"/>
          <w:sz w:val="24"/>
        </w:rPr>
        <w:t>投标人名称（加盖公章）</w:t>
      </w:r>
      <w:r>
        <w:rPr>
          <w:color w:val="000000"/>
          <w:sz w:val="24"/>
          <w:lang w:val="zh-CN"/>
        </w:rPr>
        <w:t>：________________</w:t>
      </w:r>
    </w:p>
    <w:p w14:paraId="681CC1BC">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324149E0">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0DBBE487">
      <w:pPr>
        <w:autoSpaceDE w:val="0"/>
        <w:autoSpaceDN w:val="0"/>
        <w:adjustRightInd w:val="0"/>
        <w:snapToGrid w:val="0"/>
        <w:spacing w:line="360" w:lineRule="auto"/>
        <w:rPr>
          <w:color w:val="000000"/>
          <w:sz w:val="24"/>
          <w:lang w:val="zh-CN"/>
        </w:rPr>
      </w:pPr>
      <w:r>
        <w:rPr>
          <w:color w:val="000000"/>
          <w:sz w:val="24"/>
        </w:rPr>
        <w:t>日期：_____年______月______日</w:t>
      </w:r>
    </w:p>
    <w:p w14:paraId="7C3AD3D3">
      <w:pPr>
        <w:tabs>
          <w:tab w:val="left" w:pos="5580"/>
        </w:tabs>
        <w:spacing w:line="360" w:lineRule="auto"/>
        <w:ind w:firstLine="480" w:firstLineChars="200"/>
        <w:rPr>
          <w:color w:val="000000"/>
          <w:sz w:val="24"/>
          <w:szCs w:val="20"/>
        </w:rPr>
      </w:pPr>
    </w:p>
    <w:p w14:paraId="77DD3C1C">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7D58051D">
      <w:pPr>
        <w:tabs>
          <w:tab w:val="left" w:pos="5580"/>
        </w:tabs>
        <w:spacing w:line="360" w:lineRule="auto"/>
        <w:jc w:val="left"/>
        <w:rPr>
          <w:color w:val="000000"/>
          <w:sz w:val="24"/>
          <w:szCs w:val="20"/>
        </w:rPr>
      </w:pPr>
    </w:p>
    <w:p w14:paraId="34C92EFC">
      <w:pPr>
        <w:tabs>
          <w:tab w:val="left" w:pos="5580"/>
        </w:tabs>
        <w:spacing w:line="360" w:lineRule="auto"/>
        <w:jc w:val="left"/>
        <w:rPr>
          <w:color w:val="000000"/>
          <w:sz w:val="24"/>
          <w:szCs w:val="20"/>
        </w:rPr>
      </w:pPr>
    </w:p>
    <w:p w14:paraId="251C405B">
      <w:pPr>
        <w:tabs>
          <w:tab w:val="left" w:pos="5580"/>
        </w:tabs>
        <w:spacing w:line="360" w:lineRule="auto"/>
        <w:jc w:val="left"/>
        <w:rPr>
          <w:color w:val="000000"/>
          <w:sz w:val="24"/>
          <w:szCs w:val="20"/>
        </w:rPr>
      </w:pPr>
    </w:p>
    <w:p w14:paraId="47DDAF7C">
      <w:pPr>
        <w:tabs>
          <w:tab w:val="left" w:pos="5580"/>
        </w:tabs>
        <w:spacing w:line="360" w:lineRule="auto"/>
        <w:jc w:val="left"/>
        <w:rPr>
          <w:color w:val="000000"/>
          <w:sz w:val="24"/>
          <w:szCs w:val="20"/>
        </w:rPr>
      </w:pPr>
    </w:p>
    <w:p w14:paraId="1EA20C61">
      <w:pPr>
        <w:tabs>
          <w:tab w:val="left" w:pos="5580"/>
        </w:tabs>
        <w:spacing w:line="360" w:lineRule="auto"/>
        <w:jc w:val="left"/>
        <w:rPr>
          <w:color w:val="000000"/>
          <w:sz w:val="24"/>
          <w:szCs w:val="20"/>
        </w:rPr>
      </w:pPr>
    </w:p>
    <w:p w14:paraId="49C1A108">
      <w:pPr>
        <w:tabs>
          <w:tab w:val="left" w:pos="5580"/>
        </w:tabs>
        <w:spacing w:line="360" w:lineRule="auto"/>
        <w:jc w:val="left"/>
        <w:rPr>
          <w:color w:val="000000"/>
          <w:sz w:val="24"/>
          <w:szCs w:val="20"/>
        </w:rPr>
      </w:pPr>
      <w:r>
        <w:rPr>
          <w:color w:val="000000"/>
          <w:sz w:val="24"/>
          <w:szCs w:val="20"/>
        </w:rPr>
        <w:t>说明：</w:t>
      </w:r>
    </w:p>
    <w:p w14:paraId="244B87CD">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00A5796D">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672FF5AE">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35F0FF10">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7975C880">
      <w:pPr>
        <w:jc w:val="center"/>
        <w:rPr>
          <w:b/>
          <w:color w:val="000000"/>
          <w:sz w:val="36"/>
          <w:szCs w:val="36"/>
        </w:rPr>
      </w:pPr>
      <w:r>
        <w:rPr>
          <w:b/>
          <w:color w:val="000000"/>
          <w:sz w:val="36"/>
          <w:szCs w:val="36"/>
        </w:rPr>
        <w:t>法定代表人（单位负责人）身份证明</w:t>
      </w:r>
    </w:p>
    <w:p w14:paraId="3699BF7A">
      <w:pPr>
        <w:kinsoku w:val="0"/>
        <w:overflowPunct w:val="0"/>
        <w:spacing w:line="200" w:lineRule="exact"/>
        <w:rPr>
          <w:sz w:val="20"/>
          <w:szCs w:val="20"/>
        </w:rPr>
      </w:pPr>
    </w:p>
    <w:p w14:paraId="4353713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32BA9F7">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D245825">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2656878B">
      <w:pPr>
        <w:pStyle w:val="17"/>
        <w:tabs>
          <w:tab w:val="left" w:pos="2412"/>
          <w:tab w:val="left" w:pos="3883"/>
          <w:tab w:val="left" w:pos="5352"/>
          <w:tab w:val="left" w:pos="6821"/>
        </w:tabs>
        <w:kinsoku w:val="0"/>
        <w:overflowPunct w:val="0"/>
        <w:spacing w:line="335" w:lineRule="exact"/>
        <w:rPr>
          <w:rFonts w:ascii="Times New Roman" w:hAnsi="Times New Roman"/>
        </w:rPr>
      </w:pPr>
    </w:p>
    <w:p w14:paraId="609A9BF6">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265E1C9D">
      <w:pPr>
        <w:pStyle w:val="17"/>
        <w:tabs>
          <w:tab w:val="left" w:pos="2412"/>
          <w:tab w:val="left" w:pos="3883"/>
          <w:tab w:val="left" w:pos="5352"/>
          <w:tab w:val="left" w:pos="6821"/>
        </w:tabs>
        <w:kinsoku w:val="0"/>
        <w:overflowPunct w:val="0"/>
        <w:spacing w:line="335" w:lineRule="exact"/>
        <w:rPr>
          <w:rFonts w:ascii="Times New Roman" w:hAnsi="Times New Roman"/>
        </w:rPr>
      </w:pPr>
    </w:p>
    <w:p w14:paraId="037C6A43">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57053ACB">
      <w:pPr>
        <w:pStyle w:val="17"/>
        <w:kinsoku w:val="0"/>
        <w:overflowPunct w:val="0"/>
        <w:spacing w:line="583" w:lineRule="auto"/>
        <w:ind w:right="4305"/>
        <w:rPr>
          <w:rFonts w:ascii="Times New Roman" w:hAnsi="Times New Roman"/>
          <w:spacing w:val="-3"/>
        </w:rPr>
      </w:pPr>
    </w:p>
    <w:p w14:paraId="7EAD6F42">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5E923E4C">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2B6CC540">
      <w:pPr>
        <w:autoSpaceDE w:val="0"/>
        <w:autoSpaceDN w:val="0"/>
        <w:adjustRightInd w:val="0"/>
        <w:snapToGrid w:val="0"/>
        <w:spacing w:line="360" w:lineRule="auto"/>
        <w:rPr>
          <w:color w:val="000000"/>
          <w:sz w:val="24"/>
        </w:rPr>
      </w:pPr>
    </w:p>
    <w:p w14:paraId="06D7E159">
      <w:pPr>
        <w:autoSpaceDE w:val="0"/>
        <w:autoSpaceDN w:val="0"/>
        <w:adjustRightInd w:val="0"/>
        <w:snapToGrid w:val="0"/>
        <w:spacing w:line="360" w:lineRule="auto"/>
        <w:rPr>
          <w:color w:val="000000"/>
          <w:sz w:val="24"/>
          <w:lang w:val="zh-CN"/>
        </w:rPr>
      </w:pPr>
      <w:r>
        <w:rPr>
          <w:color w:val="000000"/>
          <w:sz w:val="24"/>
        </w:rPr>
        <w:t>日期：_____年______月______日</w:t>
      </w:r>
    </w:p>
    <w:p w14:paraId="22ECD68B">
      <w:pPr>
        <w:widowControl/>
        <w:jc w:val="left"/>
        <w:rPr>
          <w:i/>
          <w:color w:val="000000"/>
          <w:sz w:val="24"/>
          <w:szCs w:val="20"/>
          <w:u w:val="single"/>
        </w:rPr>
      </w:pPr>
    </w:p>
    <w:p w14:paraId="72EF69B6">
      <w:pPr>
        <w:widowControl/>
        <w:jc w:val="left"/>
        <w:rPr>
          <w:color w:val="000000"/>
          <w:sz w:val="24"/>
          <w:szCs w:val="20"/>
        </w:rPr>
      </w:pPr>
      <w:r>
        <w:rPr>
          <w:color w:val="000000"/>
          <w:sz w:val="24"/>
          <w:szCs w:val="20"/>
        </w:rPr>
        <w:br w:type="page"/>
      </w:r>
    </w:p>
    <w:p w14:paraId="65B75570">
      <w:pPr>
        <w:numPr>
          <w:ilvl w:val="0"/>
          <w:numId w:val="50"/>
        </w:numPr>
        <w:tabs>
          <w:tab w:val="left" w:pos="360"/>
        </w:tabs>
        <w:snapToGrid w:val="0"/>
        <w:spacing w:line="360" w:lineRule="auto"/>
        <w:outlineLvl w:val="1"/>
        <w:rPr>
          <w:color w:val="000000"/>
          <w:sz w:val="24"/>
          <w:szCs w:val="20"/>
        </w:rPr>
      </w:pPr>
      <w:r>
        <w:rPr>
          <w:color w:val="000000"/>
          <w:sz w:val="24"/>
          <w:szCs w:val="20"/>
        </w:rPr>
        <w:t>开标一览表</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r>
        <w:rPr>
          <w:color w:val="000000"/>
          <w:sz w:val="24"/>
          <w:szCs w:val="20"/>
        </w:rPr>
        <w:t>（实质性格式）</w:t>
      </w:r>
    </w:p>
    <w:p w14:paraId="4555A04D">
      <w:pPr>
        <w:jc w:val="center"/>
        <w:rPr>
          <w:b/>
          <w:color w:val="000000"/>
          <w:sz w:val="36"/>
          <w:szCs w:val="36"/>
        </w:rPr>
      </w:pPr>
      <w:bookmarkStart w:id="928" w:name="_Toc226337254"/>
      <w:bookmarkStart w:id="929" w:name="_Toc226965831"/>
      <w:bookmarkStart w:id="930" w:name="_Toc164608827"/>
      <w:bookmarkStart w:id="931" w:name="_Toc226309802"/>
      <w:bookmarkStart w:id="932" w:name="_Toc265228396"/>
      <w:bookmarkStart w:id="933" w:name="_Toc305158826"/>
      <w:bookmarkStart w:id="934" w:name="_Toc305158900"/>
      <w:bookmarkStart w:id="935" w:name="_Toc226965748"/>
      <w:bookmarkStart w:id="936" w:name="_Toc264969248"/>
      <w:bookmarkStart w:id="937" w:name="_Toc164608672"/>
      <w:bookmarkStart w:id="938" w:name="_Toc195842923"/>
      <w:r>
        <w:rPr>
          <w:b/>
          <w:color w:val="000000"/>
          <w:sz w:val="36"/>
          <w:szCs w:val="36"/>
        </w:rPr>
        <w:t>开标一览表</w:t>
      </w:r>
      <w:bookmarkEnd w:id="928"/>
      <w:bookmarkEnd w:id="929"/>
      <w:bookmarkEnd w:id="930"/>
      <w:bookmarkEnd w:id="931"/>
      <w:bookmarkEnd w:id="932"/>
      <w:bookmarkEnd w:id="933"/>
      <w:bookmarkEnd w:id="934"/>
      <w:bookmarkEnd w:id="935"/>
      <w:bookmarkEnd w:id="936"/>
      <w:bookmarkEnd w:id="937"/>
      <w:bookmarkEnd w:id="938"/>
    </w:p>
    <w:p w14:paraId="00F3720F">
      <w:pPr>
        <w:tabs>
          <w:tab w:val="left" w:pos="1800"/>
          <w:tab w:val="left" w:pos="5580"/>
        </w:tabs>
        <w:spacing w:line="360" w:lineRule="auto"/>
        <w:jc w:val="left"/>
        <w:rPr>
          <w:i/>
          <w:color w:val="FF0000"/>
          <w:sz w:val="24"/>
        </w:rPr>
      </w:pPr>
    </w:p>
    <w:p w14:paraId="166B52E3">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1386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2E57931A">
            <w:pPr>
              <w:tabs>
                <w:tab w:val="left" w:pos="5580"/>
              </w:tabs>
              <w:jc w:val="center"/>
              <w:rPr>
                <w:b/>
                <w:sz w:val="24"/>
              </w:rPr>
            </w:pPr>
            <w:r>
              <w:rPr>
                <w:b/>
                <w:sz w:val="24"/>
              </w:rPr>
              <w:t>包号</w:t>
            </w:r>
          </w:p>
        </w:tc>
        <w:tc>
          <w:tcPr>
            <w:tcW w:w="2215" w:type="pct"/>
            <w:vMerge w:val="restart"/>
            <w:vAlign w:val="center"/>
          </w:tcPr>
          <w:p w14:paraId="70B31A1B">
            <w:pPr>
              <w:tabs>
                <w:tab w:val="left" w:pos="5580"/>
              </w:tabs>
              <w:jc w:val="center"/>
              <w:rPr>
                <w:b/>
                <w:sz w:val="24"/>
              </w:rPr>
            </w:pPr>
            <w:r>
              <w:rPr>
                <w:b/>
                <w:sz w:val="24"/>
              </w:rPr>
              <w:t>投标人名称</w:t>
            </w:r>
          </w:p>
        </w:tc>
        <w:tc>
          <w:tcPr>
            <w:tcW w:w="2373" w:type="pct"/>
            <w:gridSpan w:val="2"/>
            <w:vAlign w:val="center"/>
          </w:tcPr>
          <w:p w14:paraId="21FD7536">
            <w:pPr>
              <w:tabs>
                <w:tab w:val="left" w:pos="5580"/>
              </w:tabs>
              <w:jc w:val="center"/>
              <w:rPr>
                <w:b/>
                <w:sz w:val="24"/>
              </w:rPr>
            </w:pPr>
            <w:r>
              <w:rPr>
                <w:b/>
                <w:sz w:val="24"/>
              </w:rPr>
              <w:t>投标报价</w:t>
            </w:r>
          </w:p>
        </w:tc>
      </w:tr>
      <w:tr w14:paraId="75B2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21D18A04">
            <w:pPr>
              <w:tabs>
                <w:tab w:val="left" w:pos="5580"/>
              </w:tabs>
              <w:jc w:val="center"/>
              <w:rPr>
                <w:sz w:val="24"/>
              </w:rPr>
            </w:pPr>
          </w:p>
        </w:tc>
        <w:tc>
          <w:tcPr>
            <w:tcW w:w="2215" w:type="pct"/>
            <w:vMerge w:val="continue"/>
            <w:vAlign w:val="center"/>
          </w:tcPr>
          <w:p w14:paraId="7EA86EC7">
            <w:pPr>
              <w:tabs>
                <w:tab w:val="left" w:pos="5580"/>
              </w:tabs>
              <w:jc w:val="center"/>
              <w:rPr>
                <w:sz w:val="24"/>
              </w:rPr>
            </w:pPr>
          </w:p>
        </w:tc>
        <w:tc>
          <w:tcPr>
            <w:tcW w:w="1188" w:type="pct"/>
            <w:vAlign w:val="center"/>
          </w:tcPr>
          <w:p w14:paraId="1EAEB265">
            <w:pPr>
              <w:tabs>
                <w:tab w:val="left" w:pos="5580"/>
              </w:tabs>
              <w:jc w:val="center"/>
              <w:rPr>
                <w:b/>
                <w:sz w:val="24"/>
              </w:rPr>
            </w:pPr>
            <w:r>
              <w:rPr>
                <w:b/>
                <w:sz w:val="24"/>
              </w:rPr>
              <w:t>大写</w:t>
            </w:r>
          </w:p>
        </w:tc>
        <w:tc>
          <w:tcPr>
            <w:tcW w:w="1182" w:type="pct"/>
            <w:vAlign w:val="center"/>
          </w:tcPr>
          <w:p w14:paraId="2EFE87F6">
            <w:pPr>
              <w:tabs>
                <w:tab w:val="left" w:pos="5580"/>
              </w:tabs>
              <w:jc w:val="center"/>
              <w:rPr>
                <w:b/>
                <w:sz w:val="24"/>
              </w:rPr>
            </w:pPr>
            <w:r>
              <w:rPr>
                <w:b/>
                <w:sz w:val="24"/>
              </w:rPr>
              <w:t>小写</w:t>
            </w:r>
          </w:p>
        </w:tc>
      </w:tr>
      <w:tr w14:paraId="68E1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63F6F243">
            <w:pPr>
              <w:tabs>
                <w:tab w:val="left" w:pos="5580"/>
              </w:tabs>
              <w:jc w:val="center"/>
              <w:rPr>
                <w:sz w:val="24"/>
              </w:rPr>
            </w:pPr>
          </w:p>
        </w:tc>
        <w:tc>
          <w:tcPr>
            <w:tcW w:w="2215" w:type="pct"/>
            <w:vAlign w:val="center"/>
          </w:tcPr>
          <w:p w14:paraId="13B8E99B">
            <w:pPr>
              <w:tabs>
                <w:tab w:val="left" w:pos="5580"/>
              </w:tabs>
              <w:jc w:val="center"/>
              <w:rPr>
                <w:sz w:val="24"/>
              </w:rPr>
            </w:pPr>
          </w:p>
        </w:tc>
        <w:tc>
          <w:tcPr>
            <w:tcW w:w="1188" w:type="pct"/>
            <w:vAlign w:val="center"/>
          </w:tcPr>
          <w:p w14:paraId="37E69D0D">
            <w:pPr>
              <w:tabs>
                <w:tab w:val="left" w:pos="5580"/>
              </w:tabs>
              <w:jc w:val="center"/>
              <w:rPr>
                <w:sz w:val="24"/>
              </w:rPr>
            </w:pPr>
          </w:p>
        </w:tc>
        <w:tc>
          <w:tcPr>
            <w:tcW w:w="1182" w:type="pct"/>
            <w:vAlign w:val="center"/>
          </w:tcPr>
          <w:p w14:paraId="2523C8FA">
            <w:pPr>
              <w:tabs>
                <w:tab w:val="left" w:pos="5580"/>
              </w:tabs>
              <w:jc w:val="center"/>
              <w:rPr>
                <w:sz w:val="24"/>
              </w:rPr>
            </w:pPr>
          </w:p>
        </w:tc>
      </w:tr>
    </w:tbl>
    <w:p w14:paraId="3BDD0D4E">
      <w:pPr>
        <w:autoSpaceDE w:val="0"/>
        <w:autoSpaceDN w:val="0"/>
        <w:adjustRightInd w:val="0"/>
        <w:jc w:val="left"/>
        <w:rPr>
          <w:color w:val="000000"/>
          <w:kern w:val="0"/>
          <w:sz w:val="24"/>
        </w:rPr>
      </w:pPr>
    </w:p>
    <w:p w14:paraId="2A544559">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7DF54344">
      <w:pPr>
        <w:tabs>
          <w:tab w:val="left" w:pos="5580"/>
        </w:tabs>
        <w:ind w:firstLine="480" w:firstLineChars="200"/>
        <w:rPr>
          <w:color w:val="000000"/>
          <w:sz w:val="24"/>
          <w:szCs w:val="20"/>
        </w:rPr>
      </w:pPr>
      <w:r>
        <w:rPr>
          <w:color w:val="000000"/>
          <w:sz w:val="24"/>
          <w:szCs w:val="20"/>
        </w:rPr>
        <w:t>2.本表必须按包分别填写。</w:t>
      </w:r>
    </w:p>
    <w:p w14:paraId="45228309">
      <w:pPr>
        <w:autoSpaceDE w:val="0"/>
        <w:autoSpaceDN w:val="0"/>
        <w:adjustRightInd w:val="0"/>
        <w:snapToGrid w:val="0"/>
        <w:spacing w:before="25" w:after="25" w:line="360" w:lineRule="auto"/>
        <w:rPr>
          <w:color w:val="000000"/>
          <w:sz w:val="24"/>
          <w:lang w:val="zh-CN"/>
        </w:rPr>
      </w:pPr>
    </w:p>
    <w:p w14:paraId="5809C982">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A8466E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146B99BC">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EF58C85">
      <w:pPr>
        <w:widowControl/>
        <w:jc w:val="left"/>
        <w:rPr>
          <w:color w:val="000000"/>
          <w:sz w:val="24"/>
          <w:szCs w:val="20"/>
        </w:rPr>
      </w:pPr>
      <w:bookmarkStart w:id="939" w:name="_Toc226965832"/>
      <w:bookmarkStart w:id="940" w:name="_Toc305158901"/>
      <w:bookmarkStart w:id="941" w:name="_Toc195842924"/>
      <w:bookmarkStart w:id="942" w:name="_Toc305158827"/>
      <w:bookmarkStart w:id="943" w:name="_Toc226309803"/>
      <w:bookmarkStart w:id="944" w:name="_Toc150480796"/>
      <w:bookmarkStart w:id="945" w:name="_Toc127151558"/>
      <w:bookmarkStart w:id="946" w:name="_Toc264969249"/>
      <w:bookmarkStart w:id="947" w:name="_Toc150774763"/>
      <w:bookmarkStart w:id="948" w:name="_Toc226965749"/>
      <w:bookmarkStart w:id="949" w:name="_Toc265228397"/>
      <w:bookmarkStart w:id="950" w:name="_Toc226337255"/>
      <w:bookmarkStart w:id="951" w:name="_Toc142311060"/>
    </w:p>
    <w:p w14:paraId="2D1CD89B">
      <w:pPr>
        <w:widowControl/>
        <w:jc w:val="left"/>
        <w:rPr>
          <w:color w:val="000000"/>
          <w:sz w:val="24"/>
          <w:szCs w:val="20"/>
        </w:rPr>
      </w:pPr>
    </w:p>
    <w:p w14:paraId="727513DF">
      <w:pPr>
        <w:numPr>
          <w:ilvl w:val="0"/>
          <w:numId w:val="50"/>
        </w:numPr>
        <w:tabs>
          <w:tab w:val="left" w:pos="360"/>
        </w:tabs>
        <w:snapToGrid w:val="0"/>
        <w:spacing w:line="360" w:lineRule="auto"/>
        <w:outlineLvl w:val="1"/>
        <w:rPr>
          <w:color w:val="000000"/>
          <w:sz w:val="24"/>
          <w:szCs w:val="20"/>
        </w:rPr>
        <w:sectPr>
          <w:headerReference r:id="rId19" w:type="first"/>
          <w:footerReference r:id="rId21" w:type="first"/>
          <w:headerReference r:id="rId18" w:type="even"/>
          <w:footerReference r:id="rId20" w:type="even"/>
          <w:pgSz w:w="11907" w:h="16840"/>
          <w:pgMar w:top="1418" w:right="1134" w:bottom="1418" w:left="1701" w:header="851" w:footer="851" w:gutter="0"/>
          <w:cols w:space="720" w:num="1"/>
          <w:docGrid w:linePitch="462" w:charSpace="0"/>
        </w:sectPr>
      </w:pPr>
    </w:p>
    <w:p w14:paraId="30E7639E">
      <w:pPr>
        <w:numPr>
          <w:ilvl w:val="0"/>
          <w:numId w:val="50"/>
        </w:numPr>
        <w:tabs>
          <w:tab w:val="left" w:pos="360"/>
        </w:tabs>
        <w:snapToGrid w:val="0"/>
        <w:spacing w:line="360" w:lineRule="auto"/>
        <w:outlineLvl w:val="1"/>
        <w:rPr>
          <w:color w:val="000000"/>
          <w:sz w:val="24"/>
          <w:szCs w:val="20"/>
        </w:rPr>
      </w:pPr>
      <w:r>
        <w:rPr>
          <w:color w:val="000000"/>
          <w:sz w:val="24"/>
          <w:szCs w:val="20"/>
        </w:rPr>
        <w:t>投标分项报价表</w:t>
      </w:r>
      <w:bookmarkEnd w:id="939"/>
      <w:bookmarkEnd w:id="940"/>
      <w:bookmarkEnd w:id="941"/>
      <w:bookmarkEnd w:id="942"/>
      <w:bookmarkEnd w:id="943"/>
      <w:bookmarkEnd w:id="944"/>
      <w:bookmarkEnd w:id="945"/>
      <w:bookmarkEnd w:id="946"/>
      <w:bookmarkEnd w:id="947"/>
      <w:bookmarkEnd w:id="948"/>
      <w:bookmarkEnd w:id="949"/>
      <w:bookmarkEnd w:id="950"/>
      <w:bookmarkEnd w:id="951"/>
      <w:r>
        <w:rPr>
          <w:color w:val="000000"/>
          <w:sz w:val="24"/>
          <w:szCs w:val="20"/>
        </w:rPr>
        <w:t>（实质性格式）</w:t>
      </w:r>
    </w:p>
    <w:p w14:paraId="37E56836">
      <w:pPr>
        <w:tabs>
          <w:tab w:val="left" w:pos="1800"/>
          <w:tab w:val="left" w:pos="5580"/>
        </w:tabs>
        <w:rPr>
          <w:b/>
          <w:bCs/>
          <w:color w:val="000000"/>
          <w:sz w:val="24"/>
        </w:rPr>
      </w:pPr>
      <w:r>
        <w:rPr>
          <w:rFonts w:hint="eastAsia"/>
          <w:b/>
          <w:bCs/>
          <w:color w:val="000000"/>
          <w:sz w:val="24"/>
        </w:rPr>
        <w:t>01包格式：</w:t>
      </w:r>
    </w:p>
    <w:p w14:paraId="76DBA1DA">
      <w:pPr>
        <w:tabs>
          <w:tab w:val="left" w:pos="1800"/>
          <w:tab w:val="left" w:pos="5580"/>
        </w:tabs>
        <w:rPr>
          <w:color w:val="000000"/>
          <w:sz w:val="24"/>
        </w:rPr>
      </w:pPr>
      <w:r>
        <w:rPr>
          <w:color w:val="000000"/>
          <w:sz w:val="24"/>
        </w:rPr>
        <w:t>项目编号/包号：___________ 项目名称：__________报价单位：人民币元</w:t>
      </w:r>
    </w:p>
    <w:tbl>
      <w:tblPr>
        <w:tblStyle w:val="42"/>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4BCD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62DD17E9">
            <w:pPr>
              <w:adjustRightInd w:val="0"/>
              <w:snapToGrid w:val="0"/>
              <w:jc w:val="left"/>
              <w:rPr>
                <w:b/>
                <w:color w:val="000000"/>
                <w:sz w:val="24"/>
              </w:rPr>
            </w:pPr>
            <w:r>
              <w:rPr>
                <w:b/>
                <w:color w:val="000000"/>
                <w:sz w:val="24"/>
              </w:rPr>
              <w:t>序号</w:t>
            </w:r>
          </w:p>
        </w:tc>
        <w:tc>
          <w:tcPr>
            <w:tcW w:w="1605" w:type="pct"/>
            <w:vAlign w:val="center"/>
          </w:tcPr>
          <w:p w14:paraId="56EB3F41">
            <w:pPr>
              <w:adjustRightInd w:val="0"/>
              <w:snapToGrid w:val="0"/>
              <w:jc w:val="center"/>
              <w:rPr>
                <w:b/>
                <w:color w:val="000000"/>
                <w:sz w:val="24"/>
              </w:rPr>
            </w:pPr>
            <w:r>
              <w:rPr>
                <w:b/>
                <w:color w:val="000000"/>
                <w:sz w:val="24"/>
              </w:rPr>
              <w:t>分项名称</w:t>
            </w:r>
          </w:p>
        </w:tc>
        <w:tc>
          <w:tcPr>
            <w:tcW w:w="736" w:type="pct"/>
            <w:vAlign w:val="center"/>
          </w:tcPr>
          <w:p w14:paraId="19E672E3">
            <w:pPr>
              <w:adjustRightInd w:val="0"/>
              <w:snapToGrid w:val="0"/>
              <w:jc w:val="center"/>
              <w:rPr>
                <w:b/>
                <w:color w:val="000000"/>
                <w:sz w:val="24"/>
              </w:rPr>
            </w:pPr>
            <w:r>
              <w:rPr>
                <w:b/>
                <w:color w:val="000000"/>
                <w:sz w:val="24"/>
              </w:rPr>
              <w:t>单价（元）</w:t>
            </w:r>
          </w:p>
        </w:tc>
        <w:tc>
          <w:tcPr>
            <w:tcW w:w="659" w:type="pct"/>
            <w:vAlign w:val="center"/>
          </w:tcPr>
          <w:p w14:paraId="38D232E0">
            <w:pPr>
              <w:adjustRightInd w:val="0"/>
              <w:snapToGrid w:val="0"/>
              <w:jc w:val="center"/>
              <w:rPr>
                <w:b/>
                <w:color w:val="000000"/>
                <w:sz w:val="24"/>
              </w:rPr>
            </w:pPr>
            <w:r>
              <w:rPr>
                <w:b/>
                <w:color w:val="000000"/>
                <w:sz w:val="24"/>
              </w:rPr>
              <w:t>数量</w:t>
            </w:r>
          </w:p>
        </w:tc>
        <w:tc>
          <w:tcPr>
            <w:tcW w:w="735" w:type="pct"/>
            <w:vAlign w:val="center"/>
          </w:tcPr>
          <w:p w14:paraId="72F68EFE">
            <w:pPr>
              <w:adjustRightInd w:val="0"/>
              <w:snapToGrid w:val="0"/>
              <w:jc w:val="center"/>
              <w:rPr>
                <w:b/>
                <w:color w:val="000000"/>
                <w:sz w:val="24"/>
              </w:rPr>
            </w:pPr>
            <w:r>
              <w:rPr>
                <w:b/>
                <w:color w:val="000000"/>
                <w:sz w:val="24"/>
              </w:rPr>
              <w:t>合价（元）</w:t>
            </w:r>
          </w:p>
        </w:tc>
        <w:tc>
          <w:tcPr>
            <w:tcW w:w="933" w:type="pct"/>
            <w:vAlign w:val="center"/>
          </w:tcPr>
          <w:p w14:paraId="77D89B62">
            <w:pPr>
              <w:adjustRightInd w:val="0"/>
              <w:snapToGrid w:val="0"/>
              <w:jc w:val="center"/>
              <w:rPr>
                <w:b/>
                <w:color w:val="000000"/>
                <w:sz w:val="24"/>
              </w:rPr>
            </w:pPr>
            <w:r>
              <w:rPr>
                <w:b/>
                <w:color w:val="000000"/>
                <w:sz w:val="24"/>
              </w:rPr>
              <w:t>备注/说明</w:t>
            </w:r>
          </w:p>
        </w:tc>
      </w:tr>
      <w:tr w14:paraId="709B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382AFCCB">
            <w:pPr>
              <w:adjustRightInd w:val="0"/>
              <w:snapToGrid w:val="0"/>
              <w:jc w:val="center"/>
              <w:rPr>
                <w:color w:val="000000"/>
                <w:sz w:val="24"/>
              </w:rPr>
            </w:pPr>
            <w:r>
              <w:rPr>
                <w:color w:val="000000"/>
                <w:sz w:val="24"/>
              </w:rPr>
              <w:t>1</w:t>
            </w:r>
          </w:p>
        </w:tc>
        <w:tc>
          <w:tcPr>
            <w:tcW w:w="1605" w:type="pct"/>
            <w:vAlign w:val="center"/>
          </w:tcPr>
          <w:p w14:paraId="6430B7BC">
            <w:pPr>
              <w:adjustRightInd w:val="0"/>
              <w:snapToGrid w:val="0"/>
              <w:jc w:val="left"/>
              <w:rPr>
                <w:color w:val="000000"/>
                <w:sz w:val="24"/>
              </w:rPr>
            </w:pPr>
            <w:r>
              <w:rPr>
                <w:rFonts w:hint="eastAsia"/>
                <w:color w:val="000000"/>
                <w:sz w:val="24"/>
              </w:rPr>
              <w:t>监测仪器维护费</w:t>
            </w:r>
          </w:p>
        </w:tc>
        <w:tc>
          <w:tcPr>
            <w:tcW w:w="736" w:type="pct"/>
            <w:vAlign w:val="center"/>
          </w:tcPr>
          <w:p w14:paraId="3C0585C8">
            <w:pPr>
              <w:adjustRightInd w:val="0"/>
              <w:snapToGrid w:val="0"/>
              <w:jc w:val="left"/>
              <w:rPr>
                <w:color w:val="000000"/>
                <w:sz w:val="24"/>
              </w:rPr>
            </w:pPr>
          </w:p>
        </w:tc>
        <w:tc>
          <w:tcPr>
            <w:tcW w:w="659" w:type="pct"/>
            <w:vAlign w:val="center"/>
          </w:tcPr>
          <w:p w14:paraId="3AEA255E">
            <w:pPr>
              <w:adjustRightInd w:val="0"/>
              <w:snapToGrid w:val="0"/>
              <w:jc w:val="center"/>
              <w:rPr>
                <w:color w:val="000000"/>
                <w:sz w:val="24"/>
              </w:rPr>
            </w:pPr>
            <w:r>
              <w:rPr>
                <w:rFonts w:hint="eastAsia"/>
                <w:color w:val="000000"/>
                <w:sz w:val="24"/>
              </w:rPr>
              <w:t>1090</w:t>
            </w:r>
          </w:p>
        </w:tc>
        <w:tc>
          <w:tcPr>
            <w:tcW w:w="735" w:type="pct"/>
            <w:vAlign w:val="center"/>
          </w:tcPr>
          <w:p w14:paraId="43A86D93">
            <w:pPr>
              <w:adjustRightInd w:val="0"/>
              <w:snapToGrid w:val="0"/>
              <w:jc w:val="left"/>
              <w:rPr>
                <w:color w:val="000000"/>
                <w:sz w:val="24"/>
              </w:rPr>
            </w:pPr>
          </w:p>
        </w:tc>
        <w:tc>
          <w:tcPr>
            <w:tcW w:w="933" w:type="pct"/>
            <w:vAlign w:val="center"/>
          </w:tcPr>
          <w:p w14:paraId="2F8085DB">
            <w:pPr>
              <w:adjustRightInd w:val="0"/>
              <w:snapToGrid w:val="0"/>
              <w:jc w:val="left"/>
              <w:rPr>
                <w:color w:val="000000"/>
                <w:sz w:val="24"/>
              </w:rPr>
            </w:pPr>
          </w:p>
        </w:tc>
      </w:tr>
      <w:tr w14:paraId="76C9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2AD86A9C">
            <w:pPr>
              <w:adjustRightInd w:val="0"/>
              <w:snapToGrid w:val="0"/>
              <w:jc w:val="center"/>
              <w:rPr>
                <w:color w:val="000000"/>
                <w:sz w:val="24"/>
              </w:rPr>
            </w:pPr>
            <w:r>
              <w:rPr>
                <w:color w:val="000000"/>
                <w:sz w:val="24"/>
              </w:rPr>
              <w:t>2</w:t>
            </w:r>
          </w:p>
        </w:tc>
        <w:tc>
          <w:tcPr>
            <w:tcW w:w="1605" w:type="pct"/>
            <w:vAlign w:val="center"/>
          </w:tcPr>
          <w:p w14:paraId="4B7E9E3D">
            <w:pPr>
              <w:adjustRightInd w:val="0"/>
              <w:snapToGrid w:val="0"/>
              <w:jc w:val="left"/>
              <w:rPr>
                <w:color w:val="000000"/>
                <w:sz w:val="24"/>
              </w:rPr>
            </w:pPr>
            <w:r>
              <w:rPr>
                <w:rFonts w:hint="eastAsia"/>
                <w:color w:val="000000"/>
                <w:sz w:val="24"/>
              </w:rPr>
              <w:t>监测仪器维修费</w:t>
            </w:r>
          </w:p>
        </w:tc>
        <w:tc>
          <w:tcPr>
            <w:tcW w:w="736" w:type="pct"/>
            <w:vAlign w:val="center"/>
          </w:tcPr>
          <w:p w14:paraId="53897382">
            <w:pPr>
              <w:adjustRightInd w:val="0"/>
              <w:snapToGrid w:val="0"/>
              <w:jc w:val="left"/>
              <w:rPr>
                <w:color w:val="000000"/>
                <w:sz w:val="24"/>
              </w:rPr>
            </w:pPr>
          </w:p>
        </w:tc>
        <w:tc>
          <w:tcPr>
            <w:tcW w:w="659" w:type="pct"/>
            <w:vAlign w:val="center"/>
          </w:tcPr>
          <w:p w14:paraId="5B212AE6">
            <w:pPr>
              <w:adjustRightInd w:val="0"/>
              <w:snapToGrid w:val="0"/>
              <w:jc w:val="center"/>
              <w:rPr>
                <w:color w:val="000000"/>
                <w:sz w:val="24"/>
              </w:rPr>
            </w:pPr>
            <w:r>
              <w:rPr>
                <w:rFonts w:hint="eastAsia"/>
                <w:color w:val="000000"/>
                <w:sz w:val="24"/>
              </w:rPr>
              <w:t>1090</w:t>
            </w:r>
          </w:p>
        </w:tc>
        <w:tc>
          <w:tcPr>
            <w:tcW w:w="735" w:type="pct"/>
            <w:vAlign w:val="center"/>
          </w:tcPr>
          <w:p w14:paraId="2277B03E">
            <w:pPr>
              <w:adjustRightInd w:val="0"/>
              <w:snapToGrid w:val="0"/>
              <w:jc w:val="left"/>
              <w:rPr>
                <w:color w:val="000000"/>
                <w:sz w:val="24"/>
              </w:rPr>
            </w:pPr>
          </w:p>
        </w:tc>
        <w:tc>
          <w:tcPr>
            <w:tcW w:w="933" w:type="pct"/>
            <w:vAlign w:val="center"/>
          </w:tcPr>
          <w:p w14:paraId="64B10992">
            <w:pPr>
              <w:adjustRightInd w:val="0"/>
              <w:snapToGrid w:val="0"/>
              <w:jc w:val="left"/>
              <w:rPr>
                <w:color w:val="000000"/>
                <w:sz w:val="24"/>
              </w:rPr>
            </w:pPr>
          </w:p>
        </w:tc>
      </w:tr>
      <w:tr w14:paraId="1611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1BADA2A4">
            <w:pPr>
              <w:adjustRightInd w:val="0"/>
              <w:snapToGrid w:val="0"/>
              <w:jc w:val="center"/>
              <w:rPr>
                <w:color w:val="000000"/>
                <w:sz w:val="24"/>
              </w:rPr>
            </w:pPr>
            <w:r>
              <w:rPr>
                <w:color w:val="000000"/>
                <w:sz w:val="24"/>
              </w:rPr>
              <w:t>3</w:t>
            </w:r>
          </w:p>
        </w:tc>
        <w:tc>
          <w:tcPr>
            <w:tcW w:w="1605" w:type="pct"/>
            <w:vAlign w:val="center"/>
          </w:tcPr>
          <w:p w14:paraId="6F452C4A">
            <w:pPr>
              <w:adjustRightInd w:val="0"/>
              <w:snapToGrid w:val="0"/>
              <w:jc w:val="left"/>
              <w:rPr>
                <w:color w:val="000000"/>
                <w:sz w:val="24"/>
              </w:rPr>
            </w:pPr>
            <w:r>
              <w:rPr>
                <w:color w:val="000000"/>
                <w:sz w:val="24"/>
              </w:rPr>
              <w:t>…</w:t>
            </w:r>
          </w:p>
        </w:tc>
        <w:tc>
          <w:tcPr>
            <w:tcW w:w="736" w:type="pct"/>
            <w:vAlign w:val="center"/>
          </w:tcPr>
          <w:p w14:paraId="4BC1145C">
            <w:pPr>
              <w:adjustRightInd w:val="0"/>
              <w:snapToGrid w:val="0"/>
              <w:jc w:val="left"/>
              <w:rPr>
                <w:color w:val="000000"/>
                <w:sz w:val="24"/>
              </w:rPr>
            </w:pPr>
          </w:p>
        </w:tc>
        <w:tc>
          <w:tcPr>
            <w:tcW w:w="659" w:type="pct"/>
            <w:vAlign w:val="center"/>
          </w:tcPr>
          <w:p w14:paraId="4936E277">
            <w:pPr>
              <w:adjustRightInd w:val="0"/>
              <w:snapToGrid w:val="0"/>
              <w:jc w:val="center"/>
              <w:rPr>
                <w:color w:val="000000"/>
                <w:sz w:val="24"/>
              </w:rPr>
            </w:pPr>
          </w:p>
        </w:tc>
        <w:tc>
          <w:tcPr>
            <w:tcW w:w="735" w:type="pct"/>
            <w:vAlign w:val="center"/>
          </w:tcPr>
          <w:p w14:paraId="599ACF4A">
            <w:pPr>
              <w:adjustRightInd w:val="0"/>
              <w:snapToGrid w:val="0"/>
              <w:jc w:val="left"/>
              <w:rPr>
                <w:color w:val="000000"/>
                <w:sz w:val="24"/>
              </w:rPr>
            </w:pPr>
          </w:p>
        </w:tc>
        <w:tc>
          <w:tcPr>
            <w:tcW w:w="933" w:type="pct"/>
            <w:vAlign w:val="center"/>
          </w:tcPr>
          <w:p w14:paraId="230F1E7B">
            <w:pPr>
              <w:adjustRightInd w:val="0"/>
              <w:snapToGrid w:val="0"/>
              <w:jc w:val="left"/>
              <w:rPr>
                <w:color w:val="000000"/>
                <w:sz w:val="24"/>
              </w:rPr>
            </w:pPr>
          </w:p>
        </w:tc>
      </w:tr>
      <w:tr w14:paraId="6563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26DD39C8">
            <w:pPr>
              <w:adjustRightInd w:val="0"/>
              <w:snapToGrid w:val="0"/>
              <w:jc w:val="right"/>
              <w:rPr>
                <w:color w:val="000000"/>
                <w:sz w:val="24"/>
              </w:rPr>
            </w:pPr>
            <w:r>
              <w:rPr>
                <w:b/>
                <w:color w:val="000000"/>
                <w:sz w:val="24"/>
              </w:rPr>
              <w:t>总价（元）</w:t>
            </w:r>
          </w:p>
        </w:tc>
        <w:tc>
          <w:tcPr>
            <w:tcW w:w="735" w:type="pct"/>
            <w:vAlign w:val="center"/>
          </w:tcPr>
          <w:p w14:paraId="0FFE8806">
            <w:pPr>
              <w:adjustRightInd w:val="0"/>
              <w:snapToGrid w:val="0"/>
              <w:jc w:val="left"/>
              <w:rPr>
                <w:color w:val="000000"/>
                <w:sz w:val="24"/>
              </w:rPr>
            </w:pPr>
          </w:p>
        </w:tc>
        <w:tc>
          <w:tcPr>
            <w:tcW w:w="933" w:type="pct"/>
            <w:vAlign w:val="center"/>
          </w:tcPr>
          <w:p w14:paraId="32B503E8">
            <w:pPr>
              <w:adjustRightInd w:val="0"/>
              <w:snapToGrid w:val="0"/>
              <w:jc w:val="left"/>
              <w:rPr>
                <w:color w:val="000000"/>
                <w:sz w:val="24"/>
              </w:rPr>
            </w:pPr>
          </w:p>
        </w:tc>
      </w:tr>
    </w:tbl>
    <w:p w14:paraId="38C44A80">
      <w:pPr>
        <w:tabs>
          <w:tab w:val="left" w:pos="1800"/>
          <w:tab w:val="left" w:pos="5580"/>
        </w:tabs>
        <w:rPr>
          <w:b/>
          <w:bCs/>
          <w:color w:val="000000"/>
          <w:sz w:val="24"/>
        </w:rPr>
      </w:pPr>
      <w:r>
        <w:rPr>
          <w:rFonts w:hint="eastAsia"/>
          <w:b/>
          <w:bCs/>
          <w:color w:val="000000"/>
          <w:sz w:val="24"/>
        </w:rPr>
        <w:t>02包格式：</w:t>
      </w:r>
    </w:p>
    <w:p w14:paraId="5D6AE9F7">
      <w:pPr>
        <w:tabs>
          <w:tab w:val="left" w:pos="1800"/>
          <w:tab w:val="left" w:pos="5580"/>
        </w:tabs>
        <w:rPr>
          <w:color w:val="000000"/>
          <w:sz w:val="24"/>
        </w:rPr>
      </w:pPr>
      <w:r>
        <w:rPr>
          <w:color w:val="000000"/>
          <w:sz w:val="24"/>
        </w:rPr>
        <w:t>项目编号/包号：___________ 项目名称：__________报价单位：人民币元</w:t>
      </w:r>
    </w:p>
    <w:tbl>
      <w:tblPr>
        <w:tblStyle w:val="42"/>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5A07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699E7DEC">
            <w:pPr>
              <w:adjustRightInd w:val="0"/>
              <w:snapToGrid w:val="0"/>
              <w:jc w:val="left"/>
              <w:rPr>
                <w:b/>
                <w:color w:val="000000"/>
                <w:sz w:val="24"/>
              </w:rPr>
            </w:pPr>
            <w:r>
              <w:rPr>
                <w:b/>
                <w:color w:val="000000"/>
                <w:sz w:val="24"/>
              </w:rPr>
              <w:t>序号</w:t>
            </w:r>
          </w:p>
        </w:tc>
        <w:tc>
          <w:tcPr>
            <w:tcW w:w="1605" w:type="pct"/>
            <w:vAlign w:val="center"/>
          </w:tcPr>
          <w:p w14:paraId="0051B4BC">
            <w:pPr>
              <w:adjustRightInd w:val="0"/>
              <w:snapToGrid w:val="0"/>
              <w:jc w:val="center"/>
              <w:rPr>
                <w:b/>
                <w:color w:val="000000"/>
                <w:sz w:val="24"/>
              </w:rPr>
            </w:pPr>
            <w:r>
              <w:rPr>
                <w:b/>
                <w:color w:val="000000"/>
                <w:sz w:val="24"/>
              </w:rPr>
              <w:t>分项名称</w:t>
            </w:r>
          </w:p>
        </w:tc>
        <w:tc>
          <w:tcPr>
            <w:tcW w:w="736" w:type="pct"/>
            <w:vAlign w:val="center"/>
          </w:tcPr>
          <w:p w14:paraId="598F3649">
            <w:pPr>
              <w:adjustRightInd w:val="0"/>
              <w:snapToGrid w:val="0"/>
              <w:jc w:val="center"/>
              <w:rPr>
                <w:b/>
                <w:color w:val="000000"/>
                <w:sz w:val="24"/>
              </w:rPr>
            </w:pPr>
            <w:r>
              <w:rPr>
                <w:b/>
                <w:color w:val="000000"/>
                <w:sz w:val="24"/>
              </w:rPr>
              <w:t>单价（元）</w:t>
            </w:r>
          </w:p>
        </w:tc>
        <w:tc>
          <w:tcPr>
            <w:tcW w:w="659" w:type="pct"/>
            <w:vAlign w:val="center"/>
          </w:tcPr>
          <w:p w14:paraId="66226BE1">
            <w:pPr>
              <w:adjustRightInd w:val="0"/>
              <w:snapToGrid w:val="0"/>
              <w:jc w:val="center"/>
              <w:rPr>
                <w:b/>
                <w:color w:val="000000"/>
                <w:sz w:val="24"/>
              </w:rPr>
            </w:pPr>
            <w:r>
              <w:rPr>
                <w:b/>
                <w:color w:val="000000"/>
                <w:sz w:val="24"/>
              </w:rPr>
              <w:t>数量</w:t>
            </w:r>
          </w:p>
        </w:tc>
        <w:tc>
          <w:tcPr>
            <w:tcW w:w="735" w:type="pct"/>
            <w:vAlign w:val="center"/>
          </w:tcPr>
          <w:p w14:paraId="51918B67">
            <w:pPr>
              <w:adjustRightInd w:val="0"/>
              <w:snapToGrid w:val="0"/>
              <w:jc w:val="center"/>
              <w:rPr>
                <w:b/>
                <w:color w:val="000000"/>
                <w:sz w:val="24"/>
              </w:rPr>
            </w:pPr>
            <w:r>
              <w:rPr>
                <w:b/>
                <w:color w:val="000000"/>
                <w:sz w:val="24"/>
              </w:rPr>
              <w:t>合价（元）</w:t>
            </w:r>
          </w:p>
        </w:tc>
        <w:tc>
          <w:tcPr>
            <w:tcW w:w="933" w:type="pct"/>
            <w:vAlign w:val="center"/>
          </w:tcPr>
          <w:p w14:paraId="579DC123">
            <w:pPr>
              <w:adjustRightInd w:val="0"/>
              <w:snapToGrid w:val="0"/>
              <w:jc w:val="center"/>
              <w:rPr>
                <w:b/>
                <w:color w:val="000000"/>
                <w:sz w:val="24"/>
              </w:rPr>
            </w:pPr>
            <w:r>
              <w:rPr>
                <w:b/>
                <w:color w:val="000000"/>
                <w:sz w:val="24"/>
              </w:rPr>
              <w:t>备注/说明</w:t>
            </w:r>
          </w:p>
        </w:tc>
      </w:tr>
      <w:tr w14:paraId="3BB6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64AC3714">
            <w:pPr>
              <w:adjustRightInd w:val="0"/>
              <w:snapToGrid w:val="0"/>
              <w:jc w:val="center"/>
              <w:rPr>
                <w:color w:val="000000"/>
                <w:sz w:val="24"/>
              </w:rPr>
            </w:pPr>
            <w:r>
              <w:rPr>
                <w:color w:val="000000"/>
                <w:sz w:val="24"/>
              </w:rPr>
              <w:t>1</w:t>
            </w:r>
          </w:p>
        </w:tc>
        <w:tc>
          <w:tcPr>
            <w:tcW w:w="1605" w:type="pct"/>
            <w:vAlign w:val="center"/>
          </w:tcPr>
          <w:p w14:paraId="3DC9F1A0">
            <w:pPr>
              <w:adjustRightInd w:val="0"/>
              <w:snapToGrid w:val="0"/>
              <w:jc w:val="left"/>
              <w:rPr>
                <w:color w:val="000000"/>
                <w:sz w:val="24"/>
              </w:rPr>
            </w:pPr>
            <w:r>
              <w:rPr>
                <w:rFonts w:hint="eastAsia"/>
                <w:color w:val="000000"/>
                <w:sz w:val="24"/>
              </w:rPr>
              <w:t>监测仪器维护费</w:t>
            </w:r>
          </w:p>
        </w:tc>
        <w:tc>
          <w:tcPr>
            <w:tcW w:w="736" w:type="pct"/>
            <w:vAlign w:val="center"/>
          </w:tcPr>
          <w:p w14:paraId="07476E88">
            <w:pPr>
              <w:adjustRightInd w:val="0"/>
              <w:snapToGrid w:val="0"/>
              <w:jc w:val="left"/>
              <w:rPr>
                <w:color w:val="000000"/>
                <w:sz w:val="24"/>
              </w:rPr>
            </w:pPr>
          </w:p>
        </w:tc>
        <w:tc>
          <w:tcPr>
            <w:tcW w:w="659" w:type="pct"/>
            <w:vAlign w:val="center"/>
          </w:tcPr>
          <w:p w14:paraId="5A67FDFE">
            <w:pPr>
              <w:adjustRightInd w:val="0"/>
              <w:snapToGrid w:val="0"/>
              <w:jc w:val="center"/>
              <w:rPr>
                <w:color w:val="000000"/>
                <w:sz w:val="24"/>
              </w:rPr>
            </w:pPr>
            <w:r>
              <w:rPr>
                <w:rFonts w:hint="eastAsia"/>
                <w:color w:val="000000"/>
                <w:sz w:val="24"/>
              </w:rPr>
              <w:t>512</w:t>
            </w:r>
          </w:p>
        </w:tc>
        <w:tc>
          <w:tcPr>
            <w:tcW w:w="735" w:type="pct"/>
            <w:vAlign w:val="center"/>
          </w:tcPr>
          <w:p w14:paraId="6287E804">
            <w:pPr>
              <w:adjustRightInd w:val="0"/>
              <w:snapToGrid w:val="0"/>
              <w:jc w:val="left"/>
              <w:rPr>
                <w:color w:val="000000"/>
                <w:sz w:val="24"/>
              </w:rPr>
            </w:pPr>
          </w:p>
        </w:tc>
        <w:tc>
          <w:tcPr>
            <w:tcW w:w="933" w:type="pct"/>
            <w:vAlign w:val="center"/>
          </w:tcPr>
          <w:p w14:paraId="12DCCD21">
            <w:pPr>
              <w:adjustRightInd w:val="0"/>
              <w:snapToGrid w:val="0"/>
              <w:jc w:val="left"/>
              <w:rPr>
                <w:color w:val="000000"/>
                <w:sz w:val="24"/>
              </w:rPr>
            </w:pPr>
          </w:p>
        </w:tc>
      </w:tr>
      <w:tr w14:paraId="6154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54D56BBD">
            <w:pPr>
              <w:adjustRightInd w:val="0"/>
              <w:snapToGrid w:val="0"/>
              <w:jc w:val="center"/>
              <w:rPr>
                <w:color w:val="000000"/>
                <w:sz w:val="24"/>
              </w:rPr>
            </w:pPr>
            <w:r>
              <w:rPr>
                <w:color w:val="000000"/>
                <w:sz w:val="24"/>
              </w:rPr>
              <w:t>2</w:t>
            </w:r>
          </w:p>
        </w:tc>
        <w:tc>
          <w:tcPr>
            <w:tcW w:w="1605" w:type="pct"/>
            <w:vAlign w:val="center"/>
          </w:tcPr>
          <w:p w14:paraId="1A930C53">
            <w:pPr>
              <w:adjustRightInd w:val="0"/>
              <w:snapToGrid w:val="0"/>
              <w:jc w:val="left"/>
              <w:rPr>
                <w:color w:val="000000"/>
                <w:sz w:val="24"/>
              </w:rPr>
            </w:pPr>
            <w:r>
              <w:rPr>
                <w:rFonts w:hint="eastAsia"/>
                <w:color w:val="000000"/>
                <w:sz w:val="24"/>
              </w:rPr>
              <w:t>监测仪器维修费</w:t>
            </w:r>
          </w:p>
        </w:tc>
        <w:tc>
          <w:tcPr>
            <w:tcW w:w="736" w:type="pct"/>
            <w:vAlign w:val="center"/>
          </w:tcPr>
          <w:p w14:paraId="164C9DC1">
            <w:pPr>
              <w:adjustRightInd w:val="0"/>
              <w:snapToGrid w:val="0"/>
              <w:jc w:val="left"/>
              <w:rPr>
                <w:color w:val="000000"/>
                <w:sz w:val="24"/>
              </w:rPr>
            </w:pPr>
          </w:p>
        </w:tc>
        <w:tc>
          <w:tcPr>
            <w:tcW w:w="659" w:type="pct"/>
            <w:vAlign w:val="center"/>
          </w:tcPr>
          <w:p w14:paraId="144CA12D">
            <w:pPr>
              <w:adjustRightInd w:val="0"/>
              <w:snapToGrid w:val="0"/>
              <w:jc w:val="center"/>
              <w:rPr>
                <w:color w:val="000000"/>
                <w:sz w:val="24"/>
              </w:rPr>
            </w:pPr>
            <w:r>
              <w:rPr>
                <w:rFonts w:hint="eastAsia"/>
                <w:color w:val="000000"/>
                <w:sz w:val="24"/>
              </w:rPr>
              <w:t>512</w:t>
            </w:r>
          </w:p>
        </w:tc>
        <w:tc>
          <w:tcPr>
            <w:tcW w:w="735" w:type="pct"/>
            <w:vAlign w:val="center"/>
          </w:tcPr>
          <w:p w14:paraId="5ACFE754">
            <w:pPr>
              <w:adjustRightInd w:val="0"/>
              <w:snapToGrid w:val="0"/>
              <w:jc w:val="left"/>
              <w:rPr>
                <w:color w:val="000000"/>
                <w:sz w:val="24"/>
              </w:rPr>
            </w:pPr>
          </w:p>
        </w:tc>
        <w:tc>
          <w:tcPr>
            <w:tcW w:w="933" w:type="pct"/>
            <w:vAlign w:val="center"/>
          </w:tcPr>
          <w:p w14:paraId="74EA7341">
            <w:pPr>
              <w:adjustRightInd w:val="0"/>
              <w:snapToGrid w:val="0"/>
              <w:jc w:val="left"/>
              <w:rPr>
                <w:color w:val="000000"/>
                <w:sz w:val="24"/>
              </w:rPr>
            </w:pPr>
          </w:p>
        </w:tc>
      </w:tr>
      <w:tr w14:paraId="4999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00EB6986">
            <w:pPr>
              <w:adjustRightInd w:val="0"/>
              <w:snapToGrid w:val="0"/>
              <w:jc w:val="center"/>
              <w:rPr>
                <w:color w:val="000000"/>
                <w:sz w:val="24"/>
              </w:rPr>
            </w:pPr>
            <w:r>
              <w:rPr>
                <w:color w:val="000000"/>
                <w:sz w:val="24"/>
              </w:rPr>
              <w:t>3</w:t>
            </w:r>
          </w:p>
        </w:tc>
        <w:tc>
          <w:tcPr>
            <w:tcW w:w="1605" w:type="pct"/>
            <w:vAlign w:val="center"/>
          </w:tcPr>
          <w:p w14:paraId="623BECEE">
            <w:pPr>
              <w:adjustRightInd w:val="0"/>
              <w:snapToGrid w:val="0"/>
              <w:jc w:val="left"/>
              <w:rPr>
                <w:color w:val="000000"/>
                <w:sz w:val="24"/>
              </w:rPr>
            </w:pPr>
            <w:r>
              <w:rPr>
                <w:color w:val="000000"/>
                <w:sz w:val="24"/>
              </w:rPr>
              <w:t>…</w:t>
            </w:r>
          </w:p>
        </w:tc>
        <w:tc>
          <w:tcPr>
            <w:tcW w:w="736" w:type="pct"/>
            <w:vAlign w:val="center"/>
          </w:tcPr>
          <w:p w14:paraId="2FFD4998">
            <w:pPr>
              <w:adjustRightInd w:val="0"/>
              <w:snapToGrid w:val="0"/>
              <w:jc w:val="left"/>
              <w:rPr>
                <w:color w:val="000000"/>
                <w:sz w:val="24"/>
              </w:rPr>
            </w:pPr>
          </w:p>
        </w:tc>
        <w:tc>
          <w:tcPr>
            <w:tcW w:w="659" w:type="pct"/>
            <w:vAlign w:val="center"/>
          </w:tcPr>
          <w:p w14:paraId="22FD1713">
            <w:pPr>
              <w:adjustRightInd w:val="0"/>
              <w:snapToGrid w:val="0"/>
              <w:jc w:val="center"/>
              <w:rPr>
                <w:color w:val="000000"/>
                <w:sz w:val="24"/>
              </w:rPr>
            </w:pPr>
          </w:p>
        </w:tc>
        <w:tc>
          <w:tcPr>
            <w:tcW w:w="735" w:type="pct"/>
            <w:vAlign w:val="center"/>
          </w:tcPr>
          <w:p w14:paraId="626AF8FC">
            <w:pPr>
              <w:adjustRightInd w:val="0"/>
              <w:snapToGrid w:val="0"/>
              <w:jc w:val="left"/>
              <w:rPr>
                <w:color w:val="000000"/>
                <w:sz w:val="24"/>
              </w:rPr>
            </w:pPr>
          </w:p>
        </w:tc>
        <w:tc>
          <w:tcPr>
            <w:tcW w:w="933" w:type="pct"/>
            <w:vAlign w:val="center"/>
          </w:tcPr>
          <w:p w14:paraId="3CDEC785">
            <w:pPr>
              <w:adjustRightInd w:val="0"/>
              <w:snapToGrid w:val="0"/>
              <w:jc w:val="left"/>
              <w:rPr>
                <w:color w:val="000000"/>
                <w:sz w:val="24"/>
              </w:rPr>
            </w:pPr>
          </w:p>
        </w:tc>
      </w:tr>
      <w:tr w14:paraId="21B3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0F082826">
            <w:pPr>
              <w:adjustRightInd w:val="0"/>
              <w:snapToGrid w:val="0"/>
              <w:jc w:val="right"/>
              <w:rPr>
                <w:color w:val="000000"/>
                <w:sz w:val="24"/>
              </w:rPr>
            </w:pPr>
            <w:r>
              <w:rPr>
                <w:b/>
                <w:color w:val="000000"/>
                <w:sz w:val="24"/>
              </w:rPr>
              <w:t>总价（元）</w:t>
            </w:r>
          </w:p>
        </w:tc>
        <w:tc>
          <w:tcPr>
            <w:tcW w:w="735" w:type="pct"/>
            <w:vAlign w:val="center"/>
          </w:tcPr>
          <w:p w14:paraId="46F8EF9A">
            <w:pPr>
              <w:adjustRightInd w:val="0"/>
              <w:snapToGrid w:val="0"/>
              <w:jc w:val="left"/>
              <w:rPr>
                <w:color w:val="000000"/>
                <w:sz w:val="24"/>
              </w:rPr>
            </w:pPr>
          </w:p>
        </w:tc>
        <w:tc>
          <w:tcPr>
            <w:tcW w:w="933" w:type="pct"/>
            <w:vAlign w:val="center"/>
          </w:tcPr>
          <w:p w14:paraId="570CD0D1">
            <w:pPr>
              <w:adjustRightInd w:val="0"/>
              <w:snapToGrid w:val="0"/>
              <w:jc w:val="left"/>
              <w:rPr>
                <w:color w:val="000000"/>
                <w:sz w:val="24"/>
              </w:rPr>
            </w:pPr>
          </w:p>
        </w:tc>
      </w:tr>
    </w:tbl>
    <w:p w14:paraId="0AFFD44C">
      <w:pPr>
        <w:tabs>
          <w:tab w:val="left" w:pos="1800"/>
          <w:tab w:val="left" w:pos="5580"/>
        </w:tabs>
        <w:rPr>
          <w:b/>
          <w:bCs/>
          <w:color w:val="000000"/>
          <w:sz w:val="24"/>
        </w:rPr>
      </w:pPr>
      <w:r>
        <w:rPr>
          <w:rFonts w:hint="eastAsia"/>
          <w:b/>
          <w:bCs/>
          <w:color w:val="000000"/>
          <w:sz w:val="24"/>
        </w:rPr>
        <w:t>03包格式：</w:t>
      </w:r>
    </w:p>
    <w:p w14:paraId="138012EC">
      <w:pPr>
        <w:tabs>
          <w:tab w:val="left" w:pos="1800"/>
          <w:tab w:val="left" w:pos="5580"/>
        </w:tabs>
        <w:rPr>
          <w:color w:val="000000"/>
          <w:sz w:val="24"/>
        </w:rPr>
      </w:pPr>
      <w:r>
        <w:rPr>
          <w:color w:val="000000"/>
          <w:sz w:val="24"/>
        </w:rPr>
        <w:t>项目编号/包号：___________ 项目名称：__________报价单位：人民币元</w:t>
      </w:r>
    </w:p>
    <w:tbl>
      <w:tblPr>
        <w:tblStyle w:val="42"/>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1721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33629AC3">
            <w:pPr>
              <w:adjustRightInd w:val="0"/>
              <w:snapToGrid w:val="0"/>
              <w:jc w:val="left"/>
              <w:rPr>
                <w:b/>
                <w:color w:val="000000"/>
                <w:sz w:val="24"/>
              </w:rPr>
            </w:pPr>
            <w:r>
              <w:rPr>
                <w:b/>
                <w:color w:val="000000"/>
                <w:sz w:val="24"/>
              </w:rPr>
              <w:t>序号</w:t>
            </w:r>
          </w:p>
        </w:tc>
        <w:tc>
          <w:tcPr>
            <w:tcW w:w="1605" w:type="pct"/>
            <w:vAlign w:val="center"/>
          </w:tcPr>
          <w:p w14:paraId="68D7F910">
            <w:pPr>
              <w:adjustRightInd w:val="0"/>
              <w:snapToGrid w:val="0"/>
              <w:jc w:val="center"/>
              <w:rPr>
                <w:b/>
                <w:color w:val="000000"/>
                <w:sz w:val="24"/>
              </w:rPr>
            </w:pPr>
            <w:r>
              <w:rPr>
                <w:b/>
                <w:color w:val="000000"/>
                <w:sz w:val="24"/>
              </w:rPr>
              <w:t>分项名称</w:t>
            </w:r>
          </w:p>
        </w:tc>
        <w:tc>
          <w:tcPr>
            <w:tcW w:w="736" w:type="pct"/>
            <w:vAlign w:val="center"/>
          </w:tcPr>
          <w:p w14:paraId="407ACCEE">
            <w:pPr>
              <w:adjustRightInd w:val="0"/>
              <w:snapToGrid w:val="0"/>
              <w:jc w:val="center"/>
              <w:rPr>
                <w:b/>
                <w:color w:val="000000"/>
                <w:sz w:val="24"/>
              </w:rPr>
            </w:pPr>
            <w:r>
              <w:rPr>
                <w:b/>
                <w:color w:val="000000"/>
                <w:sz w:val="24"/>
              </w:rPr>
              <w:t>单价（元）</w:t>
            </w:r>
          </w:p>
        </w:tc>
        <w:tc>
          <w:tcPr>
            <w:tcW w:w="659" w:type="pct"/>
            <w:vAlign w:val="center"/>
          </w:tcPr>
          <w:p w14:paraId="42149270">
            <w:pPr>
              <w:adjustRightInd w:val="0"/>
              <w:snapToGrid w:val="0"/>
              <w:jc w:val="center"/>
              <w:rPr>
                <w:b/>
                <w:color w:val="000000"/>
                <w:sz w:val="24"/>
              </w:rPr>
            </w:pPr>
            <w:r>
              <w:rPr>
                <w:b/>
                <w:color w:val="000000"/>
                <w:sz w:val="24"/>
              </w:rPr>
              <w:t>数量</w:t>
            </w:r>
          </w:p>
        </w:tc>
        <w:tc>
          <w:tcPr>
            <w:tcW w:w="735" w:type="pct"/>
            <w:vAlign w:val="center"/>
          </w:tcPr>
          <w:p w14:paraId="2A42B392">
            <w:pPr>
              <w:adjustRightInd w:val="0"/>
              <w:snapToGrid w:val="0"/>
              <w:jc w:val="center"/>
              <w:rPr>
                <w:b/>
                <w:color w:val="000000"/>
                <w:sz w:val="24"/>
              </w:rPr>
            </w:pPr>
            <w:r>
              <w:rPr>
                <w:b/>
                <w:color w:val="000000"/>
                <w:sz w:val="24"/>
              </w:rPr>
              <w:t>合价（元）</w:t>
            </w:r>
          </w:p>
        </w:tc>
        <w:tc>
          <w:tcPr>
            <w:tcW w:w="933" w:type="pct"/>
            <w:vAlign w:val="center"/>
          </w:tcPr>
          <w:p w14:paraId="5BEFBC8F">
            <w:pPr>
              <w:adjustRightInd w:val="0"/>
              <w:snapToGrid w:val="0"/>
              <w:jc w:val="center"/>
              <w:rPr>
                <w:b/>
                <w:color w:val="000000"/>
                <w:sz w:val="24"/>
              </w:rPr>
            </w:pPr>
            <w:r>
              <w:rPr>
                <w:b/>
                <w:color w:val="000000"/>
                <w:sz w:val="24"/>
              </w:rPr>
              <w:t>备注/说明</w:t>
            </w:r>
          </w:p>
        </w:tc>
      </w:tr>
      <w:tr w14:paraId="767F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7D8E854B">
            <w:pPr>
              <w:adjustRightInd w:val="0"/>
              <w:snapToGrid w:val="0"/>
              <w:jc w:val="center"/>
              <w:rPr>
                <w:color w:val="000000"/>
                <w:sz w:val="24"/>
              </w:rPr>
            </w:pPr>
            <w:r>
              <w:rPr>
                <w:color w:val="000000"/>
                <w:sz w:val="24"/>
              </w:rPr>
              <w:t>1</w:t>
            </w:r>
          </w:p>
        </w:tc>
        <w:tc>
          <w:tcPr>
            <w:tcW w:w="1605" w:type="pct"/>
            <w:vAlign w:val="center"/>
          </w:tcPr>
          <w:p w14:paraId="5F9C8E99">
            <w:pPr>
              <w:adjustRightInd w:val="0"/>
              <w:snapToGrid w:val="0"/>
              <w:jc w:val="left"/>
              <w:rPr>
                <w:color w:val="000000"/>
                <w:sz w:val="24"/>
              </w:rPr>
            </w:pPr>
            <w:r>
              <w:rPr>
                <w:rFonts w:hint="eastAsia"/>
                <w:color w:val="000000"/>
                <w:sz w:val="24"/>
              </w:rPr>
              <w:t>监测仪器维护费</w:t>
            </w:r>
          </w:p>
        </w:tc>
        <w:tc>
          <w:tcPr>
            <w:tcW w:w="736" w:type="pct"/>
            <w:vAlign w:val="center"/>
          </w:tcPr>
          <w:p w14:paraId="14176345">
            <w:pPr>
              <w:adjustRightInd w:val="0"/>
              <w:snapToGrid w:val="0"/>
              <w:jc w:val="left"/>
              <w:rPr>
                <w:color w:val="000000"/>
                <w:sz w:val="24"/>
              </w:rPr>
            </w:pPr>
          </w:p>
        </w:tc>
        <w:tc>
          <w:tcPr>
            <w:tcW w:w="659" w:type="pct"/>
            <w:vAlign w:val="center"/>
          </w:tcPr>
          <w:p w14:paraId="6047FFD1">
            <w:pPr>
              <w:adjustRightInd w:val="0"/>
              <w:snapToGrid w:val="0"/>
              <w:jc w:val="center"/>
              <w:rPr>
                <w:color w:val="000000"/>
                <w:sz w:val="24"/>
              </w:rPr>
            </w:pPr>
            <w:r>
              <w:rPr>
                <w:rFonts w:hint="eastAsia"/>
                <w:color w:val="000000"/>
                <w:sz w:val="24"/>
              </w:rPr>
              <w:t>210</w:t>
            </w:r>
          </w:p>
        </w:tc>
        <w:tc>
          <w:tcPr>
            <w:tcW w:w="735" w:type="pct"/>
            <w:vAlign w:val="center"/>
          </w:tcPr>
          <w:p w14:paraId="452DE624">
            <w:pPr>
              <w:adjustRightInd w:val="0"/>
              <w:snapToGrid w:val="0"/>
              <w:jc w:val="left"/>
              <w:rPr>
                <w:color w:val="000000"/>
                <w:sz w:val="24"/>
              </w:rPr>
            </w:pPr>
          </w:p>
        </w:tc>
        <w:tc>
          <w:tcPr>
            <w:tcW w:w="933" w:type="pct"/>
            <w:vAlign w:val="center"/>
          </w:tcPr>
          <w:p w14:paraId="0CE2DE87">
            <w:pPr>
              <w:adjustRightInd w:val="0"/>
              <w:snapToGrid w:val="0"/>
              <w:jc w:val="left"/>
              <w:rPr>
                <w:color w:val="000000"/>
                <w:sz w:val="24"/>
              </w:rPr>
            </w:pPr>
          </w:p>
        </w:tc>
      </w:tr>
      <w:tr w14:paraId="758D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1A2924B2">
            <w:pPr>
              <w:adjustRightInd w:val="0"/>
              <w:snapToGrid w:val="0"/>
              <w:jc w:val="center"/>
              <w:rPr>
                <w:color w:val="000000"/>
                <w:sz w:val="24"/>
              </w:rPr>
            </w:pPr>
            <w:r>
              <w:rPr>
                <w:color w:val="000000"/>
                <w:sz w:val="24"/>
              </w:rPr>
              <w:t>2</w:t>
            </w:r>
          </w:p>
        </w:tc>
        <w:tc>
          <w:tcPr>
            <w:tcW w:w="1605" w:type="pct"/>
            <w:vAlign w:val="center"/>
          </w:tcPr>
          <w:p w14:paraId="377173D7">
            <w:pPr>
              <w:adjustRightInd w:val="0"/>
              <w:snapToGrid w:val="0"/>
              <w:jc w:val="left"/>
              <w:rPr>
                <w:color w:val="000000"/>
                <w:sz w:val="24"/>
              </w:rPr>
            </w:pPr>
            <w:r>
              <w:rPr>
                <w:rFonts w:hint="eastAsia"/>
                <w:color w:val="000000"/>
                <w:sz w:val="24"/>
              </w:rPr>
              <w:t>监测仪器维修费</w:t>
            </w:r>
          </w:p>
        </w:tc>
        <w:tc>
          <w:tcPr>
            <w:tcW w:w="736" w:type="pct"/>
            <w:vAlign w:val="center"/>
          </w:tcPr>
          <w:p w14:paraId="1675DB45">
            <w:pPr>
              <w:adjustRightInd w:val="0"/>
              <w:snapToGrid w:val="0"/>
              <w:jc w:val="left"/>
              <w:rPr>
                <w:color w:val="000000"/>
                <w:sz w:val="24"/>
              </w:rPr>
            </w:pPr>
          </w:p>
        </w:tc>
        <w:tc>
          <w:tcPr>
            <w:tcW w:w="659" w:type="pct"/>
            <w:vAlign w:val="center"/>
          </w:tcPr>
          <w:p w14:paraId="4269A994">
            <w:pPr>
              <w:adjustRightInd w:val="0"/>
              <w:snapToGrid w:val="0"/>
              <w:jc w:val="center"/>
              <w:rPr>
                <w:color w:val="000000"/>
                <w:sz w:val="24"/>
              </w:rPr>
            </w:pPr>
            <w:r>
              <w:rPr>
                <w:rFonts w:hint="eastAsia"/>
                <w:color w:val="000000"/>
                <w:sz w:val="24"/>
              </w:rPr>
              <w:t>210</w:t>
            </w:r>
          </w:p>
        </w:tc>
        <w:tc>
          <w:tcPr>
            <w:tcW w:w="735" w:type="pct"/>
            <w:vAlign w:val="center"/>
          </w:tcPr>
          <w:p w14:paraId="6A9B5F7D">
            <w:pPr>
              <w:adjustRightInd w:val="0"/>
              <w:snapToGrid w:val="0"/>
              <w:jc w:val="left"/>
              <w:rPr>
                <w:color w:val="000000"/>
                <w:sz w:val="24"/>
              </w:rPr>
            </w:pPr>
          </w:p>
        </w:tc>
        <w:tc>
          <w:tcPr>
            <w:tcW w:w="933" w:type="pct"/>
            <w:vAlign w:val="center"/>
          </w:tcPr>
          <w:p w14:paraId="65AB3E9C">
            <w:pPr>
              <w:adjustRightInd w:val="0"/>
              <w:snapToGrid w:val="0"/>
              <w:jc w:val="left"/>
              <w:rPr>
                <w:color w:val="000000"/>
                <w:sz w:val="24"/>
              </w:rPr>
            </w:pPr>
          </w:p>
        </w:tc>
      </w:tr>
      <w:tr w14:paraId="6B8C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5EA59F24">
            <w:pPr>
              <w:adjustRightInd w:val="0"/>
              <w:snapToGrid w:val="0"/>
              <w:jc w:val="center"/>
              <w:rPr>
                <w:color w:val="000000"/>
                <w:sz w:val="24"/>
              </w:rPr>
            </w:pPr>
            <w:r>
              <w:rPr>
                <w:color w:val="000000"/>
                <w:sz w:val="24"/>
              </w:rPr>
              <w:t>3</w:t>
            </w:r>
          </w:p>
        </w:tc>
        <w:tc>
          <w:tcPr>
            <w:tcW w:w="1605" w:type="pct"/>
            <w:vAlign w:val="center"/>
          </w:tcPr>
          <w:p w14:paraId="12D71CBF">
            <w:pPr>
              <w:adjustRightInd w:val="0"/>
              <w:snapToGrid w:val="0"/>
              <w:jc w:val="left"/>
              <w:rPr>
                <w:color w:val="000000"/>
                <w:sz w:val="24"/>
              </w:rPr>
            </w:pPr>
            <w:r>
              <w:rPr>
                <w:color w:val="000000"/>
                <w:sz w:val="24"/>
              </w:rPr>
              <w:t>…</w:t>
            </w:r>
          </w:p>
        </w:tc>
        <w:tc>
          <w:tcPr>
            <w:tcW w:w="736" w:type="pct"/>
            <w:vAlign w:val="center"/>
          </w:tcPr>
          <w:p w14:paraId="617677BE">
            <w:pPr>
              <w:adjustRightInd w:val="0"/>
              <w:snapToGrid w:val="0"/>
              <w:jc w:val="left"/>
              <w:rPr>
                <w:color w:val="000000"/>
                <w:sz w:val="24"/>
              </w:rPr>
            </w:pPr>
          </w:p>
        </w:tc>
        <w:tc>
          <w:tcPr>
            <w:tcW w:w="659" w:type="pct"/>
            <w:vAlign w:val="center"/>
          </w:tcPr>
          <w:p w14:paraId="18DCA23F">
            <w:pPr>
              <w:adjustRightInd w:val="0"/>
              <w:snapToGrid w:val="0"/>
              <w:jc w:val="center"/>
              <w:rPr>
                <w:color w:val="000000"/>
                <w:sz w:val="24"/>
              </w:rPr>
            </w:pPr>
          </w:p>
        </w:tc>
        <w:tc>
          <w:tcPr>
            <w:tcW w:w="735" w:type="pct"/>
            <w:vAlign w:val="center"/>
          </w:tcPr>
          <w:p w14:paraId="634905C7">
            <w:pPr>
              <w:adjustRightInd w:val="0"/>
              <w:snapToGrid w:val="0"/>
              <w:jc w:val="left"/>
              <w:rPr>
                <w:color w:val="000000"/>
                <w:sz w:val="24"/>
              </w:rPr>
            </w:pPr>
          </w:p>
        </w:tc>
        <w:tc>
          <w:tcPr>
            <w:tcW w:w="933" w:type="pct"/>
            <w:vAlign w:val="center"/>
          </w:tcPr>
          <w:p w14:paraId="036F9AA8">
            <w:pPr>
              <w:adjustRightInd w:val="0"/>
              <w:snapToGrid w:val="0"/>
              <w:jc w:val="left"/>
              <w:rPr>
                <w:color w:val="000000"/>
                <w:sz w:val="24"/>
              </w:rPr>
            </w:pPr>
          </w:p>
        </w:tc>
      </w:tr>
      <w:tr w14:paraId="763D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167CDF7E">
            <w:pPr>
              <w:adjustRightInd w:val="0"/>
              <w:snapToGrid w:val="0"/>
              <w:jc w:val="right"/>
              <w:rPr>
                <w:color w:val="000000"/>
                <w:sz w:val="24"/>
              </w:rPr>
            </w:pPr>
            <w:r>
              <w:rPr>
                <w:b/>
                <w:color w:val="000000"/>
                <w:sz w:val="24"/>
              </w:rPr>
              <w:t>总价（元）</w:t>
            </w:r>
          </w:p>
        </w:tc>
        <w:tc>
          <w:tcPr>
            <w:tcW w:w="735" w:type="pct"/>
            <w:vAlign w:val="center"/>
          </w:tcPr>
          <w:p w14:paraId="4F96AD3A">
            <w:pPr>
              <w:adjustRightInd w:val="0"/>
              <w:snapToGrid w:val="0"/>
              <w:jc w:val="left"/>
              <w:rPr>
                <w:color w:val="000000"/>
                <w:sz w:val="24"/>
              </w:rPr>
            </w:pPr>
          </w:p>
        </w:tc>
        <w:tc>
          <w:tcPr>
            <w:tcW w:w="933" w:type="pct"/>
            <w:vAlign w:val="center"/>
          </w:tcPr>
          <w:p w14:paraId="62807CB5">
            <w:pPr>
              <w:adjustRightInd w:val="0"/>
              <w:snapToGrid w:val="0"/>
              <w:jc w:val="left"/>
              <w:rPr>
                <w:color w:val="000000"/>
                <w:sz w:val="24"/>
              </w:rPr>
            </w:pPr>
          </w:p>
        </w:tc>
      </w:tr>
    </w:tbl>
    <w:p w14:paraId="2347EDA0">
      <w:pPr>
        <w:tabs>
          <w:tab w:val="left" w:pos="1800"/>
          <w:tab w:val="left" w:pos="5580"/>
        </w:tabs>
        <w:jc w:val="left"/>
        <w:rPr>
          <w:color w:val="000000"/>
          <w:sz w:val="24"/>
        </w:rPr>
      </w:pPr>
    </w:p>
    <w:p w14:paraId="1973EA45">
      <w:pPr>
        <w:tabs>
          <w:tab w:val="left" w:pos="1800"/>
          <w:tab w:val="left" w:pos="5580"/>
        </w:tabs>
        <w:rPr>
          <w:b/>
          <w:bCs/>
          <w:color w:val="000000"/>
          <w:sz w:val="24"/>
        </w:rPr>
      </w:pPr>
      <w:r>
        <w:rPr>
          <w:rFonts w:hint="eastAsia"/>
          <w:b/>
          <w:bCs/>
          <w:color w:val="000000"/>
          <w:sz w:val="24"/>
        </w:rPr>
        <w:t>04包~08包格式：</w:t>
      </w:r>
    </w:p>
    <w:tbl>
      <w:tblPr>
        <w:tblStyle w:val="42"/>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32DE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0EEF1610">
            <w:pPr>
              <w:adjustRightInd w:val="0"/>
              <w:snapToGrid w:val="0"/>
              <w:jc w:val="left"/>
              <w:rPr>
                <w:b/>
                <w:color w:val="000000"/>
                <w:sz w:val="24"/>
              </w:rPr>
            </w:pPr>
            <w:r>
              <w:rPr>
                <w:b/>
                <w:color w:val="000000"/>
                <w:sz w:val="24"/>
              </w:rPr>
              <w:t>序号</w:t>
            </w:r>
          </w:p>
        </w:tc>
        <w:tc>
          <w:tcPr>
            <w:tcW w:w="1605" w:type="pct"/>
            <w:vAlign w:val="center"/>
          </w:tcPr>
          <w:p w14:paraId="052E11BF">
            <w:pPr>
              <w:adjustRightInd w:val="0"/>
              <w:snapToGrid w:val="0"/>
              <w:jc w:val="center"/>
              <w:rPr>
                <w:b/>
                <w:color w:val="000000"/>
                <w:sz w:val="24"/>
              </w:rPr>
            </w:pPr>
            <w:r>
              <w:rPr>
                <w:b/>
                <w:color w:val="000000"/>
                <w:sz w:val="24"/>
              </w:rPr>
              <w:t>分项名称</w:t>
            </w:r>
          </w:p>
        </w:tc>
        <w:tc>
          <w:tcPr>
            <w:tcW w:w="736" w:type="pct"/>
            <w:vAlign w:val="center"/>
          </w:tcPr>
          <w:p w14:paraId="536B8D20">
            <w:pPr>
              <w:adjustRightInd w:val="0"/>
              <w:snapToGrid w:val="0"/>
              <w:jc w:val="center"/>
              <w:rPr>
                <w:b/>
                <w:color w:val="000000"/>
                <w:sz w:val="24"/>
              </w:rPr>
            </w:pPr>
            <w:r>
              <w:rPr>
                <w:b/>
                <w:color w:val="000000"/>
                <w:sz w:val="24"/>
              </w:rPr>
              <w:t>单价（元）</w:t>
            </w:r>
          </w:p>
        </w:tc>
        <w:tc>
          <w:tcPr>
            <w:tcW w:w="659" w:type="pct"/>
            <w:vAlign w:val="center"/>
          </w:tcPr>
          <w:p w14:paraId="6011DC11">
            <w:pPr>
              <w:adjustRightInd w:val="0"/>
              <w:snapToGrid w:val="0"/>
              <w:jc w:val="center"/>
              <w:rPr>
                <w:b/>
                <w:color w:val="000000"/>
                <w:sz w:val="24"/>
              </w:rPr>
            </w:pPr>
            <w:r>
              <w:rPr>
                <w:b/>
                <w:color w:val="000000"/>
                <w:sz w:val="24"/>
              </w:rPr>
              <w:t>数量</w:t>
            </w:r>
          </w:p>
        </w:tc>
        <w:tc>
          <w:tcPr>
            <w:tcW w:w="735" w:type="pct"/>
            <w:vAlign w:val="center"/>
          </w:tcPr>
          <w:p w14:paraId="2834510B">
            <w:pPr>
              <w:adjustRightInd w:val="0"/>
              <w:snapToGrid w:val="0"/>
              <w:jc w:val="center"/>
              <w:rPr>
                <w:b/>
                <w:color w:val="000000"/>
                <w:sz w:val="24"/>
              </w:rPr>
            </w:pPr>
            <w:r>
              <w:rPr>
                <w:b/>
                <w:color w:val="000000"/>
                <w:sz w:val="24"/>
              </w:rPr>
              <w:t>合价（元）</w:t>
            </w:r>
          </w:p>
        </w:tc>
        <w:tc>
          <w:tcPr>
            <w:tcW w:w="933" w:type="pct"/>
            <w:vAlign w:val="center"/>
          </w:tcPr>
          <w:p w14:paraId="7A15D6CE">
            <w:pPr>
              <w:adjustRightInd w:val="0"/>
              <w:snapToGrid w:val="0"/>
              <w:jc w:val="center"/>
              <w:rPr>
                <w:b/>
                <w:color w:val="000000"/>
                <w:sz w:val="24"/>
              </w:rPr>
            </w:pPr>
            <w:r>
              <w:rPr>
                <w:b/>
                <w:color w:val="000000"/>
                <w:sz w:val="24"/>
              </w:rPr>
              <w:t>备注/说明</w:t>
            </w:r>
          </w:p>
        </w:tc>
      </w:tr>
      <w:tr w14:paraId="7B5F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1DB1E30B">
            <w:pPr>
              <w:adjustRightInd w:val="0"/>
              <w:snapToGrid w:val="0"/>
              <w:jc w:val="center"/>
              <w:rPr>
                <w:color w:val="000000"/>
                <w:sz w:val="24"/>
              </w:rPr>
            </w:pPr>
            <w:r>
              <w:rPr>
                <w:color w:val="000000"/>
                <w:sz w:val="24"/>
              </w:rPr>
              <w:t>1</w:t>
            </w:r>
          </w:p>
        </w:tc>
        <w:tc>
          <w:tcPr>
            <w:tcW w:w="1605" w:type="pct"/>
            <w:vAlign w:val="center"/>
          </w:tcPr>
          <w:p w14:paraId="4C5FF02B">
            <w:pPr>
              <w:adjustRightInd w:val="0"/>
              <w:snapToGrid w:val="0"/>
              <w:jc w:val="left"/>
              <w:rPr>
                <w:color w:val="000000"/>
                <w:sz w:val="24"/>
              </w:rPr>
            </w:pPr>
          </w:p>
        </w:tc>
        <w:tc>
          <w:tcPr>
            <w:tcW w:w="736" w:type="pct"/>
            <w:vAlign w:val="center"/>
          </w:tcPr>
          <w:p w14:paraId="178D6CED">
            <w:pPr>
              <w:adjustRightInd w:val="0"/>
              <w:snapToGrid w:val="0"/>
              <w:jc w:val="left"/>
              <w:rPr>
                <w:color w:val="000000"/>
                <w:sz w:val="24"/>
              </w:rPr>
            </w:pPr>
          </w:p>
        </w:tc>
        <w:tc>
          <w:tcPr>
            <w:tcW w:w="659" w:type="pct"/>
            <w:vAlign w:val="center"/>
          </w:tcPr>
          <w:p w14:paraId="279888A1">
            <w:pPr>
              <w:adjustRightInd w:val="0"/>
              <w:snapToGrid w:val="0"/>
              <w:jc w:val="center"/>
              <w:rPr>
                <w:color w:val="000000"/>
                <w:sz w:val="24"/>
              </w:rPr>
            </w:pPr>
          </w:p>
        </w:tc>
        <w:tc>
          <w:tcPr>
            <w:tcW w:w="735" w:type="pct"/>
            <w:vAlign w:val="center"/>
          </w:tcPr>
          <w:p w14:paraId="21BE5BBC">
            <w:pPr>
              <w:adjustRightInd w:val="0"/>
              <w:snapToGrid w:val="0"/>
              <w:jc w:val="left"/>
              <w:rPr>
                <w:color w:val="000000"/>
                <w:sz w:val="24"/>
              </w:rPr>
            </w:pPr>
          </w:p>
        </w:tc>
        <w:tc>
          <w:tcPr>
            <w:tcW w:w="933" w:type="pct"/>
            <w:vAlign w:val="center"/>
          </w:tcPr>
          <w:p w14:paraId="1ED20D92">
            <w:pPr>
              <w:adjustRightInd w:val="0"/>
              <w:snapToGrid w:val="0"/>
              <w:jc w:val="left"/>
              <w:rPr>
                <w:color w:val="000000"/>
                <w:sz w:val="24"/>
              </w:rPr>
            </w:pPr>
          </w:p>
        </w:tc>
      </w:tr>
      <w:tr w14:paraId="0B83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14B73566">
            <w:pPr>
              <w:adjustRightInd w:val="0"/>
              <w:snapToGrid w:val="0"/>
              <w:jc w:val="center"/>
              <w:rPr>
                <w:color w:val="000000"/>
                <w:sz w:val="24"/>
              </w:rPr>
            </w:pPr>
            <w:r>
              <w:rPr>
                <w:color w:val="000000"/>
                <w:sz w:val="24"/>
              </w:rPr>
              <w:t>2</w:t>
            </w:r>
          </w:p>
        </w:tc>
        <w:tc>
          <w:tcPr>
            <w:tcW w:w="1605" w:type="pct"/>
            <w:vAlign w:val="center"/>
          </w:tcPr>
          <w:p w14:paraId="538858CE">
            <w:pPr>
              <w:adjustRightInd w:val="0"/>
              <w:snapToGrid w:val="0"/>
              <w:jc w:val="left"/>
              <w:rPr>
                <w:color w:val="000000"/>
                <w:sz w:val="24"/>
              </w:rPr>
            </w:pPr>
          </w:p>
        </w:tc>
        <w:tc>
          <w:tcPr>
            <w:tcW w:w="736" w:type="pct"/>
            <w:vAlign w:val="center"/>
          </w:tcPr>
          <w:p w14:paraId="30C3AD01">
            <w:pPr>
              <w:adjustRightInd w:val="0"/>
              <w:snapToGrid w:val="0"/>
              <w:jc w:val="left"/>
              <w:rPr>
                <w:color w:val="000000"/>
                <w:sz w:val="24"/>
              </w:rPr>
            </w:pPr>
          </w:p>
        </w:tc>
        <w:tc>
          <w:tcPr>
            <w:tcW w:w="659" w:type="pct"/>
            <w:vAlign w:val="center"/>
          </w:tcPr>
          <w:p w14:paraId="5DD0D4DB">
            <w:pPr>
              <w:adjustRightInd w:val="0"/>
              <w:snapToGrid w:val="0"/>
              <w:jc w:val="center"/>
              <w:rPr>
                <w:color w:val="000000"/>
                <w:sz w:val="24"/>
              </w:rPr>
            </w:pPr>
          </w:p>
        </w:tc>
        <w:tc>
          <w:tcPr>
            <w:tcW w:w="735" w:type="pct"/>
            <w:vAlign w:val="center"/>
          </w:tcPr>
          <w:p w14:paraId="2F82B911">
            <w:pPr>
              <w:adjustRightInd w:val="0"/>
              <w:snapToGrid w:val="0"/>
              <w:jc w:val="left"/>
              <w:rPr>
                <w:color w:val="000000"/>
                <w:sz w:val="24"/>
              </w:rPr>
            </w:pPr>
          </w:p>
        </w:tc>
        <w:tc>
          <w:tcPr>
            <w:tcW w:w="933" w:type="pct"/>
            <w:vAlign w:val="center"/>
          </w:tcPr>
          <w:p w14:paraId="45027D0B">
            <w:pPr>
              <w:adjustRightInd w:val="0"/>
              <w:snapToGrid w:val="0"/>
              <w:jc w:val="left"/>
              <w:rPr>
                <w:color w:val="000000"/>
                <w:sz w:val="24"/>
              </w:rPr>
            </w:pPr>
          </w:p>
        </w:tc>
      </w:tr>
      <w:tr w14:paraId="3346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5F48C2BF">
            <w:pPr>
              <w:adjustRightInd w:val="0"/>
              <w:snapToGrid w:val="0"/>
              <w:jc w:val="center"/>
              <w:rPr>
                <w:color w:val="000000"/>
                <w:sz w:val="24"/>
              </w:rPr>
            </w:pPr>
            <w:r>
              <w:rPr>
                <w:color w:val="000000"/>
                <w:sz w:val="24"/>
              </w:rPr>
              <w:t>3</w:t>
            </w:r>
          </w:p>
        </w:tc>
        <w:tc>
          <w:tcPr>
            <w:tcW w:w="1605" w:type="pct"/>
            <w:vAlign w:val="center"/>
          </w:tcPr>
          <w:p w14:paraId="05641193">
            <w:pPr>
              <w:adjustRightInd w:val="0"/>
              <w:snapToGrid w:val="0"/>
              <w:jc w:val="left"/>
              <w:rPr>
                <w:color w:val="000000"/>
                <w:sz w:val="24"/>
              </w:rPr>
            </w:pPr>
            <w:r>
              <w:rPr>
                <w:color w:val="000000"/>
                <w:sz w:val="24"/>
              </w:rPr>
              <w:t>…</w:t>
            </w:r>
          </w:p>
        </w:tc>
        <w:tc>
          <w:tcPr>
            <w:tcW w:w="736" w:type="pct"/>
            <w:vAlign w:val="center"/>
          </w:tcPr>
          <w:p w14:paraId="6B02F55D">
            <w:pPr>
              <w:adjustRightInd w:val="0"/>
              <w:snapToGrid w:val="0"/>
              <w:jc w:val="left"/>
              <w:rPr>
                <w:color w:val="000000"/>
                <w:sz w:val="24"/>
              </w:rPr>
            </w:pPr>
          </w:p>
        </w:tc>
        <w:tc>
          <w:tcPr>
            <w:tcW w:w="659" w:type="pct"/>
            <w:vAlign w:val="center"/>
          </w:tcPr>
          <w:p w14:paraId="6B8BDD21">
            <w:pPr>
              <w:adjustRightInd w:val="0"/>
              <w:snapToGrid w:val="0"/>
              <w:jc w:val="center"/>
              <w:rPr>
                <w:color w:val="000000"/>
                <w:sz w:val="24"/>
              </w:rPr>
            </w:pPr>
          </w:p>
        </w:tc>
        <w:tc>
          <w:tcPr>
            <w:tcW w:w="735" w:type="pct"/>
            <w:vAlign w:val="center"/>
          </w:tcPr>
          <w:p w14:paraId="6FAF2E00">
            <w:pPr>
              <w:adjustRightInd w:val="0"/>
              <w:snapToGrid w:val="0"/>
              <w:jc w:val="left"/>
              <w:rPr>
                <w:color w:val="000000"/>
                <w:sz w:val="24"/>
              </w:rPr>
            </w:pPr>
          </w:p>
        </w:tc>
        <w:tc>
          <w:tcPr>
            <w:tcW w:w="933" w:type="pct"/>
            <w:vAlign w:val="center"/>
          </w:tcPr>
          <w:p w14:paraId="2E84AF4F">
            <w:pPr>
              <w:adjustRightInd w:val="0"/>
              <w:snapToGrid w:val="0"/>
              <w:jc w:val="left"/>
              <w:rPr>
                <w:color w:val="000000"/>
                <w:sz w:val="24"/>
              </w:rPr>
            </w:pPr>
          </w:p>
        </w:tc>
      </w:tr>
      <w:tr w14:paraId="713F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2A0CD1A2">
            <w:pPr>
              <w:adjustRightInd w:val="0"/>
              <w:snapToGrid w:val="0"/>
              <w:jc w:val="right"/>
              <w:rPr>
                <w:color w:val="000000"/>
                <w:sz w:val="24"/>
              </w:rPr>
            </w:pPr>
            <w:r>
              <w:rPr>
                <w:b/>
                <w:color w:val="000000"/>
                <w:sz w:val="24"/>
              </w:rPr>
              <w:t>总价（元）</w:t>
            </w:r>
          </w:p>
        </w:tc>
        <w:tc>
          <w:tcPr>
            <w:tcW w:w="735" w:type="pct"/>
            <w:vAlign w:val="center"/>
          </w:tcPr>
          <w:p w14:paraId="48D301DA">
            <w:pPr>
              <w:adjustRightInd w:val="0"/>
              <w:snapToGrid w:val="0"/>
              <w:jc w:val="left"/>
              <w:rPr>
                <w:color w:val="000000"/>
                <w:sz w:val="24"/>
              </w:rPr>
            </w:pPr>
          </w:p>
        </w:tc>
        <w:tc>
          <w:tcPr>
            <w:tcW w:w="933" w:type="pct"/>
            <w:vAlign w:val="center"/>
          </w:tcPr>
          <w:p w14:paraId="61FAE568">
            <w:pPr>
              <w:adjustRightInd w:val="0"/>
              <w:snapToGrid w:val="0"/>
              <w:jc w:val="left"/>
              <w:rPr>
                <w:color w:val="000000"/>
                <w:sz w:val="24"/>
              </w:rPr>
            </w:pPr>
          </w:p>
        </w:tc>
      </w:tr>
    </w:tbl>
    <w:p w14:paraId="30C84805">
      <w:pPr>
        <w:tabs>
          <w:tab w:val="left" w:pos="1800"/>
          <w:tab w:val="left" w:pos="5580"/>
        </w:tabs>
        <w:jc w:val="left"/>
        <w:rPr>
          <w:color w:val="000000"/>
          <w:sz w:val="24"/>
        </w:rPr>
      </w:pPr>
    </w:p>
    <w:p w14:paraId="0E7FC70E">
      <w:pPr>
        <w:tabs>
          <w:tab w:val="left" w:pos="1800"/>
          <w:tab w:val="left" w:pos="5580"/>
        </w:tabs>
        <w:jc w:val="left"/>
        <w:rPr>
          <w:color w:val="000000"/>
          <w:sz w:val="24"/>
        </w:rPr>
      </w:pPr>
    </w:p>
    <w:p w14:paraId="57041264">
      <w:pPr>
        <w:tabs>
          <w:tab w:val="left" w:pos="1800"/>
          <w:tab w:val="left" w:pos="5580"/>
        </w:tabs>
        <w:jc w:val="left"/>
        <w:rPr>
          <w:color w:val="000000"/>
          <w:sz w:val="24"/>
        </w:rPr>
      </w:pPr>
    </w:p>
    <w:p w14:paraId="524269E8">
      <w:pPr>
        <w:tabs>
          <w:tab w:val="left" w:pos="1800"/>
          <w:tab w:val="left" w:pos="5580"/>
        </w:tabs>
        <w:jc w:val="left"/>
        <w:rPr>
          <w:color w:val="000000"/>
          <w:sz w:val="24"/>
        </w:rPr>
      </w:pPr>
      <w:r>
        <w:rPr>
          <w:color w:val="000000"/>
          <w:sz w:val="24"/>
        </w:rPr>
        <w:t>注：1.本表应按包分别填写。</w:t>
      </w:r>
    </w:p>
    <w:p w14:paraId="58E5D27B">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03C8936D">
      <w:pPr>
        <w:tabs>
          <w:tab w:val="left" w:pos="1800"/>
          <w:tab w:val="left" w:pos="5580"/>
        </w:tabs>
        <w:ind w:firstLine="480" w:firstLineChars="200"/>
        <w:jc w:val="left"/>
        <w:rPr>
          <w:color w:val="000000"/>
          <w:sz w:val="24"/>
        </w:rPr>
      </w:pPr>
      <w:r>
        <w:rPr>
          <w:color w:val="000000"/>
          <w:sz w:val="24"/>
        </w:rPr>
        <w:t>3.上述各项的详细规格（如有），可另页描述。</w:t>
      </w:r>
    </w:p>
    <w:p w14:paraId="40CC6ECD">
      <w:pPr>
        <w:tabs>
          <w:tab w:val="left" w:pos="1800"/>
          <w:tab w:val="left" w:pos="5580"/>
        </w:tabs>
        <w:ind w:firstLine="482" w:firstLineChars="200"/>
        <w:jc w:val="left"/>
        <w:rPr>
          <w:b/>
          <w:bCs/>
          <w:color w:val="000000"/>
          <w:sz w:val="24"/>
        </w:rPr>
      </w:pPr>
      <w:r>
        <w:rPr>
          <w:rFonts w:hint="eastAsia"/>
          <w:b/>
          <w:bCs/>
          <w:color w:val="000000"/>
          <w:sz w:val="24"/>
        </w:rPr>
        <w:t>4.01包~03包分项必须包括“监测仪器维护费”和“监测仪器维修费”，且各投标单位的“监测仪器维护费”和“监测仪器维修费”均不得超过各包“监测仪器维护费”和“监测仪器维修费”的最高限价。</w:t>
      </w:r>
    </w:p>
    <w:p w14:paraId="7DC37CC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F968AA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5D51F086">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B8525F0">
      <w:pPr>
        <w:numPr>
          <w:ilvl w:val="0"/>
          <w:numId w:val="50"/>
        </w:numPr>
        <w:tabs>
          <w:tab w:val="left" w:pos="360"/>
        </w:tabs>
        <w:snapToGrid w:val="0"/>
        <w:spacing w:line="360" w:lineRule="auto"/>
        <w:outlineLvl w:val="1"/>
        <w:rPr>
          <w:color w:val="000000"/>
          <w:sz w:val="24"/>
          <w:szCs w:val="20"/>
        </w:rPr>
      </w:pPr>
      <w:bookmarkStart w:id="952" w:name="_Toc305158830"/>
      <w:bookmarkStart w:id="953" w:name="_Toc127151562"/>
      <w:bookmarkStart w:id="954" w:name="_Toc226337258"/>
      <w:bookmarkStart w:id="955" w:name="_Toc265228400"/>
      <w:bookmarkStart w:id="956" w:name="_Toc142311062"/>
      <w:bookmarkStart w:id="957" w:name="_Toc264969252"/>
      <w:bookmarkStart w:id="958" w:name="_Toc195842927"/>
      <w:bookmarkStart w:id="959" w:name="_Toc226965752"/>
      <w:bookmarkStart w:id="960" w:name="_Toc150774765"/>
      <w:bookmarkStart w:id="961" w:name="_Toc150480798"/>
      <w:bookmarkStart w:id="962" w:name="_Toc226965835"/>
      <w:bookmarkStart w:id="963" w:name="_Toc305158904"/>
      <w:bookmarkStart w:id="964" w:name="_Toc226309806"/>
      <w:bookmarkStart w:id="965" w:name="_Toc226965751"/>
      <w:bookmarkStart w:id="966" w:name="_Toc305158829"/>
      <w:bookmarkStart w:id="967" w:name="_Toc195842926"/>
      <w:bookmarkStart w:id="968" w:name="_Toc127151561"/>
      <w:bookmarkStart w:id="969" w:name="_Toc142311061"/>
      <w:bookmarkStart w:id="970" w:name="_Toc150774764"/>
      <w:bookmarkStart w:id="971" w:name="_Toc226965834"/>
      <w:bookmarkStart w:id="972" w:name="_Toc265228399"/>
      <w:bookmarkStart w:id="973" w:name="_Toc264969251"/>
      <w:bookmarkStart w:id="974" w:name="_Toc305158903"/>
      <w:bookmarkStart w:id="975" w:name="_Toc226309805"/>
      <w:bookmarkStart w:id="976" w:name="_Toc226337257"/>
      <w:bookmarkStart w:id="977" w:name="_Toc150480797"/>
      <w:r>
        <w:rPr>
          <w:color w:val="000000"/>
          <w:sz w:val="24"/>
          <w:szCs w:val="20"/>
        </w:rPr>
        <w:br w:type="page"/>
      </w:r>
      <w:r>
        <w:rPr>
          <w:color w:val="000000"/>
          <w:sz w:val="24"/>
          <w:szCs w:val="20"/>
        </w:rPr>
        <w:t>合同条款偏离表</w:t>
      </w:r>
      <w:bookmarkEnd w:id="952"/>
      <w:bookmarkEnd w:id="953"/>
      <w:bookmarkEnd w:id="954"/>
      <w:bookmarkEnd w:id="955"/>
      <w:bookmarkEnd w:id="956"/>
      <w:bookmarkEnd w:id="957"/>
      <w:bookmarkEnd w:id="958"/>
      <w:bookmarkEnd w:id="959"/>
      <w:bookmarkEnd w:id="960"/>
      <w:bookmarkEnd w:id="961"/>
      <w:bookmarkEnd w:id="962"/>
      <w:bookmarkEnd w:id="963"/>
      <w:bookmarkEnd w:id="964"/>
      <w:r>
        <w:rPr>
          <w:color w:val="000000"/>
          <w:sz w:val="24"/>
          <w:szCs w:val="20"/>
        </w:rPr>
        <w:t>（实质性格式）</w:t>
      </w:r>
    </w:p>
    <w:p w14:paraId="2E0D3930">
      <w:pPr>
        <w:spacing w:line="360" w:lineRule="auto"/>
        <w:rPr>
          <w:color w:val="000000"/>
          <w:sz w:val="24"/>
          <w:szCs w:val="20"/>
        </w:rPr>
      </w:pPr>
    </w:p>
    <w:p w14:paraId="4C57A77A">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59C0C045">
      <w:pPr>
        <w:spacing w:line="360" w:lineRule="auto"/>
        <w:rPr>
          <w:color w:val="000000"/>
          <w:sz w:val="24"/>
          <w:szCs w:val="20"/>
        </w:rPr>
      </w:pPr>
    </w:p>
    <w:p w14:paraId="529D05CF">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793C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CF4C1DE">
            <w:pPr>
              <w:adjustRightInd w:val="0"/>
              <w:snapToGrid w:val="0"/>
              <w:jc w:val="center"/>
              <w:rPr>
                <w:color w:val="000000"/>
                <w:sz w:val="24"/>
              </w:rPr>
            </w:pPr>
            <w:bookmarkStart w:id="978" w:name="_Hlk144279231"/>
            <w:r>
              <w:rPr>
                <w:color w:val="000000"/>
                <w:sz w:val="24"/>
              </w:rPr>
              <w:t>序号</w:t>
            </w:r>
          </w:p>
        </w:tc>
        <w:tc>
          <w:tcPr>
            <w:tcW w:w="1646" w:type="dxa"/>
            <w:vAlign w:val="center"/>
          </w:tcPr>
          <w:p w14:paraId="04BE6287">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16D698B5">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41AD0C0E">
            <w:pPr>
              <w:adjustRightInd w:val="0"/>
              <w:snapToGrid w:val="0"/>
              <w:jc w:val="center"/>
              <w:rPr>
                <w:color w:val="000000"/>
                <w:sz w:val="24"/>
              </w:rPr>
            </w:pPr>
            <w:r>
              <w:rPr>
                <w:color w:val="000000"/>
                <w:sz w:val="24"/>
              </w:rPr>
              <w:t>投标文件内容</w:t>
            </w:r>
          </w:p>
        </w:tc>
        <w:tc>
          <w:tcPr>
            <w:tcW w:w="1925" w:type="dxa"/>
            <w:vAlign w:val="center"/>
          </w:tcPr>
          <w:p w14:paraId="26B446AF">
            <w:pPr>
              <w:adjustRightInd w:val="0"/>
              <w:snapToGrid w:val="0"/>
              <w:jc w:val="center"/>
              <w:rPr>
                <w:color w:val="000000"/>
                <w:sz w:val="24"/>
              </w:rPr>
            </w:pPr>
            <w:r>
              <w:rPr>
                <w:color w:val="000000"/>
                <w:sz w:val="24"/>
              </w:rPr>
              <w:t>偏离情况</w:t>
            </w:r>
          </w:p>
        </w:tc>
        <w:tc>
          <w:tcPr>
            <w:tcW w:w="1045" w:type="dxa"/>
            <w:vAlign w:val="center"/>
          </w:tcPr>
          <w:p w14:paraId="6D0879FE">
            <w:pPr>
              <w:adjustRightInd w:val="0"/>
              <w:snapToGrid w:val="0"/>
              <w:jc w:val="center"/>
              <w:rPr>
                <w:color w:val="000000"/>
                <w:sz w:val="24"/>
              </w:rPr>
            </w:pPr>
            <w:r>
              <w:rPr>
                <w:color w:val="000000"/>
                <w:sz w:val="24"/>
              </w:rPr>
              <w:t>说明</w:t>
            </w:r>
          </w:p>
        </w:tc>
      </w:tr>
      <w:tr w14:paraId="5F58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3E87800">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78506E8A">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40AD9C78">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41D2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FCC639E">
            <w:pPr>
              <w:adjustRightInd w:val="0"/>
              <w:snapToGrid w:val="0"/>
              <w:jc w:val="center"/>
              <w:rPr>
                <w:color w:val="000000"/>
                <w:sz w:val="24"/>
              </w:rPr>
            </w:pPr>
          </w:p>
        </w:tc>
        <w:tc>
          <w:tcPr>
            <w:tcW w:w="1646" w:type="dxa"/>
            <w:vAlign w:val="center"/>
          </w:tcPr>
          <w:p w14:paraId="3F168FC5">
            <w:pPr>
              <w:adjustRightInd w:val="0"/>
              <w:snapToGrid w:val="0"/>
              <w:jc w:val="center"/>
              <w:rPr>
                <w:color w:val="000000"/>
                <w:sz w:val="24"/>
              </w:rPr>
            </w:pPr>
          </w:p>
        </w:tc>
        <w:tc>
          <w:tcPr>
            <w:tcW w:w="1688" w:type="dxa"/>
            <w:vAlign w:val="center"/>
          </w:tcPr>
          <w:p w14:paraId="5F965D91">
            <w:pPr>
              <w:adjustRightInd w:val="0"/>
              <w:snapToGrid w:val="0"/>
              <w:jc w:val="center"/>
              <w:rPr>
                <w:color w:val="000000"/>
                <w:sz w:val="24"/>
              </w:rPr>
            </w:pPr>
          </w:p>
        </w:tc>
        <w:tc>
          <w:tcPr>
            <w:tcW w:w="1688" w:type="dxa"/>
            <w:vAlign w:val="center"/>
          </w:tcPr>
          <w:p w14:paraId="26907E2F">
            <w:pPr>
              <w:adjustRightInd w:val="0"/>
              <w:snapToGrid w:val="0"/>
              <w:jc w:val="center"/>
              <w:rPr>
                <w:color w:val="000000"/>
                <w:sz w:val="24"/>
              </w:rPr>
            </w:pPr>
          </w:p>
        </w:tc>
        <w:tc>
          <w:tcPr>
            <w:tcW w:w="1925" w:type="dxa"/>
            <w:vAlign w:val="center"/>
          </w:tcPr>
          <w:p w14:paraId="1045AA3E">
            <w:pPr>
              <w:adjustRightInd w:val="0"/>
              <w:snapToGrid w:val="0"/>
              <w:jc w:val="center"/>
              <w:rPr>
                <w:color w:val="000000"/>
                <w:sz w:val="24"/>
              </w:rPr>
            </w:pPr>
          </w:p>
        </w:tc>
        <w:tc>
          <w:tcPr>
            <w:tcW w:w="1045" w:type="dxa"/>
            <w:vAlign w:val="center"/>
          </w:tcPr>
          <w:p w14:paraId="5BA0C5D8">
            <w:pPr>
              <w:adjustRightInd w:val="0"/>
              <w:snapToGrid w:val="0"/>
              <w:jc w:val="center"/>
              <w:rPr>
                <w:color w:val="000000"/>
                <w:sz w:val="24"/>
              </w:rPr>
            </w:pPr>
          </w:p>
        </w:tc>
      </w:tr>
      <w:tr w14:paraId="5FBD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E3F9058">
            <w:pPr>
              <w:adjustRightInd w:val="0"/>
              <w:snapToGrid w:val="0"/>
              <w:jc w:val="center"/>
              <w:rPr>
                <w:color w:val="000000"/>
                <w:sz w:val="24"/>
              </w:rPr>
            </w:pPr>
          </w:p>
        </w:tc>
        <w:tc>
          <w:tcPr>
            <w:tcW w:w="1646" w:type="dxa"/>
            <w:vAlign w:val="center"/>
          </w:tcPr>
          <w:p w14:paraId="77916B6A">
            <w:pPr>
              <w:adjustRightInd w:val="0"/>
              <w:snapToGrid w:val="0"/>
              <w:jc w:val="center"/>
              <w:rPr>
                <w:color w:val="000000"/>
                <w:sz w:val="24"/>
              </w:rPr>
            </w:pPr>
          </w:p>
        </w:tc>
        <w:tc>
          <w:tcPr>
            <w:tcW w:w="1688" w:type="dxa"/>
            <w:vAlign w:val="center"/>
          </w:tcPr>
          <w:p w14:paraId="20D2AD7B">
            <w:pPr>
              <w:adjustRightInd w:val="0"/>
              <w:snapToGrid w:val="0"/>
              <w:jc w:val="center"/>
              <w:rPr>
                <w:color w:val="000000"/>
                <w:sz w:val="24"/>
              </w:rPr>
            </w:pPr>
          </w:p>
        </w:tc>
        <w:tc>
          <w:tcPr>
            <w:tcW w:w="1688" w:type="dxa"/>
            <w:vAlign w:val="center"/>
          </w:tcPr>
          <w:p w14:paraId="4D5617C8">
            <w:pPr>
              <w:adjustRightInd w:val="0"/>
              <w:snapToGrid w:val="0"/>
              <w:jc w:val="center"/>
              <w:rPr>
                <w:color w:val="000000"/>
                <w:sz w:val="24"/>
              </w:rPr>
            </w:pPr>
          </w:p>
        </w:tc>
        <w:tc>
          <w:tcPr>
            <w:tcW w:w="1925" w:type="dxa"/>
            <w:vAlign w:val="center"/>
          </w:tcPr>
          <w:p w14:paraId="7ADB3429">
            <w:pPr>
              <w:adjustRightInd w:val="0"/>
              <w:snapToGrid w:val="0"/>
              <w:jc w:val="center"/>
              <w:rPr>
                <w:color w:val="000000"/>
                <w:sz w:val="24"/>
              </w:rPr>
            </w:pPr>
          </w:p>
        </w:tc>
        <w:tc>
          <w:tcPr>
            <w:tcW w:w="1045" w:type="dxa"/>
            <w:vAlign w:val="center"/>
          </w:tcPr>
          <w:p w14:paraId="466D074C">
            <w:pPr>
              <w:adjustRightInd w:val="0"/>
              <w:snapToGrid w:val="0"/>
              <w:jc w:val="center"/>
              <w:rPr>
                <w:color w:val="000000"/>
                <w:sz w:val="24"/>
              </w:rPr>
            </w:pPr>
          </w:p>
        </w:tc>
      </w:tr>
      <w:tr w14:paraId="6B55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11381900">
            <w:pPr>
              <w:adjustRightInd w:val="0"/>
              <w:snapToGrid w:val="0"/>
              <w:jc w:val="center"/>
              <w:rPr>
                <w:color w:val="000000"/>
                <w:sz w:val="24"/>
              </w:rPr>
            </w:pPr>
          </w:p>
        </w:tc>
        <w:tc>
          <w:tcPr>
            <w:tcW w:w="1646" w:type="dxa"/>
            <w:vAlign w:val="center"/>
          </w:tcPr>
          <w:p w14:paraId="3023D61D">
            <w:pPr>
              <w:adjustRightInd w:val="0"/>
              <w:snapToGrid w:val="0"/>
              <w:jc w:val="center"/>
              <w:rPr>
                <w:color w:val="000000"/>
                <w:sz w:val="24"/>
              </w:rPr>
            </w:pPr>
          </w:p>
        </w:tc>
        <w:tc>
          <w:tcPr>
            <w:tcW w:w="1688" w:type="dxa"/>
            <w:vAlign w:val="center"/>
          </w:tcPr>
          <w:p w14:paraId="69D9EA74">
            <w:pPr>
              <w:adjustRightInd w:val="0"/>
              <w:snapToGrid w:val="0"/>
              <w:jc w:val="center"/>
              <w:rPr>
                <w:color w:val="000000"/>
                <w:sz w:val="24"/>
              </w:rPr>
            </w:pPr>
          </w:p>
        </w:tc>
        <w:tc>
          <w:tcPr>
            <w:tcW w:w="1688" w:type="dxa"/>
            <w:vAlign w:val="center"/>
          </w:tcPr>
          <w:p w14:paraId="68044EC3">
            <w:pPr>
              <w:adjustRightInd w:val="0"/>
              <w:snapToGrid w:val="0"/>
              <w:jc w:val="center"/>
              <w:rPr>
                <w:color w:val="000000"/>
                <w:sz w:val="24"/>
              </w:rPr>
            </w:pPr>
          </w:p>
        </w:tc>
        <w:tc>
          <w:tcPr>
            <w:tcW w:w="1925" w:type="dxa"/>
            <w:vAlign w:val="center"/>
          </w:tcPr>
          <w:p w14:paraId="084E7AE4">
            <w:pPr>
              <w:adjustRightInd w:val="0"/>
              <w:snapToGrid w:val="0"/>
              <w:jc w:val="center"/>
              <w:rPr>
                <w:color w:val="000000"/>
                <w:sz w:val="24"/>
              </w:rPr>
            </w:pPr>
          </w:p>
        </w:tc>
        <w:tc>
          <w:tcPr>
            <w:tcW w:w="1045" w:type="dxa"/>
            <w:vAlign w:val="center"/>
          </w:tcPr>
          <w:p w14:paraId="45CD2D75">
            <w:pPr>
              <w:adjustRightInd w:val="0"/>
              <w:snapToGrid w:val="0"/>
              <w:jc w:val="center"/>
              <w:rPr>
                <w:color w:val="000000"/>
                <w:sz w:val="24"/>
              </w:rPr>
            </w:pPr>
          </w:p>
        </w:tc>
      </w:tr>
      <w:tr w14:paraId="6330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2575845">
            <w:pPr>
              <w:adjustRightInd w:val="0"/>
              <w:snapToGrid w:val="0"/>
              <w:jc w:val="center"/>
              <w:rPr>
                <w:color w:val="000000"/>
                <w:sz w:val="24"/>
              </w:rPr>
            </w:pPr>
          </w:p>
        </w:tc>
        <w:tc>
          <w:tcPr>
            <w:tcW w:w="1646" w:type="dxa"/>
            <w:vAlign w:val="center"/>
          </w:tcPr>
          <w:p w14:paraId="7BE2357D">
            <w:pPr>
              <w:adjustRightInd w:val="0"/>
              <w:snapToGrid w:val="0"/>
              <w:jc w:val="center"/>
              <w:rPr>
                <w:color w:val="000000"/>
                <w:sz w:val="24"/>
              </w:rPr>
            </w:pPr>
          </w:p>
        </w:tc>
        <w:tc>
          <w:tcPr>
            <w:tcW w:w="1688" w:type="dxa"/>
            <w:vAlign w:val="center"/>
          </w:tcPr>
          <w:p w14:paraId="302B083A">
            <w:pPr>
              <w:adjustRightInd w:val="0"/>
              <w:snapToGrid w:val="0"/>
              <w:jc w:val="center"/>
              <w:rPr>
                <w:color w:val="000000"/>
                <w:sz w:val="24"/>
              </w:rPr>
            </w:pPr>
          </w:p>
        </w:tc>
        <w:tc>
          <w:tcPr>
            <w:tcW w:w="1688" w:type="dxa"/>
            <w:vAlign w:val="center"/>
          </w:tcPr>
          <w:p w14:paraId="7DE770CF">
            <w:pPr>
              <w:adjustRightInd w:val="0"/>
              <w:snapToGrid w:val="0"/>
              <w:jc w:val="center"/>
              <w:rPr>
                <w:color w:val="000000"/>
                <w:sz w:val="24"/>
              </w:rPr>
            </w:pPr>
          </w:p>
        </w:tc>
        <w:tc>
          <w:tcPr>
            <w:tcW w:w="1925" w:type="dxa"/>
            <w:vAlign w:val="center"/>
          </w:tcPr>
          <w:p w14:paraId="32DFA9F0">
            <w:pPr>
              <w:adjustRightInd w:val="0"/>
              <w:snapToGrid w:val="0"/>
              <w:jc w:val="center"/>
              <w:rPr>
                <w:color w:val="000000"/>
                <w:sz w:val="24"/>
              </w:rPr>
            </w:pPr>
          </w:p>
        </w:tc>
        <w:tc>
          <w:tcPr>
            <w:tcW w:w="1045" w:type="dxa"/>
            <w:vAlign w:val="center"/>
          </w:tcPr>
          <w:p w14:paraId="49873607">
            <w:pPr>
              <w:adjustRightInd w:val="0"/>
              <w:snapToGrid w:val="0"/>
              <w:jc w:val="center"/>
              <w:rPr>
                <w:color w:val="000000"/>
                <w:sz w:val="24"/>
              </w:rPr>
            </w:pPr>
          </w:p>
        </w:tc>
      </w:tr>
      <w:bookmarkEnd w:id="978"/>
    </w:tbl>
    <w:p w14:paraId="561A235E">
      <w:pPr>
        <w:tabs>
          <w:tab w:val="left" w:pos="1800"/>
          <w:tab w:val="left" w:pos="5580"/>
        </w:tabs>
        <w:jc w:val="left"/>
        <w:rPr>
          <w:color w:val="000000"/>
          <w:sz w:val="24"/>
        </w:rPr>
      </w:pPr>
    </w:p>
    <w:p w14:paraId="43CBC1BD">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7AD43B69">
      <w:pPr>
        <w:spacing w:line="360" w:lineRule="auto"/>
        <w:rPr>
          <w:color w:val="000000"/>
          <w:sz w:val="24"/>
          <w:szCs w:val="20"/>
        </w:rPr>
      </w:pPr>
    </w:p>
    <w:p w14:paraId="3AF81D7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B8FFF14">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3E3984B9">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FA57A9C">
      <w:pPr>
        <w:numPr>
          <w:ilvl w:val="0"/>
          <w:numId w:val="50"/>
        </w:numPr>
        <w:tabs>
          <w:tab w:val="left" w:pos="360"/>
        </w:tabs>
        <w:snapToGrid w:val="0"/>
        <w:spacing w:line="360" w:lineRule="auto"/>
        <w:outlineLvl w:val="1"/>
        <w:rPr>
          <w:color w:val="000000"/>
          <w:sz w:val="24"/>
          <w:szCs w:val="20"/>
        </w:rPr>
      </w:pPr>
      <w:r>
        <w:rPr>
          <w:color w:val="000000"/>
          <w:sz w:val="24"/>
          <w:szCs w:val="20"/>
        </w:rPr>
        <w:br w:type="page"/>
      </w:r>
      <w:bookmarkEnd w:id="965"/>
      <w:bookmarkEnd w:id="966"/>
      <w:bookmarkEnd w:id="967"/>
      <w:bookmarkEnd w:id="968"/>
      <w:bookmarkEnd w:id="969"/>
      <w:bookmarkEnd w:id="970"/>
      <w:bookmarkEnd w:id="971"/>
      <w:bookmarkEnd w:id="972"/>
      <w:bookmarkEnd w:id="973"/>
      <w:bookmarkEnd w:id="974"/>
      <w:bookmarkEnd w:id="975"/>
      <w:bookmarkEnd w:id="976"/>
      <w:bookmarkEnd w:id="977"/>
      <w:r>
        <w:rPr>
          <w:color w:val="000000"/>
          <w:sz w:val="24"/>
          <w:szCs w:val="20"/>
        </w:rPr>
        <w:t>采购需求偏离表（实质性格式）</w:t>
      </w:r>
    </w:p>
    <w:p w14:paraId="4A5D7E80">
      <w:pPr>
        <w:autoSpaceDE w:val="0"/>
        <w:autoSpaceDN w:val="0"/>
        <w:adjustRightInd w:val="0"/>
        <w:spacing w:line="360" w:lineRule="auto"/>
        <w:jc w:val="center"/>
        <w:rPr>
          <w:b/>
          <w:color w:val="000000"/>
          <w:sz w:val="36"/>
          <w:szCs w:val="36"/>
        </w:rPr>
      </w:pPr>
      <w:r>
        <w:rPr>
          <w:b/>
          <w:color w:val="000000"/>
          <w:sz w:val="36"/>
          <w:szCs w:val="36"/>
        </w:rPr>
        <w:t>采购需求偏离表</w:t>
      </w:r>
    </w:p>
    <w:p w14:paraId="7FCAC771">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382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1523D2D">
            <w:pPr>
              <w:adjustRightInd w:val="0"/>
              <w:snapToGrid w:val="0"/>
              <w:jc w:val="center"/>
              <w:rPr>
                <w:color w:val="000000"/>
                <w:sz w:val="24"/>
              </w:rPr>
            </w:pPr>
            <w:r>
              <w:rPr>
                <w:color w:val="000000"/>
                <w:sz w:val="24"/>
              </w:rPr>
              <w:t>序号</w:t>
            </w:r>
          </w:p>
        </w:tc>
        <w:tc>
          <w:tcPr>
            <w:tcW w:w="1482" w:type="dxa"/>
            <w:vAlign w:val="center"/>
          </w:tcPr>
          <w:p w14:paraId="6B01BC64">
            <w:pPr>
              <w:adjustRightInd w:val="0"/>
              <w:snapToGrid w:val="0"/>
              <w:jc w:val="center"/>
              <w:rPr>
                <w:color w:val="000000"/>
                <w:sz w:val="24"/>
              </w:rPr>
            </w:pPr>
            <w:r>
              <w:rPr>
                <w:color w:val="000000"/>
                <w:sz w:val="24"/>
              </w:rPr>
              <w:t>招标文件条目号(页码)</w:t>
            </w:r>
          </w:p>
        </w:tc>
        <w:tc>
          <w:tcPr>
            <w:tcW w:w="2384" w:type="dxa"/>
            <w:vAlign w:val="center"/>
          </w:tcPr>
          <w:p w14:paraId="3CA52863">
            <w:pPr>
              <w:adjustRightInd w:val="0"/>
              <w:snapToGrid w:val="0"/>
              <w:jc w:val="center"/>
              <w:rPr>
                <w:color w:val="000000"/>
                <w:sz w:val="24"/>
              </w:rPr>
            </w:pPr>
            <w:r>
              <w:rPr>
                <w:color w:val="000000"/>
                <w:sz w:val="24"/>
              </w:rPr>
              <w:t>招标文件要求</w:t>
            </w:r>
          </w:p>
        </w:tc>
        <w:tc>
          <w:tcPr>
            <w:tcW w:w="2126" w:type="dxa"/>
            <w:vAlign w:val="center"/>
          </w:tcPr>
          <w:p w14:paraId="270B32B6">
            <w:pPr>
              <w:adjustRightInd w:val="0"/>
              <w:snapToGrid w:val="0"/>
              <w:jc w:val="center"/>
              <w:rPr>
                <w:color w:val="000000"/>
                <w:sz w:val="24"/>
              </w:rPr>
            </w:pPr>
            <w:r>
              <w:rPr>
                <w:color w:val="000000"/>
                <w:sz w:val="24"/>
              </w:rPr>
              <w:t>投标响应内容</w:t>
            </w:r>
          </w:p>
        </w:tc>
        <w:tc>
          <w:tcPr>
            <w:tcW w:w="1875" w:type="dxa"/>
            <w:vAlign w:val="center"/>
          </w:tcPr>
          <w:p w14:paraId="73A5344D">
            <w:pPr>
              <w:adjustRightInd w:val="0"/>
              <w:snapToGrid w:val="0"/>
              <w:jc w:val="center"/>
              <w:rPr>
                <w:color w:val="000000"/>
                <w:sz w:val="24"/>
              </w:rPr>
            </w:pPr>
            <w:r>
              <w:rPr>
                <w:color w:val="000000"/>
                <w:sz w:val="24"/>
              </w:rPr>
              <w:t>偏离情况</w:t>
            </w:r>
          </w:p>
        </w:tc>
        <w:tc>
          <w:tcPr>
            <w:tcW w:w="1009" w:type="dxa"/>
            <w:vAlign w:val="center"/>
          </w:tcPr>
          <w:p w14:paraId="23D4530E">
            <w:pPr>
              <w:adjustRightInd w:val="0"/>
              <w:snapToGrid w:val="0"/>
              <w:jc w:val="center"/>
              <w:rPr>
                <w:color w:val="000000"/>
                <w:sz w:val="24"/>
              </w:rPr>
            </w:pPr>
            <w:r>
              <w:rPr>
                <w:color w:val="000000"/>
                <w:sz w:val="24"/>
              </w:rPr>
              <w:t>说明</w:t>
            </w:r>
          </w:p>
        </w:tc>
      </w:tr>
      <w:tr w14:paraId="5295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FA6AA7">
            <w:pPr>
              <w:adjustRightInd w:val="0"/>
              <w:snapToGrid w:val="0"/>
              <w:jc w:val="center"/>
              <w:rPr>
                <w:color w:val="000000"/>
                <w:sz w:val="24"/>
              </w:rPr>
            </w:pPr>
          </w:p>
        </w:tc>
        <w:tc>
          <w:tcPr>
            <w:tcW w:w="1482" w:type="dxa"/>
            <w:vAlign w:val="center"/>
          </w:tcPr>
          <w:p w14:paraId="2EDA8AF8">
            <w:pPr>
              <w:adjustRightInd w:val="0"/>
              <w:snapToGrid w:val="0"/>
              <w:jc w:val="center"/>
              <w:rPr>
                <w:color w:val="000000"/>
                <w:sz w:val="24"/>
              </w:rPr>
            </w:pPr>
          </w:p>
        </w:tc>
        <w:tc>
          <w:tcPr>
            <w:tcW w:w="2384" w:type="dxa"/>
            <w:vAlign w:val="center"/>
          </w:tcPr>
          <w:p w14:paraId="11122124">
            <w:pPr>
              <w:adjustRightInd w:val="0"/>
              <w:snapToGrid w:val="0"/>
              <w:jc w:val="center"/>
              <w:rPr>
                <w:color w:val="000000"/>
                <w:sz w:val="24"/>
              </w:rPr>
            </w:pPr>
          </w:p>
        </w:tc>
        <w:tc>
          <w:tcPr>
            <w:tcW w:w="2126" w:type="dxa"/>
            <w:vAlign w:val="center"/>
          </w:tcPr>
          <w:p w14:paraId="7F8E1BC5">
            <w:pPr>
              <w:adjustRightInd w:val="0"/>
              <w:snapToGrid w:val="0"/>
              <w:jc w:val="center"/>
              <w:rPr>
                <w:color w:val="000000"/>
                <w:sz w:val="24"/>
              </w:rPr>
            </w:pPr>
          </w:p>
        </w:tc>
        <w:tc>
          <w:tcPr>
            <w:tcW w:w="1875" w:type="dxa"/>
            <w:vAlign w:val="center"/>
          </w:tcPr>
          <w:p w14:paraId="09CC4F87">
            <w:pPr>
              <w:adjustRightInd w:val="0"/>
              <w:snapToGrid w:val="0"/>
              <w:jc w:val="center"/>
              <w:rPr>
                <w:color w:val="000000"/>
                <w:sz w:val="24"/>
              </w:rPr>
            </w:pPr>
          </w:p>
        </w:tc>
        <w:tc>
          <w:tcPr>
            <w:tcW w:w="1009" w:type="dxa"/>
            <w:vAlign w:val="center"/>
          </w:tcPr>
          <w:p w14:paraId="7E13A45D">
            <w:pPr>
              <w:adjustRightInd w:val="0"/>
              <w:snapToGrid w:val="0"/>
              <w:jc w:val="center"/>
              <w:rPr>
                <w:color w:val="000000"/>
                <w:sz w:val="24"/>
              </w:rPr>
            </w:pPr>
          </w:p>
        </w:tc>
      </w:tr>
      <w:tr w14:paraId="2BFE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2C4725">
            <w:pPr>
              <w:adjustRightInd w:val="0"/>
              <w:snapToGrid w:val="0"/>
              <w:jc w:val="center"/>
              <w:rPr>
                <w:color w:val="000000"/>
                <w:sz w:val="24"/>
              </w:rPr>
            </w:pPr>
          </w:p>
        </w:tc>
        <w:tc>
          <w:tcPr>
            <w:tcW w:w="1482" w:type="dxa"/>
            <w:vAlign w:val="center"/>
          </w:tcPr>
          <w:p w14:paraId="7CB232E6">
            <w:pPr>
              <w:adjustRightInd w:val="0"/>
              <w:snapToGrid w:val="0"/>
              <w:jc w:val="center"/>
              <w:rPr>
                <w:color w:val="000000"/>
                <w:sz w:val="24"/>
              </w:rPr>
            </w:pPr>
          </w:p>
        </w:tc>
        <w:tc>
          <w:tcPr>
            <w:tcW w:w="2384" w:type="dxa"/>
            <w:vAlign w:val="center"/>
          </w:tcPr>
          <w:p w14:paraId="5B57A74D">
            <w:pPr>
              <w:adjustRightInd w:val="0"/>
              <w:snapToGrid w:val="0"/>
              <w:jc w:val="center"/>
              <w:rPr>
                <w:color w:val="000000"/>
                <w:sz w:val="24"/>
              </w:rPr>
            </w:pPr>
          </w:p>
        </w:tc>
        <w:tc>
          <w:tcPr>
            <w:tcW w:w="2126" w:type="dxa"/>
            <w:vAlign w:val="center"/>
          </w:tcPr>
          <w:p w14:paraId="4CBA17A7">
            <w:pPr>
              <w:adjustRightInd w:val="0"/>
              <w:snapToGrid w:val="0"/>
              <w:jc w:val="center"/>
              <w:rPr>
                <w:color w:val="000000"/>
                <w:sz w:val="24"/>
              </w:rPr>
            </w:pPr>
          </w:p>
        </w:tc>
        <w:tc>
          <w:tcPr>
            <w:tcW w:w="1875" w:type="dxa"/>
            <w:vAlign w:val="center"/>
          </w:tcPr>
          <w:p w14:paraId="1A2A43FA">
            <w:pPr>
              <w:adjustRightInd w:val="0"/>
              <w:snapToGrid w:val="0"/>
              <w:jc w:val="center"/>
              <w:rPr>
                <w:color w:val="000000"/>
                <w:sz w:val="24"/>
              </w:rPr>
            </w:pPr>
          </w:p>
        </w:tc>
        <w:tc>
          <w:tcPr>
            <w:tcW w:w="1009" w:type="dxa"/>
            <w:vAlign w:val="center"/>
          </w:tcPr>
          <w:p w14:paraId="627E8D48">
            <w:pPr>
              <w:adjustRightInd w:val="0"/>
              <w:snapToGrid w:val="0"/>
              <w:jc w:val="center"/>
              <w:rPr>
                <w:color w:val="000000"/>
                <w:sz w:val="24"/>
              </w:rPr>
            </w:pPr>
          </w:p>
        </w:tc>
      </w:tr>
      <w:tr w14:paraId="7E2D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0535C0D">
            <w:pPr>
              <w:adjustRightInd w:val="0"/>
              <w:snapToGrid w:val="0"/>
              <w:jc w:val="center"/>
              <w:rPr>
                <w:color w:val="000000"/>
                <w:sz w:val="24"/>
              </w:rPr>
            </w:pPr>
          </w:p>
        </w:tc>
        <w:tc>
          <w:tcPr>
            <w:tcW w:w="1482" w:type="dxa"/>
            <w:vAlign w:val="center"/>
          </w:tcPr>
          <w:p w14:paraId="48FF4287">
            <w:pPr>
              <w:adjustRightInd w:val="0"/>
              <w:snapToGrid w:val="0"/>
              <w:jc w:val="center"/>
              <w:rPr>
                <w:color w:val="000000"/>
                <w:sz w:val="24"/>
              </w:rPr>
            </w:pPr>
          </w:p>
        </w:tc>
        <w:tc>
          <w:tcPr>
            <w:tcW w:w="2384" w:type="dxa"/>
            <w:vAlign w:val="center"/>
          </w:tcPr>
          <w:p w14:paraId="03A80CCA">
            <w:pPr>
              <w:adjustRightInd w:val="0"/>
              <w:snapToGrid w:val="0"/>
              <w:jc w:val="center"/>
              <w:rPr>
                <w:color w:val="000000"/>
                <w:sz w:val="24"/>
              </w:rPr>
            </w:pPr>
          </w:p>
        </w:tc>
        <w:tc>
          <w:tcPr>
            <w:tcW w:w="2126" w:type="dxa"/>
            <w:vAlign w:val="center"/>
          </w:tcPr>
          <w:p w14:paraId="60FF4965">
            <w:pPr>
              <w:adjustRightInd w:val="0"/>
              <w:snapToGrid w:val="0"/>
              <w:jc w:val="center"/>
              <w:rPr>
                <w:color w:val="000000"/>
                <w:sz w:val="24"/>
              </w:rPr>
            </w:pPr>
          </w:p>
        </w:tc>
        <w:tc>
          <w:tcPr>
            <w:tcW w:w="1875" w:type="dxa"/>
            <w:vAlign w:val="center"/>
          </w:tcPr>
          <w:p w14:paraId="3CAF8162">
            <w:pPr>
              <w:adjustRightInd w:val="0"/>
              <w:snapToGrid w:val="0"/>
              <w:jc w:val="center"/>
              <w:rPr>
                <w:color w:val="000000"/>
                <w:sz w:val="24"/>
              </w:rPr>
            </w:pPr>
          </w:p>
        </w:tc>
        <w:tc>
          <w:tcPr>
            <w:tcW w:w="1009" w:type="dxa"/>
            <w:vAlign w:val="center"/>
          </w:tcPr>
          <w:p w14:paraId="34035056">
            <w:pPr>
              <w:adjustRightInd w:val="0"/>
              <w:snapToGrid w:val="0"/>
              <w:jc w:val="center"/>
              <w:rPr>
                <w:color w:val="000000"/>
                <w:sz w:val="24"/>
              </w:rPr>
            </w:pPr>
          </w:p>
        </w:tc>
      </w:tr>
      <w:tr w14:paraId="4185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F4C62DA">
            <w:pPr>
              <w:adjustRightInd w:val="0"/>
              <w:snapToGrid w:val="0"/>
              <w:jc w:val="center"/>
              <w:rPr>
                <w:color w:val="000000"/>
                <w:sz w:val="24"/>
              </w:rPr>
            </w:pPr>
          </w:p>
        </w:tc>
        <w:tc>
          <w:tcPr>
            <w:tcW w:w="1482" w:type="dxa"/>
            <w:vAlign w:val="center"/>
          </w:tcPr>
          <w:p w14:paraId="70791823">
            <w:pPr>
              <w:adjustRightInd w:val="0"/>
              <w:snapToGrid w:val="0"/>
              <w:jc w:val="center"/>
              <w:rPr>
                <w:color w:val="000000"/>
                <w:sz w:val="24"/>
              </w:rPr>
            </w:pPr>
          </w:p>
        </w:tc>
        <w:tc>
          <w:tcPr>
            <w:tcW w:w="2384" w:type="dxa"/>
            <w:vAlign w:val="center"/>
          </w:tcPr>
          <w:p w14:paraId="709FF9D6">
            <w:pPr>
              <w:adjustRightInd w:val="0"/>
              <w:snapToGrid w:val="0"/>
              <w:jc w:val="center"/>
              <w:rPr>
                <w:color w:val="000000"/>
                <w:sz w:val="24"/>
              </w:rPr>
            </w:pPr>
          </w:p>
        </w:tc>
        <w:tc>
          <w:tcPr>
            <w:tcW w:w="2126" w:type="dxa"/>
            <w:vAlign w:val="center"/>
          </w:tcPr>
          <w:p w14:paraId="44408226">
            <w:pPr>
              <w:adjustRightInd w:val="0"/>
              <w:snapToGrid w:val="0"/>
              <w:jc w:val="center"/>
              <w:rPr>
                <w:color w:val="000000"/>
                <w:sz w:val="24"/>
              </w:rPr>
            </w:pPr>
          </w:p>
        </w:tc>
        <w:tc>
          <w:tcPr>
            <w:tcW w:w="1875" w:type="dxa"/>
            <w:vAlign w:val="center"/>
          </w:tcPr>
          <w:p w14:paraId="79CDCBEF">
            <w:pPr>
              <w:adjustRightInd w:val="0"/>
              <w:snapToGrid w:val="0"/>
              <w:jc w:val="center"/>
              <w:rPr>
                <w:color w:val="000000"/>
                <w:sz w:val="24"/>
              </w:rPr>
            </w:pPr>
          </w:p>
        </w:tc>
        <w:tc>
          <w:tcPr>
            <w:tcW w:w="1009" w:type="dxa"/>
            <w:vAlign w:val="center"/>
          </w:tcPr>
          <w:p w14:paraId="671591BF">
            <w:pPr>
              <w:adjustRightInd w:val="0"/>
              <w:snapToGrid w:val="0"/>
              <w:jc w:val="center"/>
              <w:rPr>
                <w:color w:val="000000"/>
                <w:sz w:val="24"/>
              </w:rPr>
            </w:pPr>
          </w:p>
        </w:tc>
      </w:tr>
      <w:tr w14:paraId="2607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31AA1099">
            <w:pPr>
              <w:adjustRightInd w:val="0"/>
              <w:snapToGrid w:val="0"/>
              <w:jc w:val="center"/>
              <w:rPr>
                <w:color w:val="000000"/>
                <w:sz w:val="24"/>
              </w:rPr>
            </w:pPr>
          </w:p>
        </w:tc>
        <w:tc>
          <w:tcPr>
            <w:tcW w:w="1482" w:type="dxa"/>
            <w:vAlign w:val="center"/>
          </w:tcPr>
          <w:p w14:paraId="644B8C2E">
            <w:pPr>
              <w:adjustRightInd w:val="0"/>
              <w:snapToGrid w:val="0"/>
              <w:jc w:val="center"/>
              <w:rPr>
                <w:color w:val="000000"/>
                <w:sz w:val="24"/>
              </w:rPr>
            </w:pPr>
          </w:p>
        </w:tc>
        <w:tc>
          <w:tcPr>
            <w:tcW w:w="2384" w:type="dxa"/>
            <w:vAlign w:val="center"/>
          </w:tcPr>
          <w:p w14:paraId="414DAF4E">
            <w:pPr>
              <w:adjustRightInd w:val="0"/>
              <w:snapToGrid w:val="0"/>
              <w:jc w:val="center"/>
              <w:rPr>
                <w:color w:val="000000"/>
                <w:sz w:val="24"/>
              </w:rPr>
            </w:pPr>
          </w:p>
        </w:tc>
        <w:tc>
          <w:tcPr>
            <w:tcW w:w="2126" w:type="dxa"/>
            <w:vAlign w:val="center"/>
          </w:tcPr>
          <w:p w14:paraId="5C4B2112">
            <w:pPr>
              <w:adjustRightInd w:val="0"/>
              <w:snapToGrid w:val="0"/>
              <w:jc w:val="center"/>
              <w:rPr>
                <w:color w:val="000000"/>
                <w:sz w:val="24"/>
              </w:rPr>
            </w:pPr>
          </w:p>
        </w:tc>
        <w:tc>
          <w:tcPr>
            <w:tcW w:w="1875" w:type="dxa"/>
            <w:vAlign w:val="center"/>
          </w:tcPr>
          <w:p w14:paraId="4940924B">
            <w:pPr>
              <w:adjustRightInd w:val="0"/>
              <w:snapToGrid w:val="0"/>
              <w:jc w:val="center"/>
              <w:rPr>
                <w:color w:val="000000"/>
                <w:sz w:val="24"/>
              </w:rPr>
            </w:pPr>
          </w:p>
        </w:tc>
        <w:tc>
          <w:tcPr>
            <w:tcW w:w="1009" w:type="dxa"/>
            <w:vAlign w:val="center"/>
          </w:tcPr>
          <w:p w14:paraId="4D393085">
            <w:pPr>
              <w:adjustRightInd w:val="0"/>
              <w:snapToGrid w:val="0"/>
              <w:jc w:val="center"/>
              <w:rPr>
                <w:color w:val="000000"/>
                <w:sz w:val="24"/>
              </w:rPr>
            </w:pPr>
          </w:p>
        </w:tc>
      </w:tr>
      <w:tr w14:paraId="08D8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2FFA9F">
            <w:pPr>
              <w:adjustRightInd w:val="0"/>
              <w:snapToGrid w:val="0"/>
              <w:jc w:val="center"/>
              <w:rPr>
                <w:color w:val="000000"/>
                <w:sz w:val="24"/>
              </w:rPr>
            </w:pPr>
          </w:p>
        </w:tc>
        <w:tc>
          <w:tcPr>
            <w:tcW w:w="1482" w:type="dxa"/>
            <w:vAlign w:val="center"/>
          </w:tcPr>
          <w:p w14:paraId="6EAE9ACC">
            <w:pPr>
              <w:adjustRightInd w:val="0"/>
              <w:snapToGrid w:val="0"/>
              <w:jc w:val="center"/>
              <w:rPr>
                <w:color w:val="000000"/>
                <w:sz w:val="24"/>
              </w:rPr>
            </w:pPr>
          </w:p>
        </w:tc>
        <w:tc>
          <w:tcPr>
            <w:tcW w:w="2384" w:type="dxa"/>
            <w:vAlign w:val="center"/>
          </w:tcPr>
          <w:p w14:paraId="3B7579D3">
            <w:pPr>
              <w:adjustRightInd w:val="0"/>
              <w:snapToGrid w:val="0"/>
              <w:jc w:val="center"/>
              <w:rPr>
                <w:color w:val="000000"/>
                <w:sz w:val="24"/>
              </w:rPr>
            </w:pPr>
          </w:p>
        </w:tc>
        <w:tc>
          <w:tcPr>
            <w:tcW w:w="2126" w:type="dxa"/>
            <w:vAlign w:val="center"/>
          </w:tcPr>
          <w:p w14:paraId="24CF54EB">
            <w:pPr>
              <w:adjustRightInd w:val="0"/>
              <w:snapToGrid w:val="0"/>
              <w:jc w:val="center"/>
              <w:rPr>
                <w:color w:val="000000"/>
                <w:sz w:val="24"/>
              </w:rPr>
            </w:pPr>
          </w:p>
        </w:tc>
        <w:tc>
          <w:tcPr>
            <w:tcW w:w="1875" w:type="dxa"/>
            <w:vAlign w:val="center"/>
          </w:tcPr>
          <w:p w14:paraId="40F976DD">
            <w:pPr>
              <w:adjustRightInd w:val="0"/>
              <w:snapToGrid w:val="0"/>
              <w:jc w:val="center"/>
              <w:rPr>
                <w:color w:val="000000"/>
                <w:sz w:val="24"/>
              </w:rPr>
            </w:pPr>
          </w:p>
        </w:tc>
        <w:tc>
          <w:tcPr>
            <w:tcW w:w="1009" w:type="dxa"/>
            <w:vAlign w:val="center"/>
          </w:tcPr>
          <w:p w14:paraId="3D51DEAB">
            <w:pPr>
              <w:adjustRightInd w:val="0"/>
              <w:snapToGrid w:val="0"/>
              <w:jc w:val="center"/>
              <w:rPr>
                <w:color w:val="000000"/>
                <w:sz w:val="24"/>
              </w:rPr>
            </w:pPr>
          </w:p>
        </w:tc>
      </w:tr>
    </w:tbl>
    <w:p w14:paraId="63667388">
      <w:pPr>
        <w:tabs>
          <w:tab w:val="left" w:pos="1800"/>
          <w:tab w:val="left" w:pos="5580"/>
        </w:tabs>
        <w:spacing w:line="360" w:lineRule="auto"/>
        <w:ind w:firstLine="360" w:firstLineChars="150"/>
        <w:jc w:val="left"/>
        <w:rPr>
          <w:color w:val="000000"/>
          <w:sz w:val="24"/>
          <w:u w:val="single"/>
        </w:rPr>
      </w:pPr>
    </w:p>
    <w:p w14:paraId="6C6B2157">
      <w:pPr>
        <w:tabs>
          <w:tab w:val="left" w:pos="1800"/>
          <w:tab w:val="left" w:pos="5580"/>
        </w:tabs>
        <w:spacing w:line="360" w:lineRule="auto"/>
        <w:ind w:firstLine="360" w:firstLineChars="150"/>
        <w:jc w:val="left"/>
        <w:rPr>
          <w:color w:val="000000"/>
          <w:sz w:val="24"/>
          <w:u w:val="single"/>
        </w:rPr>
      </w:pPr>
    </w:p>
    <w:p w14:paraId="64EAE6E3">
      <w:pPr>
        <w:tabs>
          <w:tab w:val="left" w:pos="1800"/>
          <w:tab w:val="left" w:pos="5580"/>
        </w:tabs>
        <w:jc w:val="left"/>
        <w:rPr>
          <w:color w:val="000000"/>
          <w:sz w:val="24"/>
        </w:rPr>
      </w:pPr>
      <w:r>
        <w:rPr>
          <w:color w:val="000000"/>
          <w:sz w:val="24"/>
        </w:rPr>
        <w:t>注：</w:t>
      </w:r>
    </w:p>
    <w:p w14:paraId="22A87C0A">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34AB62DA">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2DFC0928">
      <w:pPr>
        <w:tabs>
          <w:tab w:val="left" w:pos="1800"/>
          <w:tab w:val="left" w:pos="5580"/>
        </w:tabs>
        <w:jc w:val="left"/>
        <w:rPr>
          <w:sz w:val="24"/>
        </w:rPr>
      </w:pPr>
    </w:p>
    <w:p w14:paraId="38F813B5">
      <w:pPr>
        <w:tabs>
          <w:tab w:val="left" w:pos="1800"/>
          <w:tab w:val="left" w:pos="5580"/>
        </w:tabs>
        <w:jc w:val="left"/>
        <w:rPr>
          <w:color w:val="000000"/>
          <w:sz w:val="24"/>
        </w:rPr>
      </w:pPr>
    </w:p>
    <w:p w14:paraId="2018C7DE">
      <w:pPr>
        <w:rPr>
          <w:color w:val="000000"/>
          <w:sz w:val="24"/>
          <w:szCs w:val="20"/>
        </w:rPr>
      </w:pPr>
    </w:p>
    <w:p w14:paraId="71B8639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9D09C4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308FBBB">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AAE12E4">
      <w:pPr>
        <w:widowControl/>
        <w:jc w:val="left"/>
        <w:rPr>
          <w:color w:val="000000"/>
          <w:sz w:val="24"/>
          <w:szCs w:val="20"/>
        </w:rPr>
      </w:pPr>
      <w:r>
        <w:rPr>
          <w:color w:val="000000"/>
          <w:sz w:val="24"/>
          <w:szCs w:val="20"/>
        </w:rPr>
        <w:br w:type="page"/>
      </w:r>
    </w:p>
    <w:p w14:paraId="3317AC7D">
      <w:pPr>
        <w:tabs>
          <w:tab w:val="left" w:pos="360"/>
        </w:tabs>
        <w:snapToGrid w:val="0"/>
        <w:spacing w:line="360" w:lineRule="auto"/>
        <w:ind w:left="900" w:hanging="900"/>
        <w:outlineLvl w:val="1"/>
        <w:rPr>
          <w:color w:val="000000"/>
          <w:sz w:val="24"/>
          <w:szCs w:val="20"/>
        </w:rPr>
      </w:pPr>
      <w:r>
        <w:rPr>
          <w:rFonts w:hint="eastAsia"/>
          <w:color w:val="000000"/>
          <w:sz w:val="24"/>
          <w:szCs w:val="20"/>
        </w:rPr>
        <w:t>7</w:t>
      </w:r>
      <w:r>
        <w:rPr>
          <w:color w:val="000000"/>
          <w:sz w:val="24"/>
          <w:szCs w:val="20"/>
        </w:rPr>
        <w:t>中小企业证明文件</w:t>
      </w:r>
    </w:p>
    <w:p w14:paraId="2E411453">
      <w:pPr>
        <w:tabs>
          <w:tab w:val="left" w:pos="5580"/>
        </w:tabs>
        <w:spacing w:line="360" w:lineRule="auto"/>
        <w:rPr>
          <w:sz w:val="24"/>
        </w:rPr>
      </w:pPr>
      <w:r>
        <w:rPr>
          <w:sz w:val="24"/>
        </w:rPr>
        <w:t>说明：</w:t>
      </w:r>
    </w:p>
    <w:p w14:paraId="11B5709F">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8AE4DA3">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1E56A2A">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6926A226">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0A27844B">
      <w:pPr>
        <w:widowControl/>
        <w:jc w:val="left"/>
        <w:rPr>
          <w:b/>
          <w:bCs/>
          <w:color w:val="000000"/>
          <w:sz w:val="24"/>
        </w:rPr>
      </w:pPr>
      <w:r>
        <w:rPr>
          <w:b/>
          <w:bCs/>
          <w:color w:val="000000"/>
          <w:sz w:val="24"/>
        </w:rPr>
        <w:br w:type="page"/>
      </w:r>
    </w:p>
    <w:p w14:paraId="290AE7B8">
      <w:pPr>
        <w:spacing w:before="240" w:beforeLines="100" w:after="240" w:afterLines="100" w:line="360" w:lineRule="auto"/>
        <w:jc w:val="center"/>
        <w:rPr>
          <w:b/>
          <w:bCs/>
          <w:color w:val="000000"/>
          <w:sz w:val="36"/>
          <w:szCs w:val="36"/>
        </w:rPr>
      </w:pPr>
      <w:r>
        <w:rPr>
          <w:rFonts w:hint="eastAsia"/>
          <w:b/>
          <w:bCs/>
          <w:sz w:val="24"/>
        </w:rPr>
        <w:t>本项目采购包4、采购包6、采购包8适用</w:t>
      </w:r>
    </w:p>
    <w:p w14:paraId="226859B5">
      <w:pPr>
        <w:spacing w:before="240" w:beforeLines="100" w:after="240" w:afterLines="100" w:line="360" w:lineRule="auto"/>
        <w:jc w:val="center"/>
        <w:rPr>
          <w:b/>
          <w:bCs/>
          <w:color w:val="000000"/>
          <w:sz w:val="36"/>
          <w:szCs w:val="36"/>
        </w:rPr>
      </w:pPr>
      <w:r>
        <w:rPr>
          <w:b/>
          <w:bCs/>
          <w:color w:val="000000"/>
          <w:sz w:val="36"/>
          <w:szCs w:val="36"/>
        </w:rPr>
        <w:t>中小企业声明函格式</w:t>
      </w:r>
    </w:p>
    <w:p w14:paraId="184642C2">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采购活动，服务全部由符合政策要求的中小企业承接。相关企业（含联合体中的中小企业、签订分包意向协议的中小企业）的具体情况如下：</w:t>
      </w:r>
    </w:p>
    <w:p w14:paraId="5A7BC353">
      <w:pPr>
        <w:numPr>
          <w:ilvl w:val="0"/>
          <w:numId w:val="5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59011F7E">
      <w:pPr>
        <w:numPr>
          <w:ilvl w:val="0"/>
          <w:numId w:val="5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1B220489">
      <w:pPr>
        <w:autoSpaceDE w:val="0"/>
        <w:autoSpaceDN w:val="0"/>
        <w:spacing w:line="360" w:lineRule="auto"/>
        <w:ind w:left="860"/>
        <w:jc w:val="left"/>
        <w:rPr>
          <w:kern w:val="0"/>
          <w:sz w:val="24"/>
        </w:rPr>
      </w:pPr>
      <w:r>
        <w:rPr>
          <w:kern w:val="0"/>
          <w:sz w:val="24"/>
        </w:rPr>
        <w:t>……</w:t>
      </w:r>
    </w:p>
    <w:p w14:paraId="0314B47F">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C5D0C81">
      <w:pPr>
        <w:spacing w:line="360" w:lineRule="auto"/>
        <w:ind w:firstLine="504"/>
        <w:rPr>
          <w:spacing w:val="6"/>
          <w:sz w:val="24"/>
        </w:rPr>
      </w:pPr>
      <w:r>
        <w:rPr>
          <w:kern w:val="0"/>
          <w:sz w:val="24"/>
        </w:rPr>
        <w:t>本企业对上述声明内容的真实性负责。如有虚假，将依法承担相应责任。</w:t>
      </w:r>
    </w:p>
    <w:p w14:paraId="28B59CB0">
      <w:pPr>
        <w:spacing w:line="360" w:lineRule="auto"/>
        <w:ind w:firstLine="504"/>
        <w:rPr>
          <w:spacing w:val="6"/>
          <w:sz w:val="24"/>
        </w:rPr>
      </w:pPr>
    </w:p>
    <w:p w14:paraId="5A48E507">
      <w:pPr>
        <w:spacing w:line="360" w:lineRule="auto"/>
        <w:ind w:right="360" w:firstLine="480"/>
        <w:jc w:val="right"/>
        <w:rPr>
          <w:color w:val="000000"/>
          <w:sz w:val="24"/>
        </w:rPr>
      </w:pPr>
    </w:p>
    <w:p w14:paraId="39871642">
      <w:pPr>
        <w:spacing w:line="360" w:lineRule="auto"/>
        <w:ind w:right="360" w:firstLine="480"/>
        <w:jc w:val="right"/>
        <w:rPr>
          <w:color w:val="000000"/>
          <w:sz w:val="24"/>
        </w:rPr>
      </w:pPr>
      <w:r>
        <w:rPr>
          <w:color w:val="000000"/>
          <w:sz w:val="24"/>
        </w:rPr>
        <w:t>企业名称（盖章）：________</w:t>
      </w:r>
    </w:p>
    <w:p w14:paraId="0E6DBE37">
      <w:pPr>
        <w:spacing w:line="360" w:lineRule="auto"/>
        <w:ind w:right="360" w:firstLine="480"/>
        <w:jc w:val="right"/>
        <w:rPr>
          <w:color w:val="000000"/>
          <w:sz w:val="24"/>
        </w:rPr>
      </w:pPr>
      <w:r>
        <w:rPr>
          <w:color w:val="000000"/>
          <w:sz w:val="24"/>
        </w:rPr>
        <w:t>日 期：________</w:t>
      </w:r>
    </w:p>
    <w:p w14:paraId="23270E76">
      <w:pPr>
        <w:spacing w:line="360" w:lineRule="auto"/>
        <w:ind w:right="360" w:firstLine="480"/>
        <w:jc w:val="right"/>
        <w:rPr>
          <w:color w:val="000000"/>
          <w:sz w:val="24"/>
        </w:rPr>
      </w:pPr>
    </w:p>
    <w:p w14:paraId="2C628D79">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D36A72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BDA352B">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4B6AE81">
      <w:pPr>
        <w:adjustRightInd w:val="0"/>
        <w:snapToGrid w:val="0"/>
        <w:jc w:val="left"/>
        <w:rPr>
          <w:color w:val="000000"/>
          <w:szCs w:val="21"/>
          <w:vertAlign w:val="superscript"/>
        </w:rPr>
      </w:pPr>
    </w:p>
    <w:p w14:paraId="3F513499">
      <w:pPr>
        <w:spacing w:line="360" w:lineRule="auto"/>
        <w:ind w:right="360" w:firstLine="480"/>
        <w:jc w:val="right"/>
        <w:rPr>
          <w:color w:val="000000"/>
          <w:sz w:val="24"/>
        </w:rPr>
      </w:pPr>
    </w:p>
    <w:p w14:paraId="295BB217">
      <w:pPr>
        <w:spacing w:line="360" w:lineRule="auto"/>
        <w:ind w:right="360" w:firstLine="480"/>
        <w:jc w:val="right"/>
        <w:rPr>
          <w:color w:val="000000"/>
          <w:sz w:val="24"/>
        </w:rPr>
      </w:pPr>
    </w:p>
    <w:p w14:paraId="3DCBF466">
      <w:pPr>
        <w:spacing w:line="360" w:lineRule="auto"/>
        <w:rPr>
          <w:color w:val="000000"/>
          <w:sz w:val="24"/>
          <w:szCs w:val="20"/>
        </w:rPr>
      </w:pPr>
      <w:r>
        <w:rPr>
          <w:color w:val="000000"/>
          <w:sz w:val="24"/>
          <w:szCs w:val="20"/>
        </w:rPr>
        <w:br w:type="page"/>
      </w:r>
    </w:p>
    <w:p w14:paraId="546BB0F0">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26FD6C2">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578E95B6">
      <w:pPr>
        <w:spacing w:line="588" w:lineRule="exact"/>
        <w:ind w:firstLine="482"/>
        <w:rPr>
          <w:b/>
          <w:spacing w:val="6"/>
          <w:sz w:val="24"/>
        </w:rPr>
      </w:pPr>
      <w:r>
        <w:rPr>
          <w:b/>
          <w:sz w:val="24"/>
        </w:rPr>
        <w:t>□</w:t>
      </w:r>
      <w:r>
        <w:rPr>
          <w:b/>
          <w:spacing w:val="6"/>
          <w:sz w:val="24"/>
        </w:rPr>
        <w:t>不属于符合条件的残疾人福利性单位。</w:t>
      </w:r>
    </w:p>
    <w:p w14:paraId="14123AAA">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A61538B">
      <w:pPr>
        <w:spacing w:line="588" w:lineRule="exact"/>
        <w:ind w:firstLine="506" w:firstLineChars="200"/>
        <w:rPr>
          <w:spacing w:val="6"/>
          <w:sz w:val="24"/>
        </w:rPr>
      </w:pPr>
      <w:r>
        <w:rPr>
          <w:b/>
          <w:spacing w:val="6"/>
          <w:sz w:val="24"/>
        </w:rPr>
        <w:t>本单位对上述声明的真实性负责。如有虚假，将依法承担相应责任。</w:t>
      </w:r>
    </w:p>
    <w:p w14:paraId="22CEAF6C">
      <w:pPr>
        <w:spacing w:line="588" w:lineRule="exact"/>
        <w:ind w:firstLine="504" w:firstLineChars="200"/>
        <w:rPr>
          <w:spacing w:val="6"/>
          <w:sz w:val="24"/>
        </w:rPr>
      </w:pPr>
    </w:p>
    <w:p w14:paraId="6E2C975A">
      <w:pPr>
        <w:spacing w:line="588" w:lineRule="exact"/>
        <w:ind w:firstLine="504" w:firstLineChars="200"/>
        <w:rPr>
          <w:spacing w:val="6"/>
          <w:sz w:val="24"/>
        </w:rPr>
      </w:pPr>
    </w:p>
    <w:p w14:paraId="3FB73EB9">
      <w:pPr>
        <w:tabs>
          <w:tab w:val="left" w:pos="4860"/>
        </w:tabs>
        <w:spacing w:line="588" w:lineRule="exact"/>
        <w:ind w:right="1560" w:firstLine="504" w:firstLineChars="200"/>
        <w:jc w:val="center"/>
        <w:rPr>
          <w:spacing w:val="6"/>
          <w:sz w:val="24"/>
        </w:rPr>
      </w:pPr>
      <w:r>
        <w:rPr>
          <w:spacing w:val="6"/>
          <w:sz w:val="24"/>
        </w:rPr>
        <w:t xml:space="preserve">               单位名称（盖章）：</w:t>
      </w:r>
    </w:p>
    <w:p w14:paraId="73EE0FC1">
      <w:pPr>
        <w:tabs>
          <w:tab w:val="left" w:pos="4860"/>
        </w:tabs>
        <w:spacing w:line="588" w:lineRule="exact"/>
        <w:ind w:right="1560" w:firstLine="504" w:firstLineChars="200"/>
        <w:jc w:val="center"/>
        <w:rPr>
          <w:spacing w:val="6"/>
          <w:sz w:val="24"/>
        </w:rPr>
      </w:pPr>
      <w:r>
        <w:rPr>
          <w:spacing w:val="6"/>
          <w:sz w:val="24"/>
        </w:rPr>
        <w:t xml:space="preserve">       日  期：</w:t>
      </w:r>
    </w:p>
    <w:p w14:paraId="46D39B54">
      <w:pPr>
        <w:adjustRightInd w:val="0"/>
        <w:snapToGrid w:val="0"/>
        <w:spacing w:line="360" w:lineRule="auto"/>
        <w:jc w:val="left"/>
        <w:rPr>
          <w:color w:val="000000"/>
          <w:sz w:val="24"/>
          <w:szCs w:val="20"/>
        </w:rPr>
        <w:sectPr>
          <w:pgSz w:w="11907" w:h="16840"/>
          <w:pgMar w:top="1418" w:right="1134" w:bottom="1418" w:left="1701" w:header="851" w:footer="851" w:gutter="0"/>
          <w:cols w:space="720" w:num="1"/>
          <w:docGrid w:linePitch="462" w:charSpace="0"/>
        </w:sectPr>
      </w:pPr>
    </w:p>
    <w:p w14:paraId="261CC901">
      <w:pPr>
        <w:tabs>
          <w:tab w:val="left" w:pos="360"/>
        </w:tabs>
        <w:snapToGrid w:val="0"/>
        <w:spacing w:line="360" w:lineRule="auto"/>
        <w:outlineLvl w:val="1"/>
        <w:rPr>
          <w:color w:val="000000"/>
          <w:sz w:val="24"/>
          <w:szCs w:val="20"/>
        </w:rPr>
      </w:pPr>
      <w:r>
        <w:rPr>
          <w:rFonts w:hint="eastAsia"/>
          <w:color w:val="000000"/>
          <w:sz w:val="24"/>
          <w:szCs w:val="20"/>
        </w:rPr>
        <w:t>8</w:t>
      </w:r>
      <w:r>
        <w:rPr>
          <w:color w:val="000000"/>
          <w:sz w:val="24"/>
          <w:szCs w:val="20"/>
        </w:rPr>
        <w:t>招标文件要求提供或投标人认为应附的其他材料</w:t>
      </w:r>
    </w:p>
    <w:p w14:paraId="3957FF6F">
      <w:pPr>
        <w:widowControl/>
        <w:jc w:val="left"/>
        <w:rPr>
          <w:color w:val="000000"/>
          <w:sz w:val="24"/>
          <w:szCs w:val="20"/>
        </w:rPr>
      </w:pPr>
      <w:r>
        <w:rPr>
          <w:rFonts w:hint="eastAsia"/>
          <w:color w:val="000000"/>
          <w:sz w:val="24"/>
          <w:szCs w:val="20"/>
        </w:rPr>
        <w:t>8</w:t>
      </w:r>
      <w:r>
        <w:rPr>
          <w:color w:val="000000"/>
          <w:sz w:val="24"/>
          <w:szCs w:val="20"/>
        </w:rPr>
        <w:t>-1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7D67B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FEF1784">
            <w:pPr>
              <w:rPr>
                <w:sz w:val="24"/>
              </w:rPr>
            </w:pPr>
            <w:r>
              <w:rPr>
                <w:rFonts w:hint="eastAsia"/>
                <w:sz w:val="24"/>
              </w:rPr>
              <w:t>供应商名称</w:t>
            </w:r>
          </w:p>
        </w:tc>
        <w:tc>
          <w:tcPr>
            <w:tcW w:w="1667" w:type="pct"/>
          </w:tcPr>
          <w:p w14:paraId="12662D20">
            <w:pPr>
              <w:rPr>
                <w:sz w:val="24"/>
              </w:rPr>
            </w:pPr>
            <w:r>
              <w:rPr>
                <w:rFonts w:hint="eastAsia"/>
                <w:sz w:val="24"/>
              </w:rPr>
              <w:t>供应商所属性别</w:t>
            </w:r>
          </w:p>
        </w:tc>
        <w:tc>
          <w:tcPr>
            <w:tcW w:w="1667" w:type="pct"/>
          </w:tcPr>
          <w:p w14:paraId="74DDD600">
            <w:pPr>
              <w:rPr>
                <w:sz w:val="24"/>
              </w:rPr>
            </w:pPr>
            <w:r>
              <w:rPr>
                <w:rFonts w:hint="eastAsia"/>
                <w:sz w:val="24"/>
              </w:rPr>
              <w:t>外商投资类型</w:t>
            </w:r>
          </w:p>
        </w:tc>
      </w:tr>
      <w:tr w14:paraId="7ECBD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0E40D681">
            <w:pPr>
              <w:rPr>
                <w:sz w:val="24"/>
              </w:rPr>
            </w:pPr>
          </w:p>
        </w:tc>
        <w:tc>
          <w:tcPr>
            <w:tcW w:w="1667" w:type="pct"/>
          </w:tcPr>
          <w:p w14:paraId="6871BE3F">
            <w:pPr>
              <w:rPr>
                <w:sz w:val="24"/>
              </w:rPr>
            </w:pPr>
          </w:p>
        </w:tc>
        <w:tc>
          <w:tcPr>
            <w:tcW w:w="1667" w:type="pct"/>
          </w:tcPr>
          <w:p w14:paraId="6E9C573E">
            <w:pPr>
              <w:rPr>
                <w:sz w:val="24"/>
              </w:rPr>
            </w:pPr>
          </w:p>
        </w:tc>
      </w:tr>
      <w:tr w14:paraId="341DA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6CDD3D79">
            <w:pPr>
              <w:rPr>
                <w:sz w:val="24"/>
              </w:rPr>
            </w:pPr>
          </w:p>
        </w:tc>
        <w:tc>
          <w:tcPr>
            <w:tcW w:w="1667" w:type="pct"/>
          </w:tcPr>
          <w:p w14:paraId="7E8C40D1">
            <w:pPr>
              <w:rPr>
                <w:sz w:val="24"/>
              </w:rPr>
            </w:pPr>
          </w:p>
        </w:tc>
        <w:tc>
          <w:tcPr>
            <w:tcW w:w="1667" w:type="pct"/>
          </w:tcPr>
          <w:p w14:paraId="659F877C">
            <w:pPr>
              <w:rPr>
                <w:sz w:val="24"/>
              </w:rPr>
            </w:pPr>
          </w:p>
        </w:tc>
      </w:tr>
      <w:tr w14:paraId="32BF1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6F93C92E">
            <w:pPr>
              <w:rPr>
                <w:sz w:val="24"/>
              </w:rPr>
            </w:pPr>
          </w:p>
        </w:tc>
        <w:tc>
          <w:tcPr>
            <w:tcW w:w="1667" w:type="pct"/>
          </w:tcPr>
          <w:p w14:paraId="1399CB58">
            <w:pPr>
              <w:rPr>
                <w:sz w:val="24"/>
              </w:rPr>
            </w:pPr>
          </w:p>
        </w:tc>
        <w:tc>
          <w:tcPr>
            <w:tcW w:w="1667" w:type="pct"/>
          </w:tcPr>
          <w:p w14:paraId="0E1ABC86">
            <w:pPr>
              <w:rPr>
                <w:sz w:val="24"/>
              </w:rPr>
            </w:pPr>
          </w:p>
        </w:tc>
      </w:tr>
      <w:tr w14:paraId="41CF0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7723455">
            <w:pPr>
              <w:rPr>
                <w:sz w:val="24"/>
              </w:rPr>
            </w:pPr>
          </w:p>
        </w:tc>
        <w:tc>
          <w:tcPr>
            <w:tcW w:w="1667" w:type="pct"/>
          </w:tcPr>
          <w:p w14:paraId="234E7E64">
            <w:pPr>
              <w:rPr>
                <w:sz w:val="24"/>
              </w:rPr>
            </w:pPr>
          </w:p>
        </w:tc>
        <w:tc>
          <w:tcPr>
            <w:tcW w:w="1667" w:type="pct"/>
          </w:tcPr>
          <w:p w14:paraId="1553902E">
            <w:pPr>
              <w:rPr>
                <w:sz w:val="24"/>
              </w:rPr>
            </w:pPr>
          </w:p>
        </w:tc>
      </w:tr>
    </w:tbl>
    <w:p w14:paraId="3DD8BB21">
      <w:pPr>
        <w:tabs>
          <w:tab w:val="left" w:pos="1800"/>
          <w:tab w:val="left" w:pos="5580"/>
        </w:tabs>
        <w:jc w:val="left"/>
        <w:rPr>
          <w:color w:val="000000"/>
          <w:sz w:val="24"/>
        </w:rPr>
      </w:pPr>
      <w:r>
        <w:rPr>
          <w:color w:val="000000"/>
          <w:sz w:val="24"/>
        </w:rPr>
        <w:t>注：1.供应商如为联合体，则应填写联合体各成员信息。</w:t>
      </w:r>
    </w:p>
    <w:p w14:paraId="3E8FBFFF">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2BC57FC4">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285D74B6">
      <w:pPr>
        <w:widowControl/>
        <w:jc w:val="left"/>
        <w:rPr>
          <w:b/>
          <w:sz w:val="36"/>
          <w:szCs w:val="36"/>
        </w:rPr>
        <w:sectPr>
          <w:pgSz w:w="11907" w:h="16840"/>
          <w:pgMar w:top="1418" w:right="1134" w:bottom="1418" w:left="1701" w:header="851" w:footer="851" w:gutter="0"/>
          <w:cols w:space="720" w:num="1"/>
          <w:docGrid w:linePitch="462" w:charSpace="0"/>
        </w:sectPr>
      </w:pPr>
    </w:p>
    <w:p w14:paraId="293F1FBC">
      <w:pPr>
        <w:pStyle w:val="17"/>
        <w:spacing w:before="308" w:line="242" w:lineRule="auto"/>
        <w:ind w:left="128" w:right="3784"/>
        <w:rPr>
          <w:rFonts w:hint="eastAsia" w:cs="宋体"/>
        </w:rPr>
      </w:pPr>
      <w:bookmarkStart w:id="979" w:name="_Toc6182"/>
      <w:bookmarkStart w:id="980" w:name="_Toc1455919030"/>
      <w:r>
        <w:rPr>
          <w:rFonts w:hint="eastAsia" w:cs="宋体"/>
          <w:spacing w:val="1"/>
        </w:rPr>
        <w:t>8-2 业绩证明材料</w:t>
      </w:r>
      <w:bookmarkEnd w:id="979"/>
      <w:bookmarkEnd w:id="980"/>
    </w:p>
    <w:p w14:paraId="75B12E3C">
      <w:pPr>
        <w:spacing w:line="360" w:lineRule="auto"/>
        <w:rPr>
          <w:rFonts w:hint="eastAsia" w:ascii="宋体" w:hAnsi="宋体" w:cs="宋体"/>
        </w:rPr>
      </w:pPr>
    </w:p>
    <w:p w14:paraId="2947A3D1">
      <w:pPr>
        <w:spacing w:line="360" w:lineRule="auto"/>
        <w:rPr>
          <w:rFonts w:hint="eastAsia" w:ascii="宋体" w:hAnsi="宋体" w:cs="宋体"/>
          <w:sz w:val="24"/>
        </w:rPr>
      </w:pPr>
      <w:r>
        <w:rPr>
          <w:color w:val="000000"/>
          <w:sz w:val="24"/>
        </w:rPr>
        <w:t>项目编号/包号：_____________________     项目名称：____________</w:t>
      </w:r>
    </w:p>
    <w:tbl>
      <w:tblPr>
        <w:tblStyle w:val="42"/>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23"/>
        <w:gridCol w:w="823"/>
        <w:gridCol w:w="823"/>
        <w:gridCol w:w="1239"/>
        <w:gridCol w:w="1358"/>
        <w:gridCol w:w="2833"/>
      </w:tblGrid>
      <w:tr w14:paraId="444F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3C6451AF">
            <w:pPr>
              <w:adjustRightInd w:val="0"/>
              <w:snapToGrid w:val="0"/>
              <w:spacing w:line="360" w:lineRule="auto"/>
              <w:jc w:val="center"/>
              <w:rPr>
                <w:rFonts w:hint="eastAsia" w:ascii="宋体" w:hAnsi="宋体" w:cs="宋体"/>
                <w:sz w:val="24"/>
              </w:rPr>
            </w:pPr>
            <w:r>
              <w:rPr>
                <w:rFonts w:hint="eastAsia" w:ascii="宋体" w:hAnsi="宋体" w:cs="宋体"/>
                <w:sz w:val="24"/>
              </w:rPr>
              <w:t>序号</w:t>
            </w:r>
          </w:p>
        </w:tc>
        <w:tc>
          <w:tcPr>
            <w:tcW w:w="823" w:type="dxa"/>
            <w:tcBorders>
              <w:top w:val="single" w:color="auto" w:sz="4" w:space="0"/>
              <w:left w:val="single" w:color="auto" w:sz="4" w:space="0"/>
              <w:bottom w:val="single" w:color="auto" w:sz="4" w:space="0"/>
              <w:right w:val="single" w:color="auto" w:sz="4" w:space="0"/>
            </w:tcBorders>
            <w:vAlign w:val="center"/>
          </w:tcPr>
          <w:p w14:paraId="6F9E685C">
            <w:pPr>
              <w:adjustRightInd w:val="0"/>
              <w:snapToGrid w:val="0"/>
              <w:spacing w:line="360" w:lineRule="auto"/>
              <w:jc w:val="center"/>
              <w:rPr>
                <w:rFonts w:hint="eastAsia" w:ascii="宋体" w:hAnsi="宋体" w:cs="宋体"/>
                <w:sz w:val="24"/>
              </w:rPr>
            </w:pPr>
            <w:r>
              <w:rPr>
                <w:rFonts w:hint="eastAsia" w:ascii="宋体" w:hAnsi="宋体" w:cs="宋体"/>
                <w:sz w:val="24"/>
              </w:rPr>
              <w:t>用户名称</w:t>
            </w:r>
          </w:p>
        </w:tc>
        <w:tc>
          <w:tcPr>
            <w:tcW w:w="823" w:type="dxa"/>
            <w:tcBorders>
              <w:top w:val="single" w:color="auto" w:sz="4" w:space="0"/>
              <w:left w:val="single" w:color="auto" w:sz="4" w:space="0"/>
              <w:bottom w:val="single" w:color="auto" w:sz="4" w:space="0"/>
              <w:right w:val="single" w:color="auto" w:sz="4" w:space="0"/>
            </w:tcBorders>
            <w:vAlign w:val="center"/>
          </w:tcPr>
          <w:p w14:paraId="2B167DB2">
            <w:pPr>
              <w:adjustRightInd w:val="0"/>
              <w:snapToGrid w:val="0"/>
              <w:spacing w:line="360" w:lineRule="auto"/>
              <w:jc w:val="center"/>
              <w:rPr>
                <w:rFonts w:hint="eastAsia" w:ascii="宋体" w:hAnsi="宋体" w:cs="宋体"/>
                <w:sz w:val="24"/>
              </w:rPr>
            </w:pPr>
            <w:r>
              <w:rPr>
                <w:rFonts w:hint="eastAsia" w:ascii="宋体" w:hAnsi="宋体" w:cs="宋体"/>
                <w:sz w:val="24"/>
              </w:rPr>
              <w:t>项目名称</w:t>
            </w:r>
          </w:p>
        </w:tc>
        <w:tc>
          <w:tcPr>
            <w:tcW w:w="823" w:type="dxa"/>
            <w:tcBorders>
              <w:top w:val="single" w:color="auto" w:sz="4" w:space="0"/>
              <w:left w:val="single" w:color="auto" w:sz="4" w:space="0"/>
              <w:bottom w:val="single" w:color="auto" w:sz="4" w:space="0"/>
              <w:right w:val="single" w:color="auto" w:sz="4" w:space="0"/>
            </w:tcBorders>
            <w:vAlign w:val="center"/>
          </w:tcPr>
          <w:p w14:paraId="18E0DB46">
            <w:pPr>
              <w:adjustRightInd w:val="0"/>
              <w:snapToGrid w:val="0"/>
              <w:spacing w:line="360" w:lineRule="auto"/>
              <w:jc w:val="center"/>
              <w:rPr>
                <w:rFonts w:hint="eastAsia" w:ascii="宋体" w:hAnsi="宋体" w:cs="宋体"/>
                <w:sz w:val="24"/>
              </w:rPr>
            </w:pPr>
            <w:r>
              <w:rPr>
                <w:rFonts w:hint="eastAsia" w:ascii="宋体" w:hAnsi="宋体" w:cs="宋体"/>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14:paraId="0548DC75">
            <w:pPr>
              <w:adjustRightInd w:val="0"/>
              <w:snapToGrid w:val="0"/>
              <w:spacing w:line="360" w:lineRule="auto"/>
              <w:jc w:val="center"/>
              <w:rPr>
                <w:rFonts w:hint="eastAsia" w:ascii="宋体" w:hAnsi="宋体" w:cs="宋体"/>
                <w:sz w:val="24"/>
              </w:rPr>
            </w:pPr>
            <w:r>
              <w:rPr>
                <w:rFonts w:hint="eastAsia" w:ascii="宋体" w:hAnsi="宋体" w:cs="宋体"/>
                <w:sz w:val="24"/>
              </w:rPr>
              <w:t>合同价</w:t>
            </w:r>
          </w:p>
          <w:p w14:paraId="573E27AE">
            <w:pPr>
              <w:adjustRightInd w:val="0"/>
              <w:snapToGrid w:val="0"/>
              <w:spacing w:line="360" w:lineRule="auto"/>
              <w:jc w:val="center"/>
              <w:rPr>
                <w:rFonts w:hint="eastAsia" w:ascii="宋体" w:hAnsi="宋体" w:cs="宋体"/>
                <w:sz w:val="24"/>
              </w:rPr>
            </w:pPr>
            <w:r>
              <w:rPr>
                <w:rFonts w:hint="eastAsia" w:ascii="宋体" w:hAnsi="宋体" w:cs="宋体"/>
                <w:sz w:val="24"/>
              </w:rPr>
              <w:t>（金额）</w:t>
            </w:r>
          </w:p>
        </w:tc>
        <w:tc>
          <w:tcPr>
            <w:tcW w:w="1358" w:type="dxa"/>
            <w:tcBorders>
              <w:top w:val="single" w:color="auto" w:sz="4" w:space="0"/>
              <w:left w:val="single" w:color="auto" w:sz="4" w:space="0"/>
              <w:bottom w:val="single" w:color="auto" w:sz="4" w:space="0"/>
              <w:right w:val="single" w:color="auto" w:sz="4" w:space="0"/>
            </w:tcBorders>
            <w:vAlign w:val="center"/>
          </w:tcPr>
          <w:p w14:paraId="06851A60">
            <w:pPr>
              <w:adjustRightInd w:val="0"/>
              <w:snapToGrid w:val="0"/>
              <w:spacing w:line="360" w:lineRule="auto"/>
              <w:jc w:val="center"/>
              <w:rPr>
                <w:rFonts w:hint="eastAsia" w:ascii="宋体" w:hAnsi="宋体" w:cs="宋体"/>
                <w:sz w:val="24"/>
              </w:rPr>
            </w:pPr>
            <w:r>
              <w:rPr>
                <w:rFonts w:hint="eastAsia" w:ascii="宋体" w:hAnsi="宋体" w:cs="宋体"/>
                <w:sz w:val="24"/>
              </w:rPr>
              <w:t>项目年份</w:t>
            </w:r>
          </w:p>
        </w:tc>
        <w:tc>
          <w:tcPr>
            <w:tcW w:w="2833" w:type="dxa"/>
            <w:tcBorders>
              <w:top w:val="single" w:color="auto" w:sz="4" w:space="0"/>
              <w:left w:val="single" w:color="auto" w:sz="4" w:space="0"/>
              <w:bottom w:val="single" w:color="auto" w:sz="4" w:space="0"/>
              <w:right w:val="single" w:color="auto" w:sz="4" w:space="0"/>
            </w:tcBorders>
            <w:vAlign w:val="center"/>
          </w:tcPr>
          <w:p w14:paraId="3B519863">
            <w:pPr>
              <w:adjustRightInd w:val="0"/>
              <w:snapToGrid w:val="0"/>
              <w:spacing w:line="360" w:lineRule="auto"/>
              <w:jc w:val="center"/>
              <w:rPr>
                <w:rFonts w:hint="eastAsia" w:ascii="宋体" w:hAnsi="宋体" w:cs="宋体"/>
                <w:sz w:val="24"/>
              </w:rPr>
            </w:pPr>
            <w:r>
              <w:rPr>
                <w:rFonts w:hint="eastAsia" w:ascii="宋体" w:hAnsi="宋体" w:cs="宋体"/>
                <w:sz w:val="24"/>
              </w:rPr>
              <w:t>用户、联系电话、联系人</w:t>
            </w:r>
          </w:p>
        </w:tc>
      </w:tr>
      <w:tr w14:paraId="30FE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46859224">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0D4440C1">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0E74DF25">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34A1364E">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7AD1A17">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14:paraId="36CEB055">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14:paraId="324F8DC3">
            <w:pPr>
              <w:adjustRightInd w:val="0"/>
              <w:snapToGrid w:val="0"/>
              <w:spacing w:line="360" w:lineRule="auto"/>
              <w:jc w:val="center"/>
              <w:rPr>
                <w:rFonts w:hint="eastAsia" w:ascii="宋体" w:hAnsi="宋体" w:cs="宋体"/>
                <w:sz w:val="24"/>
              </w:rPr>
            </w:pPr>
          </w:p>
        </w:tc>
      </w:tr>
      <w:tr w14:paraId="6D8D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25DE0D11">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52A81041">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1484679B">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36875E8E">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2433EBD">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14:paraId="68CA8145">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14:paraId="3BCE1F24">
            <w:pPr>
              <w:adjustRightInd w:val="0"/>
              <w:snapToGrid w:val="0"/>
              <w:spacing w:line="360" w:lineRule="auto"/>
              <w:jc w:val="center"/>
              <w:rPr>
                <w:rFonts w:hint="eastAsia" w:ascii="宋体" w:hAnsi="宋体" w:cs="宋体"/>
                <w:sz w:val="24"/>
              </w:rPr>
            </w:pPr>
          </w:p>
        </w:tc>
      </w:tr>
      <w:tr w14:paraId="4E02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69AF5B2D">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0749CC5B">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35316DF7">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44546B55">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5A6641B">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14:paraId="0B5B63E9">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14:paraId="4C149E1C">
            <w:pPr>
              <w:adjustRightInd w:val="0"/>
              <w:snapToGrid w:val="0"/>
              <w:spacing w:line="360" w:lineRule="auto"/>
              <w:jc w:val="center"/>
              <w:rPr>
                <w:rFonts w:hint="eastAsia" w:ascii="宋体" w:hAnsi="宋体" w:cs="宋体"/>
                <w:sz w:val="24"/>
              </w:rPr>
            </w:pPr>
          </w:p>
        </w:tc>
      </w:tr>
      <w:tr w14:paraId="0252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52382818">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4F66F589">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3BE67A49">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13EE237B">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1D3DACF">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14:paraId="277E08B9">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14:paraId="29216CA9">
            <w:pPr>
              <w:adjustRightInd w:val="0"/>
              <w:snapToGrid w:val="0"/>
              <w:spacing w:line="360" w:lineRule="auto"/>
              <w:jc w:val="center"/>
              <w:rPr>
                <w:rFonts w:hint="eastAsia" w:ascii="宋体" w:hAnsi="宋体" w:cs="宋体"/>
                <w:sz w:val="24"/>
              </w:rPr>
            </w:pPr>
          </w:p>
        </w:tc>
      </w:tr>
      <w:tr w14:paraId="50D3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2E1A9A4A">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4D9DDBE8">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3C0A27A7">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6C9FF95F">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02EAB32">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14:paraId="296A7668">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14:paraId="744D3411">
            <w:pPr>
              <w:adjustRightInd w:val="0"/>
              <w:snapToGrid w:val="0"/>
              <w:spacing w:line="360" w:lineRule="auto"/>
              <w:jc w:val="center"/>
              <w:rPr>
                <w:rFonts w:hint="eastAsia" w:ascii="宋体" w:hAnsi="宋体" w:cs="宋体"/>
                <w:sz w:val="24"/>
              </w:rPr>
            </w:pPr>
          </w:p>
        </w:tc>
      </w:tr>
      <w:tr w14:paraId="5CC6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59AAD512">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09BD0270">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33132F92">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0214C650">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208AF78">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14:paraId="52408894">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14:paraId="10C47B99">
            <w:pPr>
              <w:adjustRightInd w:val="0"/>
              <w:snapToGrid w:val="0"/>
              <w:spacing w:line="360" w:lineRule="auto"/>
              <w:jc w:val="center"/>
              <w:rPr>
                <w:rFonts w:hint="eastAsia" w:ascii="宋体" w:hAnsi="宋体" w:cs="宋体"/>
                <w:sz w:val="24"/>
              </w:rPr>
            </w:pPr>
          </w:p>
        </w:tc>
      </w:tr>
      <w:tr w14:paraId="7336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3E1CCB14">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71A7A211">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47016448">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1B70EC9C">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631D6F7">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14:paraId="5110A7B5">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14:paraId="06FEACC4">
            <w:pPr>
              <w:adjustRightInd w:val="0"/>
              <w:snapToGrid w:val="0"/>
              <w:spacing w:line="360" w:lineRule="auto"/>
              <w:jc w:val="center"/>
              <w:rPr>
                <w:rFonts w:hint="eastAsia" w:ascii="宋体" w:hAnsi="宋体" w:cs="宋体"/>
                <w:sz w:val="24"/>
              </w:rPr>
            </w:pPr>
          </w:p>
        </w:tc>
      </w:tr>
      <w:tr w14:paraId="6176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0CAB164E">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1A8358D3">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3BF349C1">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7F61464E">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1D30C54">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14:paraId="288CE53C">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14:paraId="4042E5CB">
            <w:pPr>
              <w:adjustRightInd w:val="0"/>
              <w:snapToGrid w:val="0"/>
              <w:spacing w:line="360" w:lineRule="auto"/>
              <w:jc w:val="center"/>
              <w:rPr>
                <w:rFonts w:hint="eastAsia" w:ascii="宋体" w:hAnsi="宋体" w:cs="宋体"/>
                <w:sz w:val="24"/>
              </w:rPr>
            </w:pPr>
          </w:p>
        </w:tc>
      </w:tr>
      <w:tr w14:paraId="5DFC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1A8D54B3">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3AF7107F">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3340BE31">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55CD2069">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9614857">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14:paraId="64211688">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14:paraId="646A52F2">
            <w:pPr>
              <w:adjustRightInd w:val="0"/>
              <w:snapToGrid w:val="0"/>
              <w:spacing w:line="360" w:lineRule="auto"/>
              <w:jc w:val="center"/>
              <w:rPr>
                <w:rFonts w:hint="eastAsia" w:ascii="宋体" w:hAnsi="宋体" w:cs="宋体"/>
                <w:sz w:val="24"/>
              </w:rPr>
            </w:pPr>
          </w:p>
        </w:tc>
      </w:tr>
      <w:tr w14:paraId="3F6D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4AD7E2D6">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57260761">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68F5F3B2">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3E92DD3D">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33E4461">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14:paraId="26D20133">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14:paraId="6184D1B3">
            <w:pPr>
              <w:adjustRightInd w:val="0"/>
              <w:snapToGrid w:val="0"/>
              <w:spacing w:line="360" w:lineRule="auto"/>
              <w:jc w:val="center"/>
              <w:rPr>
                <w:rFonts w:hint="eastAsia" w:ascii="宋体" w:hAnsi="宋体" w:cs="宋体"/>
                <w:sz w:val="24"/>
              </w:rPr>
            </w:pPr>
          </w:p>
        </w:tc>
      </w:tr>
      <w:tr w14:paraId="466B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6CBFD3C8">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162C8A48">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45C1B1EA">
            <w:pPr>
              <w:adjustRightInd w:val="0"/>
              <w:snapToGrid w:val="0"/>
              <w:spacing w:line="360" w:lineRule="auto"/>
              <w:jc w:val="center"/>
              <w:rPr>
                <w:rFonts w:hint="eastAsia"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32D33BF8">
            <w:pPr>
              <w:adjustRightInd w:val="0"/>
              <w:snapToGrid w:val="0"/>
              <w:spacing w:line="360" w:lineRule="auto"/>
              <w:jc w:val="center"/>
              <w:rPr>
                <w:rFonts w:hint="eastAsia"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CB06A63">
            <w:pPr>
              <w:adjustRightInd w:val="0"/>
              <w:snapToGrid w:val="0"/>
              <w:spacing w:line="360" w:lineRule="auto"/>
              <w:jc w:val="center"/>
              <w:rPr>
                <w:rFonts w:hint="eastAsia"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14:paraId="46EE5B3D">
            <w:pPr>
              <w:adjustRightInd w:val="0"/>
              <w:snapToGrid w:val="0"/>
              <w:spacing w:line="360" w:lineRule="auto"/>
              <w:jc w:val="center"/>
              <w:rPr>
                <w:rFonts w:hint="eastAsia"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14:paraId="412F15FE">
            <w:pPr>
              <w:adjustRightInd w:val="0"/>
              <w:snapToGrid w:val="0"/>
              <w:spacing w:line="360" w:lineRule="auto"/>
              <w:jc w:val="center"/>
              <w:rPr>
                <w:rFonts w:hint="eastAsia" w:ascii="宋体" w:hAnsi="宋体" w:cs="宋体"/>
                <w:sz w:val="24"/>
              </w:rPr>
            </w:pPr>
          </w:p>
        </w:tc>
      </w:tr>
    </w:tbl>
    <w:p w14:paraId="246064C1">
      <w:pPr>
        <w:tabs>
          <w:tab w:val="left" w:pos="5580"/>
        </w:tabs>
        <w:spacing w:line="360" w:lineRule="auto"/>
        <w:rPr>
          <w:rFonts w:hint="eastAsia" w:ascii="宋体" w:hAnsi="宋体" w:cs="宋体"/>
          <w:b/>
          <w:sz w:val="24"/>
        </w:rPr>
      </w:pPr>
    </w:p>
    <w:p w14:paraId="210614EF">
      <w:pPr>
        <w:pStyle w:val="4"/>
        <w:spacing w:line="360" w:lineRule="auto"/>
        <w:ind w:firstLine="0"/>
        <w:rPr>
          <w:rFonts w:hint="eastAsia" w:hAnsi="宋体" w:cs="宋体"/>
          <w:bCs/>
        </w:rPr>
      </w:pPr>
      <w:r>
        <w:rPr>
          <w:rFonts w:hint="eastAsia" w:hAnsi="宋体" w:cs="宋体"/>
          <w:bCs/>
        </w:rPr>
        <w:t>说明：1、</w:t>
      </w:r>
      <w:r>
        <w:rPr>
          <w:rFonts w:hint="eastAsia" w:hAnsi="宋体" w:cs="宋体"/>
        </w:rPr>
        <w:t>评分表明确时间</w:t>
      </w:r>
      <w:r>
        <w:rPr>
          <w:rFonts w:hint="eastAsia" w:hAnsi="宋体"/>
          <w:color w:val="000000"/>
          <w:szCs w:val="21"/>
        </w:rPr>
        <w:t>至</w:t>
      </w:r>
      <w:r>
        <w:rPr>
          <w:rFonts w:hint="eastAsia" w:hAnsi="宋体"/>
          <w:szCs w:val="21"/>
        </w:rPr>
        <w:t>提交投标文件截止时间类似项目业绩（以合同签订日期为准）</w:t>
      </w:r>
      <w:r>
        <w:rPr>
          <w:rFonts w:hint="eastAsia" w:hAnsi="宋体" w:cs="宋体"/>
          <w:bCs/>
        </w:rPr>
        <w:t>。</w:t>
      </w:r>
    </w:p>
    <w:p w14:paraId="015DDFFB">
      <w:pPr>
        <w:pStyle w:val="4"/>
        <w:spacing w:line="360" w:lineRule="auto"/>
        <w:ind w:firstLine="720" w:firstLineChars="300"/>
        <w:rPr>
          <w:rFonts w:hint="eastAsia" w:hAnsi="宋体" w:cs="宋体"/>
        </w:rPr>
      </w:pPr>
      <w:r>
        <w:rPr>
          <w:rFonts w:hint="eastAsia" w:hAnsi="宋体" w:cs="宋体"/>
        </w:rPr>
        <w:t>2、应提供其证明材料（</w:t>
      </w:r>
      <w:r>
        <w:rPr>
          <w:rFonts w:hint="eastAsia" w:hAnsi="宋体"/>
          <w:szCs w:val="21"/>
        </w:rPr>
        <w:t>合同首页、关键内容页、签字盖章页复印件加盖投标人公章</w:t>
      </w:r>
      <w:r>
        <w:rPr>
          <w:rFonts w:hint="eastAsia" w:hAnsi="宋体" w:cs="宋体"/>
        </w:rPr>
        <w:t>）。</w:t>
      </w:r>
    </w:p>
    <w:p w14:paraId="09665AC8">
      <w:pPr>
        <w:pStyle w:val="4"/>
        <w:spacing w:line="360" w:lineRule="auto"/>
        <w:ind w:firstLine="720" w:firstLineChars="300"/>
        <w:rPr>
          <w:rFonts w:hint="eastAsia" w:hAnsi="宋体" w:cs="宋体"/>
        </w:rPr>
      </w:pPr>
      <w:r>
        <w:rPr>
          <w:rFonts w:hint="eastAsia" w:hAnsi="宋体" w:cs="宋体"/>
        </w:rPr>
        <w:t>3、为证明业绩列表中的内容真实和有效，采购人保留审核原件的权利。</w:t>
      </w:r>
    </w:p>
    <w:p w14:paraId="36B55FC8">
      <w:pPr>
        <w:pStyle w:val="23"/>
        <w:tabs>
          <w:tab w:val="left" w:pos="5580"/>
        </w:tabs>
        <w:spacing w:line="360" w:lineRule="auto"/>
        <w:rPr>
          <w:rFonts w:hAnsi="宋体" w:cs="宋体"/>
          <w:sz w:val="24"/>
          <w:szCs w:val="24"/>
        </w:rPr>
      </w:pPr>
    </w:p>
    <w:p w14:paraId="672858AD">
      <w:pPr>
        <w:autoSpaceDE w:val="0"/>
        <w:autoSpaceDN w:val="0"/>
        <w:adjustRightInd w:val="0"/>
        <w:snapToGrid w:val="0"/>
        <w:spacing w:line="360" w:lineRule="auto"/>
        <w:rPr>
          <w:rFonts w:hint="eastAsia" w:ascii="宋体" w:hAnsi="宋体" w:cs="宋体"/>
          <w:color w:val="000000"/>
          <w:sz w:val="24"/>
          <w:lang w:val="zh-CN"/>
        </w:rPr>
      </w:pPr>
      <w:bookmarkStart w:id="981" w:name="OLE_LINK62"/>
      <w:bookmarkStart w:id="982" w:name="OLE_LINK61"/>
      <w:r>
        <w:rPr>
          <w:rFonts w:hint="eastAsia" w:ascii="宋体" w:hAnsi="宋体" w:cs="宋体"/>
          <w:color w:val="000000"/>
          <w:sz w:val="24"/>
        </w:rPr>
        <w:t>投标人名称（加盖公章）</w:t>
      </w:r>
      <w:r>
        <w:rPr>
          <w:rFonts w:hint="eastAsia" w:ascii="宋体" w:hAnsi="宋体" w:cs="宋体"/>
          <w:color w:val="000000"/>
          <w:sz w:val="24"/>
          <w:lang w:val="zh-CN"/>
        </w:rPr>
        <w:t>：____________</w:t>
      </w:r>
    </w:p>
    <w:p w14:paraId="11DEE547">
      <w:pPr>
        <w:pStyle w:val="4"/>
        <w:spacing w:line="360" w:lineRule="auto"/>
        <w:ind w:firstLine="0"/>
        <w:rPr>
          <w:rFonts w:hint="eastAsia" w:hAnsi="宋体" w:cs="宋体"/>
        </w:rPr>
      </w:pPr>
      <w:r>
        <w:rPr>
          <w:rFonts w:hint="eastAsia" w:hAnsi="宋体" w:cs="宋体"/>
          <w:color w:val="000000"/>
          <w:szCs w:val="20"/>
        </w:rPr>
        <w:t>日期：_____年______月______日</w:t>
      </w:r>
      <w:bookmarkEnd w:id="981"/>
      <w:bookmarkEnd w:id="982"/>
    </w:p>
    <w:p w14:paraId="2F0E9502">
      <w:pPr>
        <w:rPr>
          <w:rFonts w:hint="eastAsia" w:ascii="宋体" w:hAnsi="宋体" w:cs="宋体"/>
          <w:b/>
          <w:color w:val="000000"/>
          <w:sz w:val="28"/>
          <w:szCs w:val="28"/>
          <w:lang w:val="zh-CN"/>
        </w:rPr>
      </w:pPr>
      <w:bookmarkStart w:id="983" w:name="_Toc496291415"/>
      <w:bookmarkStart w:id="984" w:name="_Toc56786499"/>
      <w:bookmarkStart w:id="985" w:name="_Toc100786170"/>
    </w:p>
    <w:p w14:paraId="5D773AC0">
      <w:pPr>
        <w:pStyle w:val="17"/>
        <w:spacing w:before="308" w:line="242" w:lineRule="auto"/>
        <w:ind w:left="128" w:right="3784"/>
        <w:rPr>
          <w:rFonts w:hint="eastAsia" w:cs="宋体"/>
          <w:spacing w:val="1"/>
        </w:rPr>
      </w:pPr>
      <w:bookmarkStart w:id="986" w:name="_Toc1979430374"/>
      <w:r>
        <w:rPr>
          <w:rFonts w:cs="宋体"/>
          <w:color w:val="000000"/>
          <w:szCs w:val="28"/>
        </w:rPr>
        <w:br w:type="page"/>
      </w:r>
      <w:r>
        <w:rPr>
          <w:rFonts w:hint="eastAsia" w:cs="宋体"/>
          <w:spacing w:val="1"/>
        </w:rPr>
        <w:t xml:space="preserve">8-3  </w:t>
      </w:r>
      <w:bookmarkEnd w:id="983"/>
      <w:r>
        <w:rPr>
          <w:rFonts w:hint="eastAsia" w:cs="宋体"/>
          <w:spacing w:val="1"/>
        </w:rPr>
        <w:t>拟投入本项目的项目组人员配备情况</w:t>
      </w:r>
      <w:bookmarkEnd w:id="984"/>
      <w:bookmarkEnd w:id="985"/>
      <w:bookmarkEnd w:id="986"/>
    </w:p>
    <w:p w14:paraId="4215CD76">
      <w:pPr>
        <w:pStyle w:val="17"/>
        <w:spacing w:before="308" w:line="242" w:lineRule="auto"/>
        <w:ind w:left="128" w:right="3784"/>
        <w:rPr>
          <w:rFonts w:hint="eastAsia" w:cs="宋体"/>
          <w:color w:val="000000"/>
          <w:szCs w:val="28"/>
        </w:rPr>
      </w:pPr>
    </w:p>
    <w:p w14:paraId="59780F6B">
      <w:pPr>
        <w:spacing w:line="360" w:lineRule="auto"/>
        <w:jc w:val="center"/>
        <w:rPr>
          <w:rFonts w:hint="eastAsia" w:ascii="宋体" w:hAnsi="宋体" w:cs="宋体"/>
          <w:color w:val="000000"/>
          <w:sz w:val="24"/>
        </w:rPr>
      </w:pPr>
      <w:bookmarkStart w:id="987" w:name="_Toc486431029"/>
      <w:bookmarkStart w:id="988" w:name="_Toc486431303"/>
      <w:r>
        <w:rPr>
          <w:rFonts w:hint="eastAsia" w:ascii="宋体" w:hAnsi="宋体" w:cs="宋体"/>
          <w:color w:val="000000"/>
          <w:sz w:val="24"/>
        </w:rPr>
        <w:t>（1）项目负责人简历表</w:t>
      </w:r>
      <w:bookmarkEnd w:id="987"/>
      <w:bookmarkEnd w:id="988"/>
    </w:p>
    <w:p w14:paraId="6DF456C2">
      <w:pPr>
        <w:spacing w:line="360" w:lineRule="auto"/>
        <w:ind w:right="658" w:firstLine="120" w:firstLineChars="50"/>
        <w:rPr>
          <w:rFonts w:hint="eastAsia" w:ascii="宋体" w:hAnsi="宋体" w:cs="宋体"/>
          <w:color w:val="000000"/>
          <w:sz w:val="24"/>
        </w:rPr>
      </w:pPr>
      <w:r>
        <w:rPr>
          <w:color w:val="000000"/>
          <w:sz w:val="24"/>
        </w:rPr>
        <w:t>项目编号/包号：_____________________     项目名称：____________</w:t>
      </w:r>
      <w:r>
        <w:rPr>
          <w:rFonts w:hint="eastAsia" w:ascii="宋体" w:hAnsi="宋体" w:cs="宋体"/>
          <w:color w:val="000000"/>
          <w:sz w:val="24"/>
        </w:rPr>
        <w:t>____</w:t>
      </w:r>
    </w:p>
    <w:tbl>
      <w:tblPr>
        <w:tblStyle w:val="42"/>
        <w:tblW w:w="8831"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61"/>
        <w:gridCol w:w="1484"/>
        <w:gridCol w:w="1080"/>
        <w:gridCol w:w="403"/>
        <w:gridCol w:w="233"/>
        <w:gridCol w:w="1369"/>
        <w:gridCol w:w="1406"/>
        <w:gridCol w:w="1560"/>
      </w:tblGrid>
      <w:tr w14:paraId="6149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5" w:type="dxa"/>
            <w:tcBorders>
              <w:top w:val="single" w:color="auto" w:sz="4" w:space="0"/>
              <w:left w:val="single" w:color="auto" w:sz="4" w:space="0"/>
              <w:bottom w:val="single" w:color="auto" w:sz="4" w:space="0"/>
              <w:right w:val="single" w:color="auto" w:sz="4" w:space="0"/>
            </w:tcBorders>
            <w:vAlign w:val="center"/>
          </w:tcPr>
          <w:p w14:paraId="51B136FA">
            <w:pPr>
              <w:spacing w:line="360" w:lineRule="auto"/>
              <w:jc w:val="center"/>
              <w:rPr>
                <w:rFonts w:hint="eastAsia" w:ascii="宋体" w:hAnsi="宋体" w:cs="宋体"/>
                <w:color w:val="000000"/>
                <w:sz w:val="24"/>
              </w:rPr>
            </w:pPr>
            <w:r>
              <w:rPr>
                <w:rFonts w:hint="eastAsia" w:ascii="宋体" w:hAnsi="宋体" w:cs="宋体"/>
                <w:color w:val="000000"/>
                <w:sz w:val="24"/>
              </w:rPr>
              <w:t>姓名</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1697013F">
            <w:pPr>
              <w:spacing w:line="360" w:lineRule="auto"/>
              <w:jc w:val="center"/>
              <w:rPr>
                <w:rFonts w:hint="eastAsia" w:ascii="宋体" w:hAnsi="宋体" w:cs="宋体"/>
                <w:color w:val="000000"/>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3A177AFF">
            <w:pPr>
              <w:spacing w:line="360" w:lineRule="auto"/>
              <w:jc w:val="center"/>
              <w:rPr>
                <w:rFonts w:hint="eastAsia" w:ascii="宋体" w:hAnsi="宋体" w:cs="宋体"/>
                <w:color w:val="000000"/>
                <w:sz w:val="24"/>
              </w:rPr>
            </w:pPr>
            <w:r>
              <w:rPr>
                <w:rFonts w:hint="eastAsia" w:ascii="宋体" w:hAnsi="宋体" w:cs="宋体"/>
                <w:color w:val="000000"/>
                <w:sz w:val="24"/>
              </w:rPr>
              <w:t>性别</w:t>
            </w:r>
          </w:p>
        </w:tc>
        <w:tc>
          <w:tcPr>
            <w:tcW w:w="2005" w:type="dxa"/>
            <w:gridSpan w:val="3"/>
            <w:tcBorders>
              <w:top w:val="single" w:color="auto" w:sz="4" w:space="0"/>
              <w:left w:val="single" w:color="auto" w:sz="4" w:space="0"/>
              <w:bottom w:val="single" w:color="auto" w:sz="4" w:space="0"/>
              <w:right w:val="single" w:color="auto" w:sz="4" w:space="0"/>
            </w:tcBorders>
            <w:vAlign w:val="center"/>
          </w:tcPr>
          <w:p w14:paraId="31D64973">
            <w:pPr>
              <w:spacing w:line="360" w:lineRule="auto"/>
              <w:jc w:val="center"/>
              <w:rPr>
                <w:rFonts w:hint="eastAsia"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14:paraId="04CC9F31">
            <w:pPr>
              <w:spacing w:line="360" w:lineRule="auto"/>
              <w:jc w:val="center"/>
              <w:rPr>
                <w:rFonts w:hint="eastAsia" w:ascii="宋体" w:hAnsi="宋体" w:cs="宋体"/>
                <w:color w:val="000000"/>
                <w:sz w:val="24"/>
              </w:rPr>
            </w:pPr>
            <w:r>
              <w:rPr>
                <w:rFonts w:hint="eastAsia" w:ascii="宋体" w:hAnsi="宋体" w:cs="宋体"/>
                <w:color w:val="000000"/>
                <w:sz w:val="24"/>
              </w:rPr>
              <w:t>年龄</w:t>
            </w:r>
          </w:p>
        </w:tc>
        <w:tc>
          <w:tcPr>
            <w:tcW w:w="1560" w:type="dxa"/>
            <w:tcBorders>
              <w:top w:val="single" w:color="auto" w:sz="4" w:space="0"/>
              <w:left w:val="single" w:color="auto" w:sz="4" w:space="0"/>
              <w:bottom w:val="single" w:color="auto" w:sz="4" w:space="0"/>
              <w:right w:val="single" w:color="auto" w:sz="4" w:space="0"/>
            </w:tcBorders>
            <w:vAlign w:val="center"/>
          </w:tcPr>
          <w:p w14:paraId="3903C92F">
            <w:pPr>
              <w:spacing w:line="360" w:lineRule="auto"/>
              <w:jc w:val="center"/>
              <w:rPr>
                <w:rFonts w:hint="eastAsia" w:ascii="宋体" w:hAnsi="宋体" w:cs="宋体"/>
                <w:color w:val="000000"/>
                <w:sz w:val="24"/>
              </w:rPr>
            </w:pPr>
          </w:p>
        </w:tc>
      </w:tr>
      <w:tr w14:paraId="5680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5" w:type="dxa"/>
            <w:tcBorders>
              <w:top w:val="single" w:color="auto" w:sz="4" w:space="0"/>
              <w:left w:val="single" w:color="auto" w:sz="4" w:space="0"/>
              <w:bottom w:val="single" w:color="auto" w:sz="4" w:space="0"/>
              <w:right w:val="single" w:color="auto" w:sz="4" w:space="0"/>
            </w:tcBorders>
            <w:vAlign w:val="center"/>
          </w:tcPr>
          <w:p w14:paraId="6860CD0D">
            <w:pPr>
              <w:spacing w:line="360" w:lineRule="auto"/>
              <w:jc w:val="center"/>
              <w:rPr>
                <w:rFonts w:hint="eastAsia" w:ascii="宋体" w:hAnsi="宋体" w:cs="宋体"/>
                <w:color w:val="000000"/>
                <w:sz w:val="24"/>
              </w:rPr>
            </w:pPr>
            <w:r>
              <w:rPr>
                <w:rFonts w:hint="eastAsia" w:ascii="宋体" w:hAnsi="宋体" w:cs="宋体"/>
                <w:color w:val="000000"/>
                <w:sz w:val="24"/>
              </w:rPr>
              <w:t>职务</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64A76D32">
            <w:pPr>
              <w:spacing w:line="360" w:lineRule="auto"/>
              <w:jc w:val="center"/>
              <w:rPr>
                <w:rFonts w:hint="eastAsia" w:ascii="宋体" w:hAnsi="宋体" w:cs="宋体"/>
                <w:color w:val="000000"/>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06151293">
            <w:pPr>
              <w:spacing w:line="360" w:lineRule="auto"/>
              <w:jc w:val="center"/>
              <w:rPr>
                <w:rFonts w:hint="eastAsia" w:ascii="宋体" w:hAnsi="宋体" w:cs="宋体"/>
                <w:color w:val="000000"/>
                <w:sz w:val="24"/>
              </w:rPr>
            </w:pPr>
            <w:r>
              <w:rPr>
                <w:rFonts w:hint="eastAsia" w:ascii="宋体" w:hAnsi="宋体" w:cs="宋体"/>
                <w:color w:val="000000"/>
                <w:sz w:val="24"/>
              </w:rPr>
              <w:t>职称</w:t>
            </w:r>
          </w:p>
        </w:tc>
        <w:tc>
          <w:tcPr>
            <w:tcW w:w="2005" w:type="dxa"/>
            <w:gridSpan w:val="3"/>
            <w:tcBorders>
              <w:top w:val="single" w:color="auto" w:sz="4" w:space="0"/>
              <w:left w:val="single" w:color="auto" w:sz="4" w:space="0"/>
              <w:bottom w:val="single" w:color="auto" w:sz="4" w:space="0"/>
              <w:right w:val="single" w:color="auto" w:sz="4" w:space="0"/>
            </w:tcBorders>
            <w:vAlign w:val="center"/>
          </w:tcPr>
          <w:p w14:paraId="71764B18">
            <w:pPr>
              <w:spacing w:line="360" w:lineRule="auto"/>
              <w:jc w:val="center"/>
              <w:rPr>
                <w:rFonts w:hint="eastAsia"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14:paraId="622BD2AD">
            <w:pPr>
              <w:spacing w:line="360" w:lineRule="auto"/>
              <w:jc w:val="center"/>
              <w:rPr>
                <w:rFonts w:hint="eastAsia" w:ascii="宋体" w:hAnsi="宋体" w:cs="宋体"/>
                <w:color w:val="000000"/>
                <w:sz w:val="24"/>
              </w:rPr>
            </w:pPr>
            <w:r>
              <w:rPr>
                <w:rFonts w:hint="eastAsia" w:ascii="宋体" w:hAnsi="宋体" w:cs="宋体"/>
                <w:color w:val="000000"/>
                <w:sz w:val="24"/>
              </w:rPr>
              <w:t>学历</w:t>
            </w:r>
          </w:p>
        </w:tc>
        <w:tc>
          <w:tcPr>
            <w:tcW w:w="1560" w:type="dxa"/>
            <w:tcBorders>
              <w:top w:val="single" w:color="auto" w:sz="4" w:space="0"/>
              <w:left w:val="single" w:color="auto" w:sz="4" w:space="0"/>
              <w:bottom w:val="single" w:color="auto" w:sz="4" w:space="0"/>
              <w:right w:val="single" w:color="auto" w:sz="4" w:space="0"/>
            </w:tcBorders>
            <w:vAlign w:val="center"/>
          </w:tcPr>
          <w:p w14:paraId="463E1389">
            <w:pPr>
              <w:spacing w:line="360" w:lineRule="auto"/>
              <w:jc w:val="center"/>
              <w:rPr>
                <w:rFonts w:hint="eastAsia" w:ascii="宋体" w:hAnsi="宋体" w:cs="宋体"/>
                <w:color w:val="000000"/>
                <w:sz w:val="24"/>
              </w:rPr>
            </w:pPr>
          </w:p>
        </w:tc>
      </w:tr>
      <w:tr w14:paraId="25F6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780" w:type="dxa"/>
            <w:gridSpan w:val="3"/>
            <w:tcBorders>
              <w:top w:val="single" w:color="auto" w:sz="4" w:space="0"/>
              <w:left w:val="single" w:color="auto" w:sz="4" w:space="0"/>
              <w:bottom w:val="single" w:color="auto" w:sz="4" w:space="0"/>
              <w:right w:val="single" w:color="auto" w:sz="4" w:space="0"/>
            </w:tcBorders>
            <w:vAlign w:val="center"/>
          </w:tcPr>
          <w:p w14:paraId="10A54EE9">
            <w:pPr>
              <w:spacing w:line="360" w:lineRule="auto"/>
              <w:jc w:val="center"/>
              <w:rPr>
                <w:rFonts w:hint="eastAsia" w:ascii="宋体" w:hAnsi="宋体" w:cs="宋体"/>
                <w:color w:val="000000"/>
                <w:sz w:val="24"/>
              </w:rPr>
            </w:pPr>
            <w:r>
              <w:rPr>
                <w:rFonts w:hint="eastAsia" w:ascii="宋体" w:hAnsi="宋体" w:cs="宋体"/>
                <w:color w:val="000000"/>
                <w:sz w:val="24"/>
              </w:rPr>
              <w:t>参加工作时间</w:t>
            </w:r>
          </w:p>
        </w:tc>
        <w:tc>
          <w:tcPr>
            <w:tcW w:w="1716" w:type="dxa"/>
            <w:gridSpan w:val="3"/>
            <w:tcBorders>
              <w:top w:val="single" w:color="auto" w:sz="4" w:space="0"/>
              <w:left w:val="single" w:color="auto" w:sz="4" w:space="0"/>
              <w:bottom w:val="single" w:color="auto" w:sz="4" w:space="0"/>
              <w:right w:val="single" w:color="auto" w:sz="4" w:space="0"/>
            </w:tcBorders>
            <w:vAlign w:val="center"/>
          </w:tcPr>
          <w:p w14:paraId="30D0F6BE">
            <w:pPr>
              <w:spacing w:line="360" w:lineRule="auto"/>
              <w:jc w:val="center"/>
              <w:rPr>
                <w:rFonts w:hint="eastAsia" w:ascii="宋体" w:hAnsi="宋体" w:cs="宋体"/>
                <w:color w:val="000000"/>
                <w:sz w:val="24"/>
              </w:rPr>
            </w:pPr>
          </w:p>
        </w:tc>
        <w:tc>
          <w:tcPr>
            <w:tcW w:w="2775" w:type="dxa"/>
            <w:gridSpan w:val="2"/>
            <w:tcBorders>
              <w:top w:val="single" w:color="auto" w:sz="4" w:space="0"/>
              <w:left w:val="single" w:color="auto" w:sz="4" w:space="0"/>
              <w:bottom w:val="single" w:color="auto" w:sz="4" w:space="0"/>
              <w:right w:val="single" w:color="auto" w:sz="4" w:space="0"/>
            </w:tcBorders>
            <w:vAlign w:val="center"/>
          </w:tcPr>
          <w:p w14:paraId="5B96B668">
            <w:pPr>
              <w:spacing w:line="360" w:lineRule="auto"/>
              <w:jc w:val="center"/>
              <w:rPr>
                <w:rFonts w:hint="eastAsia" w:ascii="宋体" w:hAnsi="宋体" w:cs="宋体"/>
                <w:color w:val="000000"/>
                <w:sz w:val="24"/>
              </w:rPr>
            </w:pPr>
            <w:r>
              <w:rPr>
                <w:rFonts w:hint="eastAsia" w:ascii="宋体" w:hAnsi="宋体" w:cs="宋体"/>
                <w:color w:val="000000"/>
                <w:sz w:val="24"/>
              </w:rPr>
              <w:t>担任项目负责人年限</w:t>
            </w:r>
          </w:p>
        </w:tc>
        <w:tc>
          <w:tcPr>
            <w:tcW w:w="1560" w:type="dxa"/>
            <w:tcBorders>
              <w:top w:val="single" w:color="auto" w:sz="4" w:space="0"/>
              <w:left w:val="single" w:color="auto" w:sz="4" w:space="0"/>
              <w:bottom w:val="single" w:color="auto" w:sz="4" w:space="0"/>
              <w:right w:val="single" w:color="auto" w:sz="4" w:space="0"/>
            </w:tcBorders>
            <w:vAlign w:val="center"/>
          </w:tcPr>
          <w:p w14:paraId="3FE09663">
            <w:pPr>
              <w:spacing w:line="360" w:lineRule="auto"/>
              <w:jc w:val="center"/>
              <w:rPr>
                <w:rFonts w:hint="eastAsia" w:ascii="宋体" w:hAnsi="宋体" w:cs="宋体"/>
                <w:color w:val="000000"/>
                <w:sz w:val="24"/>
              </w:rPr>
            </w:pPr>
          </w:p>
        </w:tc>
      </w:tr>
      <w:tr w14:paraId="3421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831" w:type="dxa"/>
            <w:gridSpan w:val="9"/>
            <w:tcBorders>
              <w:top w:val="single" w:color="auto" w:sz="4" w:space="0"/>
              <w:left w:val="single" w:color="auto" w:sz="4" w:space="0"/>
              <w:bottom w:val="single" w:color="auto" w:sz="4" w:space="0"/>
              <w:right w:val="single" w:color="auto" w:sz="4" w:space="0"/>
            </w:tcBorders>
            <w:vAlign w:val="center"/>
          </w:tcPr>
          <w:p w14:paraId="708186EB">
            <w:pPr>
              <w:spacing w:line="360" w:lineRule="auto"/>
              <w:jc w:val="center"/>
              <w:rPr>
                <w:rFonts w:hint="eastAsia" w:ascii="宋体" w:hAnsi="宋体" w:cs="宋体"/>
                <w:color w:val="000000"/>
                <w:sz w:val="24"/>
              </w:rPr>
            </w:pPr>
            <w:r>
              <w:rPr>
                <w:rFonts w:hint="eastAsia" w:ascii="宋体" w:hAnsi="宋体" w:cs="宋体"/>
                <w:color w:val="000000"/>
                <w:sz w:val="24"/>
              </w:rPr>
              <w:t>正在进行和已完成项目情况</w:t>
            </w:r>
          </w:p>
        </w:tc>
      </w:tr>
      <w:tr w14:paraId="59BF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14:paraId="128554C2">
            <w:pPr>
              <w:spacing w:line="360" w:lineRule="auto"/>
              <w:jc w:val="center"/>
              <w:rPr>
                <w:rFonts w:hint="eastAsia" w:ascii="宋体" w:hAnsi="宋体" w:cs="宋体"/>
                <w:color w:val="000000"/>
                <w:sz w:val="24"/>
              </w:rPr>
            </w:pPr>
            <w:r>
              <w:rPr>
                <w:rFonts w:hint="eastAsia" w:ascii="宋体" w:hAnsi="宋体" w:cs="宋体"/>
                <w:color w:val="000000"/>
                <w:sz w:val="24"/>
              </w:rPr>
              <w:t>用户单位</w:t>
            </w:r>
          </w:p>
        </w:tc>
        <w:tc>
          <w:tcPr>
            <w:tcW w:w="1484" w:type="dxa"/>
            <w:tcBorders>
              <w:top w:val="single" w:color="auto" w:sz="4" w:space="0"/>
              <w:left w:val="single" w:color="auto" w:sz="4" w:space="0"/>
              <w:bottom w:val="single" w:color="auto" w:sz="4" w:space="0"/>
              <w:right w:val="single" w:color="auto" w:sz="4" w:space="0"/>
            </w:tcBorders>
            <w:vAlign w:val="center"/>
          </w:tcPr>
          <w:p w14:paraId="20114921">
            <w:pPr>
              <w:spacing w:line="360" w:lineRule="auto"/>
              <w:jc w:val="center"/>
              <w:rPr>
                <w:rFonts w:hint="eastAsia" w:ascii="宋体" w:hAnsi="宋体" w:cs="宋体"/>
                <w:color w:val="000000"/>
                <w:sz w:val="24"/>
              </w:rPr>
            </w:pPr>
            <w:r>
              <w:rPr>
                <w:rFonts w:hint="eastAsia" w:ascii="宋体" w:hAnsi="宋体" w:cs="宋体"/>
                <w:color w:val="000000"/>
                <w:sz w:val="24"/>
              </w:rPr>
              <w:t>项目名称</w:t>
            </w:r>
          </w:p>
        </w:tc>
        <w:tc>
          <w:tcPr>
            <w:tcW w:w="1483" w:type="dxa"/>
            <w:gridSpan w:val="2"/>
            <w:tcBorders>
              <w:top w:val="single" w:color="auto" w:sz="4" w:space="0"/>
              <w:left w:val="single" w:color="auto" w:sz="4" w:space="0"/>
              <w:bottom w:val="single" w:color="auto" w:sz="4" w:space="0"/>
              <w:right w:val="single" w:color="auto" w:sz="4" w:space="0"/>
            </w:tcBorders>
            <w:vAlign w:val="center"/>
          </w:tcPr>
          <w:p w14:paraId="522F48BC">
            <w:pPr>
              <w:spacing w:line="360" w:lineRule="auto"/>
              <w:jc w:val="center"/>
              <w:rPr>
                <w:rFonts w:hint="eastAsia" w:ascii="宋体" w:hAnsi="宋体" w:cs="宋体"/>
                <w:color w:val="000000"/>
                <w:sz w:val="24"/>
              </w:rPr>
            </w:pPr>
            <w:r>
              <w:rPr>
                <w:rFonts w:hint="eastAsia" w:ascii="宋体" w:hAnsi="宋体" w:cs="宋体"/>
                <w:color w:val="000000"/>
                <w:sz w:val="24"/>
              </w:rPr>
              <w:t>项目规模</w:t>
            </w:r>
          </w:p>
        </w:tc>
        <w:tc>
          <w:tcPr>
            <w:tcW w:w="1602" w:type="dxa"/>
            <w:gridSpan w:val="2"/>
            <w:tcBorders>
              <w:top w:val="single" w:color="auto" w:sz="4" w:space="0"/>
              <w:left w:val="single" w:color="auto" w:sz="4" w:space="0"/>
              <w:bottom w:val="single" w:color="auto" w:sz="4" w:space="0"/>
              <w:right w:val="single" w:color="auto" w:sz="4" w:space="0"/>
            </w:tcBorders>
            <w:vAlign w:val="center"/>
          </w:tcPr>
          <w:p w14:paraId="7B0634A7">
            <w:pPr>
              <w:spacing w:line="360" w:lineRule="auto"/>
              <w:jc w:val="center"/>
              <w:rPr>
                <w:rFonts w:hint="eastAsia" w:ascii="宋体" w:hAnsi="宋体" w:cs="宋体"/>
                <w:color w:val="000000"/>
                <w:sz w:val="24"/>
              </w:rPr>
            </w:pPr>
            <w:r>
              <w:rPr>
                <w:rFonts w:hint="eastAsia" w:ascii="宋体" w:hAnsi="宋体" w:cs="宋体"/>
                <w:color w:val="000000"/>
                <w:sz w:val="24"/>
              </w:rPr>
              <w:t>服务期</w:t>
            </w:r>
          </w:p>
        </w:tc>
        <w:tc>
          <w:tcPr>
            <w:tcW w:w="1406" w:type="dxa"/>
            <w:tcBorders>
              <w:top w:val="single" w:color="auto" w:sz="4" w:space="0"/>
              <w:left w:val="single" w:color="auto" w:sz="4" w:space="0"/>
              <w:bottom w:val="single" w:color="auto" w:sz="4" w:space="0"/>
              <w:right w:val="single" w:color="auto" w:sz="4" w:space="0"/>
            </w:tcBorders>
            <w:vAlign w:val="center"/>
          </w:tcPr>
          <w:p w14:paraId="381EDB23">
            <w:pPr>
              <w:spacing w:line="360" w:lineRule="auto"/>
              <w:jc w:val="center"/>
              <w:rPr>
                <w:rFonts w:hint="eastAsia" w:ascii="宋体" w:hAnsi="宋体" w:cs="宋体"/>
                <w:color w:val="000000"/>
                <w:sz w:val="24"/>
              </w:rPr>
            </w:pPr>
            <w:r>
              <w:rPr>
                <w:rFonts w:hint="eastAsia" w:ascii="宋体" w:hAnsi="宋体" w:cs="宋体"/>
                <w:color w:val="000000"/>
                <w:sz w:val="24"/>
              </w:rPr>
              <w:t>正在进行或已完成</w:t>
            </w:r>
          </w:p>
        </w:tc>
        <w:tc>
          <w:tcPr>
            <w:tcW w:w="1560" w:type="dxa"/>
            <w:tcBorders>
              <w:top w:val="single" w:color="auto" w:sz="4" w:space="0"/>
              <w:left w:val="single" w:color="auto" w:sz="4" w:space="0"/>
              <w:bottom w:val="single" w:color="auto" w:sz="4" w:space="0"/>
              <w:right w:val="single" w:color="auto" w:sz="4" w:space="0"/>
            </w:tcBorders>
            <w:vAlign w:val="center"/>
          </w:tcPr>
          <w:p w14:paraId="12C999EC">
            <w:pPr>
              <w:spacing w:line="360" w:lineRule="auto"/>
              <w:jc w:val="center"/>
              <w:rPr>
                <w:rFonts w:hint="eastAsia" w:ascii="宋体" w:hAnsi="宋体" w:cs="宋体"/>
                <w:color w:val="000000"/>
                <w:sz w:val="24"/>
              </w:rPr>
            </w:pPr>
            <w:r>
              <w:rPr>
                <w:rFonts w:hint="eastAsia" w:ascii="宋体" w:hAnsi="宋体" w:cs="宋体"/>
                <w:color w:val="000000"/>
                <w:sz w:val="24"/>
              </w:rPr>
              <w:t>验收</w:t>
            </w:r>
          </w:p>
          <w:p w14:paraId="5B229BCB">
            <w:pPr>
              <w:spacing w:line="360" w:lineRule="auto"/>
              <w:jc w:val="center"/>
              <w:rPr>
                <w:rFonts w:hint="eastAsia" w:ascii="宋体" w:hAnsi="宋体" w:cs="宋体"/>
                <w:color w:val="000000"/>
                <w:sz w:val="24"/>
              </w:rPr>
            </w:pPr>
            <w:r>
              <w:rPr>
                <w:rFonts w:hint="eastAsia" w:ascii="宋体" w:hAnsi="宋体" w:cs="宋体"/>
                <w:color w:val="000000"/>
                <w:sz w:val="24"/>
              </w:rPr>
              <w:t>质量</w:t>
            </w:r>
          </w:p>
        </w:tc>
      </w:tr>
      <w:tr w14:paraId="1368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14:paraId="28CD6C79">
            <w:pPr>
              <w:spacing w:line="360" w:lineRule="auto"/>
              <w:jc w:val="center"/>
              <w:rPr>
                <w:rFonts w:hint="eastAsia"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14:paraId="6BC71E78">
            <w:pPr>
              <w:spacing w:line="360" w:lineRule="auto"/>
              <w:jc w:val="center"/>
              <w:rPr>
                <w:rFonts w:hint="eastAsia"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14:paraId="50E8CA7E">
            <w:pPr>
              <w:spacing w:line="360" w:lineRule="auto"/>
              <w:jc w:val="center"/>
              <w:rPr>
                <w:rFonts w:hint="eastAsia"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14:paraId="0DAD2901">
            <w:pPr>
              <w:spacing w:line="360" w:lineRule="auto"/>
              <w:jc w:val="center"/>
              <w:rPr>
                <w:rFonts w:hint="eastAsia"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14:paraId="470ACE0D">
            <w:pPr>
              <w:spacing w:line="360" w:lineRule="auto"/>
              <w:jc w:val="center"/>
              <w:rPr>
                <w:rFonts w:hint="eastAsia"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048F9587">
            <w:pPr>
              <w:spacing w:line="360" w:lineRule="auto"/>
              <w:jc w:val="center"/>
              <w:rPr>
                <w:rFonts w:hint="eastAsia" w:ascii="宋体" w:hAnsi="宋体" w:cs="宋体"/>
                <w:color w:val="000000"/>
                <w:sz w:val="24"/>
              </w:rPr>
            </w:pPr>
          </w:p>
        </w:tc>
      </w:tr>
      <w:tr w14:paraId="6275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14:paraId="1B3386F7">
            <w:pPr>
              <w:spacing w:line="360" w:lineRule="auto"/>
              <w:jc w:val="center"/>
              <w:rPr>
                <w:rFonts w:hint="eastAsia"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14:paraId="22CD6522">
            <w:pPr>
              <w:spacing w:line="360" w:lineRule="auto"/>
              <w:jc w:val="center"/>
              <w:rPr>
                <w:rFonts w:hint="eastAsia"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14:paraId="3CAD940E">
            <w:pPr>
              <w:spacing w:line="360" w:lineRule="auto"/>
              <w:jc w:val="center"/>
              <w:rPr>
                <w:rFonts w:hint="eastAsia"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14:paraId="6A15BA98">
            <w:pPr>
              <w:spacing w:line="360" w:lineRule="auto"/>
              <w:jc w:val="center"/>
              <w:rPr>
                <w:rFonts w:hint="eastAsia"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14:paraId="5EA44D6E">
            <w:pPr>
              <w:spacing w:line="360" w:lineRule="auto"/>
              <w:jc w:val="center"/>
              <w:rPr>
                <w:rFonts w:hint="eastAsia"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603B6A99">
            <w:pPr>
              <w:spacing w:line="360" w:lineRule="auto"/>
              <w:jc w:val="center"/>
              <w:rPr>
                <w:rFonts w:hint="eastAsia" w:ascii="宋体" w:hAnsi="宋体" w:cs="宋体"/>
                <w:color w:val="000000"/>
                <w:sz w:val="24"/>
              </w:rPr>
            </w:pPr>
          </w:p>
        </w:tc>
      </w:tr>
      <w:tr w14:paraId="04BA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14:paraId="49913A44">
            <w:pPr>
              <w:spacing w:line="360" w:lineRule="auto"/>
              <w:jc w:val="center"/>
              <w:rPr>
                <w:rFonts w:hint="eastAsia"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14:paraId="637528D4">
            <w:pPr>
              <w:spacing w:line="360" w:lineRule="auto"/>
              <w:jc w:val="center"/>
              <w:rPr>
                <w:rFonts w:hint="eastAsia"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14:paraId="20AC3CF6">
            <w:pPr>
              <w:spacing w:line="360" w:lineRule="auto"/>
              <w:jc w:val="center"/>
              <w:rPr>
                <w:rFonts w:hint="eastAsia"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14:paraId="0AAB6B15">
            <w:pPr>
              <w:spacing w:line="360" w:lineRule="auto"/>
              <w:jc w:val="center"/>
              <w:rPr>
                <w:rFonts w:hint="eastAsia"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14:paraId="6D37C391">
            <w:pPr>
              <w:spacing w:line="360" w:lineRule="auto"/>
              <w:jc w:val="center"/>
              <w:rPr>
                <w:rFonts w:hint="eastAsia"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0F5681B2">
            <w:pPr>
              <w:spacing w:line="360" w:lineRule="auto"/>
              <w:jc w:val="center"/>
              <w:rPr>
                <w:rFonts w:hint="eastAsia" w:ascii="宋体" w:hAnsi="宋体" w:cs="宋体"/>
                <w:color w:val="000000"/>
                <w:sz w:val="24"/>
              </w:rPr>
            </w:pPr>
          </w:p>
        </w:tc>
      </w:tr>
      <w:tr w14:paraId="5819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14:paraId="7AF8BB05">
            <w:pPr>
              <w:spacing w:line="360" w:lineRule="auto"/>
              <w:jc w:val="center"/>
              <w:rPr>
                <w:rFonts w:hint="eastAsia"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14:paraId="332B9B17">
            <w:pPr>
              <w:spacing w:line="360" w:lineRule="auto"/>
              <w:jc w:val="center"/>
              <w:rPr>
                <w:rFonts w:hint="eastAsia"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14:paraId="2AE986F7">
            <w:pPr>
              <w:spacing w:line="360" w:lineRule="auto"/>
              <w:jc w:val="center"/>
              <w:rPr>
                <w:rFonts w:hint="eastAsia"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14:paraId="5BEB81C1">
            <w:pPr>
              <w:spacing w:line="360" w:lineRule="auto"/>
              <w:jc w:val="center"/>
              <w:rPr>
                <w:rFonts w:hint="eastAsia"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14:paraId="74DDA2A6">
            <w:pPr>
              <w:spacing w:line="360" w:lineRule="auto"/>
              <w:jc w:val="center"/>
              <w:rPr>
                <w:rFonts w:hint="eastAsia"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75B5BCD4">
            <w:pPr>
              <w:spacing w:line="360" w:lineRule="auto"/>
              <w:jc w:val="center"/>
              <w:rPr>
                <w:rFonts w:hint="eastAsia" w:ascii="宋体" w:hAnsi="宋体" w:cs="宋体"/>
                <w:color w:val="000000"/>
                <w:sz w:val="24"/>
              </w:rPr>
            </w:pPr>
          </w:p>
        </w:tc>
      </w:tr>
      <w:tr w14:paraId="719A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14:paraId="77C0895E">
            <w:pPr>
              <w:spacing w:line="360" w:lineRule="auto"/>
              <w:jc w:val="center"/>
              <w:rPr>
                <w:rFonts w:hint="eastAsia"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14:paraId="3062DA14">
            <w:pPr>
              <w:spacing w:line="360" w:lineRule="auto"/>
              <w:jc w:val="center"/>
              <w:rPr>
                <w:rFonts w:hint="eastAsia"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14:paraId="5B54FFB7">
            <w:pPr>
              <w:spacing w:line="360" w:lineRule="auto"/>
              <w:jc w:val="center"/>
              <w:rPr>
                <w:rFonts w:hint="eastAsia"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14:paraId="66E2F023">
            <w:pPr>
              <w:spacing w:line="360" w:lineRule="auto"/>
              <w:jc w:val="center"/>
              <w:rPr>
                <w:rFonts w:hint="eastAsia"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14:paraId="2B2354B2">
            <w:pPr>
              <w:spacing w:line="360" w:lineRule="auto"/>
              <w:jc w:val="center"/>
              <w:rPr>
                <w:rFonts w:hint="eastAsia"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0574EC50">
            <w:pPr>
              <w:spacing w:line="360" w:lineRule="auto"/>
              <w:jc w:val="center"/>
              <w:rPr>
                <w:rFonts w:hint="eastAsia" w:ascii="宋体" w:hAnsi="宋体" w:cs="宋体"/>
                <w:color w:val="000000"/>
                <w:sz w:val="24"/>
              </w:rPr>
            </w:pPr>
          </w:p>
        </w:tc>
      </w:tr>
      <w:tr w14:paraId="19EA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14:paraId="49E15739">
            <w:pPr>
              <w:spacing w:line="360" w:lineRule="auto"/>
              <w:jc w:val="center"/>
              <w:rPr>
                <w:rFonts w:hint="eastAsia"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14:paraId="64DBF68E">
            <w:pPr>
              <w:spacing w:line="360" w:lineRule="auto"/>
              <w:jc w:val="center"/>
              <w:rPr>
                <w:rFonts w:hint="eastAsia"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14:paraId="658E7F0C">
            <w:pPr>
              <w:spacing w:line="360" w:lineRule="auto"/>
              <w:jc w:val="center"/>
              <w:rPr>
                <w:rFonts w:hint="eastAsia"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14:paraId="26ACEAEB">
            <w:pPr>
              <w:spacing w:line="360" w:lineRule="auto"/>
              <w:jc w:val="center"/>
              <w:rPr>
                <w:rFonts w:hint="eastAsia"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14:paraId="52BD0100">
            <w:pPr>
              <w:spacing w:line="360" w:lineRule="auto"/>
              <w:jc w:val="center"/>
              <w:rPr>
                <w:rFonts w:hint="eastAsia"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37DC4FB7">
            <w:pPr>
              <w:spacing w:line="360" w:lineRule="auto"/>
              <w:jc w:val="center"/>
              <w:rPr>
                <w:rFonts w:hint="eastAsia" w:ascii="宋体" w:hAnsi="宋体" w:cs="宋体"/>
                <w:color w:val="000000"/>
                <w:sz w:val="24"/>
              </w:rPr>
            </w:pPr>
          </w:p>
        </w:tc>
      </w:tr>
      <w:tr w14:paraId="1007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14:paraId="66F2AA61">
            <w:pPr>
              <w:spacing w:line="360" w:lineRule="auto"/>
              <w:jc w:val="center"/>
              <w:rPr>
                <w:rFonts w:hint="eastAsia"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14:paraId="067F491F">
            <w:pPr>
              <w:spacing w:line="360" w:lineRule="auto"/>
              <w:jc w:val="center"/>
              <w:rPr>
                <w:rFonts w:hint="eastAsia"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14:paraId="5C24E3BB">
            <w:pPr>
              <w:spacing w:line="360" w:lineRule="auto"/>
              <w:jc w:val="center"/>
              <w:rPr>
                <w:rFonts w:hint="eastAsia"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14:paraId="0E4162FD">
            <w:pPr>
              <w:spacing w:line="360" w:lineRule="auto"/>
              <w:jc w:val="center"/>
              <w:rPr>
                <w:rFonts w:hint="eastAsia"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14:paraId="7D7F4685">
            <w:pPr>
              <w:spacing w:line="360" w:lineRule="auto"/>
              <w:jc w:val="center"/>
              <w:rPr>
                <w:rFonts w:hint="eastAsia"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16C14884">
            <w:pPr>
              <w:spacing w:line="360" w:lineRule="auto"/>
              <w:jc w:val="center"/>
              <w:rPr>
                <w:rFonts w:hint="eastAsia" w:ascii="宋体" w:hAnsi="宋体" w:cs="宋体"/>
                <w:color w:val="000000"/>
                <w:sz w:val="24"/>
              </w:rPr>
            </w:pPr>
          </w:p>
        </w:tc>
      </w:tr>
      <w:tr w14:paraId="400F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14:paraId="11BEF17F">
            <w:pPr>
              <w:spacing w:line="360" w:lineRule="auto"/>
              <w:jc w:val="center"/>
              <w:rPr>
                <w:rFonts w:hint="eastAsia"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14:paraId="65434C0F">
            <w:pPr>
              <w:spacing w:line="360" w:lineRule="auto"/>
              <w:jc w:val="center"/>
              <w:rPr>
                <w:rFonts w:hint="eastAsia"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14:paraId="61C9BAC2">
            <w:pPr>
              <w:spacing w:line="360" w:lineRule="auto"/>
              <w:jc w:val="center"/>
              <w:rPr>
                <w:rFonts w:hint="eastAsia"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14:paraId="130E801E">
            <w:pPr>
              <w:spacing w:line="360" w:lineRule="auto"/>
              <w:jc w:val="center"/>
              <w:rPr>
                <w:rFonts w:hint="eastAsia"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14:paraId="2E55B7FF">
            <w:pPr>
              <w:spacing w:line="360" w:lineRule="auto"/>
              <w:jc w:val="center"/>
              <w:rPr>
                <w:rFonts w:hint="eastAsia"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298074D9">
            <w:pPr>
              <w:spacing w:line="360" w:lineRule="auto"/>
              <w:jc w:val="center"/>
              <w:rPr>
                <w:rFonts w:hint="eastAsia" w:ascii="宋体" w:hAnsi="宋体" w:cs="宋体"/>
                <w:color w:val="000000"/>
                <w:sz w:val="24"/>
              </w:rPr>
            </w:pPr>
          </w:p>
        </w:tc>
      </w:tr>
      <w:tr w14:paraId="0364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14:paraId="2DB036AF">
            <w:pPr>
              <w:spacing w:line="360" w:lineRule="auto"/>
              <w:jc w:val="center"/>
              <w:rPr>
                <w:rFonts w:hint="eastAsia"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14:paraId="5C2EA7BF">
            <w:pPr>
              <w:spacing w:line="360" w:lineRule="auto"/>
              <w:jc w:val="center"/>
              <w:rPr>
                <w:rFonts w:hint="eastAsia"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14:paraId="04E631DE">
            <w:pPr>
              <w:spacing w:line="360" w:lineRule="auto"/>
              <w:jc w:val="center"/>
              <w:rPr>
                <w:rFonts w:hint="eastAsia"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14:paraId="0E13BF35">
            <w:pPr>
              <w:spacing w:line="360" w:lineRule="auto"/>
              <w:jc w:val="center"/>
              <w:rPr>
                <w:rFonts w:hint="eastAsia"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14:paraId="269B1884">
            <w:pPr>
              <w:spacing w:line="360" w:lineRule="auto"/>
              <w:jc w:val="center"/>
              <w:rPr>
                <w:rFonts w:hint="eastAsia"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270845A3">
            <w:pPr>
              <w:spacing w:line="360" w:lineRule="auto"/>
              <w:jc w:val="center"/>
              <w:rPr>
                <w:rFonts w:hint="eastAsia" w:ascii="宋体" w:hAnsi="宋体" w:cs="宋体"/>
                <w:color w:val="000000"/>
                <w:sz w:val="24"/>
              </w:rPr>
            </w:pPr>
          </w:p>
        </w:tc>
      </w:tr>
    </w:tbl>
    <w:p w14:paraId="3B25A7AC">
      <w:pPr>
        <w:pStyle w:val="23"/>
        <w:tabs>
          <w:tab w:val="left" w:pos="5580"/>
        </w:tabs>
        <w:adjustRightInd w:val="0"/>
        <w:snapToGrid w:val="0"/>
        <w:spacing w:line="360" w:lineRule="auto"/>
        <w:rPr>
          <w:rFonts w:hAnsi="宋体" w:cs="宋体"/>
          <w:color w:val="000000"/>
          <w:sz w:val="24"/>
          <w:szCs w:val="24"/>
        </w:rPr>
      </w:pPr>
      <w:r>
        <w:rPr>
          <w:rFonts w:hAnsi="宋体"/>
          <w:color w:val="000000"/>
          <w:sz w:val="24"/>
          <w:szCs w:val="24"/>
        </w:rPr>
        <w:t>附：可根据行业规定附项目组人员的相关证件包括不限于身份证、资格证、社保记录、用户出具的任职证明、学历证、职称等复印件。</w:t>
      </w:r>
    </w:p>
    <w:p w14:paraId="2E9E4E06">
      <w:pPr>
        <w:pStyle w:val="23"/>
        <w:tabs>
          <w:tab w:val="left" w:pos="5580"/>
        </w:tabs>
        <w:adjustRightInd w:val="0"/>
        <w:snapToGrid w:val="0"/>
        <w:spacing w:line="360" w:lineRule="auto"/>
        <w:rPr>
          <w:rFonts w:hAnsi="宋体" w:cs="宋体"/>
          <w:color w:val="000000"/>
          <w:szCs w:val="24"/>
        </w:rPr>
      </w:pPr>
    </w:p>
    <w:p w14:paraId="0A23FC2C">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14:paraId="218DDC1C">
      <w:pPr>
        <w:spacing w:line="360" w:lineRule="auto"/>
        <w:rPr>
          <w:rFonts w:hint="eastAsia" w:ascii="宋体" w:hAnsi="宋体" w:cs="宋体"/>
          <w:color w:val="000000"/>
          <w:sz w:val="24"/>
          <w:szCs w:val="20"/>
        </w:rPr>
      </w:pPr>
      <w:r>
        <w:rPr>
          <w:rFonts w:hint="eastAsia" w:ascii="宋体" w:hAnsi="宋体" w:cs="宋体"/>
          <w:color w:val="000000"/>
          <w:sz w:val="24"/>
          <w:szCs w:val="20"/>
        </w:rPr>
        <w:t>日期：_____年______月______日</w:t>
      </w:r>
    </w:p>
    <w:p w14:paraId="5A41D385">
      <w:pPr>
        <w:spacing w:line="360" w:lineRule="auto"/>
        <w:jc w:val="center"/>
        <w:rPr>
          <w:rFonts w:hint="eastAsia" w:ascii="宋体" w:hAnsi="宋体" w:cs="宋体"/>
          <w:color w:val="000000"/>
          <w:sz w:val="24"/>
        </w:rPr>
      </w:pPr>
      <w:r>
        <w:rPr>
          <w:rFonts w:ascii="宋体" w:hAnsi="宋体" w:cs="宋体"/>
          <w:color w:val="000000"/>
          <w:sz w:val="24"/>
        </w:rPr>
        <w:br w:type="page"/>
      </w:r>
      <w:r>
        <w:rPr>
          <w:rFonts w:hint="eastAsia" w:ascii="宋体" w:hAnsi="宋体" w:cs="宋体"/>
          <w:color w:val="000000"/>
          <w:sz w:val="24"/>
        </w:rPr>
        <w:t>（2）拟投入本项目的项目组人员配备情况</w:t>
      </w:r>
    </w:p>
    <w:tbl>
      <w:tblPr>
        <w:tblStyle w:val="4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006"/>
        <w:gridCol w:w="858"/>
        <w:gridCol w:w="764"/>
        <w:gridCol w:w="764"/>
        <w:gridCol w:w="1975"/>
        <w:gridCol w:w="1066"/>
        <w:gridCol w:w="1984"/>
      </w:tblGrid>
      <w:tr w14:paraId="5ACF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63" w:type="dxa"/>
            <w:vAlign w:val="center"/>
          </w:tcPr>
          <w:p w14:paraId="2A5C7BBF">
            <w:pPr>
              <w:adjustRightInd w:val="0"/>
              <w:snapToGrid w:val="0"/>
              <w:jc w:val="center"/>
              <w:rPr>
                <w:rFonts w:hint="eastAsia" w:ascii="宋体" w:hAnsi="宋体"/>
                <w:color w:val="000000"/>
                <w:sz w:val="24"/>
              </w:rPr>
            </w:pPr>
            <w:bookmarkStart w:id="989" w:name="_Toc53908345"/>
            <w:r>
              <w:rPr>
                <w:rFonts w:hint="eastAsia" w:ascii="宋体" w:hAnsi="宋体"/>
                <w:color w:val="000000"/>
                <w:sz w:val="24"/>
              </w:rPr>
              <w:t>序号</w:t>
            </w:r>
          </w:p>
        </w:tc>
        <w:tc>
          <w:tcPr>
            <w:tcW w:w="1006" w:type="dxa"/>
            <w:vAlign w:val="center"/>
          </w:tcPr>
          <w:p w14:paraId="39040D7A">
            <w:pPr>
              <w:adjustRightInd w:val="0"/>
              <w:snapToGrid w:val="0"/>
              <w:jc w:val="center"/>
              <w:rPr>
                <w:rFonts w:hint="eastAsia" w:ascii="宋体" w:hAnsi="宋体"/>
                <w:color w:val="000000"/>
                <w:sz w:val="24"/>
              </w:rPr>
            </w:pPr>
            <w:r>
              <w:rPr>
                <w:rFonts w:hint="eastAsia" w:ascii="宋体" w:hAnsi="宋体"/>
                <w:color w:val="000000"/>
                <w:sz w:val="24"/>
              </w:rPr>
              <w:t>姓名</w:t>
            </w:r>
          </w:p>
        </w:tc>
        <w:tc>
          <w:tcPr>
            <w:tcW w:w="858" w:type="dxa"/>
            <w:vAlign w:val="center"/>
          </w:tcPr>
          <w:p w14:paraId="6B85D8E9">
            <w:pPr>
              <w:adjustRightInd w:val="0"/>
              <w:snapToGrid w:val="0"/>
              <w:jc w:val="center"/>
              <w:rPr>
                <w:rFonts w:hint="eastAsia" w:ascii="宋体" w:hAnsi="宋体"/>
                <w:color w:val="000000"/>
                <w:sz w:val="24"/>
              </w:rPr>
            </w:pPr>
            <w:r>
              <w:rPr>
                <w:rFonts w:hint="eastAsia" w:ascii="宋体" w:hAnsi="宋体"/>
                <w:color w:val="000000"/>
                <w:sz w:val="24"/>
              </w:rPr>
              <w:t>年龄</w:t>
            </w:r>
          </w:p>
        </w:tc>
        <w:tc>
          <w:tcPr>
            <w:tcW w:w="764" w:type="dxa"/>
            <w:vAlign w:val="center"/>
          </w:tcPr>
          <w:p w14:paraId="08DF4973">
            <w:pPr>
              <w:adjustRightInd w:val="0"/>
              <w:snapToGrid w:val="0"/>
              <w:jc w:val="center"/>
              <w:rPr>
                <w:rFonts w:hint="eastAsia" w:ascii="宋体" w:hAnsi="宋体"/>
                <w:color w:val="000000"/>
                <w:sz w:val="24"/>
              </w:rPr>
            </w:pPr>
            <w:r>
              <w:rPr>
                <w:rFonts w:hint="eastAsia" w:ascii="宋体" w:hAnsi="宋体"/>
                <w:color w:val="000000"/>
                <w:sz w:val="24"/>
              </w:rPr>
              <w:t>学历</w:t>
            </w:r>
          </w:p>
        </w:tc>
        <w:tc>
          <w:tcPr>
            <w:tcW w:w="764" w:type="dxa"/>
            <w:vAlign w:val="center"/>
          </w:tcPr>
          <w:p w14:paraId="79117C58">
            <w:pPr>
              <w:adjustRightInd w:val="0"/>
              <w:snapToGrid w:val="0"/>
              <w:jc w:val="center"/>
              <w:rPr>
                <w:rFonts w:hint="eastAsia" w:ascii="宋体" w:hAnsi="宋体"/>
                <w:color w:val="000000"/>
                <w:sz w:val="24"/>
              </w:rPr>
            </w:pPr>
            <w:r>
              <w:rPr>
                <w:rFonts w:hint="eastAsia" w:ascii="宋体" w:hAnsi="宋体"/>
                <w:color w:val="000000"/>
                <w:sz w:val="24"/>
              </w:rPr>
              <w:t>职称</w:t>
            </w:r>
          </w:p>
        </w:tc>
        <w:tc>
          <w:tcPr>
            <w:tcW w:w="1975" w:type="dxa"/>
            <w:vAlign w:val="center"/>
          </w:tcPr>
          <w:p w14:paraId="2EDC2552">
            <w:pPr>
              <w:adjustRightInd w:val="0"/>
              <w:snapToGrid w:val="0"/>
              <w:jc w:val="center"/>
              <w:rPr>
                <w:rFonts w:hint="eastAsia" w:ascii="宋体" w:hAnsi="宋体"/>
                <w:color w:val="000000"/>
                <w:sz w:val="24"/>
              </w:rPr>
            </w:pPr>
            <w:r>
              <w:rPr>
                <w:rFonts w:hint="eastAsia" w:ascii="宋体" w:hAnsi="宋体"/>
                <w:color w:val="000000"/>
                <w:sz w:val="24"/>
              </w:rPr>
              <w:t>岗位</w:t>
            </w:r>
          </w:p>
        </w:tc>
        <w:tc>
          <w:tcPr>
            <w:tcW w:w="1066" w:type="dxa"/>
            <w:vAlign w:val="center"/>
          </w:tcPr>
          <w:p w14:paraId="4E907D40">
            <w:pPr>
              <w:adjustRightInd w:val="0"/>
              <w:snapToGrid w:val="0"/>
              <w:jc w:val="center"/>
              <w:rPr>
                <w:rFonts w:hint="eastAsia" w:ascii="宋体" w:hAnsi="宋体"/>
                <w:color w:val="000000"/>
                <w:sz w:val="24"/>
              </w:rPr>
            </w:pPr>
            <w:r>
              <w:rPr>
                <w:rFonts w:hint="eastAsia" w:ascii="宋体" w:hAnsi="宋体"/>
                <w:color w:val="000000"/>
                <w:sz w:val="24"/>
              </w:rPr>
              <w:t>工作</w:t>
            </w:r>
          </w:p>
          <w:p w14:paraId="1821DE83">
            <w:pPr>
              <w:adjustRightInd w:val="0"/>
              <w:snapToGrid w:val="0"/>
              <w:jc w:val="center"/>
              <w:rPr>
                <w:rFonts w:hint="eastAsia" w:ascii="宋体" w:hAnsi="宋体"/>
                <w:color w:val="000000"/>
                <w:sz w:val="24"/>
              </w:rPr>
            </w:pPr>
            <w:r>
              <w:rPr>
                <w:rFonts w:hint="eastAsia" w:ascii="宋体" w:hAnsi="宋体"/>
                <w:color w:val="000000"/>
                <w:sz w:val="24"/>
              </w:rPr>
              <w:t>年限</w:t>
            </w:r>
          </w:p>
        </w:tc>
        <w:tc>
          <w:tcPr>
            <w:tcW w:w="1984" w:type="dxa"/>
            <w:vAlign w:val="center"/>
          </w:tcPr>
          <w:p w14:paraId="66620E65">
            <w:pPr>
              <w:adjustRightInd w:val="0"/>
              <w:snapToGrid w:val="0"/>
              <w:jc w:val="center"/>
              <w:rPr>
                <w:rFonts w:hint="eastAsia" w:ascii="宋体" w:hAnsi="宋体"/>
                <w:color w:val="000000"/>
                <w:sz w:val="24"/>
              </w:rPr>
            </w:pPr>
            <w:r>
              <w:rPr>
                <w:rFonts w:hint="eastAsia" w:ascii="宋体" w:hAnsi="宋体"/>
                <w:color w:val="000000"/>
                <w:sz w:val="24"/>
              </w:rPr>
              <w:t>其他需明示资料</w:t>
            </w:r>
          </w:p>
        </w:tc>
      </w:tr>
      <w:tr w14:paraId="5F62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14:paraId="58C3F203">
            <w:pPr>
              <w:adjustRightInd w:val="0"/>
              <w:snapToGrid w:val="0"/>
              <w:jc w:val="center"/>
              <w:rPr>
                <w:rFonts w:hint="eastAsia" w:ascii="宋体" w:hAnsi="宋体"/>
                <w:b/>
                <w:color w:val="000000"/>
                <w:sz w:val="24"/>
              </w:rPr>
            </w:pPr>
          </w:p>
        </w:tc>
        <w:tc>
          <w:tcPr>
            <w:tcW w:w="1006" w:type="dxa"/>
            <w:vAlign w:val="center"/>
          </w:tcPr>
          <w:p w14:paraId="70283F3E">
            <w:pPr>
              <w:adjustRightInd w:val="0"/>
              <w:snapToGrid w:val="0"/>
              <w:jc w:val="center"/>
              <w:rPr>
                <w:rFonts w:hint="eastAsia" w:ascii="宋体" w:hAnsi="宋体"/>
                <w:b/>
                <w:color w:val="000000"/>
                <w:sz w:val="24"/>
              </w:rPr>
            </w:pPr>
          </w:p>
        </w:tc>
        <w:tc>
          <w:tcPr>
            <w:tcW w:w="858" w:type="dxa"/>
            <w:vAlign w:val="center"/>
          </w:tcPr>
          <w:p w14:paraId="530F2BC7">
            <w:pPr>
              <w:adjustRightInd w:val="0"/>
              <w:snapToGrid w:val="0"/>
              <w:jc w:val="center"/>
              <w:rPr>
                <w:rFonts w:hint="eastAsia" w:ascii="宋体" w:hAnsi="宋体"/>
                <w:b/>
                <w:color w:val="000000"/>
                <w:sz w:val="24"/>
              </w:rPr>
            </w:pPr>
          </w:p>
        </w:tc>
        <w:tc>
          <w:tcPr>
            <w:tcW w:w="764" w:type="dxa"/>
            <w:vAlign w:val="center"/>
          </w:tcPr>
          <w:p w14:paraId="080F4DAF">
            <w:pPr>
              <w:adjustRightInd w:val="0"/>
              <w:snapToGrid w:val="0"/>
              <w:jc w:val="center"/>
              <w:rPr>
                <w:rFonts w:hint="eastAsia" w:ascii="宋体" w:hAnsi="宋体"/>
                <w:b/>
                <w:color w:val="000000"/>
                <w:sz w:val="24"/>
              </w:rPr>
            </w:pPr>
          </w:p>
        </w:tc>
        <w:tc>
          <w:tcPr>
            <w:tcW w:w="764" w:type="dxa"/>
            <w:vAlign w:val="center"/>
          </w:tcPr>
          <w:p w14:paraId="4E23E4A0">
            <w:pPr>
              <w:adjustRightInd w:val="0"/>
              <w:snapToGrid w:val="0"/>
              <w:jc w:val="center"/>
              <w:rPr>
                <w:rFonts w:hint="eastAsia" w:ascii="宋体" w:hAnsi="宋体"/>
                <w:b/>
                <w:color w:val="000000"/>
                <w:sz w:val="24"/>
              </w:rPr>
            </w:pPr>
          </w:p>
        </w:tc>
        <w:tc>
          <w:tcPr>
            <w:tcW w:w="1975" w:type="dxa"/>
            <w:vAlign w:val="center"/>
          </w:tcPr>
          <w:p w14:paraId="5206B4DA">
            <w:pPr>
              <w:adjustRightInd w:val="0"/>
              <w:snapToGrid w:val="0"/>
              <w:jc w:val="center"/>
              <w:rPr>
                <w:rFonts w:hint="eastAsia" w:ascii="宋体" w:hAnsi="宋体"/>
                <w:b/>
                <w:color w:val="000000"/>
                <w:sz w:val="24"/>
              </w:rPr>
            </w:pPr>
          </w:p>
        </w:tc>
        <w:tc>
          <w:tcPr>
            <w:tcW w:w="1066" w:type="dxa"/>
            <w:vAlign w:val="center"/>
          </w:tcPr>
          <w:p w14:paraId="6654EA28">
            <w:pPr>
              <w:adjustRightInd w:val="0"/>
              <w:snapToGrid w:val="0"/>
              <w:jc w:val="center"/>
              <w:rPr>
                <w:rFonts w:hint="eastAsia" w:ascii="宋体" w:hAnsi="宋体"/>
                <w:b/>
                <w:color w:val="000000"/>
                <w:sz w:val="24"/>
              </w:rPr>
            </w:pPr>
          </w:p>
        </w:tc>
        <w:tc>
          <w:tcPr>
            <w:tcW w:w="1984" w:type="dxa"/>
            <w:vAlign w:val="center"/>
          </w:tcPr>
          <w:p w14:paraId="62A7EE00">
            <w:pPr>
              <w:adjustRightInd w:val="0"/>
              <w:snapToGrid w:val="0"/>
              <w:jc w:val="center"/>
              <w:rPr>
                <w:rFonts w:hint="eastAsia" w:ascii="宋体" w:hAnsi="宋体"/>
                <w:b/>
                <w:color w:val="000000"/>
                <w:sz w:val="24"/>
              </w:rPr>
            </w:pPr>
          </w:p>
        </w:tc>
      </w:tr>
      <w:tr w14:paraId="57BC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14:paraId="5BC883D1">
            <w:pPr>
              <w:adjustRightInd w:val="0"/>
              <w:snapToGrid w:val="0"/>
              <w:jc w:val="center"/>
              <w:rPr>
                <w:rFonts w:hint="eastAsia" w:ascii="宋体" w:hAnsi="宋体"/>
                <w:b/>
                <w:color w:val="000000"/>
                <w:sz w:val="24"/>
              </w:rPr>
            </w:pPr>
          </w:p>
        </w:tc>
        <w:tc>
          <w:tcPr>
            <w:tcW w:w="1006" w:type="dxa"/>
            <w:vAlign w:val="center"/>
          </w:tcPr>
          <w:p w14:paraId="3675CC95">
            <w:pPr>
              <w:adjustRightInd w:val="0"/>
              <w:snapToGrid w:val="0"/>
              <w:jc w:val="center"/>
              <w:rPr>
                <w:rFonts w:hint="eastAsia" w:ascii="宋体" w:hAnsi="宋体"/>
                <w:b/>
                <w:color w:val="000000"/>
                <w:sz w:val="24"/>
              </w:rPr>
            </w:pPr>
          </w:p>
        </w:tc>
        <w:tc>
          <w:tcPr>
            <w:tcW w:w="858" w:type="dxa"/>
            <w:vAlign w:val="center"/>
          </w:tcPr>
          <w:p w14:paraId="603639EE">
            <w:pPr>
              <w:adjustRightInd w:val="0"/>
              <w:snapToGrid w:val="0"/>
              <w:jc w:val="center"/>
              <w:rPr>
                <w:rFonts w:hint="eastAsia" w:ascii="宋体" w:hAnsi="宋体"/>
                <w:b/>
                <w:color w:val="000000"/>
                <w:sz w:val="24"/>
              </w:rPr>
            </w:pPr>
          </w:p>
        </w:tc>
        <w:tc>
          <w:tcPr>
            <w:tcW w:w="764" w:type="dxa"/>
            <w:vAlign w:val="center"/>
          </w:tcPr>
          <w:p w14:paraId="1B595C72">
            <w:pPr>
              <w:adjustRightInd w:val="0"/>
              <w:snapToGrid w:val="0"/>
              <w:jc w:val="center"/>
              <w:rPr>
                <w:rFonts w:hint="eastAsia" w:ascii="宋体" w:hAnsi="宋体"/>
                <w:b/>
                <w:color w:val="000000"/>
                <w:sz w:val="24"/>
              </w:rPr>
            </w:pPr>
          </w:p>
        </w:tc>
        <w:tc>
          <w:tcPr>
            <w:tcW w:w="764" w:type="dxa"/>
            <w:vAlign w:val="center"/>
          </w:tcPr>
          <w:p w14:paraId="4E3C33FD">
            <w:pPr>
              <w:adjustRightInd w:val="0"/>
              <w:snapToGrid w:val="0"/>
              <w:jc w:val="center"/>
              <w:rPr>
                <w:rFonts w:hint="eastAsia" w:ascii="宋体" w:hAnsi="宋体"/>
                <w:b/>
                <w:color w:val="000000"/>
                <w:sz w:val="24"/>
              </w:rPr>
            </w:pPr>
          </w:p>
        </w:tc>
        <w:tc>
          <w:tcPr>
            <w:tcW w:w="1975" w:type="dxa"/>
            <w:vAlign w:val="center"/>
          </w:tcPr>
          <w:p w14:paraId="76A3620D">
            <w:pPr>
              <w:adjustRightInd w:val="0"/>
              <w:snapToGrid w:val="0"/>
              <w:jc w:val="center"/>
              <w:rPr>
                <w:rFonts w:hint="eastAsia" w:ascii="宋体" w:hAnsi="宋体"/>
                <w:b/>
                <w:color w:val="000000"/>
                <w:sz w:val="24"/>
              </w:rPr>
            </w:pPr>
          </w:p>
        </w:tc>
        <w:tc>
          <w:tcPr>
            <w:tcW w:w="1066" w:type="dxa"/>
            <w:vAlign w:val="center"/>
          </w:tcPr>
          <w:p w14:paraId="74F57133">
            <w:pPr>
              <w:adjustRightInd w:val="0"/>
              <w:snapToGrid w:val="0"/>
              <w:jc w:val="center"/>
              <w:rPr>
                <w:rFonts w:hint="eastAsia" w:ascii="宋体" w:hAnsi="宋体"/>
                <w:b/>
                <w:color w:val="000000"/>
                <w:sz w:val="24"/>
              </w:rPr>
            </w:pPr>
          </w:p>
        </w:tc>
        <w:tc>
          <w:tcPr>
            <w:tcW w:w="1984" w:type="dxa"/>
            <w:vAlign w:val="center"/>
          </w:tcPr>
          <w:p w14:paraId="0704A1B3">
            <w:pPr>
              <w:adjustRightInd w:val="0"/>
              <w:snapToGrid w:val="0"/>
              <w:jc w:val="center"/>
              <w:rPr>
                <w:rFonts w:hint="eastAsia" w:ascii="宋体" w:hAnsi="宋体"/>
                <w:b/>
                <w:color w:val="000000"/>
                <w:sz w:val="24"/>
              </w:rPr>
            </w:pPr>
          </w:p>
        </w:tc>
      </w:tr>
      <w:tr w14:paraId="3385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14:paraId="626682F7">
            <w:pPr>
              <w:adjustRightInd w:val="0"/>
              <w:snapToGrid w:val="0"/>
              <w:jc w:val="center"/>
              <w:rPr>
                <w:rFonts w:hint="eastAsia" w:ascii="宋体" w:hAnsi="宋体"/>
                <w:b/>
                <w:color w:val="000000"/>
                <w:sz w:val="24"/>
              </w:rPr>
            </w:pPr>
          </w:p>
        </w:tc>
        <w:tc>
          <w:tcPr>
            <w:tcW w:w="1006" w:type="dxa"/>
            <w:vAlign w:val="center"/>
          </w:tcPr>
          <w:p w14:paraId="11BB2AC1">
            <w:pPr>
              <w:adjustRightInd w:val="0"/>
              <w:snapToGrid w:val="0"/>
              <w:jc w:val="center"/>
              <w:rPr>
                <w:rFonts w:hint="eastAsia" w:ascii="宋体" w:hAnsi="宋体"/>
                <w:b/>
                <w:color w:val="000000"/>
                <w:sz w:val="24"/>
              </w:rPr>
            </w:pPr>
          </w:p>
        </w:tc>
        <w:tc>
          <w:tcPr>
            <w:tcW w:w="858" w:type="dxa"/>
            <w:vAlign w:val="center"/>
          </w:tcPr>
          <w:p w14:paraId="5463EC9A">
            <w:pPr>
              <w:adjustRightInd w:val="0"/>
              <w:snapToGrid w:val="0"/>
              <w:jc w:val="center"/>
              <w:rPr>
                <w:rFonts w:hint="eastAsia" w:ascii="宋体" w:hAnsi="宋体"/>
                <w:b/>
                <w:color w:val="000000"/>
                <w:sz w:val="24"/>
              </w:rPr>
            </w:pPr>
          </w:p>
        </w:tc>
        <w:tc>
          <w:tcPr>
            <w:tcW w:w="764" w:type="dxa"/>
            <w:vAlign w:val="center"/>
          </w:tcPr>
          <w:p w14:paraId="1878BC85">
            <w:pPr>
              <w:adjustRightInd w:val="0"/>
              <w:snapToGrid w:val="0"/>
              <w:jc w:val="center"/>
              <w:rPr>
                <w:rFonts w:hint="eastAsia" w:ascii="宋体" w:hAnsi="宋体"/>
                <w:b/>
                <w:color w:val="000000"/>
                <w:sz w:val="24"/>
              </w:rPr>
            </w:pPr>
          </w:p>
        </w:tc>
        <w:tc>
          <w:tcPr>
            <w:tcW w:w="764" w:type="dxa"/>
            <w:vAlign w:val="center"/>
          </w:tcPr>
          <w:p w14:paraId="6AE4F55C">
            <w:pPr>
              <w:adjustRightInd w:val="0"/>
              <w:snapToGrid w:val="0"/>
              <w:jc w:val="center"/>
              <w:rPr>
                <w:rFonts w:hint="eastAsia" w:ascii="宋体" w:hAnsi="宋体"/>
                <w:b/>
                <w:color w:val="000000"/>
                <w:sz w:val="24"/>
              </w:rPr>
            </w:pPr>
          </w:p>
        </w:tc>
        <w:tc>
          <w:tcPr>
            <w:tcW w:w="1975" w:type="dxa"/>
            <w:vAlign w:val="center"/>
          </w:tcPr>
          <w:p w14:paraId="6CA5A95B">
            <w:pPr>
              <w:adjustRightInd w:val="0"/>
              <w:snapToGrid w:val="0"/>
              <w:jc w:val="center"/>
              <w:rPr>
                <w:rFonts w:hint="eastAsia" w:ascii="宋体" w:hAnsi="宋体"/>
                <w:b/>
                <w:color w:val="000000"/>
                <w:sz w:val="24"/>
              </w:rPr>
            </w:pPr>
          </w:p>
        </w:tc>
        <w:tc>
          <w:tcPr>
            <w:tcW w:w="1066" w:type="dxa"/>
            <w:vAlign w:val="center"/>
          </w:tcPr>
          <w:p w14:paraId="2A5EE74B">
            <w:pPr>
              <w:adjustRightInd w:val="0"/>
              <w:snapToGrid w:val="0"/>
              <w:jc w:val="center"/>
              <w:rPr>
                <w:rFonts w:hint="eastAsia" w:ascii="宋体" w:hAnsi="宋体"/>
                <w:b/>
                <w:color w:val="000000"/>
                <w:sz w:val="24"/>
              </w:rPr>
            </w:pPr>
          </w:p>
        </w:tc>
        <w:tc>
          <w:tcPr>
            <w:tcW w:w="1984" w:type="dxa"/>
            <w:vAlign w:val="center"/>
          </w:tcPr>
          <w:p w14:paraId="15DBFCFE">
            <w:pPr>
              <w:adjustRightInd w:val="0"/>
              <w:snapToGrid w:val="0"/>
              <w:jc w:val="center"/>
              <w:rPr>
                <w:rFonts w:hint="eastAsia" w:ascii="宋体" w:hAnsi="宋体"/>
                <w:b/>
                <w:color w:val="000000"/>
                <w:sz w:val="24"/>
              </w:rPr>
            </w:pPr>
          </w:p>
        </w:tc>
      </w:tr>
      <w:tr w14:paraId="28DA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14:paraId="1ED24D96">
            <w:pPr>
              <w:adjustRightInd w:val="0"/>
              <w:snapToGrid w:val="0"/>
              <w:jc w:val="center"/>
              <w:rPr>
                <w:rFonts w:hint="eastAsia" w:ascii="宋体" w:hAnsi="宋体"/>
                <w:b/>
                <w:color w:val="000000"/>
                <w:sz w:val="24"/>
              </w:rPr>
            </w:pPr>
          </w:p>
        </w:tc>
        <w:tc>
          <w:tcPr>
            <w:tcW w:w="1006" w:type="dxa"/>
            <w:vAlign w:val="center"/>
          </w:tcPr>
          <w:p w14:paraId="04F7283F">
            <w:pPr>
              <w:adjustRightInd w:val="0"/>
              <w:snapToGrid w:val="0"/>
              <w:jc w:val="center"/>
              <w:rPr>
                <w:rFonts w:hint="eastAsia" w:ascii="宋体" w:hAnsi="宋体"/>
                <w:b/>
                <w:color w:val="000000"/>
                <w:sz w:val="24"/>
              </w:rPr>
            </w:pPr>
          </w:p>
        </w:tc>
        <w:tc>
          <w:tcPr>
            <w:tcW w:w="858" w:type="dxa"/>
            <w:vAlign w:val="center"/>
          </w:tcPr>
          <w:p w14:paraId="18CFA792">
            <w:pPr>
              <w:adjustRightInd w:val="0"/>
              <w:snapToGrid w:val="0"/>
              <w:jc w:val="center"/>
              <w:rPr>
                <w:rFonts w:hint="eastAsia" w:ascii="宋体" w:hAnsi="宋体"/>
                <w:b/>
                <w:color w:val="000000"/>
                <w:sz w:val="24"/>
              </w:rPr>
            </w:pPr>
          </w:p>
        </w:tc>
        <w:tc>
          <w:tcPr>
            <w:tcW w:w="764" w:type="dxa"/>
            <w:vAlign w:val="center"/>
          </w:tcPr>
          <w:p w14:paraId="715C45BB">
            <w:pPr>
              <w:adjustRightInd w:val="0"/>
              <w:snapToGrid w:val="0"/>
              <w:jc w:val="center"/>
              <w:rPr>
                <w:rFonts w:hint="eastAsia" w:ascii="宋体" w:hAnsi="宋体"/>
                <w:b/>
                <w:color w:val="000000"/>
                <w:sz w:val="24"/>
              </w:rPr>
            </w:pPr>
          </w:p>
        </w:tc>
        <w:tc>
          <w:tcPr>
            <w:tcW w:w="764" w:type="dxa"/>
            <w:vAlign w:val="center"/>
          </w:tcPr>
          <w:p w14:paraId="7BEC11E3">
            <w:pPr>
              <w:adjustRightInd w:val="0"/>
              <w:snapToGrid w:val="0"/>
              <w:jc w:val="center"/>
              <w:rPr>
                <w:rFonts w:hint="eastAsia" w:ascii="宋体" w:hAnsi="宋体"/>
                <w:b/>
                <w:color w:val="000000"/>
                <w:sz w:val="24"/>
              </w:rPr>
            </w:pPr>
          </w:p>
        </w:tc>
        <w:tc>
          <w:tcPr>
            <w:tcW w:w="1975" w:type="dxa"/>
            <w:vAlign w:val="center"/>
          </w:tcPr>
          <w:p w14:paraId="2A773484">
            <w:pPr>
              <w:adjustRightInd w:val="0"/>
              <w:snapToGrid w:val="0"/>
              <w:jc w:val="center"/>
              <w:rPr>
                <w:rFonts w:hint="eastAsia" w:ascii="宋体" w:hAnsi="宋体"/>
                <w:b/>
                <w:color w:val="000000"/>
                <w:sz w:val="24"/>
              </w:rPr>
            </w:pPr>
          </w:p>
        </w:tc>
        <w:tc>
          <w:tcPr>
            <w:tcW w:w="1066" w:type="dxa"/>
            <w:vAlign w:val="center"/>
          </w:tcPr>
          <w:p w14:paraId="3A2679F4">
            <w:pPr>
              <w:adjustRightInd w:val="0"/>
              <w:snapToGrid w:val="0"/>
              <w:jc w:val="center"/>
              <w:rPr>
                <w:rFonts w:hint="eastAsia" w:ascii="宋体" w:hAnsi="宋体"/>
                <w:b/>
                <w:color w:val="000000"/>
                <w:sz w:val="24"/>
              </w:rPr>
            </w:pPr>
          </w:p>
        </w:tc>
        <w:tc>
          <w:tcPr>
            <w:tcW w:w="1984" w:type="dxa"/>
            <w:vAlign w:val="center"/>
          </w:tcPr>
          <w:p w14:paraId="712162D9">
            <w:pPr>
              <w:adjustRightInd w:val="0"/>
              <w:snapToGrid w:val="0"/>
              <w:jc w:val="center"/>
              <w:rPr>
                <w:rFonts w:hint="eastAsia" w:ascii="宋体" w:hAnsi="宋体"/>
                <w:b/>
                <w:color w:val="000000"/>
                <w:sz w:val="24"/>
              </w:rPr>
            </w:pPr>
          </w:p>
        </w:tc>
      </w:tr>
      <w:tr w14:paraId="0EAD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14:paraId="52ABF09A">
            <w:pPr>
              <w:adjustRightInd w:val="0"/>
              <w:snapToGrid w:val="0"/>
              <w:jc w:val="center"/>
              <w:rPr>
                <w:rFonts w:hint="eastAsia" w:ascii="宋体" w:hAnsi="宋体"/>
                <w:b/>
                <w:color w:val="000000"/>
                <w:sz w:val="24"/>
              </w:rPr>
            </w:pPr>
          </w:p>
        </w:tc>
        <w:tc>
          <w:tcPr>
            <w:tcW w:w="1006" w:type="dxa"/>
            <w:vAlign w:val="center"/>
          </w:tcPr>
          <w:p w14:paraId="293A2A00">
            <w:pPr>
              <w:adjustRightInd w:val="0"/>
              <w:snapToGrid w:val="0"/>
              <w:jc w:val="center"/>
              <w:rPr>
                <w:rFonts w:hint="eastAsia" w:ascii="宋体" w:hAnsi="宋体"/>
                <w:b/>
                <w:color w:val="000000"/>
                <w:sz w:val="24"/>
              </w:rPr>
            </w:pPr>
          </w:p>
        </w:tc>
        <w:tc>
          <w:tcPr>
            <w:tcW w:w="858" w:type="dxa"/>
            <w:vAlign w:val="center"/>
          </w:tcPr>
          <w:p w14:paraId="376A049D">
            <w:pPr>
              <w:adjustRightInd w:val="0"/>
              <w:snapToGrid w:val="0"/>
              <w:jc w:val="center"/>
              <w:rPr>
                <w:rFonts w:hint="eastAsia" w:ascii="宋体" w:hAnsi="宋体"/>
                <w:b/>
                <w:color w:val="000000"/>
                <w:sz w:val="24"/>
              </w:rPr>
            </w:pPr>
          </w:p>
        </w:tc>
        <w:tc>
          <w:tcPr>
            <w:tcW w:w="764" w:type="dxa"/>
            <w:vAlign w:val="center"/>
          </w:tcPr>
          <w:p w14:paraId="793FC0DD">
            <w:pPr>
              <w:adjustRightInd w:val="0"/>
              <w:snapToGrid w:val="0"/>
              <w:jc w:val="center"/>
              <w:rPr>
                <w:rFonts w:hint="eastAsia" w:ascii="宋体" w:hAnsi="宋体"/>
                <w:b/>
                <w:color w:val="000000"/>
                <w:sz w:val="24"/>
              </w:rPr>
            </w:pPr>
          </w:p>
        </w:tc>
        <w:tc>
          <w:tcPr>
            <w:tcW w:w="764" w:type="dxa"/>
            <w:vAlign w:val="center"/>
          </w:tcPr>
          <w:p w14:paraId="1DD6E994">
            <w:pPr>
              <w:adjustRightInd w:val="0"/>
              <w:snapToGrid w:val="0"/>
              <w:jc w:val="center"/>
              <w:rPr>
                <w:rFonts w:hint="eastAsia" w:ascii="宋体" w:hAnsi="宋体"/>
                <w:b/>
                <w:color w:val="000000"/>
                <w:sz w:val="24"/>
              </w:rPr>
            </w:pPr>
          </w:p>
        </w:tc>
        <w:tc>
          <w:tcPr>
            <w:tcW w:w="1975" w:type="dxa"/>
            <w:vAlign w:val="center"/>
          </w:tcPr>
          <w:p w14:paraId="58CBA004">
            <w:pPr>
              <w:adjustRightInd w:val="0"/>
              <w:snapToGrid w:val="0"/>
              <w:jc w:val="center"/>
              <w:rPr>
                <w:rFonts w:hint="eastAsia" w:ascii="宋体" w:hAnsi="宋体"/>
                <w:b/>
                <w:color w:val="000000"/>
                <w:sz w:val="24"/>
              </w:rPr>
            </w:pPr>
          </w:p>
        </w:tc>
        <w:tc>
          <w:tcPr>
            <w:tcW w:w="1066" w:type="dxa"/>
            <w:vAlign w:val="center"/>
          </w:tcPr>
          <w:p w14:paraId="16C69DB6">
            <w:pPr>
              <w:adjustRightInd w:val="0"/>
              <w:snapToGrid w:val="0"/>
              <w:jc w:val="center"/>
              <w:rPr>
                <w:rFonts w:hint="eastAsia" w:ascii="宋体" w:hAnsi="宋体"/>
                <w:b/>
                <w:color w:val="000000"/>
                <w:sz w:val="24"/>
              </w:rPr>
            </w:pPr>
          </w:p>
        </w:tc>
        <w:tc>
          <w:tcPr>
            <w:tcW w:w="1984" w:type="dxa"/>
            <w:vAlign w:val="center"/>
          </w:tcPr>
          <w:p w14:paraId="5C9D03F1">
            <w:pPr>
              <w:adjustRightInd w:val="0"/>
              <w:snapToGrid w:val="0"/>
              <w:jc w:val="center"/>
              <w:rPr>
                <w:rFonts w:hint="eastAsia" w:ascii="宋体" w:hAnsi="宋体"/>
                <w:b/>
                <w:color w:val="000000"/>
                <w:sz w:val="24"/>
              </w:rPr>
            </w:pPr>
          </w:p>
        </w:tc>
      </w:tr>
      <w:tr w14:paraId="565B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14:paraId="20614040">
            <w:pPr>
              <w:adjustRightInd w:val="0"/>
              <w:snapToGrid w:val="0"/>
              <w:jc w:val="center"/>
              <w:rPr>
                <w:rFonts w:hint="eastAsia" w:ascii="宋体" w:hAnsi="宋体"/>
                <w:b/>
                <w:color w:val="000000"/>
                <w:sz w:val="24"/>
              </w:rPr>
            </w:pPr>
          </w:p>
        </w:tc>
        <w:tc>
          <w:tcPr>
            <w:tcW w:w="1006" w:type="dxa"/>
            <w:vAlign w:val="center"/>
          </w:tcPr>
          <w:p w14:paraId="4DEAAC38">
            <w:pPr>
              <w:adjustRightInd w:val="0"/>
              <w:snapToGrid w:val="0"/>
              <w:jc w:val="center"/>
              <w:rPr>
                <w:rFonts w:hint="eastAsia" w:ascii="宋体" w:hAnsi="宋体"/>
                <w:b/>
                <w:color w:val="000000"/>
                <w:sz w:val="24"/>
              </w:rPr>
            </w:pPr>
          </w:p>
        </w:tc>
        <w:tc>
          <w:tcPr>
            <w:tcW w:w="858" w:type="dxa"/>
            <w:vAlign w:val="center"/>
          </w:tcPr>
          <w:p w14:paraId="3EDDB96F">
            <w:pPr>
              <w:adjustRightInd w:val="0"/>
              <w:snapToGrid w:val="0"/>
              <w:jc w:val="center"/>
              <w:rPr>
                <w:rFonts w:hint="eastAsia" w:ascii="宋体" w:hAnsi="宋体"/>
                <w:b/>
                <w:color w:val="000000"/>
                <w:sz w:val="24"/>
              </w:rPr>
            </w:pPr>
          </w:p>
        </w:tc>
        <w:tc>
          <w:tcPr>
            <w:tcW w:w="764" w:type="dxa"/>
            <w:vAlign w:val="center"/>
          </w:tcPr>
          <w:p w14:paraId="5B1FB00A">
            <w:pPr>
              <w:adjustRightInd w:val="0"/>
              <w:snapToGrid w:val="0"/>
              <w:jc w:val="center"/>
              <w:rPr>
                <w:rFonts w:hint="eastAsia" w:ascii="宋体" w:hAnsi="宋体"/>
                <w:b/>
                <w:color w:val="000000"/>
                <w:sz w:val="24"/>
              </w:rPr>
            </w:pPr>
          </w:p>
        </w:tc>
        <w:tc>
          <w:tcPr>
            <w:tcW w:w="764" w:type="dxa"/>
            <w:vAlign w:val="center"/>
          </w:tcPr>
          <w:p w14:paraId="69B14BDE">
            <w:pPr>
              <w:adjustRightInd w:val="0"/>
              <w:snapToGrid w:val="0"/>
              <w:jc w:val="center"/>
              <w:rPr>
                <w:rFonts w:hint="eastAsia" w:ascii="宋体" w:hAnsi="宋体"/>
                <w:b/>
                <w:color w:val="000000"/>
                <w:sz w:val="24"/>
              </w:rPr>
            </w:pPr>
          </w:p>
        </w:tc>
        <w:tc>
          <w:tcPr>
            <w:tcW w:w="1975" w:type="dxa"/>
            <w:vAlign w:val="center"/>
          </w:tcPr>
          <w:p w14:paraId="51B8747D">
            <w:pPr>
              <w:adjustRightInd w:val="0"/>
              <w:snapToGrid w:val="0"/>
              <w:jc w:val="center"/>
              <w:rPr>
                <w:rFonts w:hint="eastAsia" w:ascii="宋体" w:hAnsi="宋体"/>
                <w:b/>
                <w:color w:val="000000"/>
                <w:sz w:val="24"/>
              </w:rPr>
            </w:pPr>
          </w:p>
        </w:tc>
        <w:tc>
          <w:tcPr>
            <w:tcW w:w="1066" w:type="dxa"/>
            <w:vAlign w:val="center"/>
          </w:tcPr>
          <w:p w14:paraId="2C59CE61">
            <w:pPr>
              <w:adjustRightInd w:val="0"/>
              <w:snapToGrid w:val="0"/>
              <w:jc w:val="center"/>
              <w:rPr>
                <w:rFonts w:hint="eastAsia" w:ascii="宋体" w:hAnsi="宋体"/>
                <w:b/>
                <w:color w:val="000000"/>
                <w:sz w:val="24"/>
              </w:rPr>
            </w:pPr>
          </w:p>
        </w:tc>
        <w:tc>
          <w:tcPr>
            <w:tcW w:w="1984" w:type="dxa"/>
            <w:vAlign w:val="center"/>
          </w:tcPr>
          <w:p w14:paraId="0C4F3975">
            <w:pPr>
              <w:adjustRightInd w:val="0"/>
              <w:snapToGrid w:val="0"/>
              <w:jc w:val="center"/>
              <w:rPr>
                <w:rFonts w:hint="eastAsia" w:ascii="宋体" w:hAnsi="宋体"/>
                <w:b/>
                <w:color w:val="000000"/>
                <w:sz w:val="24"/>
              </w:rPr>
            </w:pPr>
          </w:p>
        </w:tc>
      </w:tr>
      <w:tr w14:paraId="1030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14:paraId="1E783308">
            <w:pPr>
              <w:adjustRightInd w:val="0"/>
              <w:snapToGrid w:val="0"/>
              <w:jc w:val="center"/>
              <w:rPr>
                <w:rFonts w:hint="eastAsia" w:ascii="宋体" w:hAnsi="宋体"/>
                <w:b/>
                <w:color w:val="000000"/>
                <w:sz w:val="24"/>
              </w:rPr>
            </w:pPr>
          </w:p>
        </w:tc>
        <w:tc>
          <w:tcPr>
            <w:tcW w:w="1006" w:type="dxa"/>
            <w:vAlign w:val="center"/>
          </w:tcPr>
          <w:p w14:paraId="044A8A02">
            <w:pPr>
              <w:adjustRightInd w:val="0"/>
              <w:snapToGrid w:val="0"/>
              <w:jc w:val="center"/>
              <w:rPr>
                <w:rFonts w:hint="eastAsia" w:ascii="宋体" w:hAnsi="宋体"/>
                <w:b/>
                <w:color w:val="000000"/>
                <w:sz w:val="24"/>
              </w:rPr>
            </w:pPr>
          </w:p>
        </w:tc>
        <w:tc>
          <w:tcPr>
            <w:tcW w:w="858" w:type="dxa"/>
            <w:vAlign w:val="center"/>
          </w:tcPr>
          <w:p w14:paraId="3A9D28DF">
            <w:pPr>
              <w:adjustRightInd w:val="0"/>
              <w:snapToGrid w:val="0"/>
              <w:jc w:val="center"/>
              <w:rPr>
                <w:rFonts w:hint="eastAsia" w:ascii="宋体" w:hAnsi="宋体"/>
                <w:b/>
                <w:color w:val="000000"/>
                <w:sz w:val="24"/>
              </w:rPr>
            </w:pPr>
          </w:p>
        </w:tc>
        <w:tc>
          <w:tcPr>
            <w:tcW w:w="764" w:type="dxa"/>
            <w:vAlign w:val="center"/>
          </w:tcPr>
          <w:p w14:paraId="3A35CB0E">
            <w:pPr>
              <w:adjustRightInd w:val="0"/>
              <w:snapToGrid w:val="0"/>
              <w:jc w:val="center"/>
              <w:rPr>
                <w:rFonts w:hint="eastAsia" w:ascii="宋体" w:hAnsi="宋体"/>
                <w:b/>
                <w:color w:val="000000"/>
                <w:sz w:val="24"/>
              </w:rPr>
            </w:pPr>
          </w:p>
        </w:tc>
        <w:tc>
          <w:tcPr>
            <w:tcW w:w="764" w:type="dxa"/>
            <w:vAlign w:val="center"/>
          </w:tcPr>
          <w:p w14:paraId="3CBB9BF9">
            <w:pPr>
              <w:adjustRightInd w:val="0"/>
              <w:snapToGrid w:val="0"/>
              <w:jc w:val="center"/>
              <w:rPr>
                <w:rFonts w:hint="eastAsia" w:ascii="宋体" w:hAnsi="宋体"/>
                <w:b/>
                <w:color w:val="000000"/>
                <w:sz w:val="24"/>
              </w:rPr>
            </w:pPr>
          </w:p>
        </w:tc>
        <w:tc>
          <w:tcPr>
            <w:tcW w:w="1975" w:type="dxa"/>
            <w:vAlign w:val="center"/>
          </w:tcPr>
          <w:p w14:paraId="045B68AA">
            <w:pPr>
              <w:adjustRightInd w:val="0"/>
              <w:snapToGrid w:val="0"/>
              <w:jc w:val="center"/>
              <w:rPr>
                <w:rFonts w:hint="eastAsia" w:ascii="宋体" w:hAnsi="宋体"/>
                <w:b/>
                <w:color w:val="000000"/>
                <w:sz w:val="24"/>
              </w:rPr>
            </w:pPr>
          </w:p>
        </w:tc>
        <w:tc>
          <w:tcPr>
            <w:tcW w:w="1066" w:type="dxa"/>
            <w:vAlign w:val="center"/>
          </w:tcPr>
          <w:p w14:paraId="41CB06FE">
            <w:pPr>
              <w:adjustRightInd w:val="0"/>
              <w:snapToGrid w:val="0"/>
              <w:jc w:val="center"/>
              <w:rPr>
                <w:rFonts w:hint="eastAsia" w:ascii="宋体" w:hAnsi="宋体"/>
                <w:b/>
                <w:color w:val="000000"/>
                <w:sz w:val="24"/>
              </w:rPr>
            </w:pPr>
          </w:p>
        </w:tc>
        <w:tc>
          <w:tcPr>
            <w:tcW w:w="1984" w:type="dxa"/>
            <w:vAlign w:val="center"/>
          </w:tcPr>
          <w:p w14:paraId="24D811D2">
            <w:pPr>
              <w:adjustRightInd w:val="0"/>
              <w:snapToGrid w:val="0"/>
              <w:jc w:val="center"/>
              <w:rPr>
                <w:rFonts w:hint="eastAsia" w:ascii="宋体" w:hAnsi="宋体"/>
                <w:b/>
                <w:color w:val="000000"/>
                <w:sz w:val="24"/>
              </w:rPr>
            </w:pPr>
          </w:p>
        </w:tc>
      </w:tr>
      <w:tr w14:paraId="4787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14:paraId="2CD525D4">
            <w:pPr>
              <w:adjustRightInd w:val="0"/>
              <w:snapToGrid w:val="0"/>
              <w:jc w:val="center"/>
              <w:rPr>
                <w:rFonts w:hint="eastAsia" w:ascii="宋体" w:hAnsi="宋体"/>
                <w:b/>
                <w:color w:val="000000"/>
                <w:sz w:val="24"/>
              </w:rPr>
            </w:pPr>
          </w:p>
        </w:tc>
        <w:tc>
          <w:tcPr>
            <w:tcW w:w="1006" w:type="dxa"/>
            <w:vAlign w:val="center"/>
          </w:tcPr>
          <w:p w14:paraId="08190B23">
            <w:pPr>
              <w:adjustRightInd w:val="0"/>
              <w:snapToGrid w:val="0"/>
              <w:jc w:val="center"/>
              <w:rPr>
                <w:rFonts w:hint="eastAsia" w:ascii="宋体" w:hAnsi="宋体"/>
                <w:b/>
                <w:color w:val="000000"/>
                <w:sz w:val="24"/>
              </w:rPr>
            </w:pPr>
          </w:p>
        </w:tc>
        <w:tc>
          <w:tcPr>
            <w:tcW w:w="858" w:type="dxa"/>
            <w:vAlign w:val="center"/>
          </w:tcPr>
          <w:p w14:paraId="43CCFE61">
            <w:pPr>
              <w:adjustRightInd w:val="0"/>
              <w:snapToGrid w:val="0"/>
              <w:jc w:val="center"/>
              <w:rPr>
                <w:rFonts w:hint="eastAsia" w:ascii="宋体" w:hAnsi="宋体"/>
                <w:b/>
                <w:color w:val="000000"/>
                <w:sz w:val="24"/>
              </w:rPr>
            </w:pPr>
          </w:p>
        </w:tc>
        <w:tc>
          <w:tcPr>
            <w:tcW w:w="764" w:type="dxa"/>
            <w:vAlign w:val="center"/>
          </w:tcPr>
          <w:p w14:paraId="2A479FB7">
            <w:pPr>
              <w:adjustRightInd w:val="0"/>
              <w:snapToGrid w:val="0"/>
              <w:jc w:val="center"/>
              <w:rPr>
                <w:rFonts w:hint="eastAsia" w:ascii="宋体" w:hAnsi="宋体"/>
                <w:b/>
                <w:color w:val="000000"/>
                <w:sz w:val="24"/>
              </w:rPr>
            </w:pPr>
          </w:p>
        </w:tc>
        <w:tc>
          <w:tcPr>
            <w:tcW w:w="764" w:type="dxa"/>
            <w:vAlign w:val="center"/>
          </w:tcPr>
          <w:p w14:paraId="18C6E61B">
            <w:pPr>
              <w:adjustRightInd w:val="0"/>
              <w:snapToGrid w:val="0"/>
              <w:jc w:val="center"/>
              <w:rPr>
                <w:rFonts w:hint="eastAsia" w:ascii="宋体" w:hAnsi="宋体"/>
                <w:b/>
                <w:color w:val="000000"/>
                <w:sz w:val="24"/>
              </w:rPr>
            </w:pPr>
          </w:p>
        </w:tc>
        <w:tc>
          <w:tcPr>
            <w:tcW w:w="1975" w:type="dxa"/>
            <w:vAlign w:val="center"/>
          </w:tcPr>
          <w:p w14:paraId="21765D3F">
            <w:pPr>
              <w:adjustRightInd w:val="0"/>
              <w:snapToGrid w:val="0"/>
              <w:jc w:val="center"/>
              <w:rPr>
                <w:rFonts w:hint="eastAsia" w:ascii="宋体" w:hAnsi="宋体"/>
                <w:b/>
                <w:color w:val="000000"/>
                <w:sz w:val="24"/>
              </w:rPr>
            </w:pPr>
          </w:p>
        </w:tc>
        <w:tc>
          <w:tcPr>
            <w:tcW w:w="1066" w:type="dxa"/>
            <w:vAlign w:val="center"/>
          </w:tcPr>
          <w:p w14:paraId="54E3FFA5">
            <w:pPr>
              <w:adjustRightInd w:val="0"/>
              <w:snapToGrid w:val="0"/>
              <w:jc w:val="center"/>
              <w:rPr>
                <w:rFonts w:hint="eastAsia" w:ascii="宋体" w:hAnsi="宋体"/>
                <w:b/>
                <w:color w:val="000000"/>
                <w:sz w:val="24"/>
              </w:rPr>
            </w:pPr>
          </w:p>
        </w:tc>
        <w:tc>
          <w:tcPr>
            <w:tcW w:w="1984" w:type="dxa"/>
            <w:vAlign w:val="center"/>
          </w:tcPr>
          <w:p w14:paraId="49D33AE7">
            <w:pPr>
              <w:adjustRightInd w:val="0"/>
              <w:snapToGrid w:val="0"/>
              <w:jc w:val="center"/>
              <w:rPr>
                <w:rFonts w:hint="eastAsia" w:ascii="宋体" w:hAnsi="宋体"/>
                <w:b/>
                <w:color w:val="000000"/>
                <w:sz w:val="24"/>
              </w:rPr>
            </w:pPr>
          </w:p>
        </w:tc>
      </w:tr>
      <w:tr w14:paraId="0C0C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14:paraId="3474F7E5">
            <w:pPr>
              <w:adjustRightInd w:val="0"/>
              <w:snapToGrid w:val="0"/>
              <w:jc w:val="center"/>
              <w:rPr>
                <w:rFonts w:hint="eastAsia" w:ascii="宋体" w:hAnsi="宋体"/>
                <w:b/>
                <w:color w:val="000000"/>
                <w:sz w:val="24"/>
              </w:rPr>
            </w:pPr>
          </w:p>
        </w:tc>
        <w:tc>
          <w:tcPr>
            <w:tcW w:w="1006" w:type="dxa"/>
            <w:vAlign w:val="center"/>
          </w:tcPr>
          <w:p w14:paraId="0656C8AA">
            <w:pPr>
              <w:adjustRightInd w:val="0"/>
              <w:snapToGrid w:val="0"/>
              <w:jc w:val="center"/>
              <w:rPr>
                <w:rFonts w:hint="eastAsia" w:ascii="宋体" w:hAnsi="宋体"/>
                <w:b/>
                <w:color w:val="000000"/>
                <w:sz w:val="24"/>
              </w:rPr>
            </w:pPr>
          </w:p>
        </w:tc>
        <w:tc>
          <w:tcPr>
            <w:tcW w:w="858" w:type="dxa"/>
            <w:vAlign w:val="center"/>
          </w:tcPr>
          <w:p w14:paraId="4A5CC546">
            <w:pPr>
              <w:adjustRightInd w:val="0"/>
              <w:snapToGrid w:val="0"/>
              <w:jc w:val="center"/>
              <w:rPr>
                <w:rFonts w:hint="eastAsia" w:ascii="宋体" w:hAnsi="宋体"/>
                <w:b/>
                <w:color w:val="000000"/>
                <w:sz w:val="24"/>
              </w:rPr>
            </w:pPr>
          </w:p>
        </w:tc>
        <w:tc>
          <w:tcPr>
            <w:tcW w:w="764" w:type="dxa"/>
            <w:vAlign w:val="center"/>
          </w:tcPr>
          <w:p w14:paraId="6408EC03">
            <w:pPr>
              <w:adjustRightInd w:val="0"/>
              <w:snapToGrid w:val="0"/>
              <w:jc w:val="center"/>
              <w:rPr>
                <w:rFonts w:hint="eastAsia" w:ascii="宋体" w:hAnsi="宋体"/>
                <w:b/>
                <w:color w:val="000000"/>
                <w:sz w:val="24"/>
              </w:rPr>
            </w:pPr>
          </w:p>
        </w:tc>
        <w:tc>
          <w:tcPr>
            <w:tcW w:w="764" w:type="dxa"/>
            <w:vAlign w:val="center"/>
          </w:tcPr>
          <w:p w14:paraId="45532A46">
            <w:pPr>
              <w:adjustRightInd w:val="0"/>
              <w:snapToGrid w:val="0"/>
              <w:jc w:val="center"/>
              <w:rPr>
                <w:rFonts w:hint="eastAsia" w:ascii="宋体" w:hAnsi="宋体"/>
                <w:b/>
                <w:color w:val="000000"/>
                <w:sz w:val="24"/>
              </w:rPr>
            </w:pPr>
          </w:p>
        </w:tc>
        <w:tc>
          <w:tcPr>
            <w:tcW w:w="1975" w:type="dxa"/>
            <w:vAlign w:val="center"/>
          </w:tcPr>
          <w:p w14:paraId="22898A96">
            <w:pPr>
              <w:adjustRightInd w:val="0"/>
              <w:snapToGrid w:val="0"/>
              <w:jc w:val="center"/>
              <w:rPr>
                <w:rFonts w:hint="eastAsia" w:ascii="宋体" w:hAnsi="宋体"/>
                <w:b/>
                <w:color w:val="000000"/>
                <w:sz w:val="24"/>
              </w:rPr>
            </w:pPr>
          </w:p>
        </w:tc>
        <w:tc>
          <w:tcPr>
            <w:tcW w:w="1066" w:type="dxa"/>
            <w:vAlign w:val="center"/>
          </w:tcPr>
          <w:p w14:paraId="11965717">
            <w:pPr>
              <w:adjustRightInd w:val="0"/>
              <w:snapToGrid w:val="0"/>
              <w:jc w:val="center"/>
              <w:rPr>
                <w:rFonts w:hint="eastAsia" w:ascii="宋体" w:hAnsi="宋体"/>
                <w:b/>
                <w:color w:val="000000"/>
                <w:sz w:val="24"/>
              </w:rPr>
            </w:pPr>
          </w:p>
        </w:tc>
        <w:tc>
          <w:tcPr>
            <w:tcW w:w="1984" w:type="dxa"/>
            <w:vAlign w:val="center"/>
          </w:tcPr>
          <w:p w14:paraId="4F97C27B">
            <w:pPr>
              <w:adjustRightInd w:val="0"/>
              <w:snapToGrid w:val="0"/>
              <w:jc w:val="center"/>
              <w:rPr>
                <w:rFonts w:hint="eastAsia" w:ascii="宋体" w:hAnsi="宋体"/>
                <w:b/>
                <w:color w:val="000000"/>
                <w:sz w:val="24"/>
              </w:rPr>
            </w:pPr>
          </w:p>
        </w:tc>
      </w:tr>
      <w:tr w14:paraId="2DCD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14:paraId="5F504EB5">
            <w:pPr>
              <w:adjustRightInd w:val="0"/>
              <w:snapToGrid w:val="0"/>
              <w:jc w:val="center"/>
              <w:rPr>
                <w:rFonts w:hint="eastAsia" w:ascii="宋体" w:hAnsi="宋体"/>
                <w:b/>
                <w:color w:val="000000"/>
                <w:sz w:val="24"/>
              </w:rPr>
            </w:pPr>
          </w:p>
        </w:tc>
        <w:tc>
          <w:tcPr>
            <w:tcW w:w="1006" w:type="dxa"/>
            <w:vAlign w:val="center"/>
          </w:tcPr>
          <w:p w14:paraId="26E84C39">
            <w:pPr>
              <w:adjustRightInd w:val="0"/>
              <w:snapToGrid w:val="0"/>
              <w:jc w:val="center"/>
              <w:rPr>
                <w:rFonts w:hint="eastAsia" w:ascii="宋体" w:hAnsi="宋体"/>
                <w:b/>
                <w:color w:val="000000"/>
                <w:sz w:val="24"/>
              </w:rPr>
            </w:pPr>
          </w:p>
        </w:tc>
        <w:tc>
          <w:tcPr>
            <w:tcW w:w="858" w:type="dxa"/>
            <w:vAlign w:val="center"/>
          </w:tcPr>
          <w:p w14:paraId="38C0F1B6">
            <w:pPr>
              <w:adjustRightInd w:val="0"/>
              <w:snapToGrid w:val="0"/>
              <w:jc w:val="center"/>
              <w:rPr>
                <w:rFonts w:hint="eastAsia" w:ascii="宋体" w:hAnsi="宋体"/>
                <w:b/>
                <w:color w:val="000000"/>
                <w:sz w:val="24"/>
              </w:rPr>
            </w:pPr>
          </w:p>
        </w:tc>
        <w:tc>
          <w:tcPr>
            <w:tcW w:w="764" w:type="dxa"/>
            <w:vAlign w:val="center"/>
          </w:tcPr>
          <w:p w14:paraId="5D05A623">
            <w:pPr>
              <w:adjustRightInd w:val="0"/>
              <w:snapToGrid w:val="0"/>
              <w:jc w:val="center"/>
              <w:rPr>
                <w:rFonts w:hint="eastAsia" w:ascii="宋体" w:hAnsi="宋体"/>
                <w:b/>
                <w:color w:val="000000"/>
                <w:sz w:val="24"/>
              </w:rPr>
            </w:pPr>
          </w:p>
        </w:tc>
        <w:tc>
          <w:tcPr>
            <w:tcW w:w="764" w:type="dxa"/>
            <w:vAlign w:val="center"/>
          </w:tcPr>
          <w:p w14:paraId="3CC37072">
            <w:pPr>
              <w:adjustRightInd w:val="0"/>
              <w:snapToGrid w:val="0"/>
              <w:jc w:val="center"/>
              <w:rPr>
                <w:rFonts w:hint="eastAsia" w:ascii="宋体" w:hAnsi="宋体"/>
                <w:b/>
                <w:color w:val="000000"/>
                <w:sz w:val="24"/>
              </w:rPr>
            </w:pPr>
          </w:p>
        </w:tc>
        <w:tc>
          <w:tcPr>
            <w:tcW w:w="1975" w:type="dxa"/>
            <w:vAlign w:val="center"/>
          </w:tcPr>
          <w:p w14:paraId="30BD9630">
            <w:pPr>
              <w:adjustRightInd w:val="0"/>
              <w:snapToGrid w:val="0"/>
              <w:jc w:val="center"/>
              <w:rPr>
                <w:rFonts w:hint="eastAsia" w:ascii="宋体" w:hAnsi="宋体"/>
                <w:b/>
                <w:color w:val="000000"/>
                <w:sz w:val="24"/>
              </w:rPr>
            </w:pPr>
          </w:p>
        </w:tc>
        <w:tc>
          <w:tcPr>
            <w:tcW w:w="1066" w:type="dxa"/>
            <w:vAlign w:val="center"/>
          </w:tcPr>
          <w:p w14:paraId="743781EE">
            <w:pPr>
              <w:adjustRightInd w:val="0"/>
              <w:snapToGrid w:val="0"/>
              <w:jc w:val="center"/>
              <w:rPr>
                <w:rFonts w:hint="eastAsia" w:ascii="宋体" w:hAnsi="宋体"/>
                <w:b/>
                <w:color w:val="000000"/>
                <w:sz w:val="24"/>
              </w:rPr>
            </w:pPr>
          </w:p>
        </w:tc>
        <w:tc>
          <w:tcPr>
            <w:tcW w:w="1984" w:type="dxa"/>
            <w:vAlign w:val="center"/>
          </w:tcPr>
          <w:p w14:paraId="10808724">
            <w:pPr>
              <w:adjustRightInd w:val="0"/>
              <w:snapToGrid w:val="0"/>
              <w:jc w:val="center"/>
              <w:rPr>
                <w:rFonts w:hint="eastAsia" w:ascii="宋体" w:hAnsi="宋体"/>
                <w:b/>
                <w:color w:val="000000"/>
                <w:sz w:val="24"/>
              </w:rPr>
            </w:pPr>
          </w:p>
        </w:tc>
      </w:tr>
      <w:tr w14:paraId="2942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14:paraId="34D0AE1E">
            <w:pPr>
              <w:adjustRightInd w:val="0"/>
              <w:snapToGrid w:val="0"/>
              <w:jc w:val="center"/>
              <w:rPr>
                <w:rFonts w:hint="eastAsia" w:ascii="宋体" w:hAnsi="宋体"/>
                <w:b/>
                <w:color w:val="000000"/>
                <w:sz w:val="24"/>
              </w:rPr>
            </w:pPr>
          </w:p>
        </w:tc>
        <w:tc>
          <w:tcPr>
            <w:tcW w:w="1006" w:type="dxa"/>
            <w:vAlign w:val="center"/>
          </w:tcPr>
          <w:p w14:paraId="44B48080">
            <w:pPr>
              <w:adjustRightInd w:val="0"/>
              <w:snapToGrid w:val="0"/>
              <w:jc w:val="center"/>
              <w:rPr>
                <w:rFonts w:hint="eastAsia" w:ascii="宋体" w:hAnsi="宋体"/>
                <w:b/>
                <w:color w:val="000000"/>
                <w:sz w:val="24"/>
              </w:rPr>
            </w:pPr>
          </w:p>
        </w:tc>
        <w:tc>
          <w:tcPr>
            <w:tcW w:w="858" w:type="dxa"/>
            <w:vAlign w:val="center"/>
          </w:tcPr>
          <w:p w14:paraId="5BB292E7">
            <w:pPr>
              <w:adjustRightInd w:val="0"/>
              <w:snapToGrid w:val="0"/>
              <w:jc w:val="center"/>
              <w:rPr>
                <w:rFonts w:hint="eastAsia" w:ascii="宋体" w:hAnsi="宋体"/>
                <w:b/>
                <w:color w:val="000000"/>
                <w:sz w:val="24"/>
              </w:rPr>
            </w:pPr>
          </w:p>
        </w:tc>
        <w:tc>
          <w:tcPr>
            <w:tcW w:w="764" w:type="dxa"/>
            <w:vAlign w:val="center"/>
          </w:tcPr>
          <w:p w14:paraId="6CBA910A">
            <w:pPr>
              <w:adjustRightInd w:val="0"/>
              <w:snapToGrid w:val="0"/>
              <w:jc w:val="center"/>
              <w:rPr>
                <w:rFonts w:hint="eastAsia" w:ascii="宋体" w:hAnsi="宋体"/>
                <w:b/>
                <w:color w:val="000000"/>
                <w:sz w:val="24"/>
              </w:rPr>
            </w:pPr>
          </w:p>
        </w:tc>
        <w:tc>
          <w:tcPr>
            <w:tcW w:w="764" w:type="dxa"/>
            <w:vAlign w:val="center"/>
          </w:tcPr>
          <w:p w14:paraId="4C5B26C4">
            <w:pPr>
              <w:adjustRightInd w:val="0"/>
              <w:snapToGrid w:val="0"/>
              <w:jc w:val="center"/>
              <w:rPr>
                <w:rFonts w:hint="eastAsia" w:ascii="宋体" w:hAnsi="宋体"/>
                <w:b/>
                <w:color w:val="000000"/>
                <w:sz w:val="24"/>
              </w:rPr>
            </w:pPr>
          </w:p>
        </w:tc>
        <w:tc>
          <w:tcPr>
            <w:tcW w:w="1975" w:type="dxa"/>
            <w:vAlign w:val="center"/>
          </w:tcPr>
          <w:p w14:paraId="5FEB0A0A">
            <w:pPr>
              <w:adjustRightInd w:val="0"/>
              <w:snapToGrid w:val="0"/>
              <w:jc w:val="center"/>
              <w:rPr>
                <w:rFonts w:hint="eastAsia" w:ascii="宋体" w:hAnsi="宋体"/>
                <w:b/>
                <w:color w:val="000000"/>
                <w:sz w:val="24"/>
              </w:rPr>
            </w:pPr>
          </w:p>
        </w:tc>
        <w:tc>
          <w:tcPr>
            <w:tcW w:w="1066" w:type="dxa"/>
            <w:vAlign w:val="center"/>
          </w:tcPr>
          <w:p w14:paraId="56ECFD7E">
            <w:pPr>
              <w:adjustRightInd w:val="0"/>
              <w:snapToGrid w:val="0"/>
              <w:jc w:val="center"/>
              <w:rPr>
                <w:rFonts w:hint="eastAsia" w:ascii="宋体" w:hAnsi="宋体"/>
                <w:b/>
                <w:color w:val="000000"/>
                <w:sz w:val="24"/>
              </w:rPr>
            </w:pPr>
          </w:p>
        </w:tc>
        <w:tc>
          <w:tcPr>
            <w:tcW w:w="1984" w:type="dxa"/>
            <w:vAlign w:val="center"/>
          </w:tcPr>
          <w:p w14:paraId="5CC5BF23">
            <w:pPr>
              <w:adjustRightInd w:val="0"/>
              <w:snapToGrid w:val="0"/>
              <w:jc w:val="center"/>
              <w:rPr>
                <w:rFonts w:hint="eastAsia" w:ascii="宋体" w:hAnsi="宋体"/>
                <w:b/>
                <w:color w:val="000000"/>
                <w:sz w:val="24"/>
              </w:rPr>
            </w:pPr>
          </w:p>
        </w:tc>
      </w:tr>
      <w:tr w14:paraId="2BC9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14:paraId="770C226F">
            <w:pPr>
              <w:adjustRightInd w:val="0"/>
              <w:snapToGrid w:val="0"/>
              <w:jc w:val="center"/>
              <w:rPr>
                <w:rFonts w:hint="eastAsia" w:ascii="宋体" w:hAnsi="宋体"/>
                <w:b/>
                <w:color w:val="000000"/>
                <w:sz w:val="24"/>
              </w:rPr>
            </w:pPr>
          </w:p>
        </w:tc>
        <w:tc>
          <w:tcPr>
            <w:tcW w:w="1006" w:type="dxa"/>
            <w:vAlign w:val="center"/>
          </w:tcPr>
          <w:p w14:paraId="27920273">
            <w:pPr>
              <w:adjustRightInd w:val="0"/>
              <w:snapToGrid w:val="0"/>
              <w:jc w:val="center"/>
              <w:rPr>
                <w:rFonts w:hint="eastAsia" w:ascii="宋体" w:hAnsi="宋体"/>
                <w:b/>
                <w:color w:val="000000"/>
                <w:sz w:val="24"/>
              </w:rPr>
            </w:pPr>
          </w:p>
        </w:tc>
        <w:tc>
          <w:tcPr>
            <w:tcW w:w="858" w:type="dxa"/>
            <w:vAlign w:val="center"/>
          </w:tcPr>
          <w:p w14:paraId="2774AEA6">
            <w:pPr>
              <w:adjustRightInd w:val="0"/>
              <w:snapToGrid w:val="0"/>
              <w:jc w:val="center"/>
              <w:rPr>
                <w:rFonts w:hint="eastAsia" w:ascii="宋体" w:hAnsi="宋体"/>
                <w:b/>
                <w:color w:val="000000"/>
                <w:sz w:val="24"/>
              </w:rPr>
            </w:pPr>
          </w:p>
        </w:tc>
        <w:tc>
          <w:tcPr>
            <w:tcW w:w="764" w:type="dxa"/>
            <w:vAlign w:val="center"/>
          </w:tcPr>
          <w:p w14:paraId="425CEAF9">
            <w:pPr>
              <w:adjustRightInd w:val="0"/>
              <w:snapToGrid w:val="0"/>
              <w:jc w:val="center"/>
              <w:rPr>
                <w:rFonts w:hint="eastAsia" w:ascii="宋体" w:hAnsi="宋体"/>
                <w:b/>
                <w:color w:val="000000"/>
                <w:sz w:val="24"/>
              </w:rPr>
            </w:pPr>
          </w:p>
        </w:tc>
        <w:tc>
          <w:tcPr>
            <w:tcW w:w="764" w:type="dxa"/>
            <w:vAlign w:val="center"/>
          </w:tcPr>
          <w:p w14:paraId="01AF360A">
            <w:pPr>
              <w:adjustRightInd w:val="0"/>
              <w:snapToGrid w:val="0"/>
              <w:jc w:val="center"/>
              <w:rPr>
                <w:rFonts w:hint="eastAsia" w:ascii="宋体" w:hAnsi="宋体"/>
                <w:b/>
                <w:color w:val="000000"/>
                <w:sz w:val="24"/>
              </w:rPr>
            </w:pPr>
          </w:p>
        </w:tc>
        <w:tc>
          <w:tcPr>
            <w:tcW w:w="1975" w:type="dxa"/>
            <w:vAlign w:val="center"/>
          </w:tcPr>
          <w:p w14:paraId="39B8E078">
            <w:pPr>
              <w:adjustRightInd w:val="0"/>
              <w:snapToGrid w:val="0"/>
              <w:jc w:val="center"/>
              <w:rPr>
                <w:rFonts w:hint="eastAsia" w:ascii="宋体" w:hAnsi="宋体"/>
                <w:b/>
                <w:color w:val="000000"/>
                <w:sz w:val="24"/>
              </w:rPr>
            </w:pPr>
          </w:p>
        </w:tc>
        <w:tc>
          <w:tcPr>
            <w:tcW w:w="1066" w:type="dxa"/>
            <w:vAlign w:val="center"/>
          </w:tcPr>
          <w:p w14:paraId="04883657">
            <w:pPr>
              <w:adjustRightInd w:val="0"/>
              <w:snapToGrid w:val="0"/>
              <w:jc w:val="center"/>
              <w:rPr>
                <w:rFonts w:hint="eastAsia" w:ascii="宋体" w:hAnsi="宋体"/>
                <w:b/>
                <w:color w:val="000000"/>
                <w:sz w:val="24"/>
              </w:rPr>
            </w:pPr>
          </w:p>
        </w:tc>
        <w:tc>
          <w:tcPr>
            <w:tcW w:w="1984" w:type="dxa"/>
            <w:vAlign w:val="center"/>
          </w:tcPr>
          <w:p w14:paraId="78994A72">
            <w:pPr>
              <w:adjustRightInd w:val="0"/>
              <w:snapToGrid w:val="0"/>
              <w:jc w:val="center"/>
              <w:rPr>
                <w:rFonts w:hint="eastAsia" w:ascii="宋体" w:hAnsi="宋体"/>
                <w:b/>
                <w:color w:val="000000"/>
                <w:sz w:val="24"/>
              </w:rPr>
            </w:pPr>
          </w:p>
        </w:tc>
      </w:tr>
      <w:tr w14:paraId="015A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14:paraId="7B16BDA2">
            <w:pPr>
              <w:adjustRightInd w:val="0"/>
              <w:snapToGrid w:val="0"/>
              <w:jc w:val="center"/>
              <w:rPr>
                <w:rFonts w:hint="eastAsia" w:ascii="宋体" w:hAnsi="宋体"/>
                <w:b/>
                <w:color w:val="000000"/>
                <w:sz w:val="24"/>
              </w:rPr>
            </w:pPr>
          </w:p>
        </w:tc>
        <w:tc>
          <w:tcPr>
            <w:tcW w:w="1006" w:type="dxa"/>
            <w:vAlign w:val="center"/>
          </w:tcPr>
          <w:p w14:paraId="3275DDFF">
            <w:pPr>
              <w:adjustRightInd w:val="0"/>
              <w:snapToGrid w:val="0"/>
              <w:jc w:val="center"/>
              <w:rPr>
                <w:rFonts w:hint="eastAsia" w:ascii="宋体" w:hAnsi="宋体"/>
                <w:b/>
                <w:color w:val="000000"/>
                <w:sz w:val="24"/>
              </w:rPr>
            </w:pPr>
          </w:p>
        </w:tc>
        <w:tc>
          <w:tcPr>
            <w:tcW w:w="858" w:type="dxa"/>
            <w:vAlign w:val="center"/>
          </w:tcPr>
          <w:p w14:paraId="6ED25A13">
            <w:pPr>
              <w:adjustRightInd w:val="0"/>
              <w:snapToGrid w:val="0"/>
              <w:jc w:val="center"/>
              <w:rPr>
                <w:rFonts w:hint="eastAsia" w:ascii="宋体" w:hAnsi="宋体"/>
                <w:b/>
                <w:color w:val="000000"/>
                <w:sz w:val="24"/>
              </w:rPr>
            </w:pPr>
          </w:p>
        </w:tc>
        <w:tc>
          <w:tcPr>
            <w:tcW w:w="764" w:type="dxa"/>
            <w:vAlign w:val="center"/>
          </w:tcPr>
          <w:p w14:paraId="16D66DF6">
            <w:pPr>
              <w:adjustRightInd w:val="0"/>
              <w:snapToGrid w:val="0"/>
              <w:jc w:val="center"/>
              <w:rPr>
                <w:rFonts w:hint="eastAsia" w:ascii="宋体" w:hAnsi="宋体"/>
                <w:b/>
                <w:color w:val="000000"/>
                <w:sz w:val="24"/>
              </w:rPr>
            </w:pPr>
          </w:p>
        </w:tc>
        <w:tc>
          <w:tcPr>
            <w:tcW w:w="764" w:type="dxa"/>
            <w:vAlign w:val="center"/>
          </w:tcPr>
          <w:p w14:paraId="3B452EF0">
            <w:pPr>
              <w:adjustRightInd w:val="0"/>
              <w:snapToGrid w:val="0"/>
              <w:jc w:val="center"/>
              <w:rPr>
                <w:rFonts w:hint="eastAsia" w:ascii="宋体" w:hAnsi="宋体"/>
                <w:b/>
                <w:color w:val="000000"/>
                <w:sz w:val="24"/>
              </w:rPr>
            </w:pPr>
          </w:p>
        </w:tc>
        <w:tc>
          <w:tcPr>
            <w:tcW w:w="1975" w:type="dxa"/>
            <w:vAlign w:val="center"/>
          </w:tcPr>
          <w:p w14:paraId="68268C58">
            <w:pPr>
              <w:adjustRightInd w:val="0"/>
              <w:snapToGrid w:val="0"/>
              <w:jc w:val="center"/>
              <w:rPr>
                <w:rFonts w:hint="eastAsia" w:ascii="宋体" w:hAnsi="宋体"/>
                <w:b/>
                <w:color w:val="000000"/>
                <w:sz w:val="24"/>
              </w:rPr>
            </w:pPr>
          </w:p>
        </w:tc>
        <w:tc>
          <w:tcPr>
            <w:tcW w:w="1066" w:type="dxa"/>
            <w:vAlign w:val="center"/>
          </w:tcPr>
          <w:p w14:paraId="29E30009">
            <w:pPr>
              <w:adjustRightInd w:val="0"/>
              <w:snapToGrid w:val="0"/>
              <w:jc w:val="center"/>
              <w:rPr>
                <w:rFonts w:hint="eastAsia" w:ascii="宋体" w:hAnsi="宋体"/>
                <w:b/>
                <w:color w:val="000000"/>
                <w:sz w:val="24"/>
              </w:rPr>
            </w:pPr>
          </w:p>
        </w:tc>
        <w:tc>
          <w:tcPr>
            <w:tcW w:w="1984" w:type="dxa"/>
            <w:vAlign w:val="center"/>
          </w:tcPr>
          <w:p w14:paraId="04851A9C">
            <w:pPr>
              <w:adjustRightInd w:val="0"/>
              <w:snapToGrid w:val="0"/>
              <w:jc w:val="center"/>
              <w:rPr>
                <w:rFonts w:hint="eastAsia" w:ascii="宋体" w:hAnsi="宋体"/>
                <w:b/>
                <w:color w:val="000000"/>
                <w:sz w:val="24"/>
              </w:rPr>
            </w:pPr>
          </w:p>
        </w:tc>
      </w:tr>
      <w:tr w14:paraId="0E1A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14:paraId="0B18179D">
            <w:pPr>
              <w:adjustRightInd w:val="0"/>
              <w:snapToGrid w:val="0"/>
              <w:jc w:val="center"/>
              <w:rPr>
                <w:rFonts w:hint="eastAsia" w:ascii="宋体" w:hAnsi="宋体"/>
                <w:b/>
                <w:color w:val="000000"/>
                <w:sz w:val="24"/>
              </w:rPr>
            </w:pPr>
          </w:p>
        </w:tc>
        <w:tc>
          <w:tcPr>
            <w:tcW w:w="1006" w:type="dxa"/>
            <w:vAlign w:val="center"/>
          </w:tcPr>
          <w:p w14:paraId="364EA8D8">
            <w:pPr>
              <w:adjustRightInd w:val="0"/>
              <w:snapToGrid w:val="0"/>
              <w:jc w:val="center"/>
              <w:rPr>
                <w:rFonts w:hint="eastAsia" w:ascii="宋体" w:hAnsi="宋体"/>
                <w:b/>
                <w:color w:val="000000"/>
                <w:sz w:val="24"/>
              </w:rPr>
            </w:pPr>
          </w:p>
        </w:tc>
        <w:tc>
          <w:tcPr>
            <w:tcW w:w="858" w:type="dxa"/>
            <w:vAlign w:val="center"/>
          </w:tcPr>
          <w:p w14:paraId="02B03E67">
            <w:pPr>
              <w:adjustRightInd w:val="0"/>
              <w:snapToGrid w:val="0"/>
              <w:jc w:val="center"/>
              <w:rPr>
                <w:rFonts w:hint="eastAsia" w:ascii="宋体" w:hAnsi="宋体"/>
                <w:b/>
                <w:color w:val="000000"/>
                <w:sz w:val="24"/>
              </w:rPr>
            </w:pPr>
          </w:p>
        </w:tc>
        <w:tc>
          <w:tcPr>
            <w:tcW w:w="764" w:type="dxa"/>
            <w:vAlign w:val="center"/>
          </w:tcPr>
          <w:p w14:paraId="3E569BA2">
            <w:pPr>
              <w:adjustRightInd w:val="0"/>
              <w:snapToGrid w:val="0"/>
              <w:jc w:val="center"/>
              <w:rPr>
                <w:rFonts w:hint="eastAsia" w:ascii="宋体" w:hAnsi="宋体"/>
                <w:b/>
                <w:color w:val="000000"/>
                <w:sz w:val="24"/>
              </w:rPr>
            </w:pPr>
          </w:p>
        </w:tc>
        <w:tc>
          <w:tcPr>
            <w:tcW w:w="764" w:type="dxa"/>
            <w:vAlign w:val="center"/>
          </w:tcPr>
          <w:p w14:paraId="1B9D61C2">
            <w:pPr>
              <w:adjustRightInd w:val="0"/>
              <w:snapToGrid w:val="0"/>
              <w:jc w:val="center"/>
              <w:rPr>
                <w:rFonts w:hint="eastAsia" w:ascii="宋体" w:hAnsi="宋体"/>
                <w:b/>
                <w:color w:val="000000"/>
                <w:sz w:val="24"/>
              </w:rPr>
            </w:pPr>
          </w:p>
        </w:tc>
        <w:tc>
          <w:tcPr>
            <w:tcW w:w="1975" w:type="dxa"/>
            <w:vAlign w:val="center"/>
          </w:tcPr>
          <w:p w14:paraId="7FBC1A07">
            <w:pPr>
              <w:adjustRightInd w:val="0"/>
              <w:snapToGrid w:val="0"/>
              <w:jc w:val="center"/>
              <w:rPr>
                <w:rFonts w:hint="eastAsia" w:ascii="宋体" w:hAnsi="宋体"/>
                <w:b/>
                <w:color w:val="000000"/>
                <w:sz w:val="24"/>
              </w:rPr>
            </w:pPr>
          </w:p>
        </w:tc>
        <w:tc>
          <w:tcPr>
            <w:tcW w:w="1066" w:type="dxa"/>
            <w:vAlign w:val="center"/>
          </w:tcPr>
          <w:p w14:paraId="6E3F747A">
            <w:pPr>
              <w:adjustRightInd w:val="0"/>
              <w:snapToGrid w:val="0"/>
              <w:jc w:val="center"/>
              <w:rPr>
                <w:rFonts w:hint="eastAsia" w:ascii="宋体" w:hAnsi="宋体"/>
                <w:b/>
                <w:color w:val="000000"/>
                <w:sz w:val="24"/>
              </w:rPr>
            </w:pPr>
          </w:p>
        </w:tc>
        <w:tc>
          <w:tcPr>
            <w:tcW w:w="1984" w:type="dxa"/>
            <w:vAlign w:val="center"/>
          </w:tcPr>
          <w:p w14:paraId="136468EE">
            <w:pPr>
              <w:adjustRightInd w:val="0"/>
              <w:snapToGrid w:val="0"/>
              <w:jc w:val="center"/>
              <w:rPr>
                <w:rFonts w:hint="eastAsia" w:ascii="宋体" w:hAnsi="宋体"/>
                <w:b/>
                <w:color w:val="000000"/>
                <w:sz w:val="24"/>
              </w:rPr>
            </w:pPr>
          </w:p>
        </w:tc>
      </w:tr>
    </w:tbl>
    <w:p w14:paraId="1C95B535">
      <w:pPr>
        <w:spacing w:line="360" w:lineRule="auto"/>
        <w:rPr>
          <w:rFonts w:hint="eastAsia" w:ascii="宋体" w:hAnsi="宋体"/>
          <w:color w:val="000000"/>
          <w:sz w:val="24"/>
        </w:rPr>
      </w:pPr>
      <w:r>
        <w:rPr>
          <w:rFonts w:ascii="宋体" w:hAnsi="宋体"/>
          <w:color w:val="000000"/>
          <w:sz w:val="24"/>
        </w:rPr>
        <w:t>附：可根据行业规定</w:t>
      </w:r>
      <w:r>
        <w:rPr>
          <w:rFonts w:hint="eastAsia" w:ascii="宋体" w:hAnsi="宋体"/>
          <w:color w:val="000000"/>
          <w:sz w:val="24"/>
        </w:rPr>
        <w:t>附项目组人员的相关证件包括不限于身份证、资格证、社保记录等复印件</w:t>
      </w:r>
      <w:r>
        <w:rPr>
          <w:rFonts w:ascii="宋体" w:hAnsi="宋体"/>
          <w:color w:val="000000"/>
          <w:sz w:val="24"/>
        </w:rPr>
        <w:t>。</w:t>
      </w:r>
    </w:p>
    <w:p w14:paraId="36556A60">
      <w:pPr>
        <w:pStyle w:val="23"/>
        <w:tabs>
          <w:tab w:val="left" w:pos="5580"/>
        </w:tabs>
        <w:adjustRightInd w:val="0"/>
        <w:snapToGrid w:val="0"/>
        <w:spacing w:line="360" w:lineRule="auto"/>
        <w:rPr>
          <w:rFonts w:hAnsi="宋体" w:cs="宋体"/>
          <w:color w:val="000000"/>
          <w:sz w:val="24"/>
          <w:szCs w:val="24"/>
        </w:rPr>
      </w:pPr>
    </w:p>
    <w:p w14:paraId="05DEC097">
      <w:pPr>
        <w:pStyle w:val="23"/>
        <w:tabs>
          <w:tab w:val="left" w:pos="5580"/>
        </w:tabs>
        <w:adjustRightInd w:val="0"/>
        <w:snapToGrid w:val="0"/>
        <w:spacing w:line="360" w:lineRule="auto"/>
        <w:rPr>
          <w:rFonts w:hAnsi="宋体" w:cs="宋体"/>
          <w:color w:val="000000"/>
          <w:sz w:val="24"/>
          <w:szCs w:val="24"/>
        </w:rPr>
      </w:pPr>
    </w:p>
    <w:p w14:paraId="4D8F20EB">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14:paraId="06EEBCD4">
      <w:pPr>
        <w:spacing w:line="360" w:lineRule="auto"/>
        <w:rPr>
          <w:rFonts w:hint="eastAsia" w:ascii="宋体" w:hAnsi="宋体" w:cs="宋体"/>
          <w:color w:val="000000"/>
          <w:sz w:val="24"/>
          <w:szCs w:val="20"/>
        </w:rPr>
      </w:pPr>
      <w:r>
        <w:rPr>
          <w:rFonts w:hint="eastAsia" w:ascii="宋体" w:hAnsi="宋体" w:cs="宋体"/>
          <w:color w:val="000000"/>
          <w:sz w:val="24"/>
          <w:szCs w:val="20"/>
        </w:rPr>
        <w:t>日期：_____年______月______日</w:t>
      </w:r>
    </w:p>
    <w:p w14:paraId="0FCEC23F">
      <w:pPr>
        <w:pStyle w:val="17"/>
        <w:spacing w:before="308" w:line="242" w:lineRule="auto"/>
        <w:ind w:left="128" w:right="3784"/>
        <w:rPr>
          <w:rFonts w:hint="eastAsia" w:cs="宋体"/>
          <w:color w:val="000000"/>
          <w:szCs w:val="28"/>
        </w:rPr>
      </w:pPr>
      <w:r>
        <w:rPr>
          <w:rFonts w:cs="宋体"/>
          <w:color w:val="000000"/>
          <w:szCs w:val="20"/>
        </w:rPr>
        <w:br w:type="page"/>
      </w:r>
      <w:bookmarkStart w:id="990" w:name="_Toc188382274"/>
      <w:r>
        <w:rPr>
          <w:rFonts w:hint="eastAsia" w:cs="宋体"/>
          <w:spacing w:val="1"/>
        </w:rPr>
        <w:t>8-4  节能产品、环境标志产品的证明材料（如有）</w:t>
      </w:r>
      <w:bookmarkEnd w:id="990"/>
    </w:p>
    <w:p w14:paraId="09FEAB54">
      <w:pPr>
        <w:spacing w:line="360" w:lineRule="auto"/>
        <w:rPr>
          <w:rFonts w:hint="eastAsia" w:ascii="宋体" w:hAnsi="宋体" w:cs="宋体"/>
          <w:b/>
          <w:color w:val="000000"/>
          <w:sz w:val="24"/>
        </w:rPr>
      </w:pPr>
    </w:p>
    <w:p w14:paraId="09FF7116">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在技术、服务等指标满足采购需求的前提下，本项目优先采购节能产品，对部分节能效果、性能等达到要求的产品，实行强制采购。</w:t>
      </w:r>
    </w:p>
    <w:p w14:paraId="27A21BFB">
      <w:pPr>
        <w:spacing w:line="360" w:lineRule="auto"/>
        <w:ind w:firstLine="480" w:firstLineChars="200"/>
        <w:rPr>
          <w:rFonts w:hint="eastAsia" w:ascii="宋体" w:hAnsi="宋体" w:cs="仿宋_GB2312"/>
          <w:color w:val="000000"/>
          <w:sz w:val="24"/>
          <w:u w:val="single"/>
        </w:rPr>
      </w:pPr>
      <w:r>
        <w:rPr>
          <w:rFonts w:hint="eastAsia" w:ascii="宋体" w:hAnsi="宋体" w:cs="仿宋_GB2312"/>
          <w:color w:val="000000"/>
          <w:sz w:val="24"/>
        </w:rPr>
        <w:t>拟采购产品属于节能产品政府采购品目清单范围内规定必须强制采购的为：</w:t>
      </w:r>
      <w:r>
        <w:rPr>
          <w:rFonts w:hint="eastAsia" w:ascii="宋体" w:hAnsi="宋体" w:cs="仿宋_GB2312"/>
          <w:color w:val="000000"/>
          <w:sz w:val="24"/>
          <w:u w:val="single"/>
        </w:rPr>
        <w:t>/。</w:t>
      </w:r>
    </w:p>
    <w:p w14:paraId="11182E80">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依据财政部、发展改革委、生态环境部等部门发布的品目清单和认证证书实施政府优先采购和强制采购。本项目采购人拟采购的产品属于品目清单范围的，需响应人提供国家确定的认证机构出具的、处于有效期之内的节能产品、环境标志产品认证证书（加盖投标人公章）。</w:t>
      </w:r>
    </w:p>
    <w:p w14:paraId="67BC8E75">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发布认证机构和获证产品信息，依据市场监管总局组织建立的节能产品、环境标志产品认证结果信息发布平台，公布相关认证机构和获证产品信息。同时中国政府采购网(www.ccgp.gov.cn)建立与认证结果信息发布平台的链接。（17家认证机构可参与实施不同品目的政府采购节能产品认证，4家认证机构可参与实施政府采购环境标志产品认证，</w:t>
      </w:r>
      <w:r>
        <w:rPr>
          <w:rFonts w:hint="eastAsia" w:ascii="宋体" w:hAnsi="宋体" w:cs="仿宋_GB2312"/>
          <w:b/>
          <w:bCs/>
          <w:color w:val="000000"/>
          <w:sz w:val="24"/>
        </w:rPr>
        <w:t>具体详见附录4</w:t>
      </w:r>
      <w:r>
        <w:rPr>
          <w:rFonts w:hint="eastAsia" w:ascii="宋体" w:hAnsi="宋体" w:cs="仿宋_GB2312"/>
          <w:color w:val="000000"/>
          <w:sz w:val="24"/>
        </w:rPr>
        <w:t>。）</w:t>
      </w:r>
    </w:p>
    <w:p w14:paraId="47B213EB">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对所投产品为节能产品、环保标志产品的优惠幅度，以及评审标准和方法详见第六章《</w:t>
      </w:r>
      <w:r>
        <w:rPr>
          <w:rFonts w:ascii="宋体" w:hAnsi="宋体"/>
          <w:color w:val="000000"/>
          <w:sz w:val="24"/>
        </w:rPr>
        <w:t>评标程序、评标方法和评标标准</w:t>
      </w:r>
      <w:r>
        <w:rPr>
          <w:rFonts w:hint="eastAsia" w:ascii="宋体" w:hAnsi="宋体" w:cs="仿宋_GB2312"/>
          <w:color w:val="000000"/>
          <w:sz w:val="24"/>
        </w:rPr>
        <w:t>》。</w:t>
      </w:r>
    </w:p>
    <w:p w14:paraId="15B2EA0D">
      <w:pPr>
        <w:spacing w:line="360" w:lineRule="auto"/>
        <w:ind w:firstLine="480" w:firstLineChars="200"/>
        <w:rPr>
          <w:rFonts w:hint="eastAsia" w:ascii="宋体" w:hAnsi="宋体" w:cs="仿宋_GB2312"/>
          <w:color w:val="000000"/>
          <w:sz w:val="24"/>
        </w:rPr>
      </w:pPr>
    </w:p>
    <w:p w14:paraId="0BC9B9BC">
      <w:pPr>
        <w:spacing w:line="360" w:lineRule="auto"/>
        <w:rPr>
          <w:rFonts w:hint="eastAsia" w:ascii="宋体" w:hAnsi="宋体" w:cs="仿宋_GB2312"/>
          <w:color w:val="000000"/>
          <w:sz w:val="24"/>
        </w:rPr>
      </w:pPr>
      <w:r>
        <w:rPr>
          <w:rFonts w:hint="eastAsia" w:ascii="宋体" w:hAnsi="宋体" w:cs="仿宋_GB2312"/>
          <w:color w:val="000000"/>
          <w:sz w:val="24"/>
        </w:rPr>
        <w:t>注：</w:t>
      </w:r>
    </w:p>
    <w:p w14:paraId="54E71FF0">
      <w:pPr>
        <w:spacing w:line="360" w:lineRule="auto"/>
        <w:rPr>
          <w:rFonts w:hint="eastAsia" w:ascii="宋体" w:hAnsi="宋体" w:cs="仿宋_GB2312"/>
          <w:color w:val="000000"/>
          <w:sz w:val="24"/>
        </w:rPr>
      </w:pPr>
      <w:r>
        <w:rPr>
          <w:rFonts w:hint="eastAsia" w:ascii="宋体" w:hAnsi="宋体" w:cs="仿宋_GB2312"/>
          <w:color w:val="000000"/>
          <w:sz w:val="24"/>
        </w:rPr>
        <w:t>1.在本处提供的证明材料如与响应人所投产品内容（品牌、型号、规格等）不符，视为无效。</w:t>
      </w:r>
    </w:p>
    <w:p w14:paraId="41C10E55">
      <w:pPr>
        <w:spacing w:line="360" w:lineRule="auto"/>
        <w:rPr>
          <w:rFonts w:hint="eastAsia" w:ascii="宋体" w:hAnsi="宋体" w:cs="仿宋_GB2312"/>
          <w:color w:val="000000"/>
          <w:sz w:val="24"/>
        </w:rPr>
      </w:pPr>
      <w:r>
        <w:rPr>
          <w:rFonts w:hint="eastAsia" w:ascii="宋体" w:hAnsi="宋体" w:cs="仿宋_GB2312"/>
          <w:color w:val="000000"/>
          <w:sz w:val="24"/>
        </w:rPr>
        <w:t>2.如提供虚假材料，响应人须承担相应法律责任。</w:t>
      </w:r>
    </w:p>
    <w:p w14:paraId="264FAC0C">
      <w:pPr>
        <w:widowControl/>
        <w:spacing w:line="360" w:lineRule="auto"/>
        <w:jc w:val="left"/>
        <w:rPr>
          <w:rFonts w:hint="eastAsia" w:ascii="宋体" w:hAnsi="宋体" w:cs="仿宋_GB2312"/>
          <w:bCs/>
          <w:color w:val="000000"/>
          <w:sz w:val="24"/>
        </w:rPr>
      </w:pPr>
      <w:r>
        <w:rPr>
          <w:rFonts w:hint="eastAsia" w:ascii="宋体" w:hAnsi="宋体" w:cs="仿宋_GB2312"/>
          <w:bCs/>
          <w:color w:val="000000"/>
          <w:sz w:val="24"/>
        </w:rPr>
        <w:t>3.节能产品、环境标志产品品目清单登陆中国政府采购网(www.ccgp.gov.cn)查询</w:t>
      </w:r>
      <w:r>
        <w:fldChar w:fldCharType="begin"/>
      </w:r>
      <w:r>
        <w:instrText xml:space="preserve"> HYPERLINK "http://www.ccgp.gov.cn/zcfg/mof/201904/t20190403_11849836.htm" \t "http://www.ccgp.gov.cn/jnhb/jnhbqd/_blank" \o "关于印发节能产品政府采购品目清单的通知（财库〔2019〕19号）" </w:instrText>
      </w:r>
      <w:r>
        <w:fldChar w:fldCharType="separate"/>
      </w:r>
      <w:r>
        <w:rPr>
          <w:rFonts w:hint="eastAsia" w:ascii="宋体" w:hAnsi="宋体" w:cs="仿宋_GB2312"/>
          <w:bCs/>
          <w:color w:val="000000"/>
          <w:sz w:val="24"/>
        </w:rPr>
        <w:t>关于印发节能产品政府采购品目清单的通知（财库〔2019〕19号）</w:t>
      </w:r>
      <w:r>
        <w:rPr>
          <w:rFonts w:hint="eastAsia" w:ascii="宋体" w:hAnsi="宋体" w:cs="仿宋_GB2312"/>
          <w:bCs/>
          <w:color w:val="000000"/>
          <w:sz w:val="24"/>
        </w:rPr>
        <w:fldChar w:fldCharType="end"/>
      </w:r>
      <w:r>
        <w:rPr>
          <w:rFonts w:hint="eastAsia" w:ascii="宋体" w:hAnsi="宋体" w:cs="仿宋_GB2312"/>
          <w:bCs/>
          <w:color w:val="000000"/>
          <w:sz w:val="24"/>
        </w:rPr>
        <w:t xml:space="preserve"> 、关于印发环境标志产品政府采购品目清单的通知（财库〔2019〕18号）。</w:t>
      </w:r>
    </w:p>
    <w:p w14:paraId="598801AE">
      <w:pPr>
        <w:pStyle w:val="5"/>
        <w:ind w:left="720" w:hanging="720"/>
        <w:rPr>
          <w:rFonts w:hint="eastAsia" w:hAnsi="宋体" w:cs="宋体"/>
          <w:bCs/>
          <w:color w:val="000000"/>
          <w:kern w:val="2"/>
          <w:szCs w:val="24"/>
        </w:rPr>
      </w:pPr>
      <w:r>
        <w:rPr>
          <w:rFonts w:hAnsi="宋体" w:cs="仿宋_GB2312"/>
          <w:bCs/>
          <w:color w:val="000000"/>
        </w:rPr>
        <w:br w:type="page"/>
      </w:r>
      <w:bookmarkStart w:id="991" w:name="_Toc6758"/>
      <w:bookmarkStart w:id="992" w:name="_Toc188382302"/>
      <w:r>
        <w:rPr>
          <w:rFonts w:hint="eastAsia" w:hAnsi="宋体" w:cs="宋体"/>
          <w:bCs/>
          <w:color w:val="000000"/>
          <w:kern w:val="2"/>
          <w:szCs w:val="24"/>
        </w:rPr>
        <w:t>附录1：政府采购促进中小企业发展管理办法</w:t>
      </w:r>
      <w:bookmarkEnd w:id="991"/>
      <w:bookmarkEnd w:id="992"/>
    </w:p>
    <w:p w14:paraId="51B54853">
      <w:pPr>
        <w:widowControl/>
        <w:adjustRightInd w:val="0"/>
        <w:snapToGrid w:val="0"/>
        <w:spacing w:line="360" w:lineRule="auto"/>
        <w:jc w:val="center"/>
        <w:rPr>
          <w:rFonts w:hint="eastAsia" w:ascii="宋体" w:hAnsi="宋体" w:cs="宋体"/>
          <w:bCs/>
          <w:color w:val="000000"/>
          <w:sz w:val="24"/>
        </w:rPr>
      </w:pPr>
      <w:r>
        <w:rPr>
          <w:rFonts w:hint="eastAsia" w:ascii="宋体" w:hAnsi="宋体" w:cs="宋体"/>
          <w:bCs/>
          <w:color w:val="000000"/>
          <w:sz w:val="24"/>
        </w:rPr>
        <w:t>政府采购促进中小企业发展管理办法</w:t>
      </w:r>
    </w:p>
    <w:p w14:paraId="32A4895F">
      <w:pPr>
        <w:spacing w:line="360" w:lineRule="auto"/>
        <w:jc w:val="center"/>
        <w:rPr>
          <w:rFonts w:hint="eastAsia" w:ascii="宋体" w:hAnsi="宋体" w:cs="宋体"/>
          <w:bCs/>
          <w:color w:val="000000"/>
          <w:sz w:val="24"/>
        </w:rPr>
      </w:pPr>
      <w:r>
        <w:rPr>
          <w:rFonts w:hint="eastAsia" w:ascii="宋体" w:hAnsi="宋体" w:cs="宋体"/>
          <w:bCs/>
          <w:color w:val="000000"/>
          <w:sz w:val="24"/>
        </w:rPr>
        <w:t>财库[2020]46号</w:t>
      </w:r>
    </w:p>
    <w:p w14:paraId="6D36C698">
      <w:pPr>
        <w:spacing w:line="360" w:lineRule="auto"/>
        <w:jc w:val="center"/>
        <w:rPr>
          <w:rFonts w:hint="eastAsia" w:ascii="宋体" w:hAnsi="宋体"/>
          <w:color w:val="000000"/>
        </w:rPr>
      </w:pPr>
    </w:p>
    <w:p w14:paraId="696DA130">
      <w:pPr>
        <w:spacing w:line="360" w:lineRule="auto"/>
        <w:rPr>
          <w:rFonts w:hint="eastAsia" w:ascii="宋体" w:hAnsi="宋体" w:cs="宋体"/>
          <w:bCs/>
          <w:color w:val="000000"/>
          <w:sz w:val="24"/>
        </w:rPr>
      </w:pPr>
      <w:r>
        <w:rPr>
          <w:rFonts w:hint="eastAsia" w:ascii="宋体" w:hAnsi="宋体" w:cs="宋体"/>
          <w:bCs/>
          <w:color w:val="000000"/>
          <w:sz w:val="24"/>
        </w:rPr>
        <w:t>第一条 为了发挥政府采购的政策功能，促进中小企业健康发展，根据《中华人民共和国政府采购法》、《中华人民共和国中小企业促进法》等有关法律法规，制定本办法。</w:t>
      </w:r>
    </w:p>
    <w:p w14:paraId="2DCDA4E7">
      <w:pPr>
        <w:spacing w:line="360" w:lineRule="auto"/>
        <w:rPr>
          <w:rFonts w:hint="eastAsia" w:ascii="宋体" w:hAnsi="宋体" w:cs="宋体"/>
          <w:bCs/>
          <w:color w:val="000000"/>
          <w:sz w:val="24"/>
        </w:rPr>
      </w:pPr>
      <w:r>
        <w:rPr>
          <w:rFonts w:hint="eastAsia" w:ascii="宋体" w:hAnsi="宋体" w:cs="宋体"/>
          <w:bCs/>
          <w:color w:val="00000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53BEC10">
      <w:pPr>
        <w:spacing w:line="360" w:lineRule="auto"/>
        <w:rPr>
          <w:rFonts w:hint="eastAsia" w:ascii="宋体" w:hAnsi="宋体" w:cs="宋体"/>
          <w:bCs/>
          <w:color w:val="000000"/>
          <w:sz w:val="24"/>
        </w:rPr>
      </w:pPr>
      <w:r>
        <w:rPr>
          <w:rFonts w:hint="eastAsia" w:ascii="宋体" w:hAnsi="宋体" w:cs="宋体"/>
          <w:bCs/>
          <w:color w:val="000000"/>
          <w:sz w:val="24"/>
        </w:rPr>
        <w:t>符合中小企业划分标准的个体工商户，在政府采购活动中视同中小企业。</w:t>
      </w:r>
    </w:p>
    <w:p w14:paraId="26DBF9DB">
      <w:pPr>
        <w:spacing w:line="360" w:lineRule="auto"/>
        <w:rPr>
          <w:rFonts w:hint="eastAsia" w:ascii="宋体" w:hAnsi="宋体" w:cs="宋体"/>
          <w:bCs/>
          <w:color w:val="000000"/>
          <w:sz w:val="24"/>
        </w:rPr>
      </w:pPr>
      <w:r>
        <w:rPr>
          <w:rFonts w:hint="eastAsia" w:ascii="宋体" w:hAnsi="宋体" w:cs="宋体"/>
          <w:bCs/>
          <w:color w:val="000000"/>
          <w:sz w:val="24"/>
        </w:rPr>
        <w:t>第三条 采购人在政府采购活动中应当通过加强采购需求管理，落实预留采购份额、价格评审优惠、优先采购等措施，提高中小企业在政府采购中的份额，支持中小企业发展。</w:t>
      </w:r>
    </w:p>
    <w:p w14:paraId="600D0A71">
      <w:pPr>
        <w:spacing w:line="360" w:lineRule="auto"/>
        <w:rPr>
          <w:rFonts w:hint="eastAsia" w:ascii="宋体" w:hAnsi="宋体" w:cs="宋体"/>
          <w:bCs/>
          <w:color w:val="000000"/>
          <w:sz w:val="24"/>
        </w:rPr>
      </w:pPr>
      <w:r>
        <w:rPr>
          <w:rFonts w:hint="eastAsia" w:ascii="宋体" w:hAnsi="宋体" w:cs="宋体"/>
          <w:bCs/>
          <w:color w:val="000000"/>
          <w:sz w:val="24"/>
        </w:rPr>
        <w:t>第四条 在政府采购活动中，供应商提供的货物、工程或者服务符合下列情形的，享受本办法规定的中小企业扶持政策：</w:t>
      </w:r>
    </w:p>
    <w:p w14:paraId="6F56809E">
      <w:pPr>
        <w:spacing w:line="360" w:lineRule="auto"/>
        <w:rPr>
          <w:rFonts w:hint="eastAsia" w:ascii="宋体" w:hAnsi="宋体" w:cs="宋体"/>
          <w:bCs/>
          <w:color w:val="000000"/>
          <w:sz w:val="24"/>
        </w:rPr>
      </w:pPr>
      <w:r>
        <w:rPr>
          <w:rFonts w:hint="eastAsia" w:ascii="宋体" w:hAnsi="宋体" w:cs="宋体"/>
          <w:bCs/>
          <w:color w:val="000000"/>
          <w:sz w:val="24"/>
        </w:rPr>
        <w:t>（一）在货物采购项目中，货物由中小企业制造，即货物由中小企业生产且使用该中小企业商号或者注册商标；</w:t>
      </w:r>
    </w:p>
    <w:p w14:paraId="649118FE">
      <w:pPr>
        <w:spacing w:line="360" w:lineRule="auto"/>
        <w:rPr>
          <w:rFonts w:hint="eastAsia" w:ascii="宋体" w:hAnsi="宋体" w:cs="宋体"/>
          <w:bCs/>
          <w:color w:val="000000"/>
          <w:sz w:val="24"/>
        </w:rPr>
      </w:pPr>
      <w:r>
        <w:rPr>
          <w:rFonts w:hint="eastAsia" w:ascii="宋体" w:hAnsi="宋体" w:cs="宋体"/>
          <w:bCs/>
          <w:color w:val="000000"/>
          <w:sz w:val="24"/>
        </w:rPr>
        <w:t>（二）在工程采购项目中，工程由中小企业承建，即工程施工单位为中小企业；</w:t>
      </w:r>
    </w:p>
    <w:p w14:paraId="2D78C22F">
      <w:pPr>
        <w:spacing w:line="360" w:lineRule="auto"/>
        <w:rPr>
          <w:rFonts w:hint="eastAsia" w:ascii="宋体" w:hAnsi="宋体" w:cs="宋体"/>
          <w:bCs/>
          <w:color w:val="000000"/>
          <w:sz w:val="24"/>
        </w:rPr>
      </w:pPr>
      <w:r>
        <w:rPr>
          <w:rFonts w:hint="eastAsia" w:ascii="宋体" w:hAnsi="宋体" w:cs="宋体"/>
          <w:bCs/>
          <w:color w:val="000000"/>
          <w:sz w:val="24"/>
        </w:rPr>
        <w:t>（三）在服务采购项目中，服务由中小企业承接，即提</w:t>
      </w:r>
      <w:bookmarkStart w:id="993" w:name="page2"/>
      <w:bookmarkEnd w:id="993"/>
      <w:r>
        <w:rPr>
          <w:rFonts w:hint="eastAsia" w:ascii="宋体" w:hAnsi="宋体" w:cs="宋体"/>
          <w:bCs/>
          <w:color w:val="000000"/>
          <w:sz w:val="24"/>
        </w:rPr>
        <w:t>供服务的人员为中小企业依照《中华人民共和国劳动合同法》订立劳动合同的从业人员。</w:t>
      </w:r>
    </w:p>
    <w:p w14:paraId="0CBE4CDC">
      <w:pPr>
        <w:spacing w:line="360" w:lineRule="auto"/>
        <w:rPr>
          <w:rFonts w:hint="eastAsia" w:ascii="宋体" w:hAnsi="宋体" w:cs="宋体"/>
          <w:bCs/>
          <w:color w:val="000000"/>
          <w:sz w:val="24"/>
        </w:rPr>
      </w:pPr>
      <w:r>
        <w:rPr>
          <w:rFonts w:hint="eastAsia" w:ascii="宋体" w:hAnsi="宋体" w:cs="宋体"/>
          <w:bCs/>
          <w:color w:val="000000"/>
          <w:sz w:val="24"/>
        </w:rPr>
        <w:t>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7B9747D8">
      <w:pPr>
        <w:spacing w:line="360" w:lineRule="auto"/>
        <w:rPr>
          <w:rFonts w:hint="eastAsia" w:ascii="宋体" w:hAnsi="宋体" w:cs="宋体"/>
          <w:bCs/>
          <w:color w:val="000000"/>
          <w:sz w:val="24"/>
        </w:rPr>
      </w:pPr>
      <w:r>
        <w:rPr>
          <w:rFonts w:hint="eastAsia" w:ascii="宋体" w:hAnsi="宋体" w:cs="宋体"/>
          <w:bCs/>
          <w:color w:val="00000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75AC24F3">
      <w:pPr>
        <w:spacing w:line="360" w:lineRule="auto"/>
        <w:rPr>
          <w:rFonts w:hint="eastAsia" w:ascii="宋体" w:hAnsi="宋体" w:cs="宋体"/>
          <w:bCs/>
          <w:color w:val="000000"/>
          <w:sz w:val="24"/>
        </w:rPr>
      </w:pPr>
      <w:r>
        <w:rPr>
          <w:rFonts w:hint="eastAsia" w:ascii="宋体" w:hAnsi="宋体" w:cs="宋体"/>
          <w:bCs/>
          <w:color w:val="00000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6812654D">
      <w:pPr>
        <w:spacing w:line="360" w:lineRule="auto"/>
        <w:rPr>
          <w:rFonts w:hint="eastAsia" w:ascii="宋体" w:hAnsi="宋体" w:cs="宋体"/>
          <w:bCs/>
          <w:color w:val="000000"/>
          <w:sz w:val="24"/>
        </w:rPr>
      </w:pPr>
      <w:r>
        <w:rPr>
          <w:rFonts w:hint="eastAsia" w:ascii="宋体" w:hAnsi="宋体" w:cs="宋体"/>
          <w:bCs/>
          <w:color w:val="000000"/>
          <w:sz w:val="24"/>
        </w:rPr>
        <w:t>符合下列情形之一的，可不专门面向中小企业预留采购份额：</w:t>
      </w:r>
    </w:p>
    <w:p w14:paraId="24C531E3">
      <w:pPr>
        <w:spacing w:line="360" w:lineRule="auto"/>
        <w:rPr>
          <w:rFonts w:hint="eastAsia" w:ascii="宋体" w:hAnsi="宋体" w:cs="宋体"/>
          <w:bCs/>
          <w:color w:val="000000"/>
          <w:sz w:val="24"/>
        </w:rPr>
      </w:pPr>
      <w:r>
        <w:rPr>
          <w:rFonts w:hint="eastAsia" w:ascii="宋体" w:hAnsi="宋体" w:cs="宋体"/>
          <w:bCs/>
          <w:color w:val="000000"/>
          <w:sz w:val="24"/>
        </w:rPr>
        <w:t>（一）法律法规和国家有关政策明确规定优先或者应当面向事业单位、社会组织等非企业主体采购的；</w:t>
      </w:r>
    </w:p>
    <w:p w14:paraId="3C178F0E">
      <w:pPr>
        <w:spacing w:line="360" w:lineRule="auto"/>
        <w:rPr>
          <w:rFonts w:hint="eastAsia" w:ascii="宋体" w:hAnsi="宋体" w:cs="宋体"/>
          <w:bCs/>
          <w:color w:val="000000"/>
          <w:sz w:val="24"/>
        </w:rPr>
      </w:pPr>
      <w:r>
        <w:rPr>
          <w:rFonts w:hint="eastAsia" w:ascii="宋体" w:hAnsi="宋体" w:cs="宋体"/>
          <w:bCs/>
          <w:color w:val="000000"/>
          <w:sz w:val="24"/>
        </w:rPr>
        <w:t>（二）因确需使用不可替代的专利、专有技术，基础设施限制，或者提供特定公共服务等原因，只能从中小企业之外的供应商处采购的；</w:t>
      </w:r>
      <w:bookmarkStart w:id="994" w:name="page3"/>
      <w:bookmarkEnd w:id="994"/>
    </w:p>
    <w:p w14:paraId="6ED7F1C3">
      <w:pPr>
        <w:spacing w:line="360" w:lineRule="auto"/>
        <w:rPr>
          <w:rFonts w:hint="eastAsia" w:ascii="宋体" w:hAnsi="宋体" w:cs="宋体"/>
          <w:bCs/>
          <w:color w:val="000000"/>
          <w:sz w:val="24"/>
        </w:rPr>
      </w:pPr>
      <w:r>
        <w:rPr>
          <w:rFonts w:hint="eastAsia" w:ascii="宋体" w:hAnsi="宋体" w:cs="宋体"/>
          <w:bCs/>
          <w:color w:val="000000"/>
          <w:sz w:val="24"/>
        </w:rPr>
        <w:t>（三）按照本办法规定预留采购份额无法确保充分供应、充分竞争，或者存在可能影响政府采购目标实现的情形；</w:t>
      </w:r>
    </w:p>
    <w:p w14:paraId="6D62B255">
      <w:pPr>
        <w:spacing w:line="360" w:lineRule="auto"/>
        <w:rPr>
          <w:rFonts w:hint="eastAsia" w:ascii="宋体" w:hAnsi="宋体" w:cs="宋体"/>
          <w:bCs/>
          <w:color w:val="000000"/>
          <w:sz w:val="24"/>
        </w:rPr>
      </w:pPr>
      <w:r>
        <w:rPr>
          <w:rFonts w:hint="eastAsia" w:ascii="宋体" w:hAnsi="宋体" w:cs="宋体"/>
          <w:bCs/>
          <w:color w:val="000000"/>
          <w:sz w:val="24"/>
        </w:rPr>
        <w:t>（四）框架协议采购项目；</w:t>
      </w:r>
    </w:p>
    <w:p w14:paraId="7E6067AD">
      <w:pPr>
        <w:spacing w:line="360" w:lineRule="auto"/>
        <w:rPr>
          <w:rFonts w:hint="eastAsia" w:ascii="宋体" w:hAnsi="宋体" w:cs="宋体"/>
          <w:bCs/>
          <w:color w:val="000000"/>
          <w:sz w:val="24"/>
        </w:rPr>
      </w:pPr>
      <w:r>
        <w:rPr>
          <w:rFonts w:hint="eastAsia" w:ascii="宋体" w:hAnsi="宋体" w:cs="宋体"/>
          <w:bCs/>
          <w:color w:val="000000"/>
          <w:sz w:val="24"/>
        </w:rPr>
        <w:t>（五）省级以上人民政府财政部门规定的其他情形。</w:t>
      </w:r>
    </w:p>
    <w:p w14:paraId="53766157">
      <w:pPr>
        <w:spacing w:line="360" w:lineRule="auto"/>
        <w:rPr>
          <w:rFonts w:hint="eastAsia" w:ascii="宋体" w:hAnsi="宋体" w:cs="宋体"/>
          <w:bCs/>
          <w:color w:val="000000"/>
          <w:sz w:val="24"/>
        </w:rPr>
      </w:pPr>
      <w:r>
        <w:rPr>
          <w:rFonts w:hint="eastAsia" w:ascii="宋体" w:hAnsi="宋体" w:cs="宋体"/>
          <w:bCs/>
          <w:color w:val="000000"/>
          <w:sz w:val="24"/>
        </w:rPr>
        <w:t>除上述情形外，其他均为适宜由中小企业提供的情形。</w:t>
      </w:r>
    </w:p>
    <w:p w14:paraId="7F812C6E">
      <w:pPr>
        <w:spacing w:line="360" w:lineRule="auto"/>
        <w:rPr>
          <w:rFonts w:hint="eastAsia" w:ascii="宋体" w:hAnsi="宋体" w:cs="宋体"/>
          <w:bCs/>
          <w:color w:val="000000"/>
          <w:sz w:val="24"/>
        </w:rPr>
      </w:pPr>
      <w:r>
        <w:rPr>
          <w:rFonts w:hint="eastAsia" w:ascii="宋体" w:hAnsi="宋体" w:cs="宋体"/>
          <w:bCs/>
          <w:color w:val="000000"/>
          <w:sz w:val="24"/>
        </w:rPr>
        <w:t>第七条 采购限额标准以上，200万元以下的货物和服务采购项目、400万元以下的工程采购项目，适宜由中小企业提供的，采购人应当专门面向中小企业采购。</w:t>
      </w:r>
    </w:p>
    <w:p w14:paraId="19927265">
      <w:pPr>
        <w:spacing w:line="360" w:lineRule="auto"/>
        <w:rPr>
          <w:rFonts w:hint="eastAsia" w:ascii="宋体" w:hAnsi="宋体" w:cs="宋体"/>
          <w:bCs/>
          <w:color w:val="000000"/>
          <w:sz w:val="24"/>
        </w:rPr>
      </w:pPr>
      <w:r>
        <w:rPr>
          <w:rFonts w:hint="eastAsia" w:ascii="宋体" w:hAnsi="宋体" w:cs="宋体"/>
          <w:bCs/>
          <w:color w:val="000000"/>
          <w:sz w:val="24"/>
        </w:rPr>
        <w:t>第八条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223B5F0A">
      <w:pPr>
        <w:spacing w:line="360" w:lineRule="auto"/>
        <w:rPr>
          <w:rFonts w:hint="eastAsia" w:ascii="宋体" w:hAnsi="宋体" w:cs="宋体"/>
          <w:bCs/>
          <w:color w:val="000000"/>
          <w:sz w:val="24"/>
        </w:rPr>
      </w:pPr>
      <w:r>
        <w:rPr>
          <w:rFonts w:hint="eastAsia" w:ascii="宋体" w:hAnsi="宋体" w:cs="宋体"/>
          <w:bCs/>
          <w:color w:val="000000"/>
          <w:sz w:val="24"/>
        </w:rPr>
        <w:t>（一）将采购项目整体或者设置采购包专门面向中小企业采购；</w:t>
      </w:r>
    </w:p>
    <w:p w14:paraId="5AB9CE02">
      <w:pPr>
        <w:spacing w:line="360" w:lineRule="auto"/>
        <w:rPr>
          <w:rFonts w:hint="eastAsia" w:ascii="宋体" w:hAnsi="宋体" w:cs="宋体"/>
          <w:bCs/>
          <w:color w:val="000000"/>
          <w:sz w:val="24"/>
        </w:rPr>
      </w:pPr>
      <w:r>
        <w:rPr>
          <w:rFonts w:hint="eastAsia" w:ascii="宋体" w:hAnsi="宋体" w:cs="宋体"/>
          <w:bCs/>
          <w:color w:val="000000"/>
          <w:sz w:val="24"/>
        </w:rPr>
        <w:t>（二）要求供应商以联合体形式参加采购活动，且联合体中中小企业承担的部分达到一定比例；</w:t>
      </w:r>
    </w:p>
    <w:p w14:paraId="25211897">
      <w:pPr>
        <w:spacing w:line="360" w:lineRule="auto"/>
        <w:rPr>
          <w:rFonts w:hint="eastAsia" w:ascii="宋体" w:hAnsi="宋体" w:cs="宋体"/>
          <w:bCs/>
          <w:color w:val="000000"/>
          <w:sz w:val="24"/>
        </w:rPr>
      </w:pPr>
      <w:r>
        <w:rPr>
          <w:rFonts w:hint="eastAsia" w:ascii="宋体" w:hAnsi="宋体" w:cs="宋体"/>
          <w:bCs/>
          <w:color w:val="000000"/>
          <w:sz w:val="24"/>
        </w:rPr>
        <w:t>（三）要求获得采购合同的供应商将采购项目中的一定比例分包给一家或者多家中小企业。组成联合体或者接受分包合同的中小企业与联合体内其他企业、分包企业之间不得存在直接控股、管理关系。</w:t>
      </w:r>
    </w:p>
    <w:p w14:paraId="01B927FC">
      <w:pPr>
        <w:spacing w:line="360" w:lineRule="auto"/>
        <w:rPr>
          <w:rFonts w:hint="eastAsia" w:ascii="宋体" w:hAnsi="宋体" w:cs="宋体"/>
          <w:bCs/>
          <w:color w:val="000000"/>
          <w:sz w:val="24"/>
        </w:rPr>
      </w:pPr>
      <w:r>
        <w:rPr>
          <w:rFonts w:hint="eastAsia" w:ascii="宋体" w:hAnsi="宋体" w:cs="宋体"/>
          <w:bCs/>
          <w:color w:val="000000"/>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3%—5%）的扣</w:t>
      </w:r>
      <w:bookmarkStart w:id="995" w:name="page4"/>
      <w:bookmarkEnd w:id="995"/>
      <w:r>
        <w:rPr>
          <w:rFonts w:hint="eastAsia" w:ascii="宋体" w:hAnsi="宋体" w:cs="宋体"/>
          <w:bCs/>
          <w:color w:val="000000"/>
          <w:sz w:val="24"/>
        </w:rPr>
        <w:t>除，用扣除后的价格参加评审。适用招标投标法的政府采购工程建设项目，采用综合评估法但未采用低价优先法计算价格分的，评标时应当在采用原报价进行评分的基础上增加其价格得分的3%—5%作为其价格分。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373F9AD5">
      <w:pPr>
        <w:spacing w:line="360" w:lineRule="auto"/>
        <w:rPr>
          <w:rFonts w:hint="eastAsia" w:ascii="宋体" w:hAnsi="宋体" w:cs="宋体"/>
          <w:bCs/>
          <w:color w:val="000000"/>
          <w:sz w:val="24"/>
        </w:rPr>
      </w:pPr>
      <w:r>
        <w:rPr>
          <w:rFonts w:hint="eastAsia" w:ascii="宋体" w:hAnsi="宋体" w:cs="宋体"/>
          <w:bCs/>
          <w:color w:val="000000"/>
          <w:sz w:val="24"/>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w:t>
      </w:r>
      <w:bookmarkStart w:id="996" w:name="page5"/>
      <w:bookmarkEnd w:id="996"/>
      <w:r>
        <w:rPr>
          <w:rFonts w:hint="eastAsia" w:ascii="宋体" w:hAnsi="宋体" w:cs="宋体"/>
          <w:bCs/>
          <w:color w:val="000000"/>
          <w:sz w:val="24"/>
        </w:rPr>
        <w:t>九条有关规定重新组织采购活动。</w:t>
      </w:r>
    </w:p>
    <w:p w14:paraId="1E239E46">
      <w:pPr>
        <w:spacing w:line="360" w:lineRule="auto"/>
        <w:rPr>
          <w:rFonts w:hint="eastAsia" w:ascii="宋体" w:hAnsi="宋体" w:cs="宋体"/>
          <w:bCs/>
          <w:color w:val="000000"/>
          <w:sz w:val="24"/>
        </w:rPr>
      </w:pPr>
      <w:r>
        <w:rPr>
          <w:rFonts w:hint="eastAsia" w:ascii="宋体" w:hAnsi="宋体" w:cs="宋体"/>
          <w:bCs/>
          <w:color w:val="00000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14:paraId="577B9315">
      <w:pPr>
        <w:spacing w:line="360" w:lineRule="auto"/>
        <w:rPr>
          <w:rFonts w:hint="eastAsia" w:ascii="宋体" w:hAnsi="宋体" w:cs="宋体"/>
          <w:bCs/>
          <w:color w:val="000000"/>
          <w:sz w:val="24"/>
        </w:rPr>
      </w:pPr>
      <w:r>
        <w:rPr>
          <w:rFonts w:hint="eastAsia" w:ascii="宋体" w:hAnsi="宋体" w:cs="宋体"/>
          <w:bCs/>
          <w:color w:val="000000"/>
          <w:sz w:val="24"/>
        </w:rPr>
        <w:t>第十二条 采购项目涉及中小企业采购的，采购文件应当明确以下内容：</w:t>
      </w:r>
    </w:p>
    <w:p w14:paraId="3AC67A8D">
      <w:pPr>
        <w:spacing w:line="360" w:lineRule="auto"/>
        <w:rPr>
          <w:rFonts w:hint="eastAsia" w:ascii="宋体" w:hAnsi="宋体" w:cs="宋体"/>
          <w:bCs/>
          <w:color w:val="000000"/>
          <w:sz w:val="24"/>
        </w:rPr>
      </w:pPr>
      <w:r>
        <w:rPr>
          <w:rFonts w:hint="eastAsia" w:ascii="宋体" w:hAnsi="宋体" w:cs="宋体"/>
          <w:bCs/>
          <w:color w:val="000000"/>
          <w:sz w:val="24"/>
        </w:rPr>
        <w:t>（一）预留份额的采购项目或者采购包，明确该项目或相关采购包专门面向中小企业采购，以及相关标的及预算金额；</w:t>
      </w:r>
    </w:p>
    <w:p w14:paraId="6B58389B">
      <w:pPr>
        <w:spacing w:line="360" w:lineRule="auto"/>
        <w:rPr>
          <w:rFonts w:hint="eastAsia" w:ascii="宋体" w:hAnsi="宋体" w:cs="宋体"/>
          <w:bCs/>
          <w:color w:val="000000"/>
          <w:sz w:val="24"/>
        </w:rPr>
      </w:pPr>
      <w:r>
        <w:rPr>
          <w:rFonts w:hint="eastAsia" w:ascii="宋体" w:hAnsi="宋体" w:cs="宋体"/>
          <w:bCs/>
          <w:color w:val="000000"/>
          <w:sz w:val="24"/>
        </w:rPr>
        <w:t>（二）要求以联合体形式参加或者合同分包的，明确联合协议或者分包意向协议中中小企业合同金额应当达到的比例，并作为供应商资格条件；</w:t>
      </w:r>
    </w:p>
    <w:p w14:paraId="328073CB">
      <w:pPr>
        <w:spacing w:line="360" w:lineRule="auto"/>
        <w:rPr>
          <w:rFonts w:hint="eastAsia" w:ascii="宋体" w:hAnsi="宋体" w:cs="宋体"/>
          <w:bCs/>
          <w:color w:val="000000"/>
          <w:sz w:val="24"/>
        </w:rPr>
      </w:pPr>
      <w:r>
        <w:rPr>
          <w:rFonts w:hint="eastAsia" w:ascii="宋体" w:hAnsi="宋体" w:cs="宋体"/>
          <w:bCs/>
          <w:color w:val="000000"/>
          <w:sz w:val="24"/>
        </w:rPr>
        <w:t>（三）非预留份额的采购项目或者采购包，明确有关价格扣除比例或者价格分加分比例；</w:t>
      </w:r>
    </w:p>
    <w:p w14:paraId="04E6F25D">
      <w:pPr>
        <w:spacing w:line="360" w:lineRule="auto"/>
        <w:rPr>
          <w:rFonts w:hint="eastAsia" w:ascii="宋体" w:hAnsi="宋体" w:cs="宋体"/>
          <w:bCs/>
          <w:color w:val="000000"/>
          <w:sz w:val="24"/>
        </w:rPr>
      </w:pPr>
      <w:r>
        <w:rPr>
          <w:rFonts w:hint="eastAsia" w:ascii="宋体" w:hAnsi="宋体" w:cs="宋体"/>
          <w:bCs/>
          <w:color w:val="000000"/>
          <w:sz w:val="24"/>
        </w:rPr>
        <w:t>（四）规定依据本办法规定享受扶持政策获得政府采购合同的，小微企业不得将合同分包给大中型企业，中型企业不得将合同分包给大型企业；</w:t>
      </w:r>
    </w:p>
    <w:p w14:paraId="2AEC956E">
      <w:pPr>
        <w:spacing w:line="360" w:lineRule="auto"/>
        <w:rPr>
          <w:rFonts w:hint="eastAsia" w:ascii="宋体" w:hAnsi="宋体" w:cs="宋体"/>
          <w:bCs/>
          <w:color w:val="000000"/>
          <w:sz w:val="24"/>
        </w:rPr>
      </w:pPr>
      <w:r>
        <w:rPr>
          <w:rFonts w:hint="eastAsia" w:ascii="宋体" w:hAnsi="宋体" w:cs="宋体"/>
          <w:bCs/>
          <w:color w:val="000000"/>
          <w:sz w:val="24"/>
        </w:rPr>
        <w:t>（五）采购人认为具备相关条件的，明确对中小企业在资金支付期限、预付款比例等方面的优惠措施；</w:t>
      </w:r>
    </w:p>
    <w:p w14:paraId="512D66EA">
      <w:pPr>
        <w:spacing w:line="360" w:lineRule="auto"/>
        <w:rPr>
          <w:rFonts w:hint="eastAsia" w:ascii="宋体" w:hAnsi="宋体" w:cs="宋体"/>
          <w:bCs/>
          <w:color w:val="000000"/>
          <w:sz w:val="24"/>
        </w:rPr>
      </w:pPr>
      <w:r>
        <w:rPr>
          <w:rFonts w:hint="eastAsia" w:ascii="宋体" w:hAnsi="宋体" w:cs="宋体"/>
          <w:bCs/>
          <w:color w:val="000000"/>
          <w:sz w:val="24"/>
        </w:rPr>
        <w:t>（六）明确采购标的对应的中小企业划分标准所属行业；</w:t>
      </w:r>
    </w:p>
    <w:p w14:paraId="55D20390">
      <w:pPr>
        <w:spacing w:line="360" w:lineRule="auto"/>
        <w:rPr>
          <w:rFonts w:hint="eastAsia" w:ascii="宋体" w:hAnsi="宋体" w:cs="宋体"/>
          <w:bCs/>
          <w:color w:val="000000"/>
          <w:sz w:val="24"/>
        </w:rPr>
      </w:pPr>
      <w:r>
        <w:rPr>
          <w:rFonts w:hint="eastAsia" w:ascii="宋体" w:hAnsi="宋体" w:cs="宋体"/>
          <w:bCs/>
          <w:color w:val="000000"/>
          <w:sz w:val="24"/>
        </w:rPr>
        <w:t>（七）法律法规和省级以上人民政府财政部门规定的其他事项。</w:t>
      </w:r>
    </w:p>
    <w:p w14:paraId="74DF7C02">
      <w:pPr>
        <w:spacing w:line="360" w:lineRule="auto"/>
        <w:rPr>
          <w:rFonts w:hint="eastAsia" w:ascii="宋体" w:hAnsi="宋体" w:cs="宋体"/>
          <w:bCs/>
          <w:color w:val="000000"/>
          <w:sz w:val="24"/>
        </w:rPr>
      </w:pPr>
      <w:r>
        <w:rPr>
          <w:rFonts w:hint="eastAsia" w:ascii="宋体" w:hAnsi="宋体" w:cs="宋体"/>
          <w:bCs/>
          <w:color w:val="000000"/>
          <w:sz w:val="24"/>
        </w:rPr>
        <w:t>第十三条 中标、成交供应商享受本办法规定的中小企</w:t>
      </w:r>
      <w:bookmarkStart w:id="997" w:name="page6"/>
      <w:bookmarkEnd w:id="997"/>
      <w:r>
        <w:rPr>
          <w:rFonts w:hint="eastAsia" w:ascii="宋体" w:hAnsi="宋体" w:cs="宋体"/>
          <w:bCs/>
          <w:color w:val="000000"/>
          <w:sz w:val="24"/>
        </w:rPr>
        <w:t>业扶持政策的，采购人、采购代理机构应当随中标、成交结果公开中标、成交供应商的《中小企业声明函》。适用招标投标法的政府采购工程建设项目，应当在公示中标候选人时公开中标候选人的《中小企业声明函》。</w:t>
      </w:r>
    </w:p>
    <w:p w14:paraId="3CA54A9E">
      <w:pPr>
        <w:spacing w:line="360" w:lineRule="auto"/>
        <w:rPr>
          <w:rFonts w:hint="eastAsia" w:ascii="宋体" w:hAnsi="宋体" w:cs="宋体"/>
          <w:bCs/>
          <w:color w:val="000000"/>
          <w:sz w:val="24"/>
        </w:rPr>
      </w:pPr>
      <w:r>
        <w:rPr>
          <w:rFonts w:hint="eastAsia" w:ascii="宋体" w:hAnsi="宋体" w:cs="宋体"/>
          <w:bCs/>
          <w:color w:val="00000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2C2C6CD6">
      <w:pPr>
        <w:spacing w:line="360" w:lineRule="auto"/>
        <w:rPr>
          <w:rFonts w:hint="eastAsia" w:ascii="宋体" w:hAnsi="宋体" w:cs="宋体"/>
          <w:bCs/>
          <w:color w:val="000000"/>
          <w:sz w:val="24"/>
        </w:rPr>
      </w:pPr>
      <w:r>
        <w:rPr>
          <w:rFonts w:hint="eastAsia" w:ascii="宋体" w:hAnsi="宋体" w:cs="宋体"/>
          <w:bCs/>
          <w:color w:val="000000"/>
          <w:sz w:val="24"/>
        </w:rPr>
        <w:t>第十五条 鼓励各地区、各部门在采购活动中允许中小企业引入信用担保手段，为中小企业在投标（响应）保证、履约保证等方面提供专业化服务。鼓励中小企业依法合规通过政府采购合同融资。</w:t>
      </w:r>
    </w:p>
    <w:p w14:paraId="3F5814A0">
      <w:pPr>
        <w:spacing w:line="360" w:lineRule="auto"/>
        <w:rPr>
          <w:rFonts w:hint="eastAsia" w:ascii="宋体" w:hAnsi="宋体" w:cs="宋体"/>
          <w:bCs/>
          <w:color w:val="000000"/>
          <w:sz w:val="24"/>
        </w:rPr>
      </w:pPr>
      <w:r>
        <w:rPr>
          <w:rFonts w:hint="eastAsia" w:ascii="宋体" w:hAnsi="宋体" w:cs="宋体"/>
          <w:bCs/>
          <w:color w:val="000000"/>
          <w:sz w:val="24"/>
        </w:rPr>
        <w:t>第十六条 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10个工作日内做出书面答复。</w:t>
      </w:r>
    </w:p>
    <w:p w14:paraId="311C1185">
      <w:pPr>
        <w:spacing w:line="360" w:lineRule="auto"/>
        <w:rPr>
          <w:rFonts w:hint="eastAsia" w:ascii="宋体" w:hAnsi="宋体" w:cs="宋体"/>
          <w:bCs/>
          <w:color w:val="000000"/>
          <w:sz w:val="24"/>
        </w:rPr>
      </w:pPr>
      <w:r>
        <w:rPr>
          <w:rFonts w:hint="eastAsia" w:ascii="宋体" w:hAnsi="宋体" w:cs="宋体"/>
          <w:bCs/>
          <w:color w:val="000000"/>
          <w:sz w:val="24"/>
        </w:rPr>
        <w:t>第十七条 各地区、各部门应当对涉及中小企业采购的预算项目实施全过程绩效管理，合理设置绩效目标和指标，落实扶持中小企业有关政策要求，定期开展绩效监控和评价，强化绩效评价结果应用。</w:t>
      </w:r>
      <w:bookmarkStart w:id="998" w:name="page7"/>
      <w:bookmarkEnd w:id="998"/>
    </w:p>
    <w:p w14:paraId="1CD8FB87">
      <w:pPr>
        <w:spacing w:line="360" w:lineRule="auto"/>
        <w:rPr>
          <w:rFonts w:hint="eastAsia" w:ascii="宋体" w:hAnsi="宋体" w:cs="宋体"/>
          <w:bCs/>
          <w:color w:val="000000"/>
          <w:sz w:val="24"/>
        </w:rPr>
      </w:pPr>
      <w:r>
        <w:rPr>
          <w:rFonts w:hint="eastAsia" w:ascii="宋体" w:hAnsi="宋体" w:cs="宋体"/>
          <w:bCs/>
          <w:color w:val="000000"/>
          <w:sz w:val="24"/>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14:paraId="4B362636">
      <w:pPr>
        <w:spacing w:line="360" w:lineRule="auto"/>
        <w:rPr>
          <w:rFonts w:hint="eastAsia" w:ascii="宋体" w:hAnsi="宋体" w:cs="宋体"/>
          <w:bCs/>
          <w:color w:val="000000"/>
          <w:sz w:val="24"/>
        </w:rPr>
      </w:pPr>
      <w:r>
        <w:rPr>
          <w:rFonts w:hint="eastAsia" w:ascii="宋体" w:hAnsi="宋体" w:cs="宋体"/>
          <w:bCs/>
          <w:color w:val="00000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7764B9FC">
      <w:pPr>
        <w:spacing w:line="360" w:lineRule="auto"/>
        <w:rPr>
          <w:rFonts w:hint="eastAsia" w:ascii="宋体" w:hAnsi="宋体" w:cs="宋体"/>
          <w:bCs/>
          <w:color w:val="000000"/>
          <w:sz w:val="24"/>
        </w:rPr>
      </w:pPr>
      <w:r>
        <w:rPr>
          <w:rFonts w:hint="eastAsia" w:ascii="宋体" w:hAnsi="宋体" w:cs="宋体"/>
          <w:bCs/>
          <w:color w:val="000000"/>
          <w:sz w:val="24"/>
        </w:rPr>
        <w:t>第二十条 供应商按照本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14:paraId="6E3FE69D">
      <w:pPr>
        <w:spacing w:line="360" w:lineRule="auto"/>
        <w:rPr>
          <w:rFonts w:hint="eastAsia" w:ascii="宋体" w:hAnsi="宋体" w:cs="宋体"/>
          <w:bCs/>
          <w:color w:val="000000"/>
          <w:sz w:val="24"/>
        </w:rPr>
      </w:pPr>
      <w:r>
        <w:rPr>
          <w:rFonts w:hint="eastAsia" w:ascii="宋体" w:hAnsi="宋体" w:cs="宋体"/>
          <w:bCs/>
          <w:color w:val="00000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247F0ECC">
      <w:pPr>
        <w:spacing w:line="360" w:lineRule="auto"/>
        <w:rPr>
          <w:rFonts w:hint="eastAsia" w:ascii="宋体" w:hAnsi="宋体" w:cs="宋体"/>
          <w:bCs/>
          <w:color w:val="000000"/>
          <w:sz w:val="24"/>
        </w:rPr>
      </w:pPr>
      <w:r>
        <w:rPr>
          <w:rFonts w:hint="eastAsia" w:ascii="宋体" w:hAnsi="宋体" w:cs="宋体"/>
          <w:bCs/>
          <w:color w:val="000000"/>
          <w:sz w:val="24"/>
        </w:rPr>
        <w:t>第二十二条 对外援助项目、国家相关资格或者资质管理制度另有规定的项目，不适用本办法。</w:t>
      </w:r>
    </w:p>
    <w:p w14:paraId="39676208">
      <w:pPr>
        <w:spacing w:line="360" w:lineRule="auto"/>
        <w:rPr>
          <w:rFonts w:hint="eastAsia" w:ascii="宋体" w:hAnsi="宋体" w:cs="宋体"/>
          <w:bCs/>
          <w:color w:val="000000"/>
          <w:sz w:val="24"/>
        </w:rPr>
      </w:pPr>
      <w:r>
        <w:rPr>
          <w:rFonts w:hint="eastAsia" w:ascii="宋体" w:hAnsi="宋体" w:cs="宋体"/>
          <w:bCs/>
          <w:color w:val="000000"/>
          <w:sz w:val="24"/>
        </w:rPr>
        <w:t>第二十三条</w:t>
      </w:r>
      <w:r>
        <w:rPr>
          <w:rFonts w:ascii="宋体" w:hAnsi="宋体" w:cs="宋体"/>
          <w:bCs/>
          <w:color w:val="000000"/>
          <w:sz w:val="24"/>
        </w:rPr>
        <w:tab/>
      </w:r>
      <w:r>
        <w:rPr>
          <w:rFonts w:hint="eastAsia" w:ascii="宋体" w:hAnsi="宋体" w:cs="宋体"/>
          <w:bCs/>
          <w:color w:val="000000"/>
          <w:sz w:val="24"/>
        </w:rPr>
        <w:t>关于视同中小企业的其他主体的政府采购扶持政策，由财政部会同有关部门另行规定。</w:t>
      </w:r>
    </w:p>
    <w:p w14:paraId="4E28900B">
      <w:pPr>
        <w:spacing w:line="360" w:lineRule="auto"/>
        <w:rPr>
          <w:rFonts w:hint="eastAsia" w:ascii="宋体" w:hAnsi="宋体" w:cs="宋体"/>
          <w:bCs/>
          <w:color w:val="000000"/>
          <w:sz w:val="24"/>
        </w:rPr>
      </w:pPr>
      <w:r>
        <w:rPr>
          <w:rFonts w:hint="eastAsia" w:ascii="宋体" w:hAnsi="宋体" w:cs="宋体"/>
          <w:bCs/>
          <w:color w:val="000000"/>
          <w:sz w:val="24"/>
        </w:rPr>
        <w:t>第二十四条</w:t>
      </w:r>
      <w:r>
        <w:rPr>
          <w:rFonts w:ascii="宋体" w:hAnsi="宋体" w:cs="宋体"/>
          <w:bCs/>
          <w:color w:val="000000"/>
          <w:sz w:val="24"/>
        </w:rPr>
        <w:tab/>
      </w:r>
      <w:r>
        <w:rPr>
          <w:rFonts w:hint="eastAsia" w:ascii="宋体" w:hAnsi="宋体" w:cs="宋体"/>
          <w:bCs/>
          <w:color w:val="000000"/>
          <w:sz w:val="24"/>
        </w:rPr>
        <w:t>省级财政部门可以会同中小企业主管部门根据本办法的规定制定具体实施办法。</w:t>
      </w:r>
    </w:p>
    <w:p w14:paraId="052AC640">
      <w:pPr>
        <w:pStyle w:val="17"/>
        <w:adjustRightInd w:val="0"/>
        <w:snapToGrid w:val="0"/>
        <w:spacing w:line="360" w:lineRule="auto"/>
        <w:ind w:right="-45"/>
        <w:jc w:val="left"/>
        <w:rPr>
          <w:rFonts w:hint="eastAsia" w:cs="仿宋_GB2312"/>
          <w:color w:val="000000"/>
          <w:kern w:val="0"/>
        </w:rPr>
      </w:pPr>
      <w:r>
        <w:rPr>
          <w:rFonts w:hint="eastAsia" w:cs="宋体"/>
          <w:bCs/>
          <w:color w:val="000000"/>
        </w:rPr>
        <w:t>第二十五条 本办法自 2021 年 1 月 1 日起施行。《财政部 工业和信息化部关于印发〈政府采购促进中小企业发展暂行办法〉的通知》（财库﹝2011﹞181 号）同时废止。</w:t>
      </w:r>
    </w:p>
    <w:p w14:paraId="550426F7">
      <w:pPr>
        <w:spacing w:line="360" w:lineRule="auto"/>
        <w:rPr>
          <w:rFonts w:hint="eastAsia" w:ascii="宋体" w:hAnsi="宋体" w:cs="仿宋_GB2312"/>
          <w:bCs/>
          <w:color w:val="000000"/>
          <w:sz w:val="24"/>
        </w:rPr>
      </w:pPr>
      <w:bookmarkStart w:id="999" w:name="_Toc445984998"/>
      <w:bookmarkStart w:id="1000" w:name="_Toc21554"/>
      <w:bookmarkStart w:id="1001" w:name="_Toc497489391"/>
      <w:bookmarkStart w:id="1002" w:name="_Toc20829"/>
      <w:bookmarkStart w:id="1003" w:name="_Toc12674"/>
      <w:bookmarkStart w:id="1004" w:name="_Toc445916627"/>
      <w:bookmarkStart w:id="1005" w:name="_Toc447223799"/>
      <w:r>
        <w:rPr>
          <w:rFonts w:hint="eastAsia" w:ascii="宋体" w:hAnsi="宋体" w:cs="仿宋_GB2312"/>
          <w:bCs/>
          <w:color w:val="000000"/>
          <w:sz w:val="24"/>
        </w:rPr>
        <w:br w:type="page"/>
      </w:r>
    </w:p>
    <w:p w14:paraId="1B57C7E5">
      <w:pPr>
        <w:pStyle w:val="5"/>
        <w:ind w:left="720" w:hanging="720"/>
        <w:rPr>
          <w:rFonts w:hint="eastAsia" w:hAnsi="宋体" w:cs="仿宋_GB2312"/>
          <w:bCs/>
          <w:color w:val="000000"/>
          <w:kern w:val="2"/>
          <w:szCs w:val="24"/>
        </w:rPr>
      </w:pPr>
      <w:bookmarkStart w:id="1006" w:name="_Toc15435094"/>
      <w:bookmarkStart w:id="1007" w:name="_Toc83722638"/>
      <w:bookmarkStart w:id="1008" w:name="_Toc85461450"/>
      <w:bookmarkStart w:id="1009" w:name="_Toc188382303"/>
      <w:bookmarkStart w:id="1010" w:name="_Toc8999377"/>
      <w:bookmarkStart w:id="1011" w:name="_Toc17167"/>
      <w:bookmarkStart w:id="1012" w:name="_Toc101191899"/>
      <w:bookmarkStart w:id="1013" w:name="_Toc92789350"/>
      <w:bookmarkStart w:id="1014" w:name="_Toc50760979"/>
      <w:r>
        <w:rPr>
          <w:rFonts w:hint="eastAsia" w:hAnsi="宋体" w:cs="仿宋_GB2312"/>
          <w:bCs/>
          <w:color w:val="000000"/>
          <w:kern w:val="2"/>
          <w:szCs w:val="24"/>
        </w:rPr>
        <w:t>附录2：关于印发中小企业划型标准规定的通知</w:t>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14:paraId="119C60D4">
      <w:pPr>
        <w:rPr>
          <w:rFonts w:hint="eastAsia" w:ascii="宋体" w:hAnsi="宋体"/>
        </w:rPr>
      </w:pPr>
    </w:p>
    <w:p w14:paraId="373B672E">
      <w:pPr>
        <w:spacing w:line="360" w:lineRule="auto"/>
        <w:jc w:val="center"/>
        <w:rPr>
          <w:rFonts w:hint="eastAsia" w:ascii="宋体" w:hAnsi="宋体" w:cs="仿宋_GB2312"/>
          <w:color w:val="000000"/>
          <w:spacing w:val="6"/>
          <w:sz w:val="24"/>
        </w:rPr>
      </w:pPr>
      <w:r>
        <w:rPr>
          <w:rFonts w:hint="eastAsia" w:ascii="宋体" w:hAnsi="宋体" w:cs="仿宋_GB2312"/>
          <w:color w:val="000000"/>
          <w:spacing w:val="6"/>
          <w:sz w:val="24"/>
        </w:rPr>
        <w:t>工信部联企业〔2011〕300号</w:t>
      </w:r>
    </w:p>
    <w:p w14:paraId="7CF21218">
      <w:pPr>
        <w:pStyle w:val="37"/>
        <w:spacing w:line="360" w:lineRule="auto"/>
        <w:ind w:firstLine="480"/>
        <w:rPr>
          <w:rFonts w:hint="eastAsia" w:cs="仿宋_GB2312"/>
          <w:color w:val="000000"/>
        </w:rPr>
      </w:pPr>
      <w:r>
        <w:rPr>
          <w:rFonts w:hint="eastAsia" w:cs="仿宋_GB2312"/>
          <w:color w:val="000000"/>
        </w:rPr>
        <w:t>各省、自治区、直辖市人民政府，国务院各部委、各直属机构及有关单位：</w:t>
      </w:r>
    </w:p>
    <w:p w14:paraId="6DAD205F">
      <w:pPr>
        <w:pStyle w:val="37"/>
        <w:spacing w:line="360" w:lineRule="auto"/>
        <w:ind w:firstLine="480"/>
        <w:rPr>
          <w:rFonts w:hint="eastAsia" w:cs="仿宋_GB2312"/>
          <w:color w:val="000000"/>
        </w:rPr>
      </w:pPr>
      <w:r>
        <w:rPr>
          <w:rFonts w:hint="eastAsia" w:cs="仿宋_GB2312"/>
          <w:color w:val="000000"/>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5BFCDE1">
      <w:pPr>
        <w:pStyle w:val="37"/>
        <w:spacing w:line="360" w:lineRule="auto"/>
        <w:ind w:firstLine="480"/>
        <w:rPr>
          <w:rFonts w:hint="eastAsia" w:cs="仿宋_GB2312"/>
          <w:color w:val="000000"/>
        </w:rPr>
      </w:pPr>
      <w:r>
        <w:rPr>
          <w:rFonts w:hint="eastAsia" w:cs="仿宋_GB2312"/>
          <w:color w:val="000000"/>
        </w:rPr>
        <w:t>　　　　　　　　　　　　　　　　　　　 工业和信息化部　国家统计局</w:t>
      </w:r>
    </w:p>
    <w:p w14:paraId="4A4A03D5">
      <w:pPr>
        <w:pStyle w:val="37"/>
        <w:spacing w:line="360" w:lineRule="auto"/>
        <w:ind w:firstLine="480"/>
        <w:rPr>
          <w:rFonts w:hint="eastAsia" w:cs="仿宋_GB2312"/>
          <w:color w:val="000000"/>
        </w:rPr>
      </w:pPr>
      <w:r>
        <w:rPr>
          <w:rFonts w:hint="eastAsia" w:cs="仿宋_GB2312"/>
          <w:color w:val="000000"/>
        </w:rPr>
        <w:t>　　　　　　　　　　　　　　　　　　国家发展和改革委员会　财政部</w:t>
      </w:r>
    </w:p>
    <w:p w14:paraId="1481ED14">
      <w:pPr>
        <w:pStyle w:val="37"/>
        <w:spacing w:line="360" w:lineRule="auto"/>
        <w:ind w:firstLine="480"/>
        <w:rPr>
          <w:rFonts w:hint="eastAsia" w:cs="仿宋_GB2312"/>
          <w:color w:val="000000"/>
        </w:rPr>
      </w:pPr>
      <w:r>
        <w:rPr>
          <w:rFonts w:hint="eastAsia" w:cs="仿宋_GB2312"/>
          <w:color w:val="000000"/>
        </w:rPr>
        <w:t>　　　　　　　　　　　　　　　　　　　　　　二○一一年六月十八日</w:t>
      </w:r>
    </w:p>
    <w:p w14:paraId="5770E4EB">
      <w:pPr>
        <w:pStyle w:val="37"/>
        <w:spacing w:line="360" w:lineRule="auto"/>
        <w:ind w:firstLine="480"/>
        <w:jc w:val="center"/>
        <w:rPr>
          <w:rFonts w:hint="eastAsia" w:cs="仿宋_GB2312"/>
          <w:color w:val="000000"/>
        </w:rPr>
      </w:pPr>
      <w:r>
        <w:rPr>
          <w:rStyle w:val="46"/>
          <w:rFonts w:hint="eastAsia" w:cs="仿宋_GB2312"/>
          <w:color w:val="000000"/>
        </w:rPr>
        <w:t>中小企业划型标准规定</w:t>
      </w:r>
    </w:p>
    <w:p w14:paraId="210ADE3E">
      <w:pPr>
        <w:numPr>
          <w:ilvl w:val="0"/>
          <w:numId w:val="52"/>
        </w:num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根据《中华人民共和国中小企业促进法》和《国务院关于进一步促进中小企业发展的若干意见》(国发〔2009〕36号)，制定本规定。</w:t>
      </w:r>
    </w:p>
    <w:p w14:paraId="38FCC651">
      <w:pPr>
        <w:numPr>
          <w:ilvl w:val="0"/>
          <w:numId w:val="52"/>
        </w:num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中小企业划分为中型、小型、微型三种类型，具体标准根据企业从业人员、营业收入、资产总额等指标，结合行业特点制定。</w:t>
      </w:r>
    </w:p>
    <w:p w14:paraId="5450EA71">
      <w:pPr>
        <w:numPr>
          <w:ilvl w:val="0"/>
          <w:numId w:val="52"/>
        </w:num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F3EC2CC">
      <w:pPr>
        <w:numPr>
          <w:ilvl w:val="0"/>
          <w:numId w:val="52"/>
        </w:num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各行业划型标准为：</w:t>
      </w:r>
    </w:p>
    <w:p w14:paraId="65C3EC77">
      <w:pPr>
        <w:spacing w:line="360" w:lineRule="auto"/>
        <w:rPr>
          <w:rFonts w:hint="eastAsia" w:ascii="宋体" w:hAnsi="宋体" w:cs="仿宋_GB2312"/>
          <w:color w:val="000000"/>
          <w:sz w:val="24"/>
        </w:rPr>
      </w:pPr>
      <w:r>
        <w:rPr>
          <w:rFonts w:hint="eastAsia" w:ascii="宋体" w:hAnsi="宋体" w:cs="仿宋_GB2312"/>
          <w:color w:val="000000"/>
          <w:sz w:val="24"/>
        </w:rPr>
        <w:t>（一）农、林、牧、渔业。营业收入20000万元以下的为中小微型企业。其中，营业收入500万元及以上的为中型企业，营业收入50万元及以上的为小型企业，营业收入50万元以下的为微型企业。</w:t>
      </w:r>
    </w:p>
    <w:p w14:paraId="285381B3">
      <w:pPr>
        <w:spacing w:line="360" w:lineRule="auto"/>
        <w:rPr>
          <w:rFonts w:hint="eastAsia" w:ascii="宋体" w:hAnsi="宋体" w:cs="仿宋_GB2312"/>
          <w:color w:val="000000"/>
          <w:sz w:val="24"/>
        </w:rPr>
      </w:pPr>
      <w:r>
        <w:rPr>
          <w:rFonts w:hint="eastAsia" w:ascii="宋体" w:hAnsi="宋体" w:cs="仿宋_GB2312"/>
          <w:color w:val="000000"/>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6A37C28">
      <w:pPr>
        <w:spacing w:line="360" w:lineRule="auto"/>
        <w:rPr>
          <w:rFonts w:hint="eastAsia" w:ascii="宋体" w:hAnsi="宋体" w:cs="仿宋_GB2312"/>
          <w:color w:val="000000"/>
          <w:sz w:val="24"/>
        </w:rPr>
      </w:pPr>
      <w:r>
        <w:rPr>
          <w:rFonts w:hint="eastAsia" w:ascii="宋体" w:hAnsi="宋体" w:cs="仿宋_GB2312"/>
          <w:color w:val="000000"/>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8DED2FC">
      <w:pPr>
        <w:spacing w:line="360" w:lineRule="auto"/>
        <w:rPr>
          <w:rFonts w:hint="eastAsia" w:ascii="宋体" w:hAnsi="宋体" w:cs="仿宋_GB2312"/>
          <w:color w:val="000000"/>
          <w:sz w:val="24"/>
        </w:rPr>
      </w:pPr>
      <w:r>
        <w:rPr>
          <w:rFonts w:hint="eastAsia" w:ascii="宋体" w:hAnsi="宋体" w:cs="仿宋_GB2312"/>
          <w:color w:val="000000"/>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7510030">
      <w:pPr>
        <w:spacing w:line="360" w:lineRule="auto"/>
        <w:rPr>
          <w:rFonts w:hint="eastAsia" w:ascii="宋体" w:hAnsi="宋体" w:cs="仿宋_GB2312"/>
          <w:color w:val="000000"/>
          <w:sz w:val="24"/>
        </w:rPr>
      </w:pPr>
      <w:r>
        <w:rPr>
          <w:rFonts w:hint="eastAsia" w:ascii="宋体" w:hAnsi="宋体" w:cs="仿宋_GB2312"/>
          <w:color w:val="000000"/>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98107D5">
      <w:pPr>
        <w:spacing w:line="360" w:lineRule="auto"/>
        <w:rPr>
          <w:rFonts w:hint="eastAsia" w:ascii="宋体" w:hAnsi="宋体" w:cs="仿宋_GB2312"/>
          <w:color w:val="000000"/>
          <w:sz w:val="24"/>
        </w:rPr>
      </w:pPr>
      <w:r>
        <w:rPr>
          <w:rFonts w:hint="eastAsia" w:ascii="宋体" w:hAnsi="宋体" w:cs="仿宋_GB2312"/>
          <w:color w:val="000000"/>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6163A6A">
      <w:pPr>
        <w:spacing w:line="360" w:lineRule="auto"/>
        <w:rPr>
          <w:rFonts w:hint="eastAsia" w:ascii="宋体" w:hAnsi="宋体" w:cs="仿宋_GB2312"/>
          <w:color w:val="000000"/>
          <w:sz w:val="24"/>
        </w:rPr>
      </w:pPr>
      <w:r>
        <w:rPr>
          <w:rFonts w:hint="eastAsia" w:ascii="宋体" w:hAnsi="宋体" w:cs="仿宋_GB2312"/>
          <w:color w:val="000000"/>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DCBCBA7">
      <w:pPr>
        <w:spacing w:line="360" w:lineRule="auto"/>
        <w:rPr>
          <w:rFonts w:hint="eastAsia" w:ascii="宋体" w:hAnsi="宋体" w:cs="仿宋_GB2312"/>
          <w:color w:val="000000"/>
          <w:sz w:val="24"/>
        </w:rPr>
      </w:pPr>
      <w:r>
        <w:rPr>
          <w:rFonts w:hint="eastAsia" w:ascii="宋体" w:hAnsi="宋体" w:cs="仿宋_GB2312"/>
          <w:color w:val="000000"/>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E5082A8">
      <w:pPr>
        <w:spacing w:line="360" w:lineRule="auto"/>
        <w:rPr>
          <w:rFonts w:hint="eastAsia" w:ascii="宋体" w:hAnsi="宋体" w:cs="仿宋_GB2312"/>
          <w:color w:val="000000"/>
          <w:sz w:val="24"/>
        </w:rPr>
      </w:pPr>
      <w:r>
        <w:rPr>
          <w:rFonts w:hint="eastAsia" w:ascii="宋体" w:hAnsi="宋体" w:cs="仿宋_GB2312"/>
          <w:color w:val="000000"/>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1B161B0">
      <w:pPr>
        <w:spacing w:line="360" w:lineRule="auto"/>
        <w:rPr>
          <w:rFonts w:hint="eastAsia" w:ascii="宋体" w:hAnsi="宋体" w:cs="仿宋_GB2312"/>
          <w:color w:val="000000"/>
          <w:sz w:val="24"/>
        </w:rPr>
      </w:pPr>
      <w:r>
        <w:rPr>
          <w:rFonts w:hint="eastAsia" w:ascii="宋体" w:hAnsi="宋体" w:cs="仿宋_GB2312"/>
          <w:color w:val="000000"/>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CFD840B">
      <w:pPr>
        <w:spacing w:line="360" w:lineRule="auto"/>
        <w:rPr>
          <w:rFonts w:hint="eastAsia" w:ascii="宋体" w:hAnsi="宋体" w:cs="仿宋_GB2312"/>
          <w:color w:val="000000"/>
          <w:sz w:val="24"/>
        </w:rPr>
      </w:pPr>
      <w:r>
        <w:rPr>
          <w:rFonts w:hint="eastAsia" w:ascii="宋体" w:hAnsi="宋体" w:cs="仿宋_GB2312"/>
          <w:color w:val="000000"/>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4BF4B13">
      <w:pPr>
        <w:spacing w:line="360" w:lineRule="auto"/>
        <w:rPr>
          <w:rFonts w:hint="eastAsia" w:ascii="宋体" w:hAnsi="宋体" w:cs="仿宋_GB2312"/>
          <w:color w:val="000000"/>
          <w:sz w:val="24"/>
        </w:rPr>
      </w:pPr>
      <w:r>
        <w:rPr>
          <w:rFonts w:hint="eastAsia" w:ascii="宋体" w:hAnsi="宋体" w:cs="仿宋_GB2312"/>
          <w:color w:val="000000"/>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9AFF0C4">
      <w:pPr>
        <w:spacing w:line="360" w:lineRule="auto"/>
        <w:rPr>
          <w:rFonts w:hint="eastAsia" w:ascii="宋体" w:hAnsi="宋体" w:cs="仿宋_GB2312"/>
          <w:color w:val="000000"/>
          <w:sz w:val="24"/>
        </w:rPr>
      </w:pPr>
      <w:r>
        <w:rPr>
          <w:rFonts w:hint="eastAsia" w:ascii="宋体" w:hAnsi="宋体" w:cs="仿宋_GB2312"/>
          <w:color w:val="000000"/>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DB47960">
      <w:pPr>
        <w:spacing w:line="360" w:lineRule="auto"/>
        <w:rPr>
          <w:rFonts w:hint="eastAsia" w:ascii="宋体" w:hAnsi="宋体" w:cs="仿宋_GB2312"/>
          <w:color w:val="000000"/>
          <w:sz w:val="24"/>
        </w:rPr>
      </w:pPr>
      <w:r>
        <w:rPr>
          <w:rFonts w:hint="eastAsia" w:ascii="宋体" w:hAnsi="宋体" w:cs="仿宋_GB2312"/>
          <w:color w:val="000000"/>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FA1408D">
      <w:pPr>
        <w:spacing w:line="360" w:lineRule="auto"/>
        <w:rPr>
          <w:rFonts w:hint="eastAsia" w:ascii="宋体" w:hAnsi="宋体" w:cs="仿宋_GB2312"/>
          <w:color w:val="000000"/>
          <w:sz w:val="24"/>
        </w:rPr>
      </w:pPr>
      <w:r>
        <w:rPr>
          <w:rFonts w:hint="eastAsia" w:ascii="宋体" w:hAnsi="宋体" w:cs="仿宋_GB2312"/>
          <w:color w:val="000000"/>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836319F">
      <w:pPr>
        <w:spacing w:line="360" w:lineRule="auto"/>
        <w:rPr>
          <w:rFonts w:hint="eastAsia" w:ascii="宋体" w:hAnsi="宋体" w:cs="仿宋_GB2312"/>
          <w:color w:val="000000"/>
          <w:sz w:val="24"/>
        </w:rPr>
      </w:pPr>
      <w:r>
        <w:rPr>
          <w:rFonts w:hint="eastAsia" w:ascii="宋体" w:hAnsi="宋体" w:cs="仿宋_GB2312"/>
          <w:color w:val="000000"/>
          <w:sz w:val="24"/>
        </w:rPr>
        <w:t>（十六）其他未列明行业。从业人员300人以下的为中小微型企业。其中，从业人员100人及以上的为中型企业；从业人员10人及以上的为小型企业；从业人员10人以下的为微型企业。</w:t>
      </w:r>
    </w:p>
    <w:p w14:paraId="421A76C8">
      <w:pPr>
        <w:numPr>
          <w:ilvl w:val="0"/>
          <w:numId w:val="52"/>
        </w:num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企业类型的划分以统计部门的统计数据为依据。</w:t>
      </w:r>
    </w:p>
    <w:p w14:paraId="0C4B9E37">
      <w:pPr>
        <w:numPr>
          <w:ilvl w:val="0"/>
          <w:numId w:val="52"/>
        </w:num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本规定适用于在中华人民共和国境内依法设立的各类所有制和各种组织形式的企业。个体工商户和本规定以外的行业，参照本规定进行划型。</w:t>
      </w:r>
    </w:p>
    <w:p w14:paraId="4C01695D">
      <w:pPr>
        <w:numPr>
          <w:ilvl w:val="0"/>
          <w:numId w:val="52"/>
        </w:num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本规定的中型企业标准上限即为大型企业标准的下限，国家统计部门据此制定大中小微型企业的统计分类。国务院有关部门据此进行相关数据分析，不得制定与本规定不一致的企业划型标准。</w:t>
      </w:r>
    </w:p>
    <w:p w14:paraId="6D33F644">
      <w:pPr>
        <w:numPr>
          <w:ilvl w:val="0"/>
          <w:numId w:val="52"/>
        </w:num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本规定由工业和信息化部、国家统计局会同有关部门根据《国民经济行业分类》修订情况和企业发展变化情况适时修订。</w:t>
      </w:r>
    </w:p>
    <w:p w14:paraId="7D7B749A">
      <w:pPr>
        <w:numPr>
          <w:ilvl w:val="0"/>
          <w:numId w:val="52"/>
        </w:num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本规定由工业和信息化部、国家统计局会同有关部门负责解释。</w:t>
      </w:r>
    </w:p>
    <w:p w14:paraId="0435395A">
      <w:pPr>
        <w:numPr>
          <w:ilvl w:val="0"/>
          <w:numId w:val="52"/>
        </w:num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本规定自发布之日起执行，原国家经贸委、原国家计委、财政部和国家统计局2003年颁布的《中小企业标准暂行规定》同时废止。</w:t>
      </w:r>
    </w:p>
    <w:p w14:paraId="08E5D97C">
      <w:pPr>
        <w:numPr>
          <w:ilvl w:val="0"/>
          <w:numId w:val="52"/>
        </w:num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br w:type="page"/>
      </w:r>
    </w:p>
    <w:p w14:paraId="74D52ED4">
      <w:pPr>
        <w:pStyle w:val="5"/>
        <w:widowControl/>
        <w:numPr>
          <w:ilvl w:val="2"/>
          <w:numId w:val="0"/>
        </w:numPr>
        <w:tabs>
          <w:tab w:val="left" w:pos="0"/>
          <w:tab w:val="left" w:pos="432"/>
        </w:tabs>
        <w:autoSpaceDE/>
        <w:autoSpaceDN/>
        <w:adjustRightInd/>
        <w:spacing w:before="120" w:line="360" w:lineRule="auto"/>
        <w:rPr>
          <w:rFonts w:hint="eastAsia" w:hAnsi="宋体" w:cs="仿宋_GB2312"/>
          <w:color w:val="000000"/>
          <w:szCs w:val="24"/>
        </w:rPr>
      </w:pPr>
      <w:bookmarkStart w:id="1015" w:name="_Toc83722639"/>
      <w:bookmarkStart w:id="1016" w:name="_Toc188382304"/>
      <w:bookmarkStart w:id="1017" w:name="_Toc497489392"/>
      <w:bookmarkStart w:id="1018" w:name="_Toc85461451"/>
      <w:bookmarkStart w:id="1019" w:name="_Toc8212"/>
      <w:bookmarkStart w:id="1020" w:name="_Toc50760980"/>
      <w:bookmarkStart w:id="1021" w:name="_Toc8999378"/>
      <w:bookmarkStart w:id="1022" w:name="_Toc15435095"/>
      <w:bookmarkStart w:id="1023" w:name="_Toc92789351"/>
      <w:bookmarkStart w:id="1024" w:name="_Toc29972"/>
      <w:bookmarkStart w:id="1025" w:name="_Toc101191900"/>
      <w:r>
        <w:rPr>
          <w:rFonts w:hint="eastAsia" w:hAnsi="宋体" w:cs="仿宋_GB2312"/>
          <w:color w:val="000000"/>
          <w:szCs w:val="24"/>
        </w:rPr>
        <w:t>附录3：财政部 民政部 中国残疾人联合会关于促进残疾人就业政府采购政策的通知</w:t>
      </w:r>
      <w:bookmarkEnd w:id="1015"/>
      <w:bookmarkEnd w:id="1016"/>
      <w:bookmarkEnd w:id="1017"/>
      <w:bookmarkEnd w:id="1018"/>
      <w:bookmarkEnd w:id="1019"/>
      <w:bookmarkEnd w:id="1020"/>
      <w:bookmarkEnd w:id="1021"/>
      <w:bookmarkEnd w:id="1022"/>
      <w:bookmarkEnd w:id="1023"/>
      <w:bookmarkEnd w:id="1024"/>
      <w:bookmarkEnd w:id="1025"/>
    </w:p>
    <w:p w14:paraId="3172717A">
      <w:pPr>
        <w:spacing w:line="360" w:lineRule="auto"/>
        <w:jc w:val="center"/>
        <w:rPr>
          <w:rFonts w:hint="eastAsia" w:ascii="宋体" w:hAnsi="宋体" w:cs="仿宋_GB2312"/>
          <w:b/>
          <w:bCs/>
          <w:color w:val="000000"/>
          <w:sz w:val="24"/>
        </w:rPr>
      </w:pPr>
      <w:r>
        <w:rPr>
          <w:rFonts w:hint="eastAsia" w:ascii="宋体" w:hAnsi="宋体" w:cs="仿宋_GB2312"/>
          <w:color w:val="000000"/>
          <w:spacing w:val="6"/>
          <w:sz w:val="24"/>
        </w:rPr>
        <w:t>财库</w:t>
      </w:r>
      <w:r>
        <w:rPr>
          <w:rFonts w:hint="eastAsia" w:ascii="宋体" w:hAnsi="宋体" w:cs="仿宋_GB2312"/>
          <w:color w:val="000000"/>
          <w:sz w:val="24"/>
        </w:rPr>
        <w:t>〔2017〕 141</w:t>
      </w:r>
      <w:r>
        <w:rPr>
          <w:rFonts w:hint="eastAsia" w:ascii="宋体" w:hAnsi="宋体" w:cs="仿宋_GB2312"/>
          <w:color w:val="000000"/>
          <w:spacing w:val="6"/>
          <w:sz w:val="24"/>
        </w:rPr>
        <w:t>号</w:t>
      </w:r>
    </w:p>
    <w:p w14:paraId="0E7835E8">
      <w:pPr>
        <w:pStyle w:val="37"/>
        <w:shd w:val="clear" w:color="auto" w:fill="FFFFFF"/>
        <w:spacing w:before="0" w:beforeAutospacing="0" w:after="0" w:afterAutospacing="0" w:line="360" w:lineRule="auto"/>
        <w:ind w:firstLine="480"/>
        <w:jc w:val="both"/>
        <w:rPr>
          <w:rFonts w:hint="eastAsia" w:cs="仿宋_GB2312"/>
          <w:color w:val="000000"/>
        </w:rPr>
      </w:pPr>
      <w:bookmarkStart w:id="1026" w:name="toDeptId"/>
      <w:r>
        <w:rPr>
          <w:rFonts w:hint="eastAsia" w:cs="仿宋_GB2312"/>
          <w:color w:val="000000"/>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1026"/>
      <w:r>
        <w:rPr>
          <w:rFonts w:hint="eastAsia" w:cs="仿宋_GB2312"/>
          <w:color w:val="000000"/>
        </w:rPr>
        <w:t>：</w:t>
      </w:r>
    </w:p>
    <w:p w14:paraId="34B8BDEE">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为了发挥政府采购促进残疾人就业的作用，进一步保障残疾人权益，依照《政府采购法》、《残疾人保障法》等法律法规及相关规定，现就促进残疾人就业政府采购政策通知如下：</w:t>
      </w:r>
    </w:p>
    <w:p w14:paraId="2E5B133A">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一、享受政府采购支持政策的残疾人福利性单位应当同时满足以下条件：</w:t>
      </w:r>
    </w:p>
    <w:p w14:paraId="76FD61A6">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（一）安置的残疾人占本单位在职职工人数的比例不低于25%（含25%），并且安置的残疾人人数不少于10人（含10人）；</w:t>
      </w:r>
    </w:p>
    <w:p w14:paraId="71980561">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（二）依法与安置的每位残疾人签订了一年以上（含一年）的劳动合同或服务协议；</w:t>
      </w:r>
    </w:p>
    <w:p w14:paraId="70133F9D">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（三）为安置的每位残疾人按月足额缴纳了基本养老保险、基本医疗保险、失业保险、工伤保险和生育保险等社会保险费；</w:t>
      </w:r>
    </w:p>
    <w:p w14:paraId="2D7C6119">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（四）通过银行等金融机构向安置的每位残疾人，按月支付了不低于单位所在区县适用的经省级人民政府批准的月最低工资标准的工资；</w:t>
      </w:r>
    </w:p>
    <w:p w14:paraId="17A5C7B0">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（五）提供本单位制造的货物、承担的工程或者服务（以下简称产品），或者提供其他残疾人福利性单位制造的货物（不包括使用非残疾人福利性单位注册商标的货物）。</w:t>
      </w:r>
    </w:p>
    <w:p w14:paraId="4DEA68FA">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4CA27F2">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4A6B42AF">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中标、成交供应商为残疾人福利性单位的，采购人或者其委托的采购代理机构应当随中标、成交结果同时公告其《残疾人福利性单位声明函》，接受社会监督。</w:t>
      </w:r>
    </w:p>
    <w:p w14:paraId="0FEA1044">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供应商提供的《残疾人福利性单位声明函》与事实不符的，依照《政府采购法》第七十七条第一款的规定追究法律责任。</w:t>
      </w:r>
    </w:p>
    <w:p w14:paraId="217EA844">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30A0EF3">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四、采购人采购公开招标数额标准以上的货物或者服务，因落实促进残疾人就业政策的需要，依法履行有关报批程序后，可采用公开招标以外的采购人式。</w:t>
      </w:r>
    </w:p>
    <w:p w14:paraId="03EC3661">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17EEE043">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21E2695">
      <w:pPr>
        <w:pStyle w:val="37"/>
        <w:shd w:val="clear" w:color="auto" w:fill="FFFFFF"/>
        <w:spacing w:before="0" w:beforeAutospacing="0" w:after="0" w:afterAutospacing="0" w:line="360" w:lineRule="auto"/>
        <w:ind w:firstLine="480"/>
        <w:jc w:val="both"/>
        <w:rPr>
          <w:rFonts w:hint="eastAsia" w:cs="仿宋_GB2312"/>
          <w:color w:val="000000"/>
        </w:rPr>
      </w:pPr>
      <w:r>
        <w:rPr>
          <w:rFonts w:hint="eastAsia" w:cs="仿宋_GB2312"/>
          <w:color w:val="000000"/>
        </w:rPr>
        <w:t>　　七、本通知自2017年10月1日起执行。</w:t>
      </w:r>
    </w:p>
    <w:p w14:paraId="19BAFD78">
      <w:pPr>
        <w:pStyle w:val="37"/>
        <w:shd w:val="clear" w:color="auto" w:fill="FFFFFF"/>
        <w:spacing w:before="0" w:beforeAutospacing="0" w:after="0" w:afterAutospacing="0" w:line="360" w:lineRule="auto"/>
        <w:ind w:firstLine="480"/>
        <w:jc w:val="right"/>
        <w:rPr>
          <w:rFonts w:hint="eastAsia" w:cs="仿宋_GB2312"/>
          <w:color w:val="000000"/>
        </w:rPr>
      </w:pPr>
      <w:r>
        <w:rPr>
          <w:rFonts w:hint="eastAsia" w:cs="仿宋_GB2312"/>
          <w:color w:val="000000"/>
        </w:rPr>
        <w:t>　　财政部 民政部 中国残疾人联合会</w:t>
      </w:r>
    </w:p>
    <w:p w14:paraId="359AA82E">
      <w:pPr>
        <w:pStyle w:val="37"/>
        <w:shd w:val="clear" w:color="auto" w:fill="FFFFFF"/>
        <w:spacing w:before="0" w:beforeAutospacing="0" w:after="0" w:afterAutospacing="0" w:line="360" w:lineRule="auto"/>
        <w:ind w:firstLine="480"/>
        <w:jc w:val="right"/>
        <w:rPr>
          <w:rFonts w:hint="eastAsia" w:cs="仿宋_GB2312"/>
          <w:color w:val="000000"/>
        </w:rPr>
      </w:pPr>
      <w:r>
        <w:rPr>
          <w:rFonts w:hint="eastAsia" w:cs="仿宋_GB2312"/>
          <w:color w:val="000000"/>
        </w:rPr>
        <w:t>　　2017年8月22日</w:t>
      </w:r>
    </w:p>
    <w:p w14:paraId="0932C069">
      <w:pPr>
        <w:spacing w:line="360" w:lineRule="auto"/>
        <w:rPr>
          <w:rFonts w:hint="eastAsia" w:ascii="宋体" w:hAnsi="宋体" w:cs="仿宋_GB2312"/>
          <w:color w:val="000000"/>
        </w:rPr>
      </w:pPr>
      <w:r>
        <w:rPr>
          <w:rFonts w:hint="eastAsia" w:ascii="宋体" w:hAnsi="宋体" w:cs="仿宋_GB2312"/>
          <w:color w:val="000000"/>
        </w:rPr>
        <w:br w:type="page"/>
      </w:r>
    </w:p>
    <w:p w14:paraId="7B0C2B7F">
      <w:pPr>
        <w:pStyle w:val="5"/>
        <w:widowControl/>
        <w:numPr>
          <w:ilvl w:val="2"/>
          <w:numId w:val="0"/>
        </w:numPr>
        <w:tabs>
          <w:tab w:val="left" w:pos="0"/>
          <w:tab w:val="left" w:pos="432"/>
        </w:tabs>
        <w:autoSpaceDE/>
        <w:autoSpaceDN/>
        <w:adjustRightInd/>
        <w:spacing w:before="120" w:line="360" w:lineRule="auto"/>
        <w:rPr>
          <w:rFonts w:hint="eastAsia" w:hAnsi="宋体" w:cs="仿宋_GB2312"/>
          <w:color w:val="000000"/>
          <w:szCs w:val="24"/>
        </w:rPr>
      </w:pPr>
      <w:bookmarkStart w:id="1027" w:name="_Toc83722640"/>
      <w:bookmarkStart w:id="1028" w:name="_Toc92789352"/>
      <w:bookmarkStart w:id="1029" w:name="_Toc85461452"/>
      <w:bookmarkStart w:id="1030" w:name="_Toc27960"/>
      <w:bookmarkStart w:id="1031" w:name="_Toc188382305"/>
      <w:bookmarkStart w:id="1032" w:name="_Toc101191901"/>
      <w:r>
        <w:rPr>
          <w:rFonts w:hint="eastAsia" w:hAnsi="宋体" w:cs="仿宋_GB2312"/>
          <w:color w:val="000000"/>
          <w:szCs w:val="24"/>
        </w:rPr>
        <w:t>附录4：</w:t>
      </w:r>
      <w:bookmarkEnd w:id="1027"/>
      <w:bookmarkEnd w:id="1028"/>
      <w:bookmarkEnd w:id="1029"/>
      <w:r>
        <w:rPr>
          <w:rFonts w:hint="eastAsia" w:hAnsi="宋体" w:cs="仿宋_GB2312"/>
          <w:color w:val="000000"/>
          <w:szCs w:val="24"/>
        </w:rPr>
        <w:t>市场监管总局关于发布参与实施政府采购节能产品、环境</w:t>
      </w:r>
      <w:bookmarkEnd w:id="1030"/>
      <w:bookmarkStart w:id="1033" w:name="_Toc25506"/>
      <w:r>
        <w:rPr>
          <w:rFonts w:hint="eastAsia" w:hAnsi="宋体" w:cs="仿宋_GB2312"/>
          <w:color w:val="000000"/>
          <w:szCs w:val="24"/>
        </w:rPr>
        <w:t>标志产品认证机构名录的公告</w:t>
      </w:r>
      <w:bookmarkEnd w:id="1031"/>
      <w:bookmarkEnd w:id="1032"/>
      <w:bookmarkEnd w:id="1033"/>
    </w:p>
    <w:p w14:paraId="1CED9F8D">
      <w:pPr>
        <w:spacing w:line="360" w:lineRule="auto"/>
        <w:jc w:val="center"/>
        <w:rPr>
          <w:rFonts w:hint="eastAsia" w:ascii="宋体" w:hAnsi="宋体"/>
          <w:sz w:val="24"/>
        </w:rPr>
      </w:pPr>
      <w:r>
        <w:rPr>
          <w:rFonts w:hint="eastAsia" w:ascii="宋体" w:hAnsi="宋体"/>
          <w:sz w:val="24"/>
        </w:rPr>
        <w:t>市场监管总局关于发布参与实施政府采购节能产品、</w:t>
      </w:r>
    </w:p>
    <w:p w14:paraId="630E93CD">
      <w:pPr>
        <w:spacing w:line="360" w:lineRule="auto"/>
        <w:jc w:val="center"/>
        <w:rPr>
          <w:rFonts w:hint="eastAsia" w:ascii="宋体" w:hAnsi="宋体"/>
          <w:sz w:val="24"/>
        </w:rPr>
      </w:pPr>
      <w:r>
        <w:rPr>
          <w:rFonts w:hint="eastAsia" w:ascii="宋体" w:hAnsi="宋体"/>
          <w:sz w:val="24"/>
        </w:rPr>
        <w:t>环境标志产品认证机构名录的公告</w:t>
      </w:r>
    </w:p>
    <w:p w14:paraId="4149066D">
      <w:pPr>
        <w:spacing w:line="360" w:lineRule="auto"/>
        <w:jc w:val="center"/>
        <w:rPr>
          <w:rFonts w:hint="eastAsia" w:ascii="宋体" w:hAnsi="宋体"/>
          <w:sz w:val="24"/>
        </w:rPr>
      </w:pPr>
      <w:r>
        <w:rPr>
          <w:rFonts w:hint="eastAsia" w:ascii="宋体" w:hAnsi="宋体"/>
          <w:sz w:val="24"/>
        </w:rPr>
        <w:t>2019年第16号</w:t>
      </w:r>
    </w:p>
    <w:p w14:paraId="29884D1B">
      <w:pPr>
        <w:pStyle w:val="37"/>
        <w:spacing w:before="680" w:beforeAutospacing="0" w:after="632" w:afterAutospacing="0" w:line="360" w:lineRule="auto"/>
        <w:ind w:left="302" w:right="226" w:firstLine="480"/>
        <w:rPr>
          <w:rFonts w:hint="eastAsia" w:cs="仿宋_GB2312"/>
          <w:color w:val="000000"/>
        </w:rPr>
      </w:pPr>
      <w:r>
        <w:rPr>
          <w:rFonts w:hint="eastAsia" w:cs="仿宋_GB2312"/>
          <w:color w:val="000000"/>
        </w:rPr>
        <w:t>　　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14:paraId="6D02BF8D">
      <w:pPr>
        <w:pStyle w:val="37"/>
        <w:spacing w:before="680" w:beforeAutospacing="0" w:after="632" w:afterAutospacing="0" w:line="360" w:lineRule="auto"/>
        <w:ind w:left="302" w:right="226" w:firstLine="480"/>
        <w:rPr>
          <w:rFonts w:hint="eastAsia" w:cs="仿宋_GB2312"/>
          <w:color w:val="000000"/>
        </w:rPr>
      </w:pPr>
    </w:p>
    <w:p w14:paraId="1D7B6DA6">
      <w:pPr>
        <w:pStyle w:val="37"/>
        <w:spacing w:before="680" w:beforeAutospacing="0" w:after="632" w:afterAutospacing="0" w:line="360" w:lineRule="auto"/>
        <w:ind w:left="302" w:right="226" w:firstLine="480"/>
        <w:rPr>
          <w:rFonts w:hint="eastAsia" w:cs="仿宋_GB2312"/>
          <w:color w:val="000000"/>
        </w:rPr>
      </w:pPr>
      <w:r>
        <w:rPr>
          <w:rFonts w:hint="eastAsia" w:cs="仿宋_GB2312"/>
          <w:color w:val="000000"/>
        </w:rPr>
        <w:t>　　自本公告发布后，新增认证机构应尽快完成政府采购认证信息系统对接，对接完成后方可开展相关认证工作。</w:t>
      </w:r>
    </w:p>
    <w:p w14:paraId="232A42A9">
      <w:pPr>
        <w:pStyle w:val="37"/>
        <w:spacing w:before="680" w:beforeAutospacing="0" w:after="632" w:afterAutospacing="0" w:line="360" w:lineRule="auto"/>
        <w:ind w:left="302" w:right="226" w:firstLine="480"/>
        <w:jc w:val="right"/>
        <w:rPr>
          <w:rFonts w:hint="eastAsia" w:cs="仿宋_GB2312"/>
          <w:color w:val="000000"/>
        </w:rPr>
      </w:pPr>
      <w:r>
        <w:rPr>
          <w:rFonts w:hint="eastAsia" w:cs="仿宋_GB2312"/>
          <w:color w:val="000000"/>
        </w:rPr>
        <w:t>市场监管总局</w:t>
      </w:r>
    </w:p>
    <w:p w14:paraId="274C2091">
      <w:pPr>
        <w:pStyle w:val="37"/>
        <w:spacing w:before="680" w:beforeAutospacing="0" w:after="632" w:afterAutospacing="0" w:line="360" w:lineRule="auto"/>
        <w:ind w:left="302" w:right="226" w:firstLine="480"/>
        <w:jc w:val="right"/>
        <w:rPr>
          <w:rFonts w:hint="eastAsia" w:cs="仿宋_GB2312"/>
          <w:color w:val="000000"/>
        </w:rPr>
      </w:pPr>
      <w:r>
        <w:rPr>
          <w:rFonts w:hint="eastAsia" w:cs="仿宋_GB2312"/>
          <w:color w:val="000000"/>
        </w:rPr>
        <w:t>2019年4月3日</w:t>
      </w:r>
    </w:p>
    <w:p w14:paraId="2E8A25FB">
      <w:pPr>
        <w:widowControl/>
        <w:tabs>
          <w:tab w:val="left" w:pos="7088"/>
        </w:tabs>
        <w:spacing w:before="602" w:after="302" w:line="360" w:lineRule="auto"/>
        <w:ind w:left="302" w:right="226" w:firstLine="480" w:firstLineChars="200"/>
        <w:jc w:val="left"/>
        <w:rPr>
          <w:rFonts w:hint="eastAsia" w:ascii="宋体" w:hAnsi="宋体" w:cs="仿宋_GB2312"/>
          <w:color w:val="000000"/>
          <w:sz w:val="24"/>
        </w:rPr>
      </w:pPr>
      <w:r>
        <w:rPr>
          <w:rFonts w:hint="eastAsia" w:ascii="宋体" w:hAnsi="宋体" w:cs="仿宋_GB2312"/>
          <w:color w:val="000000"/>
          <w:kern w:val="0"/>
          <w:sz w:val="24"/>
        </w:rPr>
        <w:t>（此件公开发布）</w:t>
      </w:r>
    </w:p>
    <w:p w14:paraId="04DFD6B8">
      <w:pPr>
        <w:widowControl/>
        <w:jc w:val="left"/>
        <w:rPr>
          <w:rFonts w:hint="eastAsia" w:ascii="宋体" w:hAnsi="宋体" w:cs="仿宋_GB2312"/>
          <w:color w:val="000000"/>
          <w:kern w:val="0"/>
          <w:sz w:val="28"/>
          <w:szCs w:val="28"/>
        </w:rPr>
      </w:pPr>
      <w:r>
        <w:rPr>
          <w:rFonts w:ascii="宋体" w:hAnsi="宋体"/>
          <w:shd w:val="clear" w:color="auto" w:fill="FFFFFF"/>
          <w:lang w:bidi="ar"/>
        </w:rPr>
        <w:br w:type="page"/>
      </w:r>
      <w:r>
        <w:rPr>
          <w:rFonts w:ascii="宋体" w:hAnsi="宋体" w:cs="仿宋_GB2312"/>
        </w:rPr>
        <w:drawing>
          <wp:inline distT="0" distB="0" distL="114300" distR="114300">
            <wp:extent cx="5285105" cy="6793865"/>
            <wp:effectExtent l="0" t="0" r="10795" b="6985"/>
            <wp:docPr id="12" name="图片 8" descr="D:\传输文件\WeChat Files\wxid_9890248905412\FileStorage\Temp\16666280182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D:\传输文件\WeChat Files\wxid_9890248905412\FileStorage\Temp\1666628018257.png"/>
                    <pic:cNvPicPr>
                      <a:picLocks noChangeAspect="1"/>
                    </pic:cNvPicPr>
                  </pic:nvPicPr>
                  <pic:blipFill>
                    <a:blip r:embed="rId23"/>
                    <a:stretch>
                      <a:fillRect/>
                    </a:stretch>
                  </pic:blipFill>
                  <pic:spPr>
                    <a:xfrm>
                      <a:off x="0" y="0"/>
                      <a:ext cx="5285105" cy="6793865"/>
                    </a:xfrm>
                    <a:prstGeom prst="rect">
                      <a:avLst/>
                    </a:prstGeom>
                    <a:noFill/>
                    <a:ln>
                      <a:noFill/>
                    </a:ln>
                  </pic:spPr>
                </pic:pic>
              </a:graphicData>
            </a:graphic>
          </wp:inline>
        </w:drawing>
      </w:r>
      <w:r>
        <w:rPr>
          <w:rFonts w:ascii="宋体" w:hAnsi="宋体" w:cs="仿宋_GB2312"/>
        </w:rPr>
        <w:drawing>
          <wp:inline distT="0" distB="0" distL="114300" distR="114300">
            <wp:extent cx="5389880" cy="7412355"/>
            <wp:effectExtent l="0" t="0" r="1270" b="17145"/>
            <wp:docPr id="13" name="图片 9" descr="D:\传输文件\WeChat Files\wxid_9890248905412\FileStorage\Temp\1666628028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descr="D:\传输文件\WeChat Files\wxid_9890248905412\FileStorage\Temp\1666628028421.png"/>
                    <pic:cNvPicPr>
                      <a:picLocks noChangeAspect="1"/>
                    </pic:cNvPicPr>
                  </pic:nvPicPr>
                  <pic:blipFill>
                    <a:blip r:embed="rId24"/>
                    <a:stretch>
                      <a:fillRect/>
                    </a:stretch>
                  </pic:blipFill>
                  <pic:spPr>
                    <a:xfrm>
                      <a:off x="0" y="0"/>
                      <a:ext cx="5389880" cy="7412355"/>
                    </a:xfrm>
                    <a:prstGeom prst="rect">
                      <a:avLst/>
                    </a:prstGeom>
                    <a:noFill/>
                    <a:ln>
                      <a:noFill/>
                    </a:ln>
                  </pic:spPr>
                </pic:pic>
              </a:graphicData>
            </a:graphic>
          </wp:inline>
        </w:drawing>
      </w:r>
      <w:r>
        <w:rPr>
          <w:rFonts w:ascii="宋体" w:hAnsi="宋体" w:cs="微软雅黑"/>
        </w:rPr>
        <w:drawing>
          <wp:inline distT="0" distB="0" distL="114300" distR="114300">
            <wp:extent cx="5349875" cy="7299960"/>
            <wp:effectExtent l="0" t="0" r="3175" b="15240"/>
            <wp:docPr id="10" name="图片 10" descr="D:\传输文件\WeChat Files\wxid_9890248905412\FileStorage\Temp\1666628035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传输文件\WeChat Files\wxid_9890248905412\FileStorage\Temp\1666628035161.png"/>
                    <pic:cNvPicPr>
                      <a:picLocks noChangeAspect="1"/>
                    </pic:cNvPicPr>
                  </pic:nvPicPr>
                  <pic:blipFill>
                    <a:blip r:embed="rId25"/>
                    <a:stretch>
                      <a:fillRect/>
                    </a:stretch>
                  </pic:blipFill>
                  <pic:spPr>
                    <a:xfrm>
                      <a:off x="0" y="0"/>
                      <a:ext cx="5349875" cy="7299960"/>
                    </a:xfrm>
                    <a:prstGeom prst="rect">
                      <a:avLst/>
                    </a:prstGeom>
                    <a:noFill/>
                    <a:ln>
                      <a:noFill/>
                    </a:ln>
                  </pic:spPr>
                </pic:pic>
              </a:graphicData>
            </a:graphic>
          </wp:inline>
        </w:drawing>
      </w:r>
      <w:r>
        <w:rPr>
          <w:rFonts w:ascii="宋体" w:hAnsi="宋体" w:cs="微软雅黑"/>
        </w:rPr>
        <w:drawing>
          <wp:inline distT="0" distB="0" distL="114300" distR="114300">
            <wp:extent cx="5075555" cy="7628890"/>
            <wp:effectExtent l="0" t="0" r="10795" b="10160"/>
            <wp:docPr id="11" name="图片 11" descr="D:\传输文件\WeChat Files\wxid_9890248905412\FileStorage\Temp\1666628055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D:\传输文件\WeChat Files\wxid_9890248905412\FileStorage\Temp\1666628055209.png"/>
                    <pic:cNvPicPr>
                      <a:picLocks noChangeAspect="1"/>
                    </pic:cNvPicPr>
                  </pic:nvPicPr>
                  <pic:blipFill>
                    <a:blip r:embed="rId26"/>
                    <a:stretch>
                      <a:fillRect/>
                    </a:stretch>
                  </pic:blipFill>
                  <pic:spPr>
                    <a:xfrm>
                      <a:off x="0" y="0"/>
                      <a:ext cx="5075555" cy="7628890"/>
                    </a:xfrm>
                    <a:prstGeom prst="rect">
                      <a:avLst/>
                    </a:prstGeom>
                    <a:noFill/>
                    <a:ln>
                      <a:noFill/>
                    </a:ln>
                  </pic:spPr>
                </pic:pic>
              </a:graphicData>
            </a:graphic>
          </wp:inline>
        </w:drawing>
      </w:r>
    </w:p>
    <w:p w14:paraId="1A3CFDBA">
      <w:pPr>
        <w:widowControl/>
        <w:jc w:val="left"/>
        <w:rPr>
          <w:rFonts w:hint="eastAsia" w:ascii="宋体" w:hAnsi="宋体" w:cs="仿宋_GB2312"/>
          <w:color w:val="000000"/>
          <w:kern w:val="0"/>
          <w:sz w:val="28"/>
          <w:szCs w:val="28"/>
        </w:rPr>
      </w:pPr>
      <w:r>
        <w:rPr>
          <w:rFonts w:ascii="宋体" w:hAnsi="宋体" w:cs="仿宋_GB2312"/>
          <w:color w:val="000000"/>
          <w:kern w:val="0"/>
          <w:sz w:val="28"/>
          <w:szCs w:val="28"/>
        </w:rPr>
        <w:br w:type="page"/>
      </w:r>
    </w:p>
    <w:p w14:paraId="30DE9AD8">
      <w:pPr>
        <w:widowControl/>
        <w:spacing w:before="602" w:after="302" w:line="360" w:lineRule="auto"/>
        <w:ind w:left="302" w:right="226"/>
        <w:jc w:val="center"/>
        <w:rPr>
          <w:rFonts w:hint="eastAsia" w:ascii="宋体" w:hAnsi="宋体" w:cs="仿宋_GB2312"/>
          <w:color w:val="000000"/>
        </w:rPr>
      </w:pPr>
      <w:r>
        <w:rPr>
          <w:rFonts w:hint="eastAsia" w:ascii="宋体" w:hAnsi="宋体" w:cs="仿宋_GB2312"/>
          <w:color w:val="000000"/>
          <w:kern w:val="0"/>
          <w:sz w:val="28"/>
          <w:szCs w:val="28"/>
        </w:rPr>
        <w:t>参与实施政府采购节能产品认证机构名录</w:t>
      </w:r>
    </w:p>
    <w:tbl>
      <w:tblPr>
        <w:tblStyle w:val="42"/>
        <w:tblW w:w="8076"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215"/>
        <w:gridCol w:w="1064"/>
        <w:gridCol w:w="1599"/>
        <w:gridCol w:w="1399"/>
        <w:gridCol w:w="2170"/>
      </w:tblGrid>
      <w:tr w14:paraId="16C3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66E714E0">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序号</w:t>
            </w:r>
          </w:p>
        </w:tc>
        <w:tc>
          <w:tcPr>
            <w:tcW w:w="2279" w:type="dxa"/>
            <w:gridSpan w:val="2"/>
            <w:tcBorders>
              <w:top w:val="single" w:color="auto" w:sz="4" w:space="0"/>
              <w:left w:val="single" w:color="auto" w:sz="4" w:space="0"/>
              <w:bottom w:val="single" w:color="auto" w:sz="4" w:space="0"/>
              <w:right w:val="single" w:color="auto" w:sz="4" w:space="0"/>
            </w:tcBorders>
            <w:vAlign w:val="center"/>
          </w:tcPr>
          <w:p w14:paraId="4A18CF5C">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一级目录</w:t>
            </w:r>
          </w:p>
        </w:tc>
        <w:tc>
          <w:tcPr>
            <w:tcW w:w="2998" w:type="dxa"/>
            <w:gridSpan w:val="2"/>
            <w:tcBorders>
              <w:top w:val="single" w:color="auto" w:sz="4" w:space="0"/>
              <w:left w:val="single" w:color="auto" w:sz="4" w:space="0"/>
              <w:bottom w:val="single" w:color="auto" w:sz="4" w:space="0"/>
              <w:right w:val="single" w:color="auto" w:sz="4" w:space="0"/>
            </w:tcBorders>
            <w:vAlign w:val="center"/>
          </w:tcPr>
          <w:p w14:paraId="34D7CB2C">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二级目录</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14:paraId="559A2D27">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认证机构名录</w:t>
            </w:r>
          </w:p>
        </w:tc>
      </w:tr>
      <w:tr w14:paraId="4061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52E364E6">
            <w:pPr>
              <w:spacing w:line="360" w:lineRule="auto"/>
              <w:rPr>
                <w:rFonts w:hint="eastAsia" w:ascii="宋体" w:hAnsi="宋体" w:cs="仿宋_GB2312"/>
                <w:color w:val="000000"/>
                <w:sz w:val="24"/>
              </w:rPr>
            </w:pPr>
          </w:p>
        </w:tc>
        <w:tc>
          <w:tcPr>
            <w:tcW w:w="1215" w:type="dxa"/>
            <w:tcBorders>
              <w:top w:val="single" w:color="auto" w:sz="4" w:space="0"/>
              <w:left w:val="single" w:color="auto" w:sz="4" w:space="0"/>
              <w:bottom w:val="single" w:color="auto" w:sz="4" w:space="0"/>
              <w:right w:val="single" w:color="auto" w:sz="4" w:space="0"/>
            </w:tcBorders>
            <w:vAlign w:val="center"/>
          </w:tcPr>
          <w:p w14:paraId="78A2ADC8">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产品代码</w:t>
            </w:r>
          </w:p>
        </w:tc>
        <w:tc>
          <w:tcPr>
            <w:tcW w:w="1064" w:type="dxa"/>
            <w:tcBorders>
              <w:top w:val="single" w:color="auto" w:sz="4" w:space="0"/>
              <w:left w:val="single" w:color="auto" w:sz="4" w:space="0"/>
              <w:bottom w:val="single" w:color="auto" w:sz="4" w:space="0"/>
              <w:right w:val="single" w:color="auto" w:sz="4" w:space="0"/>
            </w:tcBorders>
            <w:vAlign w:val="center"/>
          </w:tcPr>
          <w:p w14:paraId="13F1D6E2">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产品名称</w:t>
            </w:r>
          </w:p>
        </w:tc>
        <w:tc>
          <w:tcPr>
            <w:tcW w:w="1599" w:type="dxa"/>
            <w:tcBorders>
              <w:top w:val="single" w:color="auto" w:sz="4" w:space="0"/>
              <w:left w:val="single" w:color="auto" w:sz="4" w:space="0"/>
              <w:bottom w:val="single" w:color="auto" w:sz="4" w:space="0"/>
              <w:right w:val="single" w:color="auto" w:sz="4" w:space="0"/>
            </w:tcBorders>
            <w:vAlign w:val="center"/>
          </w:tcPr>
          <w:p w14:paraId="3FCD4E14">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产品代码</w:t>
            </w:r>
          </w:p>
        </w:tc>
        <w:tc>
          <w:tcPr>
            <w:tcW w:w="1399" w:type="dxa"/>
            <w:tcBorders>
              <w:top w:val="single" w:color="auto" w:sz="4" w:space="0"/>
              <w:left w:val="single" w:color="auto" w:sz="4" w:space="0"/>
              <w:bottom w:val="single" w:color="auto" w:sz="4" w:space="0"/>
              <w:right w:val="single" w:color="auto" w:sz="4" w:space="0"/>
            </w:tcBorders>
            <w:vAlign w:val="center"/>
          </w:tcPr>
          <w:p w14:paraId="42393506">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产品名称</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27B40644">
            <w:pPr>
              <w:spacing w:line="360" w:lineRule="auto"/>
              <w:rPr>
                <w:rFonts w:hint="eastAsia" w:ascii="宋体" w:hAnsi="宋体" w:cs="仿宋_GB2312"/>
                <w:color w:val="000000"/>
                <w:sz w:val="24"/>
              </w:rPr>
            </w:pPr>
          </w:p>
        </w:tc>
      </w:tr>
      <w:tr w14:paraId="6570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69E5FF25">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1</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14:paraId="377A16E4">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A020101</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14:paraId="61CD0A9C">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计算机设备</w:t>
            </w:r>
          </w:p>
        </w:tc>
        <w:tc>
          <w:tcPr>
            <w:tcW w:w="1599" w:type="dxa"/>
            <w:tcBorders>
              <w:top w:val="single" w:color="auto" w:sz="4" w:space="0"/>
              <w:left w:val="single" w:color="auto" w:sz="4" w:space="0"/>
              <w:bottom w:val="single" w:color="auto" w:sz="4" w:space="0"/>
              <w:right w:val="single" w:color="auto" w:sz="4" w:space="0"/>
            </w:tcBorders>
            <w:vAlign w:val="center"/>
          </w:tcPr>
          <w:p w14:paraId="121CDE16">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A02010104</w:t>
            </w:r>
          </w:p>
        </w:tc>
        <w:tc>
          <w:tcPr>
            <w:tcW w:w="1399" w:type="dxa"/>
            <w:tcBorders>
              <w:top w:val="single" w:color="auto" w:sz="4" w:space="0"/>
              <w:left w:val="single" w:color="auto" w:sz="4" w:space="0"/>
              <w:bottom w:val="single" w:color="auto" w:sz="4" w:space="0"/>
              <w:right w:val="single" w:color="auto" w:sz="4" w:space="0"/>
            </w:tcBorders>
            <w:vAlign w:val="center"/>
          </w:tcPr>
          <w:p w14:paraId="7880BC8B">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台式计算机</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14:paraId="7DCE166E">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中国质量认证中心</w:t>
            </w:r>
          </w:p>
          <w:p w14:paraId="663F7691">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北京赛西认证有限责任公司</w:t>
            </w:r>
          </w:p>
          <w:p w14:paraId="2BB47537">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中国网络安全审查技术与认证中心</w:t>
            </w:r>
          </w:p>
          <w:p w14:paraId="45017EF8">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广州赛宝认证中心服务有限公司</w:t>
            </w:r>
          </w:p>
        </w:tc>
      </w:tr>
      <w:tr w14:paraId="66CD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33B1DF7B">
            <w:pPr>
              <w:spacing w:line="360" w:lineRule="auto"/>
              <w:rPr>
                <w:rFonts w:hint="eastAsia"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49D731BF">
            <w:pPr>
              <w:spacing w:line="360" w:lineRule="auto"/>
              <w:rPr>
                <w:rFonts w:hint="eastAsia"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14:paraId="5F9C51D7">
            <w:pPr>
              <w:spacing w:line="360" w:lineRule="auto"/>
              <w:rPr>
                <w:rFonts w:hint="eastAsia"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14:paraId="0AFC7CB3">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A02010105</w:t>
            </w:r>
          </w:p>
        </w:tc>
        <w:tc>
          <w:tcPr>
            <w:tcW w:w="1399" w:type="dxa"/>
            <w:tcBorders>
              <w:top w:val="single" w:color="auto" w:sz="4" w:space="0"/>
              <w:left w:val="single" w:color="auto" w:sz="4" w:space="0"/>
              <w:bottom w:val="single" w:color="auto" w:sz="4" w:space="0"/>
              <w:right w:val="single" w:color="auto" w:sz="4" w:space="0"/>
            </w:tcBorders>
            <w:vAlign w:val="center"/>
          </w:tcPr>
          <w:p w14:paraId="13489F78">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便携式计算机</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641A7A29">
            <w:pPr>
              <w:spacing w:line="360" w:lineRule="auto"/>
              <w:rPr>
                <w:rFonts w:hint="eastAsia" w:ascii="宋体" w:hAnsi="宋体" w:cs="仿宋_GB2312"/>
                <w:color w:val="000000"/>
                <w:sz w:val="24"/>
              </w:rPr>
            </w:pPr>
          </w:p>
        </w:tc>
      </w:tr>
      <w:tr w14:paraId="505E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6FF21332">
            <w:pPr>
              <w:spacing w:line="360" w:lineRule="auto"/>
              <w:rPr>
                <w:rFonts w:hint="eastAsia"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34D75BDA">
            <w:pPr>
              <w:spacing w:line="360" w:lineRule="auto"/>
              <w:rPr>
                <w:rFonts w:hint="eastAsia"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14:paraId="44EB893F">
            <w:pPr>
              <w:spacing w:line="360" w:lineRule="auto"/>
              <w:rPr>
                <w:rFonts w:hint="eastAsia"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14:paraId="1AFD0191">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A02010107</w:t>
            </w:r>
          </w:p>
        </w:tc>
        <w:tc>
          <w:tcPr>
            <w:tcW w:w="1399" w:type="dxa"/>
            <w:tcBorders>
              <w:top w:val="single" w:color="auto" w:sz="4" w:space="0"/>
              <w:left w:val="single" w:color="auto" w:sz="4" w:space="0"/>
              <w:bottom w:val="single" w:color="auto" w:sz="4" w:space="0"/>
              <w:right w:val="single" w:color="auto" w:sz="4" w:space="0"/>
            </w:tcBorders>
            <w:vAlign w:val="center"/>
          </w:tcPr>
          <w:p w14:paraId="7731DCA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平板式微型计算机</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4EEC0A94">
            <w:pPr>
              <w:spacing w:line="360" w:lineRule="auto"/>
              <w:rPr>
                <w:rFonts w:hint="eastAsia" w:ascii="宋体" w:hAnsi="宋体" w:cs="仿宋_GB2312"/>
                <w:color w:val="000000"/>
                <w:sz w:val="24"/>
              </w:rPr>
            </w:pPr>
          </w:p>
        </w:tc>
      </w:tr>
      <w:tr w14:paraId="6E2A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59C2FACF">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2</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14:paraId="281CB6E2">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A020106</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14:paraId="70A0D437">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输入输出设备</w:t>
            </w:r>
          </w:p>
        </w:tc>
        <w:tc>
          <w:tcPr>
            <w:tcW w:w="1599" w:type="dxa"/>
            <w:tcBorders>
              <w:top w:val="single" w:color="auto" w:sz="4" w:space="0"/>
              <w:left w:val="single" w:color="auto" w:sz="4" w:space="0"/>
              <w:bottom w:val="single" w:color="auto" w:sz="4" w:space="0"/>
              <w:right w:val="single" w:color="auto" w:sz="4" w:space="0"/>
            </w:tcBorders>
            <w:vAlign w:val="center"/>
          </w:tcPr>
          <w:p w14:paraId="64FA3332">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A02010601</w:t>
            </w:r>
          </w:p>
        </w:tc>
        <w:tc>
          <w:tcPr>
            <w:tcW w:w="1399" w:type="dxa"/>
            <w:tcBorders>
              <w:top w:val="single" w:color="auto" w:sz="4" w:space="0"/>
              <w:left w:val="single" w:color="auto" w:sz="4" w:space="0"/>
              <w:bottom w:val="single" w:color="auto" w:sz="4" w:space="0"/>
              <w:right w:val="single" w:color="auto" w:sz="4" w:space="0"/>
            </w:tcBorders>
            <w:vAlign w:val="center"/>
          </w:tcPr>
          <w:p w14:paraId="6D8AF0A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打印设备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06405C85">
            <w:pPr>
              <w:spacing w:line="360" w:lineRule="auto"/>
              <w:rPr>
                <w:rFonts w:hint="eastAsia" w:ascii="宋体" w:hAnsi="宋体" w:cs="仿宋_GB2312"/>
                <w:color w:val="000000"/>
                <w:sz w:val="24"/>
              </w:rPr>
            </w:pPr>
          </w:p>
        </w:tc>
      </w:tr>
      <w:tr w14:paraId="63AD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5C4F0E36">
            <w:pPr>
              <w:spacing w:line="360" w:lineRule="auto"/>
              <w:rPr>
                <w:rFonts w:hint="eastAsia"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5FE12487">
            <w:pPr>
              <w:spacing w:line="360" w:lineRule="auto"/>
              <w:rPr>
                <w:rFonts w:hint="eastAsia"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14:paraId="5B4332FF">
            <w:pPr>
              <w:spacing w:line="360" w:lineRule="auto"/>
              <w:rPr>
                <w:rFonts w:hint="eastAsia"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14:paraId="3C084651">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A02010604</w:t>
            </w:r>
          </w:p>
        </w:tc>
        <w:tc>
          <w:tcPr>
            <w:tcW w:w="1399" w:type="dxa"/>
            <w:tcBorders>
              <w:top w:val="single" w:color="auto" w:sz="4" w:space="0"/>
              <w:left w:val="single" w:color="auto" w:sz="4" w:space="0"/>
              <w:bottom w:val="single" w:color="auto" w:sz="4" w:space="0"/>
              <w:right w:val="single" w:color="auto" w:sz="4" w:space="0"/>
            </w:tcBorders>
            <w:vAlign w:val="center"/>
          </w:tcPr>
          <w:p w14:paraId="247E5790">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显示设备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1DF1E364">
            <w:pPr>
              <w:spacing w:line="360" w:lineRule="auto"/>
              <w:rPr>
                <w:rFonts w:hint="eastAsia" w:ascii="宋体" w:hAnsi="宋体" w:cs="仿宋_GB2312"/>
                <w:color w:val="000000"/>
                <w:sz w:val="24"/>
              </w:rPr>
            </w:pPr>
          </w:p>
        </w:tc>
      </w:tr>
      <w:tr w14:paraId="6BA8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06180E9B">
            <w:pPr>
              <w:spacing w:line="360" w:lineRule="auto"/>
              <w:rPr>
                <w:rFonts w:hint="eastAsia"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63F4FB2A">
            <w:pPr>
              <w:spacing w:line="360" w:lineRule="auto"/>
              <w:rPr>
                <w:rFonts w:hint="eastAsia"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14:paraId="48547690">
            <w:pPr>
              <w:spacing w:line="360" w:lineRule="auto"/>
              <w:rPr>
                <w:rFonts w:hint="eastAsia"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14:paraId="6B555943">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A02010609</w:t>
            </w:r>
          </w:p>
        </w:tc>
        <w:tc>
          <w:tcPr>
            <w:tcW w:w="1399" w:type="dxa"/>
            <w:tcBorders>
              <w:top w:val="single" w:color="auto" w:sz="4" w:space="0"/>
              <w:left w:val="single" w:color="auto" w:sz="4" w:space="0"/>
              <w:bottom w:val="single" w:color="auto" w:sz="4" w:space="0"/>
              <w:right w:val="single" w:color="auto" w:sz="4" w:space="0"/>
            </w:tcBorders>
            <w:vAlign w:val="center"/>
          </w:tcPr>
          <w:p w14:paraId="444E4F35">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图形图像输入设备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0B418570">
            <w:pPr>
              <w:spacing w:line="360" w:lineRule="auto"/>
              <w:rPr>
                <w:rFonts w:hint="eastAsia" w:ascii="宋体" w:hAnsi="宋体" w:cs="仿宋_GB2312"/>
                <w:color w:val="000000"/>
                <w:sz w:val="24"/>
              </w:rPr>
            </w:pPr>
          </w:p>
        </w:tc>
      </w:tr>
      <w:tr w14:paraId="1EED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14:paraId="4934CF01">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3</w:t>
            </w:r>
          </w:p>
        </w:tc>
        <w:tc>
          <w:tcPr>
            <w:tcW w:w="1215" w:type="dxa"/>
            <w:tcBorders>
              <w:top w:val="single" w:color="auto" w:sz="4" w:space="0"/>
              <w:left w:val="single" w:color="auto" w:sz="4" w:space="0"/>
              <w:bottom w:val="single" w:color="auto" w:sz="4" w:space="0"/>
              <w:right w:val="single" w:color="auto" w:sz="4" w:space="0"/>
            </w:tcBorders>
            <w:vAlign w:val="center"/>
          </w:tcPr>
          <w:p w14:paraId="09F62605">
            <w:pPr>
              <w:widowControl/>
              <w:spacing w:before="100" w:beforeAutospacing="1" w:after="100"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A020202</w:t>
            </w:r>
          </w:p>
        </w:tc>
        <w:tc>
          <w:tcPr>
            <w:tcW w:w="1064" w:type="dxa"/>
            <w:tcBorders>
              <w:top w:val="single" w:color="auto" w:sz="4" w:space="0"/>
              <w:left w:val="single" w:color="auto" w:sz="4" w:space="0"/>
              <w:bottom w:val="single" w:color="auto" w:sz="4" w:space="0"/>
              <w:right w:val="single" w:color="auto" w:sz="4" w:space="0"/>
            </w:tcBorders>
            <w:vAlign w:val="center"/>
          </w:tcPr>
          <w:p w14:paraId="431D3A53">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投影仪</w:t>
            </w:r>
          </w:p>
        </w:tc>
        <w:tc>
          <w:tcPr>
            <w:tcW w:w="1599" w:type="dxa"/>
            <w:tcBorders>
              <w:top w:val="single" w:color="auto" w:sz="4" w:space="0"/>
              <w:left w:val="single" w:color="auto" w:sz="4" w:space="0"/>
              <w:bottom w:val="single" w:color="auto" w:sz="4" w:space="0"/>
              <w:right w:val="single" w:color="auto" w:sz="4" w:space="0"/>
            </w:tcBorders>
            <w:vAlign w:val="center"/>
          </w:tcPr>
          <w:p w14:paraId="535357F2">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14:paraId="3F61B7EE">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22D9F736">
            <w:pPr>
              <w:spacing w:line="360" w:lineRule="auto"/>
              <w:rPr>
                <w:rFonts w:hint="eastAsia" w:ascii="宋体" w:hAnsi="宋体" w:cs="仿宋_GB2312"/>
                <w:color w:val="000000"/>
                <w:sz w:val="24"/>
              </w:rPr>
            </w:pPr>
          </w:p>
        </w:tc>
      </w:tr>
      <w:tr w14:paraId="196D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14:paraId="1A382D24">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4</w:t>
            </w:r>
          </w:p>
        </w:tc>
        <w:tc>
          <w:tcPr>
            <w:tcW w:w="1215" w:type="dxa"/>
            <w:tcBorders>
              <w:top w:val="single" w:color="auto" w:sz="4" w:space="0"/>
              <w:left w:val="single" w:color="auto" w:sz="4" w:space="0"/>
              <w:bottom w:val="single" w:color="auto" w:sz="4" w:space="0"/>
              <w:right w:val="single" w:color="auto" w:sz="4" w:space="0"/>
            </w:tcBorders>
            <w:vAlign w:val="center"/>
          </w:tcPr>
          <w:p w14:paraId="78288A34">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A020204</w:t>
            </w:r>
          </w:p>
        </w:tc>
        <w:tc>
          <w:tcPr>
            <w:tcW w:w="1064" w:type="dxa"/>
            <w:tcBorders>
              <w:top w:val="single" w:color="auto" w:sz="4" w:space="0"/>
              <w:left w:val="single" w:color="auto" w:sz="4" w:space="0"/>
              <w:bottom w:val="single" w:color="auto" w:sz="4" w:space="0"/>
              <w:right w:val="single" w:color="auto" w:sz="4" w:space="0"/>
            </w:tcBorders>
            <w:vAlign w:val="center"/>
          </w:tcPr>
          <w:p w14:paraId="464ADBB6">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多功能一体机</w:t>
            </w:r>
          </w:p>
        </w:tc>
        <w:tc>
          <w:tcPr>
            <w:tcW w:w="1599" w:type="dxa"/>
            <w:tcBorders>
              <w:top w:val="single" w:color="auto" w:sz="4" w:space="0"/>
              <w:left w:val="single" w:color="auto" w:sz="4" w:space="0"/>
              <w:bottom w:val="single" w:color="auto" w:sz="4" w:space="0"/>
              <w:right w:val="single" w:color="auto" w:sz="4" w:space="0"/>
            </w:tcBorders>
            <w:vAlign w:val="center"/>
          </w:tcPr>
          <w:p w14:paraId="40DBA178">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14:paraId="44CE55F4">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3AC457EB">
            <w:pPr>
              <w:spacing w:line="360" w:lineRule="auto"/>
              <w:rPr>
                <w:rFonts w:hint="eastAsia" w:ascii="宋体" w:hAnsi="宋体" w:cs="仿宋_GB2312"/>
                <w:color w:val="000000"/>
                <w:sz w:val="24"/>
              </w:rPr>
            </w:pPr>
          </w:p>
        </w:tc>
      </w:tr>
      <w:tr w14:paraId="2ACC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629" w:type="dxa"/>
            <w:tcBorders>
              <w:top w:val="single" w:color="auto" w:sz="4" w:space="0"/>
              <w:left w:val="single" w:color="auto" w:sz="4" w:space="0"/>
              <w:bottom w:val="single" w:color="auto" w:sz="4" w:space="0"/>
              <w:right w:val="single" w:color="auto" w:sz="4" w:space="0"/>
            </w:tcBorders>
            <w:vAlign w:val="center"/>
          </w:tcPr>
          <w:p w14:paraId="1F1B494D">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5</w:t>
            </w:r>
          </w:p>
        </w:tc>
        <w:tc>
          <w:tcPr>
            <w:tcW w:w="1215" w:type="dxa"/>
            <w:tcBorders>
              <w:top w:val="single" w:color="auto" w:sz="4" w:space="0"/>
              <w:left w:val="single" w:color="auto" w:sz="4" w:space="0"/>
              <w:bottom w:val="single" w:color="auto" w:sz="4" w:space="0"/>
              <w:right w:val="single" w:color="auto" w:sz="4" w:space="0"/>
            </w:tcBorders>
            <w:vAlign w:val="center"/>
          </w:tcPr>
          <w:p w14:paraId="74D7CEA9">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A020519</w:t>
            </w:r>
          </w:p>
        </w:tc>
        <w:tc>
          <w:tcPr>
            <w:tcW w:w="1064" w:type="dxa"/>
            <w:tcBorders>
              <w:top w:val="single" w:color="auto" w:sz="4" w:space="0"/>
              <w:left w:val="single" w:color="auto" w:sz="4" w:space="0"/>
              <w:bottom w:val="single" w:color="auto" w:sz="4" w:space="0"/>
              <w:right w:val="single" w:color="auto" w:sz="4" w:space="0"/>
            </w:tcBorders>
            <w:vAlign w:val="center"/>
          </w:tcPr>
          <w:p w14:paraId="1620125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泵</w:t>
            </w:r>
          </w:p>
        </w:tc>
        <w:tc>
          <w:tcPr>
            <w:tcW w:w="1599" w:type="dxa"/>
            <w:tcBorders>
              <w:top w:val="single" w:color="auto" w:sz="4" w:space="0"/>
              <w:left w:val="single" w:color="auto" w:sz="4" w:space="0"/>
              <w:bottom w:val="single" w:color="auto" w:sz="4" w:space="0"/>
              <w:right w:val="single" w:color="auto" w:sz="4" w:space="0"/>
            </w:tcBorders>
            <w:vAlign w:val="center"/>
          </w:tcPr>
          <w:p w14:paraId="676D8C6B">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A02051901</w:t>
            </w:r>
          </w:p>
        </w:tc>
        <w:tc>
          <w:tcPr>
            <w:tcW w:w="1399" w:type="dxa"/>
            <w:tcBorders>
              <w:top w:val="single" w:color="auto" w:sz="4" w:space="0"/>
              <w:left w:val="single" w:color="auto" w:sz="4" w:space="0"/>
              <w:bottom w:val="single" w:color="auto" w:sz="4" w:space="0"/>
              <w:right w:val="single" w:color="auto" w:sz="4" w:space="0"/>
            </w:tcBorders>
            <w:vAlign w:val="center"/>
          </w:tcPr>
          <w:p w14:paraId="70B0D0C4">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离心泵</w:t>
            </w:r>
          </w:p>
        </w:tc>
        <w:tc>
          <w:tcPr>
            <w:tcW w:w="2170" w:type="dxa"/>
            <w:tcBorders>
              <w:top w:val="single" w:color="auto" w:sz="4" w:space="0"/>
              <w:left w:val="single" w:color="auto" w:sz="4" w:space="0"/>
              <w:bottom w:val="single" w:color="auto" w:sz="4" w:space="0"/>
              <w:right w:val="single" w:color="auto" w:sz="4" w:space="0"/>
            </w:tcBorders>
            <w:vAlign w:val="center"/>
          </w:tcPr>
          <w:p w14:paraId="4A45DE9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中国质量认证中心</w:t>
            </w:r>
          </w:p>
          <w:p w14:paraId="757A577E">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电能（北京）认证中心有限公司</w:t>
            </w:r>
          </w:p>
          <w:p w14:paraId="717B85E4">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方圆标志认证集团有限公司</w:t>
            </w:r>
          </w:p>
        </w:tc>
      </w:tr>
      <w:tr w14:paraId="7C45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7E5537F7">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6</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14:paraId="2650F844">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A020523</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14:paraId="0B511429">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制冷空调设备</w:t>
            </w:r>
          </w:p>
        </w:tc>
        <w:tc>
          <w:tcPr>
            <w:tcW w:w="1599" w:type="dxa"/>
            <w:tcBorders>
              <w:top w:val="single" w:color="auto" w:sz="4" w:space="0"/>
              <w:left w:val="single" w:color="auto" w:sz="4" w:space="0"/>
              <w:bottom w:val="single" w:color="auto" w:sz="4" w:space="0"/>
              <w:right w:val="single" w:color="auto" w:sz="4" w:space="0"/>
            </w:tcBorders>
            <w:vAlign w:val="center"/>
          </w:tcPr>
          <w:p w14:paraId="407F1900">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A02052301</w:t>
            </w:r>
          </w:p>
        </w:tc>
        <w:tc>
          <w:tcPr>
            <w:tcW w:w="1399" w:type="dxa"/>
            <w:tcBorders>
              <w:top w:val="single" w:color="auto" w:sz="4" w:space="0"/>
              <w:left w:val="single" w:color="auto" w:sz="4" w:space="0"/>
              <w:bottom w:val="single" w:color="auto" w:sz="4" w:space="0"/>
              <w:right w:val="single" w:color="auto" w:sz="4" w:space="0"/>
            </w:tcBorders>
            <w:vAlign w:val="center"/>
          </w:tcPr>
          <w:p w14:paraId="66EEE000">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制冷压缩机</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14:paraId="75145962">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中国质量认证中心</w:t>
            </w:r>
          </w:p>
          <w:p w14:paraId="28B5E855">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威凯认证检测有限公司</w:t>
            </w:r>
          </w:p>
          <w:p w14:paraId="659ED5B9">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合肥通用机械产品认证有限公司</w:t>
            </w:r>
          </w:p>
          <w:p w14:paraId="197A1A0A">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北京中冷通质量认证中心有限公司</w:t>
            </w:r>
          </w:p>
        </w:tc>
      </w:tr>
      <w:tr w14:paraId="65CE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1629BCDD">
            <w:pPr>
              <w:spacing w:line="360" w:lineRule="auto"/>
              <w:rPr>
                <w:rFonts w:hint="eastAsia"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5A3F36A3">
            <w:pPr>
              <w:spacing w:line="360" w:lineRule="auto"/>
              <w:rPr>
                <w:rFonts w:hint="eastAsia"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14:paraId="461FE893">
            <w:pPr>
              <w:spacing w:line="360" w:lineRule="auto"/>
              <w:rPr>
                <w:rFonts w:hint="eastAsia"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14:paraId="512A35AE">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A02052305</w:t>
            </w:r>
          </w:p>
        </w:tc>
        <w:tc>
          <w:tcPr>
            <w:tcW w:w="1399" w:type="dxa"/>
            <w:tcBorders>
              <w:top w:val="single" w:color="auto" w:sz="4" w:space="0"/>
              <w:left w:val="single" w:color="auto" w:sz="4" w:space="0"/>
              <w:bottom w:val="single" w:color="auto" w:sz="4" w:space="0"/>
              <w:right w:val="single" w:color="auto" w:sz="4" w:space="0"/>
            </w:tcBorders>
            <w:vAlign w:val="center"/>
          </w:tcPr>
          <w:p w14:paraId="5B5A2BBA">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空调机组</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2D4C5E68">
            <w:pPr>
              <w:spacing w:line="360" w:lineRule="auto"/>
              <w:rPr>
                <w:rFonts w:hint="eastAsia" w:ascii="宋体" w:hAnsi="宋体" w:cs="仿宋_GB2312"/>
                <w:color w:val="000000"/>
                <w:sz w:val="24"/>
              </w:rPr>
            </w:pPr>
          </w:p>
        </w:tc>
      </w:tr>
      <w:tr w14:paraId="42BC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3D639392">
            <w:pPr>
              <w:spacing w:line="360" w:lineRule="auto"/>
              <w:rPr>
                <w:rFonts w:hint="eastAsia"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30210DE0">
            <w:pPr>
              <w:spacing w:line="360" w:lineRule="auto"/>
              <w:rPr>
                <w:rFonts w:hint="eastAsia"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14:paraId="7F1E08F0">
            <w:pPr>
              <w:spacing w:line="360" w:lineRule="auto"/>
              <w:rPr>
                <w:rFonts w:hint="eastAsia"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14:paraId="3E49D2BA">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A02052309</w:t>
            </w:r>
          </w:p>
        </w:tc>
        <w:tc>
          <w:tcPr>
            <w:tcW w:w="1399" w:type="dxa"/>
            <w:tcBorders>
              <w:top w:val="single" w:color="auto" w:sz="4" w:space="0"/>
              <w:left w:val="single" w:color="auto" w:sz="4" w:space="0"/>
              <w:bottom w:val="single" w:color="auto" w:sz="4" w:space="0"/>
              <w:right w:val="single" w:color="auto" w:sz="4" w:space="0"/>
            </w:tcBorders>
            <w:vAlign w:val="center"/>
          </w:tcPr>
          <w:p w14:paraId="31260702">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专用制冷、空调设备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1AE79E9C">
            <w:pPr>
              <w:spacing w:line="360" w:lineRule="auto"/>
              <w:rPr>
                <w:rFonts w:hint="eastAsia" w:ascii="宋体" w:hAnsi="宋体" w:cs="仿宋_GB2312"/>
                <w:color w:val="000000"/>
                <w:sz w:val="24"/>
              </w:rPr>
            </w:pPr>
          </w:p>
        </w:tc>
      </w:tr>
      <w:tr w14:paraId="0E2D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586F5E62">
            <w:pPr>
              <w:spacing w:line="360" w:lineRule="auto"/>
              <w:rPr>
                <w:rFonts w:hint="eastAsia"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4384B822">
            <w:pPr>
              <w:spacing w:line="360" w:lineRule="auto"/>
              <w:rPr>
                <w:rFonts w:hint="eastAsia"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14:paraId="5598C4B8">
            <w:pPr>
              <w:spacing w:line="360" w:lineRule="auto"/>
              <w:rPr>
                <w:rFonts w:hint="eastAsia"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14:paraId="60BFB4E9">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A02052399</w:t>
            </w:r>
          </w:p>
        </w:tc>
        <w:tc>
          <w:tcPr>
            <w:tcW w:w="1399" w:type="dxa"/>
            <w:tcBorders>
              <w:top w:val="single" w:color="auto" w:sz="4" w:space="0"/>
              <w:left w:val="single" w:color="auto" w:sz="4" w:space="0"/>
              <w:bottom w:val="single" w:color="auto" w:sz="4" w:space="0"/>
              <w:right w:val="single" w:color="auto" w:sz="4" w:space="0"/>
            </w:tcBorders>
            <w:vAlign w:val="center"/>
          </w:tcPr>
          <w:p w14:paraId="358C4854">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其他制冷空调设备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61BF97C1">
            <w:pPr>
              <w:spacing w:line="360" w:lineRule="auto"/>
              <w:rPr>
                <w:rFonts w:hint="eastAsia" w:ascii="宋体" w:hAnsi="宋体" w:cs="仿宋_GB2312"/>
                <w:color w:val="000000"/>
                <w:sz w:val="24"/>
              </w:rPr>
            </w:pPr>
          </w:p>
        </w:tc>
      </w:tr>
      <w:tr w14:paraId="2FEF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trPr>
        <w:tc>
          <w:tcPr>
            <w:tcW w:w="629" w:type="dxa"/>
            <w:tcBorders>
              <w:top w:val="single" w:color="auto" w:sz="4" w:space="0"/>
              <w:left w:val="single" w:color="auto" w:sz="4" w:space="0"/>
              <w:bottom w:val="single" w:color="auto" w:sz="4" w:space="0"/>
              <w:right w:val="single" w:color="auto" w:sz="4" w:space="0"/>
            </w:tcBorders>
            <w:vAlign w:val="center"/>
          </w:tcPr>
          <w:p w14:paraId="09700C34">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7</w:t>
            </w:r>
          </w:p>
        </w:tc>
        <w:tc>
          <w:tcPr>
            <w:tcW w:w="1215" w:type="dxa"/>
            <w:tcBorders>
              <w:top w:val="single" w:color="auto" w:sz="4" w:space="0"/>
              <w:left w:val="single" w:color="auto" w:sz="4" w:space="0"/>
              <w:bottom w:val="single" w:color="auto" w:sz="4" w:space="0"/>
              <w:right w:val="single" w:color="auto" w:sz="4" w:space="0"/>
            </w:tcBorders>
            <w:vAlign w:val="center"/>
          </w:tcPr>
          <w:p w14:paraId="2A90CBC2">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A020601</w:t>
            </w:r>
          </w:p>
        </w:tc>
        <w:tc>
          <w:tcPr>
            <w:tcW w:w="1064" w:type="dxa"/>
            <w:tcBorders>
              <w:top w:val="single" w:color="auto" w:sz="4" w:space="0"/>
              <w:left w:val="single" w:color="auto" w:sz="4" w:space="0"/>
              <w:bottom w:val="single" w:color="auto" w:sz="4" w:space="0"/>
              <w:right w:val="single" w:color="auto" w:sz="4" w:space="0"/>
            </w:tcBorders>
            <w:vAlign w:val="center"/>
          </w:tcPr>
          <w:p w14:paraId="0FE5930B">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电机</w:t>
            </w:r>
          </w:p>
        </w:tc>
        <w:tc>
          <w:tcPr>
            <w:tcW w:w="1599" w:type="dxa"/>
            <w:tcBorders>
              <w:top w:val="single" w:color="auto" w:sz="4" w:space="0"/>
              <w:left w:val="single" w:color="auto" w:sz="4" w:space="0"/>
              <w:bottom w:val="single" w:color="auto" w:sz="4" w:space="0"/>
              <w:right w:val="single" w:color="auto" w:sz="4" w:space="0"/>
            </w:tcBorders>
            <w:vAlign w:val="center"/>
          </w:tcPr>
          <w:p w14:paraId="7546BDF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14:paraId="35F3D7E6">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14:paraId="66AE5A8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中国质量认证中心</w:t>
            </w:r>
          </w:p>
          <w:p w14:paraId="49D50F24">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威凯认证检测有限公司</w:t>
            </w:r>
          </w:p>
          <w:p w14:paraId="0DB2C733">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电能（北京）认证中心有限公司</w:t>
            </w:r>
          </w:p>
          <w:p w14:paraId="1E90B151">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中国船级社质量认证公司</w:t>
            </w:r>
          </w:p>
        </w:tc>
      </w:tr>
      <w:tr w14:paraId="5DDD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629" w:type="dxa"/>
            <w:tcBorders>
              <w:top w:val="single" w:color="auto" w:sz="4" w:space="0"/>
              <w:left w:val="single" w:color="auto" w:sz="4" w:space="0"/>
              <w:bottom w:val="single" w:color="auto" w:sz="4" w:space="0"/>
              <w:right w:val="single" w:color="auto" w:sz="4" w:space="0"/>
            </w:tcBorders>
            <w:vAlign w:val="center"/>
          </w:tcPr>
          <w:p w14:paraId="070446C8">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8</w:t>
            </w:r>
          </w:p>
        </w:tc>
        <w:tc>
          <w:tcPr>
            <w:tcW w:w="1215" w:type="dxa"/>
            <w:tcBorders>
              <w:top w:val="single" w:color="auto" w:sz="4" w:space="0"/>
              <w:left w:val="single" w:color="auto" w:sz="4" w:space="0"/>
              <w:bottom w:val="single" w:color="auto" w:sz="4" w:space="0"/>
              <w:right w:val="single" w:color="auto" w:sz="4" w:space="0"/>
            </w:tcBorders>
            <w:vAlign w:val="center"/>
          </w:tcPr>
          <w:p w14:paraId="4A1C0959">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A020602</w:t>
            </w:r>
          </w:p>
        </w:tc>
        <w:tc>
          <w:tcPr>
            <w:tcW w:w="1064" w:type="dxa"/>
            <w:tcBorders>
              <w:top w:val="single" w:color="auto" w:sz="4" w:space="0"/>
              <w:left w:val="single" w:color="auto" w:sz="4" w:space="0"/>
              <w:bottom w:val="single" w:color="auto" w:sz="4" w:space="0"/>
              <w:right w:val="single" w:color="auto" w:sz="4" w:space="0"/>
            </w:tcBorders>
            <w:vAlign w:val="center"/>
          </w:tcPr>
          <w:p w14:paraId="309F78FE">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变压器</w:t>
            </w:r>
          </w:p>
        </w:tc>
        <w:tc>
          <w:tcPr>
            <w:tcW w:w="1599" w:type="dxa"/>
            <w:tcBorders>
              <w:top w:val="single" w:color="auto" w:sz="4" w:space="0"/>
              <w:left w:val="single" w:color="auto" w:sz="4" w:space="0"/>
              <w:bottom w:val="single" w:color="auto" w:sz="4" w:space="0"/>
              <w:right w:val="single" w:color="auto" w:sz="4" w:space="0"/>
            </w:tcBorders>
            <w:vAlign w:val="center"/>
          </w:tcPr>
          <w:p w14:paraId="70F1840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14:paraId="7C6420D7">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14:paraId="284CDFCD">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中国质量认证中心</w:t>
            </w:r>
          </w:p>
          <w:p w14:paraId="28329384">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电能（北京）认证中心有限公司</w:t>
            </w:r>
          </w:p>
          <w:p w14:paraId="3751F2D7">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方圆标志认证集团有限公司</w:t>
            </w:r>
          </w:p>
        </w:tc>
      </w:tr>
      <w:tr w14:paraId="7AC9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629" w:type="dxa"/>
            <w:tcBorders>
              <w:top w:val="single" w:color="auto" w:sz="4" w:space="0"/>
              <w:left w:val="single" w:color="auto" w:sz="4" w:space="0"/>
              <w:bottom w:val="single" w:color="auto" w:sz="4" w:space="0"/>
              <w:right w:val="single" w:color="auto" w:sz="4" w:space="0"/>
            </w:tcBorders>
            <w:vAlign w:val="center"/>
          </w:tcPr>
          <w:p w14:paraId="2599214C">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9</w:t>
            </w:r>
          </w:p>
        </w:tc>
        <w:tc>
          <w:tcPr>
            <w:tcW w:w="1215" w:type="dxa"/>
            <w:tcBorders>
              <w:top w:val="single" w:color="auto" w:sz="4" w:space="0"/>
              <w:left w:val="single" w:color="auto" w:sz="4" w:space="0"/>
              <w:bottom w:val="single" w:color="auto" w:sz="4" w:space="0"/>
              <w:right w:val="single" w:color="auto" w:sz="4" w:space="0"/>
            </w:tcBorders>
            <w:vAlign w:val="center"/>
          </w:tcPr>
          <w:p w14:paraId="7E9F3427">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A020609</w:t>
            </w:r>
          </w:p>
        </w:tc>
        <w:tc>
          <w:tcPr>
            <w:tcW w:w="1064" w:type="dxa"/>
            <w:tcBorders>
              <w:top w:val="single" w:color="auto" w:sz="4" w:space="0"/>
              <w:left w:val="single" w:color="auto" w:sz="4" w:space="0"/>
              <w:bottom w:val="single" w:color="auto" w:sz="4" w:space="0"/>
              <w:right w:val="single" w:color="auto" w:sz="4" w:space="0"/>
            </w:tcBorders>
            <w:vAlign w:val="center"/>
          </w:tcPr>
          <w:p w14:paraId="3CA0AA50">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镇流器</w:t>
            </w:r>
          </w:p>
        </w:tc>
        <w:tc>
          <w:tcPr>
            <w:tcW w:w="1599" w:type="dxa"/>
            <w:tcBorders>
              <w:top w:val="single" w:color="auto" w:sz="4" w:space="0"/>
              <w:left w:val="single" w:color="auto" w:sz="4" w:space="0"/>
              <w:bottom w:val="single" w:color="auto" w:sz="4" w:space="0"/>
              <w:right w:val="single" w:color="auto" w:sz="4" w:space="0"/>
            </w:tcBorders>
            <w:vAlign w:val="center"/>
          </w:tcPr>
          <w:p w14:paraId="7AB2997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14:paraId="30B7A68E">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14:paraId="107D7486">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中国质量认证中心</w:t>
            </w:r>
          </w:p>
          <w:p w14:paraId="37EBF17A">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深圳市计量质量检测研究院</w:t>
            </w:r>
          </w:p>
          <w:p w14:paraId="719BA305">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中标合信（北京）认证有限公司</w:t>
            </w:r>
          </w:p>
        </w:tc>
      </w:tr>
      <w:tr w14:paraId="08AB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2D6A56C7">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10</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14:paraId="638FEEA0">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A020618</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14:paraId="23C26444">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生活用电器</w:t>
            </w:r>
          </w:p>
        </w:tc>
        <w:tc>
          <w:tcPr>
            <w:tcW w:w="1599" w:type="dxa"/>
            <w:tcBorders>
              <w:top w:val="single" w:color="auto" w:sz="4" w:space="0"/>
              <w:left w:val="single" w:color="auto" w:sz="4" w:space="0"/>
              <w:bottom w:val="single" w:color="auto" w:sz="4" w:space="0"/>
              <w:right w:val="single" w:color="auto" w:sz="4" w:space="0"/>
            </w:tcBorders>
            <w:vAlign w:val="center"/>
          </w:tcPr>
          <w:p w14:paraId="738D4D02">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A0206180101</w:t>
            </w:r>
          </w:p>
        </w:tc>
        <w:tc>
          <w:tcPr>
            <w:tcW w:w="1399" w:type="dxa"/>
            <w:tcBorders>
              <w:top w:val="single" w:color="auto" w:sz="4" w:space="0"/>
              <w:left w:val="single" w:color="auto" w:sz="4" w:space="0"/>
              <w:bottom w:val="single" w:color="auto" w:sz="4" w:space="0"/>
              <w:right w:val="single" w:color="auto" w:sz="4" w:space="0"/>
            </w:tcBorders>
            <w:vAlign w:val="center"/>
          </w:tcPr>
          <w:p w14:paraId="0ED02A6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电冰箱</w:t>
            </w:r>
          </w:p>
        </w:tc>
        <w:tc>
          <w:tcPr>
            <w:tcW w:w="2170" w:type="dxa"/>
            <w:tcBorders>
              <w:top w:val="single" w:color="auto" w:sz="4" w:space="0"/>
              <w:left w:val="single" w:color="auto" w:sz="4" w:space="0"/>
              <w:bottom w:val="single" w:color="auto" w:sz="4" w:space="0"/>
              <w:right w:val="single" w:color="auto" w:sz="4" w:space="0"/>
            </w:tcBorders>
            <w:vAlign w:val="center"/>
          </w:tcPr>
          <w:p w14:paraId="62F89C98">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中国质量认证中心</w:t>
            </w:r>
          </w:p>
          <w:p w14:paraId="769C5CDD">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威凯认证检测有限公司</w:t>
            </w:r>
          </w:p>
          <w:p w14:paraId="67A38ED5">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中家院（北京）检测认证有限公司</w:t>
            </w:r>
          </w:p>
        </w:tc>
      </w:tr>
      <w:tr w14:paraId="2F0D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32B46F8C">
            <w:pPr>
              <w:spacing w:line="360" w:lineRule="auto"/>
              <w:rPr>
                <w:rFonts w:hint="eastAsia"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4F282DB1">
            <w:pPr>
              <w:spacing w:line="360" w:lineRule="auto"/>
              <w:rPr>
                <w:rFonts w:hint="eastAsia"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14:paraId="536DC55A">
            <w:pPr>
              <w:spacing w:line="360" w:lineRule="auto"/>
              <w:rPr>
                <w:rFonts w:hint="eastAsia"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14:paraId="3538F6AC">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A0206180203</w:t>
            </w:r>
          </w:p>
        </w:tc>
        <w:tc>
          <w:tcPr>
            <w:tcW w:w="1399" w:type="dxa"/>
            <w:tcBorders>
              <w:top w:val="single" w:color="auto" w:sz="4" w:space="0"/>
              <w:left w:val="single" w:color="auto" w:sz="4" w:space="0"/>
              <w:bottom w:val="single" w:color="auto" w:sz="4" w:space="0"/>
              <w:right w:val="single" w:color="auto" w:sz="4" w:space="0"/>
            </w:tcBorders>
            <w:vAlign w:val="center"/>
          </w:tcPr>
          <w:p w14:paraId="655BEA51">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空调机</w:t>
            </w:r>
          </w:p>
        </w:tc>
        <w:tc>
          <w:tcPr>
            <w:tcW w:w="2170" w:type="dxa"/>
            <w:tcBorders>
              <w:top w:val="single" w:color="auto" w:sz="4" w:space="0"/>
              <w:left w:val="single" w:color="auto" w:sz="4" w:space="0"/>
              <w:bottom w:val="single" w:color="auto" w:sz="4" w:space="0"/>
              <w:right w:val="single" w:color="auto" w:sz="4" w:space="0"/>
            </w:tcBorders>
            <w:vAlign w:val="center"/>
          </w:tcPr>
          <w:p w14:paraId="12390A5B">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中国质量认证中心</w:t>
            </w:r>
          </w:p>
          <w:p w14:paraId="314F123C">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威凯认证检测有限公司</w:t>
            </w:r>
          </w:p>
          <w:p w14:paraId="417B6515">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中家院（北京）检测认证有限公司</w:t>
            </w:r>
          </w:p>
          <w:p w14:paraId="35E1B5F0">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合肥通用机械产品认证有限公司</w:t>
            </w:r>
          </w:p>
        </w:tc>
      </w:tr>
      <w:tr w14:paraId="6D9A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36ECE51D">
            <w:pPr>
              <w:spacing w:line="360" w:lineRule="auto"/>
              <w:rPr>
                <w:rFonts w:hint="eastAsia"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391E4CBF">
            <w:pPr>
              <w:spacing w:line="360" w:lineRule="auto"/>
              <w:rPr>
                <w:rFonts w:hint="eastAsia"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14:paraId="5A73129A">
            <w:pPr>
              <w:spacing w:line="360" w:lineRule="auto"/>
              <w:rPr>
                <w:rFonts w:hint="eastAsia"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14:paraId="0B9D8846">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A0206180301</w:t>
            </w:r>
          </w:p>
        </w:tc>
        <w:tc>
          <w:tcPr>
            <w:tcW w:w="1399" w:type="dxa"/>
            <w:tcBorders>
              <w:top w:val="single" w:color="auto" w:sz="4" w:space="0"/>
              <w:left w:val="single" w:color="auto" w:sz="4" w:space="0"/>
              <w:bottom w:val="single" w:color="auto" w:sz="4" w:space="0"/>
              <w:right w:val="single" w:color="auto" w:sz="4" w:space="0"/>
            </w:tcBorders>
            <w:vAlign w:val="center"/>
          </w:tcPr>
          <w:p w14:paraId="35818F3E">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洗衣机</w:t>
            </w:r>
          </w:p>
        </w:tc>
        <w:tc>
          <w:tcPr>
            <w:tcW w:w="2170" w:type="dxa"/>
            <w:tcBorders>
              <w:top w:val="single" w:color="auto" w:sz="4" w:space="0"/>
              <w:left w:val="single" w:color="auto" w:sz="4" w:space="0"/>
              <w:bottom w:val="single" w:color="auto" w:sz="4" w:space="0"/>
              <w:right w:val="single" w:color="auto" w:sz="4" w:space="0"/>
            </w:tcBorders>
            <w:vAlign w:val="center"/>
          </w:tcPr>
          <w:p w14:paraId="4660FEA3">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中国质量认证中心</w:t>
            </w:r>
          </w:p>
          <w:p w14:paraId="12158723">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威凯认证检测有限公司</w:t>
            </w:r>
          </w:p>
          <w:p w14:paraId="5EEE0DF9">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中家院（北京）检测认证有限公司</w:t>
            </w:r>
          </w:p>
        </w:tc>
      </w:tr>
      <w:tr w14:paraId="344A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6CC92CDA">
            <w:pPr>
              <w:spacing w:line="360" w:lineRule="auto"/>
              <w:rPr>
                <w:rFonts w:hint="eastAsia"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7CCAA30C">
            <w:pPr>
              <w:spacing w:line="360" w:lineRule="auto"/>
              <w:rPr>
                <w:rFonts w:hint="eastAsia"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14:paraId="04DE0D4E">
            <w:pPr>
              <w:spacing w:line="360" w:lineRule="auto"/>
              <w:rPr>
                <w:rFonts w:hint="eastAsia"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14:paraId="55B12C3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A02061808</w:t>
            </w:r>
          </w:p>
        </w:tc>
        <w:tc>
          <w:tcPr>
            <w:tcW w:w="1399" w:type="dxa"/>
            <w:tcBorders>
              <w:top w:val="single" w:color="auto" w:sz="4" w:space="0"/>
              <w:left w:val="single" w:color="auto" w:sz="4" w:space="0"/>
              <w:bottom w:val="single" w:color="auto" w:sz="4" w:space="0"/>
              <w:right w:val="single" w:color="auto" w:sz="4" w:space="0"/>
            </w:tcBorders>
            <w:vAlign w:val="center"/>
          </w:tcPr>
          <w:p w14:paraId="08FB4E99">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热水器</w:t>
            </w:r>
          </w:p>
        </w:tc>
        <w:tc>
          <w:tcPr>
            <w:tcW w:w="2170" w:type="dxa"/>
            <w:tcBorders>
              <w:top w:val="single" w:color="auto" w:sz="4" w:space="0"/>
              <w:left w:val="single" w:color="auto" w:sz="4" w:space="0"/>
              <w:bottom w:val="single" w:color="auto" w:sz="4" w:space="0"/>
              <w:right w:val="single" w:color="auto" w:sz="4" w:space="0"/>
            </w:tcBorders>
            <w:vAlign w:val="center"/>
          </w:tcPr>
          <w:p w14:paraId="2C02F1AA">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中国质量认证中心</w:t>
            </w:r>
          </w:p>
          <w:p w14:paraId="07FDD570">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威凯认证检测有限公司</w:t>
            </w:r>
          </w:p>
          <w:p w14:paraId="2FF1D286">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中家院（北京）检测认证有限公司</w:t>
            </w:r>
          </w:p>
          <w:p w14:paraId="6B26384B">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合肥通用机械产品认证有限公司(范围仅限于“热泵热水器”)</w:t>
            </w:r>
          </w:p>
        </w:tc>
      </w:tr>
      <w:tr w14:paraId="5EFD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629" w:type="dxa"/>
            <w:tcBorders>
              <w:top w:val="single" w:color="auto" w:sz="4" w:space="0"/>
              <w:left w:val="single" w:color="auto" w:sz="4" w:space="0"/>
              <w:bottom w:val="single" w:color="auto" w:sz="4" w:space="0"/>
              <w:right w:val="single" w:color="auto" w:sz="4" w:space="0"/>
            </w:tcBorders>
            <w:vAlign w:val="center"/>
          </w:tcPr>
          <w:p w14:paraId="27F8E0B4">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11</w:t>
            </w:r>
          </w:p>
        </w:tc>
        <w:tc>
          <w:tcPr>
            <w:tcW w:w="1215" w:type="dxa"/>
            <w:tcBorders>
              <w:top w:val="single" w:color="auto" w:sz="4" w:space="0"/>
              <w:left w:val="single" w:color="auto" w:sz="4" w:space="0"/>
              <w:bottom w:val="single" w:color="auto" w:sz="4" w:space="0"/>
              <w:right w:val="single" w:color="auto" w:sz="4" w:space="0"/>
            </w:tcBorders>
            <w:vAlign w:val="center"/>
          </w:tcPr>
          <w:p w14:paraId="11D12D77">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A020619</w:t>
            </w:r>
          </w:p>
        </w:tc>
        <w:tc>
          <w:tcPr>
            <w:tcW w:w="1064" w:type="dxa"/>
            <w:tcBorders>
              <w:top w:val="single" w:color="auto" w:sz="4" w:space="0"/>
              <w:left w:val="single" w:color="auto" w:sz="4" w:space="0"/>
              <w:bottom w:val="single" w:color="auto" w:sz="4" w:space="0"/>
              <w:right w:val="single" w:color="auto" w:sz="4" w:space="0"/>
            </w:tcBorders>
            <w:vAlign w:val="center"/>
          </w:tcPr>
          <w:p w14:paraId="20C9DA11">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照明设备</w:t>
            </w:r>
          </w:p>
        </w:tc>
        <w:tc>
          <w:tcPr>
            <w:tcW w:w="1599" w:type="dxa"/>
            <w:tcBorders>
              <w:top w:val="single" w:color="auto" w:sz="4" w:space="0"/>
              <w:left w:val="single" w:color="auto" w:sz="4" w:space="0"/>
              <w:bottom w:val="single" w:color="auto" w:sz="4" w:space="0"/>
              <w:right w:val="single" w:color="auto" w:sz="4" w:space="0"/>
            </w:tcBorders>
            <w:vAlign w:val="center"/>
          </w:tcPr>
          <w:p w14:paraId="7ABF7B9D">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14:paraId="1EF63424">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14:paraId="663B1787">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中国质量认证中心</w:t>
            </w:r>
          </w:p>
          <w:p w14:paraId="040276B4">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深圳市计量质量检测研究院</w:t>
            </w:r>
          </w:p>
          <w:p w14:paraId="6D909701">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中标合信（北京）认证有限公司</w:t>
            </w:r>
          </w:p>
        </w:tc>
      </w:tr>
      <w:tr w14:paraId="750E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29" w:type="dxa"/>
            <w:tcBorders>
              <w:top w:val="single" w:color="auto" w:sz="4" w:space="0"/>
              <w:left w:val="single" w:color="auto" w:sz="4" w:space="0"/>
              <w:bottom w:val="single" w:color="auto" w:sz="4" w:space="0"/>
              <w:right w:val="single" w:color="auto" w:sz="4" w:space="0"/>
            </w:tcBorders>
            <w:vAlign w:val="center"/>
          </w:tcPr>
          <w:p w14:paraId="4D087D77">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12</w:t>
            </w:r>
          </w:p>
        </w:tc>
        <w:tc>
          <w:tcPr>
            <w:tcW w:w="1215" w:type="dxa"/>
            <w:tcBorders>
              <w:top w:val="single" w:color="auto" w:sz="4" w:space="0"/>
              <w:left w:val="single" w:color="auto" w:sz="4" w:space="0"/>
              <w:bottom w:val="single" w:color="auto" w:sz="4" w:space="0"/>
              <w:right w:val="single" w:color="auto" w:sz="4" w:space="0"/>
            </w:tcBorders>
            <w:vAlign w:val="center"/>
          </w:tcPr>
          <w:p w14:paraId="59C222C8">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A020910</w:t>
            </w:r>
          </w:p>
        </w:tc>
        <w:tc>
          <w:tcPr>
            <w:tcW w:w="1064" w:type="dxa"/>
            <w:tcBorders>
              <w:top w:val="single" w:color="auto" w:sz="4" w:space="0"/>
              <w:left w:val="single" w:color="auto" w:sz="4" w:space="0"/>
              <w:bottom w:val="single" w:color="auto" w:sz="4" w:space="0"/>
              <w:right w:val="single" w:color="auto" w:sz="4" w:space="0"/>
            </w:tcBorders>
            <w:vAlign w:val="center"/>
          </w:tcPr>
          <w:p w14:paraId="07BD49B9">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电视设备</w:t>
            </w:r>
          </w:p>
        </w:tc>
        <w:tc>
          <w:tcPr>
            <w:tcW w:w="1599" w:type="dxa"/>
            <w:tcBorders>
              <w:top w:val="single" w:color="auto" w:sz="4" w:space="0"/>
              <w:left w:val="single" w:color="auto" w:sz="4" w:space="0"/>
              <w:bottom w:val="single" w:color="auto" w:sz="4" w:space="0"/>
              <w:right w:val="single" w:color="auto" w:sz="4" w:space="0"/>
            </w:tcBorders>
            <w:vAlign w:val="center"/>
          </w:tcPr>
          <w:p w14:paraId="03C1E360">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A02091001</w:t>
            </w:r>
          </w:p>
        </w:tc>
        <w:tc>
          <w:tcPr>
            <w:tcW w:w="1399" w:type="dxa"/>
            <w:tcBorders>
              <w:top w:val="single" w:color="auto" w:sz="4" w:space="0"/>
              <w:left w:val="single" w:color="auto" w:sz="4" w:space="0"/>
              <w:bottom w:val="single" w:color="auto" w:sz="4" w:space="0"/>
              <w:right w:val="single" w:color="auto" w:sz="4" w:space="0"/>
            </w:tcBorders>
            <w:vAlign w:val="center"/>
          </w:tcPr>
          <w:p w14:paraId="403C90F3">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普通电视设备（电视机）</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14:paraId="6E918128">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中国质量认证中心</w:t>
            </w:r>
          </w:p>
          <w:p w14:paraId="5F14D54A">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北京泰瑞特认证有限责任公司</w:t>
            </w:r>
          </w:p>
          <w:p w14:paraId="3D47582B">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广州赛宝认证中心服务有限公司</w:t>
            </w:r>
          </w:p>
        </w:tc>
      </w:tr>
      <w:tr w14:paraId="5B0C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629" w:type="dxa"/>
            <w:tcBorders>
              <w:top w:val="single" w:color="auto" w:sz="4" w:space="0"/>
              <w:left w:val="single" w:color="auto" w:sz="4" w:space="0"/>
              <w:bottom w:val="single" w:color="auto" w:sz="4" w:space="0"/>
              <w:right w:val="single" w:color="auto" w:sz="4" w:space="0"/>
            </w:tcBorders>
            <w:vAlign w:val="center"/>
          </w:tcPr>
          <w:p w14:paraId="3BD7DEBA">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13</w:t>
            </w:r>
          </w:p>
        </w:tc>
        <w:tc>
          <w:tcPr>
            <w:tcW w:w="1215" w:type="dxa"/>
            <w:tcBorders>
              <w:top w:val="single" w:color="auto" w:sz="4" w:space="0"/>
              <w:left w:val="single" w:color="auto" w:sz="4" w:space="0"/>
              <w:bottom w:val="single" w:color="auto" w:sz="4" w:space="0"/>
              <w:right w:val="single" w:color="auto" w:sz="4" w:space="0"/>
            </w:tcBorders>
            <w:vAlign w:val="center"/>
          </w:tcPr>
          <w:p w14:paraId="63884DB9">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A020911</w:t>
            </w:r>
          </w:p>
        </w:tc>
        <w:tc>
          <w:tcPr>
            <w:tcW w:w="1064" w:type="dxa"/>
            <w:tcBorders>
              <w:top w:val="single" w:color="auto" w:sz="4" w:space="0"/>
              <w:left w:val="single" w:color="auto" w:sz="4" w:space="0"/>
              <w:bottom w:val="single" w:color="auto" w:sz="4" w:space="0"/>
              <w:right w:val="single" w:color="auto" w:sz="4" w:space="0"/>
            </w:tcBorders>
            <w:vAlign w:val="center"/>
          </w:tcPr>
          <w:p w14:paraId="7F1AAF55">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视频设备</w:t>
            </w:r>
          </w:p>
        </w:tc>
        <w:tc>
          <w:tcPr>
            <w:tcW w:w="1599" w:type="dxa"/>
            <w:tcBorders>
              <w:top w:val="single" w:color="auto" w:sz="4" w:space="0"/>
              <w:left w:val="single" w:color="auto" w:sz="4" w:space="0"/>
              <w:bottom w:val="single" w:color="auto" w:sz="4" w:space="0"/>
              <w:right w:val="single" w:color="auto" w:sz="4" w:space="0"/>
            </w:tcBorders>
            <w:vAlign w:val="center"/>
          </w:tcPr>
          <w:p w14:paraId="3DC55D1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A02091107</w:t>
            </w:r>
          </w:p>
        </w:tc>
        <w:tc>
          <w:tcPr>
            <w:tcW w:w="1399" w:type="dxa"/>
            <w:tcBorders>
              <w:top w:val="single" w:color="auto" w:sz="4" w:space="0"/>
              <w:left w:val="single" w:color="auto" w:sz="4" w:space="0"/>
              <w:bottom w:val="single" w:color="auto" w:sz="4" w:space="0"/>
              <w:right w:val="single" w:color="auto" w:sz="4" w:space="0"/>
            </w:tcBorders>
            <w:vAlign w:val="center"/>
          </w:tcPr>
          <w:p w14:paraId="579230D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视频监控设备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1E69C736">
            <w:pPr>
              <w:spacing w:line="360" w:lineRule="auto"/>
              <w:rPr>
                <w:rFonts w:hint="eastAsia" w:ascii="宋体" w:hAnsi="宋体" w:cs="仿宋_GB2312"/>
                <w:color w:val="000000"/>
                <w:sz w:val="24"/>
              </w:rPr>
            </w:pPr>
          </w:p>
        </w:tc>
      </w:tr>
      <w:tr w14:paraId="19FF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29" w:type="dxa"/>
            <w:tcBorders>
              <w:top w:val="single" w:color="auto" w:sz="4" w:space="0"/>
              <w:left w:val="single" w:color="auto" w:sz="4" w:space="0"/>
              <w:bottom w:val="single" w:color="auto" w:sz="4" w:space="0"/>
              <w:right w:val="single" w:color="auto" w:sz="4" w:space="0"/>
            </w:tcBorders>
            <w:vAlign w:val="center"/>
          </w:tcPr>
          <w:p w14:paraId="7B61D53F">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14</w:t>
            </w:r>
          </w:p>
        </w:tc>
        <w:tc>
          <w:tcPr>
            <w:tcW w:w="1215" w:type="dxa"/>
            <w:tcBorders>
              <w:top w:val="single" w:color="auto" w:sz="4" w:space="0"/>
              <w:left w:val="single" w:color="auto" w:sz="4" w:space="0"/>
              <w:bottom w:val="single" w:color="auto" w:sz="4" w:space="0"/>
              <w:right w:val="single" w:color="auto" w:sz="4" w:space="0"/>
            </w:tcBorders>
            <w:vAlign w:val="center"/>
          </w:tcPr>
          <w:p w14:paraId="733ED588">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A031210</w:t>
            </w:r>
          </w:p>
        </w:tc>
        <w:tc>
          <w:tcPr>
            <w:tcW w:w="1064" w:type="dxa"/>
            <w:tcBorders>
              <w:top w:val="single" w:color="auto" w:sz="4" w:space="0"/>
              <w:left w:val="single" w:color="auto" w:sz="4" w:space="0"/>
              <w:bottom w:val="single" w:color="auto" w:sz="4" w:space="0"/>
              <w:right w:val="single" w:color="auto" w:sz="4" w:space="0"/>
            </w:tcBorders>
            <w:vAlign w:val="center"/>
          </w:tcPr>
          <w:p w14:paraId="4C92C827">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饮食炊事机械</w:t>
            </w:r>
          </w:p>
        </w:tc>
        <w:tc>
          <w:tcPr>
            <w:tcW w:w="1599" w:type="dxa"/>
            <w:tcBorders>
              <w:top w:val="single" w:color="auto" w:sz="4" w:space="0"/>
              <w:left w:val="single" w:color="auto" w:sz="4" w:space="0"/>
              <w:bottom w:val="single" w:color="auto" w:sz="4" w:space="0"/>
              <w:right w:val="single" w:color="auto" w:sz="4" w:space="0"/>
            </w:tcBorders>
            <w:vAlign w:val="center"/>
          </w:tcPr>
          <w:p w14:paraId="361562D9">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14:paraId="6D7E0123">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14:paraId="15FE818C">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中国质量认证中心</w:t>
            </w:r>
          </w:p>
          <w:p w14:paraId="5FBC85A4">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北京鉴衡认证中心</w:t>
            </w:r>
          </w:p>
          <w:p w14:paraId="5E5FBDBE">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中国市政工程华北设计研究总院有限公司</w:t>
            </w:r>
          </w:p>
        </w:tc>
      </w:tr>
      <w:tr w14:paraId="59A2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14:paraId="66F154DE">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15</w:t>
            </w:r>
          </w:p>
        </w:tc>
        <w:tc>
          <w:tcPr>
            <w:tcW w:w="1215" w:type="dxa"/>
            <w:tcBorders>
              <w:top w:val="single" w:color="auto" w:sz="4" w:space="0"/>
              <w:left w:val="single" w:color="auto" w:sz="4" w:space="0"/>
              <w:bottom w:val="single" w:color="auto" w:sz="4" w:space="0"/>
              <w:right w:val="single" w:color="auto" w:sz="4" w:space="0"/>
            </w:tcBorders>
            <w:vAlign w:val="center"/>
          </w:tcPr>
          <w:p w14:paraId="5351B9DD">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A060805</w:t>
            </w:r>
          </w:p>
        </w:tc>
        <w:tc>
          <w:tcPr>
            <w:tcW w:w="1064" w:type="dxa"/>
            <w:tcBorders>
              <w:top w:val="single" w:color="auto" w:sz="4" w:space="0"/>
              <w:left w:val="single" w:color="auto" w:sz="4" w:space="0"/>
              <w:bottom w:val="single" w:color="auto" w:sz="4" w:space="0"/>
              <w:right w:val="single" w:color="auto" w:sz="4" w:space="0"/>
            </w:tcBorders>
            <w:vAlign w:val="center"/>
          </w:tcPr>
          <w:p w14:paraId="01543EBD">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便器</w:t>
            </w:r>
          </w:p>
        </w:tc>
        <w:tc>
          <w:tcPr>
            <w:tcW w:w="1599" w:type="dxa"/>
            <w:tcBorders>
              <w:top w:val="single" w:color="auto" w:sz="4" w:space="0"/>
              <w:left w:val="single" w:color="auto" w:sz="4" w:space="0"/>
              <w:bottom w:val="single" w:color="auto" w:sz="4" w:space="0"/>
              <w:right w:val="single" w:color="auto" w:sz="4" w:space="0"/>
            </w:tcBorders>
            <w:vAlign w:val="center"/>
          </w:tcPr>
          <w:p w14:paraId="17F777E8">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14:paraId="0BBFCF4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14:paraId="5880C860">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中国质量认证中心</w:t>
            </w:r>
          </w:p>
          <w:p w14:paraId="5F93F5A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北京新华节水产品认证有限公司</w:t>
            </w:r>
          </w:p>
          <w:p w14:paraId="4A4524D2">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方圆标志认证集团有限公司</w:t>
            </w:r>
          </w:p>
        </w:tc>
      </w:tr>
      <w:tr w14:paraId="214F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14:paraId="49766C28">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16</w:t>
            </w:r>
          </w:p>
        </w:tc>
        <w:tc>
          <w:tcPr>
            <w:tcW w:w="1215" w:type="dxa"/>
            <w:tcBorders>
              <w:top w:val="single" w:color="auto" w:sz="4" w:space="0"/>
              <w:left w:val="single" w:color="auto" w:sz="4" w:space="0"/>
              <w:bottom w:val="single" w:color="auto" w:sz="4" w:space="0"/>
              <w:right w:val="single" w:color="auto" w:sz="4" w:space="0"/>
            </w:tcBorders>
            <w:vAlign w:val="center"/>
          </w:tcPr>
          <w:p w14:paraId="5F200E13">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A060806</w:t>
            </w:r>
          </w:p>
        </w:tc>
        <w:tc>
          <w:tcPr>
            <w:tcW w:w="1064" w:type="dxa"/>
            <w:tcBorders>
              <w:top w:val="single" w:color="auto" w:sz="4" w:space="0"/>
              <w:left w:val="single" w:color="auto" w:sz="4" w:space="0"/>
              <w:bottom w:val="single" w:color="auto" w:sz="4" w:space="0"/>
              <w:right w:val="single" w:color="auto" w:sz="4" w:space="0"/>
            </w:tcBorders>
            <w:vAlign w:val="center"/>
          </w:tcPr>
          <w:p w14:paraId="6BC8DD0B">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水嘴</w:t>
            </w:r>
          </w:p>
        </w:tc>
        <w:tc>
          <w:tcPr>
            <w:tcW w:w="1599" w:type="dxa"/>
            <w:tcBorders>
              <w:top w:val="single" w:color="auto" w:sz="4" w:space="0"/>
              <w:left w:val="single" w:color="auto" w:sz="4" w:space="0"/>
              <w:bottom w:val="single" w:color="auto" w:sz="4" w:space="0"/>
              <w:right w:val="single" w:color="auto" w:sz="4" w:space="0"/>
            </w:tcBorders>
            <w:vAlign w:val="center"/>
          </w:tcPr>
          <w:p w14:paraId="13D4EFA7">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14:paraId="6AFA887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28535E22">
            <w:pPr>
              <w:spacing w:line="360" w:lineRule="auto"/>
              <w:rPr>
                <w:rFonts w:hint="eastAsia" w:ascii="宋体" w:hAnsi="宋体" w:cs="仿宋_GB2312"/>
                <w:color w:val="000000"/>
                <w:sz w:val="24"/>
              </w:rPr>
            </w:pPr>
          </w:p>
        </w:tc>
      </w:tr>
      <w:tr w14:paraId="2EFF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14:paraId="705A78C0">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17</w:t>
            </w:r>
          </w:p>
        </w:tc>
        <w:tc>
          <w:tcPr>
            <w:tcW w:w="1215" w:type="dxa"/>
            <w:tcBorders>
              <w:top w:val="single" w:color="auto" w:sz="4" w:space="0"/>
              <w:left w:val="single" w:color="auto" w:sz="4" w:space="0"/>
              <w:bottom w:val="single" w:color="auto" w:sz="4" w:space="0"/>
              <w:right w:val="single" w:color="auto" w:sz="4" w:space="0"/>
            </w:tcBorders>
            <w:vAlign w:val="center"/>
          </w:tcPr>
          <w:p w14:paraId="59D74407">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A060807</w:t>
            </w:r>
          </w:p>
        </w:tc>
        <w:tc>
          <w:tcPr>
            <w:tcW w:w="1064" w:type="dxa"/>
            <w:tcBorders>
              <w:top w:val="single" w:color="auto" w:sz="4" w:space="0"/>
              <w:left w:val="single" w:color="auto" w:sz="4" w:space="0"/>
              <w:bottom w:val="single" w:color="auto" w:sz="4" w:space="0"/>
              <w:right w:val="single" w:color="auto" w:sz="4" w:space="0"/>
            </w:tcBorders>
            <w:vAlign w:val="center"/>
          </w:tcPr>
          <w:p w14:paraId="32599823">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便器冲洗阀</w:t>
            </w:r>
          </w:p>
        </w:tc>
        <w:tc>
          <w:tcPr>
            <w:tcW w:w="1599" w:type="dxa"/>
            <w:tcBorders>
              <w:top w:val="single" w:color="auto" w:sz="4" w:space="0"/>
              <w:left w:val="single" w:color="auto" w:sz="4" w:space="0"/>
              <w:bottom w:val="single" w:color="auto" w:sz="4" w:space="0"/>
              <w:right w:val="single" w:color="auto" w:sz="4" w:space="0"/>
            </w:tcBorders>
            <w:vAlign w:val="center"/>
          </w:tcPr>
          <w:p w14:paraId="322E3728">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14:paraId="3206B51A">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465E696E">
            <w:pPr>
              <w:spacing w:line="360" w:lineRule="auto"/>
              <w:rPr>
                <w:rFonts w:hint="eastAsia" w:ascii="宋体" w:hAnsi="宋体" w:cs="仿宋_GB2312"/>
                <w:color w:val="000000"/>
                <w:sz w:val="24"/>
              </w:rPr>
            </w:pPr>
          </w:p>
        </w:tc>
      </w:tr>
      <w:tr w14:paraId="556A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14:paraId="1C50028A">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18</w:t>
            </w:r>
          </w:p>
        </w:tc>
        <w:tc>
          <w:tcPr>
            <w:tcW w:w="1215" w:type="dxa"/>
            <w:tcBorders>
              <w:top w:val="single" w:color="auto" w:sz="4" w:space="0"/>
              <w:left w:val="single" w:color="auto" w:sz="4" w:space="0"/>
              <w:bottom w:val="single" w:color="auto" w:sz="4" w:space="0"/>
              <w:right w:val="single" w:color="auto" w:sz="4" w:space="0"/>
            </w:tcBorders>
            <w:vAlign w:val="center"/>
          </w:tcPr>
          <w:p w14:paraId="447E372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A060810</w:t>
            </w:r>
          </w:p>
        </w:tc>
        <w:tc>
          <w:tcPr>
            <w:tcW w:w="1064" w:type="dxa"/>
            <w:tcBorders>
              <w:top w:val="single" w:color="auto" w:sz="4" w:space="0"/>
              <w:left w:val="single" w:color="auto" w:sz="4" w:space="0"/>
              <w:bottom w:val="single" w:color="auto" w:sz="4" w:space="0"/>
              <w:right w:val="single" w:color="auto" w:sz="4" w:space="0"/>
            </w:tcBorders>
            <w:vAlign w:val="center"/>
          </w:tcPr>
          <w:p w14:paraId="3917D1C1">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淋浴器</w:t>
            </w:r>
          </w:p>
        </w:tc>
        <w:tc>
          <w:tcPr>
            <w:tcW w:w="1599" w:type="dxa"/>
            <w:tcBorders>
              <w:top w:val="single" w:color="auto" w:sz="4" w:space="0"/>
              <w:left w:val="single" w:color="auto" w:sz="4" w:space="0"/>
              <w:bottom w:val="single" w:color="auto" w:sz="4" w:space="0"/>
              <w:right w:val="single" w:color="auto" w:sz="4" w:space="0"/>
            </w:tcBorders>
            <w:vAlign w:val="center"/>
          </w:tcPr>
          <w:p w14:paraId="61D69E1F">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14:paraId="017CF045">
            <w:pPr>
              <w:widowControl/>
              <w:spacing w:beforeAutospacing="1" w:afterAutospacing="1" w:line="360" w:lineRule="auto"/>
              <w:jc w:val="left"/>
              <w:rPr>
                <w:rFonts w:hint="eastAsia"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14:paraId="311A34D9">
            <w:pPr>
              <w:spacing w:line="360" w:lineRule="auto"/>
              <w:rPr>
                <w:rFonts w:hint="eastAsia" w:ascii="宋体" w:hAnsi="宋体" w:cs="仿宋_GB2312"/>
                <w:color w:val="000000"/>
                <w:sz w:val="24"/>
              </w:rPr>
            </w:pPr>
          </w:p>
        </w:tc>
      </w:tr>
    </w:tbl>
    <w:p w14:paraId="6872BED2">
      <w:pPr>
        <w:widowControl/>
        <w:spacing w:before="602" w:after="302" w:line="360" w:lineRule="auto"/>
        <w:ind w:left="302" w:right="226"/>
        <w:jc w:val="center"/>
        <w:rPr>
          <w:rFonts w:hint="eastAsia" w:ascii="宋体" w:hAnsi="宋体"/>
          <w:color w:val="000000"/>
        </w:rPr>
      </w:pPr>
      <w:r>
        <w:rPr>
          <w:rFonts w:hint="eastAsia" w:ascii="宋体" w:hAnsi="宋体" w:cs="微软雅黑"/>
          <w:color w:val="000000"/>
          <w:kern w:val="0"/>
          <w:sz w:val="24"/>
        </w:rPr>
        <w:t> </w:t>
      </w:r>
    </w:p>
    <w:p w14:paraId="496CD036">
      <w:pPr>
        <w:widowControl/>
        <w:spacing w:before="602" w:after="302" w:line="360" w:lineRule="auto"/>
        <w:ind w:left="302" w:right="226"/>
        <w:jc w:val="center"/>
        <w:rPr>
          <w:rFonts w:hint="eastAsia" w:ascii="宋体" w:hAnsi="宋体" w:cs="仿宋_GB2312"/>
          <w:color w:val="000000"/>
          <w:kern w:val="0"/>
          <w:sz w:val="28"/>
          <w:szCs w:val="28"/>
        </w:rPr>
        <w:sectPr>
          <w:pgSz w:w="11907" w:h="16840"/>
          <w:pgMar w:top="1418" w:right="1134" w:bottom="1418" w:left="1701" w:header="851" w:footer="851" w:gutter="0"/>
          <w:cols w:space="720" w:num="1"/>
          <w:docGrid w:linePitch="462" w:charSpace="0"/>
        </w:sectPr>
      </w:pPr>
    </w:p>
    <w:p w14:paraId="0AA6054A">
      <w:pPr>
        <w:widowControl/>
        <w:spacing w:before="602" w:after="302" w:line="360" w:lineRule="auto"/>
        <w:ind w:left="302" w:right="226"/>
        <w:jc w:val="center"/>
        <w:rPr>
          <w:rFonts w:hint="eastAsia" w:ascii="宋体" w:hAnsi="宋体" w:cs="仿宋_GB2312"/>
          <w:color w:val="000000"/>
          <w:sz w:val="28"/>
          <w:szCs w:val="28"/>
        </w:rPr>
      </w:pPr>
      <w:r>
        <w:rPr>
          <w:rFonts w:hint="eastAsia" w:ascii="宋体" w:hAnsi="宋体" w:cs="仿宋_GB2312"/>
          <w:color w:val="000000"/>
          <w:kern w:val="0"/>
          <w:sz w:val="28"/>
          <w:szCs w:val="28"/>
        </w:rPr>
        <w:t>参与实施政府采购环境标志产品认证机构名录 </w:t>
      </w:r>
    </w:p>
    <w:tbl>
      <w:tblPr>
        <w:tblStyle w:val="42"/>
        <w:tblW w:w="8847"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122"/>
        <w:gridCol w:w="6031"/>
      </w:tblGrid>
      <w:tr w14:paraId="55D1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694" w:type="dxa"/>
            <w:tcBorders>
              <w:top w:val="single" w:color="auto" w:sz="4" w:space="0"/>
              <w:left w:val="single" w:color="auto" w:sz="4" w:space="0"/>
              <w:bottom w:val="single" w:color="auto" w:sz="4" w:space="0"/>
              <w:right w:val="single" w:color="auto" w:sz="4" w:space="0"/>
            </w:tcBorders>
            <w:vAlign w:val="center"/>
          </w:tcPr>
          <w:p w14:paraId="1E25AADF">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序号</w:t>
            </w:r>
          </w:p>
        </w:tc>
        <w:tc>
          <w:tcPr>
            <w:tcW w:w="2122" w:type="dxa"/>
            <w:tcBorders>
              <w:top w:val="single" w:color="auto" w:sz="4" w:space="0"/>
              <w:left w:val="single" w:color="auto" w:sz="4" w:space="0"/>
              <w:bottom w:val="single" w:color="auto" w:sz="4" w:space="0"/>
              <w:right w:val="single" w:color="auto" w:sz="4" w:space="0"/>
            </w:tcBorders>
            <w:vAlign w:val="center"/>
          </w:tcPr>
          <w:p w14:paraId="2618EF53">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目录</w:t>
            </w:r>
          </w:p>
        </w:tc>
        <w:tc>
          <w:tcPr>
            <w:tcW w:w="6031" w:type="dxa"/>
            <w:tcBorders>
              <w:top w:val="single" w:color="auto" w:sz="4" w:space="0"/>
              <w:left w:val="single" w:color="auto" w:sz="4" w:space="0"/>
              <w:bottom w:val="single" w:color="auto" w:sz="4" w:space="0"/>
              <w:right w:val="single" w:color="auto" w:sz="4" w:space="0"/>
            </w:tcBorders>
            <w:vAlign w:val="center"/>
          </w:tcPr>
          <w:p w14:paraId="25A2137A">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认证机构名录</w:t>
            </w:r>
          </w:p>
        </w:tc>
      </w:tr>
      <w:tr w14:paraId="284E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694" w:type="dxa"/>
            <w:tcBorders>
              <w:top w:val="single" w:color="auto" w:sz="4" w:space="0"/>
              <w:left w:val="single" w:color="auto" w:sz="4" w:space="0"/>
              <w:bottom w:val="single" w:color="auto" w:sz="4" w:space="0"/>
              <w:right w:val="single" w:color="auto" w:sz="4" w:space="0"/>
            </w:tcBorders>
            <w:vAlign w:val="center"/>
          </w:tcPr>
          <w:p w14:paraId="74184E30">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1</w:t>
            </w:r>
          </w:p>
        </w:tc>
        <w:tc>
          <w:tcPr>
            <w:tcW w:w="2122" w:type="dxa"/>
            <w:tcBorders>
              <w:top w:val="single" w:color="auto" w:sz="4" w:space="0"/>
              <w:left w:val="single" w:color="auto" w:sz="4" w:space="0"/>
              <w:bottom w:val="single" w:color="auto" w:sz="4" w:space="0"/>
              <w:right w:val="single" w:color="auto" w:sz="4" w:space="0"/>
            </w:tcBorders>
            <w:vAlign w:val="center"/>
          </w:tcPr>
          <w:p w14:paraId="637C72CF">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环境标志产品</w:t>
            </w:r>
          </w:p>
        </w:tc>
        <w:tc>
          <w:tcPr>
            <w:tcW w:w="6031" w:type="dxa"/>
            <w:tcBorders>
              <w:top w:val="single" w:color="auto" w:sz="4" w:space="0"/>
              <w:left w:val="single" w:color="auto" w:sz="4" w:space="0"/>
              <w:bottom w:val="single" w:color="auto" w:sz="4" w:space="0"/>
              <w:right w:val="single" w:color="auto" w:sz="4" w:space="0"/>
            </w:tcBorders>
            <w:vAlign w:val="center"/>
          </w:tcPr>
          <w:p w14:paraId="384D5447">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中环联合（北京）认证中心有限公司</w:t>
            </w:r>
          </w:p>
          <w:p w14:paraId="09A702E9">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中标合信（北京）认证有限公司</w:t>
            </w:r>
          </w:p>
          <w:p w14:paraId="67275353">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中环协（北京）认证有限公司</w:t>
            </w:r>
          </w:p>
          <w:p w14:paraId="6AB47735">
            <w:pPr>
              <w:widowControl/>
              <w:spacing w:beforeAutospacing="1" w:afterAutospacing="1" w:line="360" w:lineRule="auto"/>
              <w:jc w:val="center"/>
              <w:rPr>
                <w:rFonts w:hint="eastAsia" w:ascii="宋体" w:hAnsi="宋体" w:cs="仿宋_GB2312"/>
                <w:color w:val="000000"/>
                <w:sz w:val="24"/>
              </w:rPr>
            </w:pPr>
            <w:r>
              <w:rPr>
                <w:rFonts w:hint="eastAsia" w:ascii="宋体" w:hAnsi="宋体" w:cs="仿宋_GB2312"/>
                <w:color w:val="000000"/>
                <w:kern w:val="0"/>
                <w:sz w:val="24"/>
              </w:rPr>
              <w:t>天津华诚认证有限公司</w:t>
            </w:r>
          </w:p>
        </w:tc>
      </w:tr>
    </w:tbl>
    <w:p w14:paraId="59431F3A">
      <w:pPr>
        <w:spacing w:line="360" w:lineRule="auto"/>
        <w:rPr>
          <w:rFonts w:hint="eastAsia" w:ascii="宋体" w:hAnsi="宋体" w:cs="宋体"/>
          <w:color w:val="000000"/>
          <w:sz w:val="24"/>
        </w:rPr>
      </w:pPr>
    </w:p>
    <w:bookmarkEnd w:id="989"/>
    <w:p w14:paraId="7F11E163">
      <w:pPr>
        <w:spacing w:line="360" w:lineRule="auto"/>
        <w:rPr>
          <w:rFonts w:hint="eastAsia" w:ascii="宋体" w:hAnsi="宋体" w:cs="宋体"/>
        </w:rPr>
      </w:pPr>
    </w:p>
    <w:p w14:paraId="6C0093B0">
      <w:pPr>
        <w:widowControl/>
        <w:jc w:val="left"/>
        <w:rPr>
          <w:b/>
          <w:sz w:val="36"/>
          <w:szCs w:val="36"/>
        </w:rPr>
      </w:pPr>
    </w:p>
    <w:p w14:paraId="6D2EC989"/>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Minion Pro Cond">
    <w:altName w:val="Yu Gothic UI Semibold"/>
    <w:panose1 w:val="00000000000000000000"/>
    <w:charset w:val="00"/>
    <w:family w:val="auto"/>
    <w:pitch w:val="default"/>
    <w:sig w:usb0="00000000" w:usb1="00000000" w:usb2="00000000" w:usb3="00000000" w:csb0="2000019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ingLiU_HKSCS">
    <w:altName w:val="MingLiU-ExtB"/>
    <w:panose1 w:val="00000000000000000000"/>
    <w:charset w:val="88"/>
    <w:family w:val="roman"/>
    <w:pitch w:val="default"/>
    <w:sig w:usb0="00000000" w:usb1="00000000" w:usb2="00000016" w:usb3="00000000" w:csb0="00100001" w:csb1="00000000"/>
  </w:font>
  <w:font w:name="Noto Serif SC">
    <w:panose1 w:val="02020200000000000000"/>
    <w:charset w:val="86"/>
    <w:family w:val="auto"/>
    <w:pitch w:val="default"/>
    <w:sig w:usb0="20000083" w:usb1="2ADF3C10" w:usb2="00000016" w:usb3="00000000" w:csb0="60060107" w:csb1="00000000"/>
  </w:font>
  <w:font w:name="楷体">
    <w:panose1 w:val="02010609060101010101"/>
    <w:charset w:val="86"/>
    <w:family w:val="auto"/>
    <w:pitch w:val="default"/>
    <w:sig w:usb0="800002BF" w:usb1="38CF7CFA" w:usb2="00000016" w:usb3="00000000" w:csb0="00040001" w:csb1="00000000"/>
  </w:font>
  <w:font w:name="Yu Gothic UI Semibold">
    <w:panose1 w:val="020B0700000000000000"/>
    <w:charset w:val="80"/>
    <w:family w:val="auto"/>
    <w:pitch w:val="default"/>
    <w:sig w:usb0="E00002FF" w:usb1="2AC7FDFF" w:usb2="00000016" w:usb3="00000000" w:csb0="2002009F"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B6BF6">
    <w:pPr>
      <w:pStyle w:val="28"/>
      <w:framePr w:wrap="around" w:vAnchor="text" w:hAnchor="margin" w:y="1"/>
      <w:ind w:right="360"/>
      <w:rPr>
        <w:rStyle w:val="47"/>
      </w:rPr>
    </w:pPr>
  </w:p>
  <w:p w14:paraId="7339772F">
    <w:pPr>
      <w:pStyle w:val="28"/>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ECCBF">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3391977A">
    <w:pPr>
      <w:pStyle w:val="28"/>
      <w:ind w:right="360"/>
    </w:pPr>
  </w:p>
  <w:p w14:paraId="736CDFD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7F4C9">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800EB">
    <w:pPr>
      <w:pStyle w:val="28"/>
      <w:framePr w:wrap="around" w:vAnchor="text" w:hAnchor="margin" w:xAlign="center" w:y="1"/>
      <w:rPr>
        <w:rStyle w:val="47"/>
      </w:rPr>
    </w:pPr>
    <w:r>
      <w:fldChar w:fldCharType="begin"/>
    </w:r>
    <w:r>
      <w:rPr>
        <w:rStyle w:val="47"/>
      </w:rPr>
      <w:instrText xml:space="preserve">PAGE  </w:instrText>
    </w:r>
    <w:r>
      <w:fldChar w:fldCharType="end"/>
    </w:r>
  </w:p>
  <w:p w14:paraId="40B80D50">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DD812">
    <w:pPr>
      <w:pStyle w:val="28"/>
      <w:framePr w:wrap="around" w:vAnchor="text" w:hAnchor="margin" w:xAlign="right" w:y="1"/>
      <w:rPr>
        <w:rStyle w:val="47"/>
      </w:rPr>
    </w:pPr>
  </w:p>
  <w:p w14:paraId="39E726B2">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4DCDEBD4">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40</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ACA29">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D4A764F">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DF08C">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A815E">
    <w:pPr>
      <w:pStyle w:val="28"/>
      <w:jc w:val="center"/>
    </w:pPr>
    <w:r>
      <w:fldChar w:fldCharType="begin"/>
    </w:r>
    <w:r>
      <w:instrText xml:space="preserve">PAGE   \* MERGEFORMAT</w:instrText>
    </w:r>
    <w:r>
      <w:fldChar w:fldCharType="separate"/>
    </w:r>
    <w:r>
      <w:rPr>
        <w:lang w:val="zh-CN"/>
      </w:rPr>
      <w:t>86</w:t>
    </w:r>
    <w:r>
      <w:rPr>
        <w:lang w:val="zh-CN"/>
      </w:rPr>
      <w:fldChar w:fldCharType="end"/>
    </w:r>
  </w:p>
  <w:p w14:paraId="4401ADD1">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C3601">
    <w:pPr>
      <w:spacing w:line="201" w:lineRule="auto"/>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47955"/>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72085" cy="147955"/>
                      </a:xfrm>
                      <a:prstGeom prst="rect">
                        <a:avLst/>
                      </a:prstGeom>
                      <a:noFill/>
                      <a:ln>
                        <a:noFill/>
                      </a:ln>
                    </wps:spPr>
                    <wps:txbx>
                      <w:txbxContent>
                        <w:p w14:paraId="1F27BEB4">
                          <w:pPr>
                            <w:pStyle w:val="28"/>
                          </w:pPr>
                          <w:r>
                            <w:fldChar w:fldCharType="begin"/>
                          </w:r>
                          <w:r>
                            <w:instrText xml:space="preserve"> PAGE  \* MERGEFORMAT </w:instrText>
                          </w:r>
                          <w:r>
                            <w:fldChar w:fldCharType="separate"/>
                          </w:r>
                          <w:r>
                            <w:t>192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13.55pt;mso-position-horizontal:center;mso-position-horizontal-relative:margin;mso-wrap-style:none;z-index:251659264;mso-width-relative:page;mso-height-relative:page;" filled="f" stroked="f" coordsize="21600,21600" o:gfxdata="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81RGj0QAAAAMBAAAPAAAAAAAAAAEAIAAAACIAAABkcnMv&#10;ZG93bnJldi54bWxQSwECFAAUAAAACACHTuJAwoxyUAoCAAACBAAADgAAAAAAAAABACAAAAAgAQAA&#10;ZHJzL2Uyb0RvYy54bWxQSwUGAAAAAAYABgBZAQAAnAUAAAAA&#10;">
              <v:fill on="f" focussize="0,0"/>
              <v:stroke on="f"/>
              <v:imagedata o:title=""/>
              <o:lock v:ext="edit" aspectratio="f"/>
              <v:textbox inset="0mm,0mm,0mm,0mm" style="mso-fit-shape-to-text:t;">
                <w:txbxContent>
                  <w:p w14:paraId="1F27BEB4">
                    <w:pPr>
                      <w:pStyle w:val="28"/>
                    </w:pPr>
                    <w:r>
                      <w:fldChar w:fldCharType="begin"/>
                    </w:r>
                    <w:r>
                      <w:instrText xml:space="preserve"> PAGE  \* MERGEFORMAT </w:instrText>
                    </w:r>
                    <w:r>
                      <w:fldChar w:fldCharType="separate"/>
                    </w:r>
                    <w:r>
                      <w:t>192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65CD9">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A7FFAA">
                          <w:pPr>
                            <w:pStyle w:val="28"/>
                          </w:pPr>
                          <w:r>
                            <w:fldChar w:fldCharType="begin"/>
                          </w:r>
                          <w:r>
                            <w:instrText xml:space="preserve"> PAGE  \* MERGEFORMAT </w:instrText>
                          </w:r>
                          <w:r>
                            <w:fldChar w:fldCharType="separate"/>
                          </w:r>
                          <w:r>
                            <w:t>270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6CA7FFAA">
                    <w:pPr>
                      <w:pStyle w:val="28"/>
                    </w:pPr>
                    <w:r>
                      <w:fldChar w:fldCharType="begin"/>
                    </w:r>
                    <w:r>
                      <w:instrText xml:space="preserve"> PAGE  \* MERGEFORMAT </w:instrText>
                    </w:r>
                    <w:r>
                      <w:fldChar w:fldCharType="separate"/>
                    </w:r>
                    <w:r>
                      <w:t>270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7E7C5">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C5EC1">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F8818">
    <w:pPr>
      <w:pStyle w:val="29"/>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20F1C">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34CF2">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87ABE">
    <w:pPr>
      <w:pStyle w:val="2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E8F6C">
    <w:pPr>
      <w:pStyle w:val="29"/>
    </w:pPr>
  </w:p>
  <w:p w14:paraId="17C0FED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9DBE4">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DBAD4"/>
    <w:multiLevelType w:val="singleLevel"/>
    <w:tmpl w:val="89FDBAD4"/>
    <w:lvl w:ilvl="0" w:tentative="0">
      <w:start w:val="1"/>
      <w:numFmt w:val="decimal"/>
      <w:suff w:val="nothing"/>
      <w:lvlText w:val="%1、"/>
      <w:lvlJc w:val="left"/>
    </w:lvl>
  </w:abstractNum>
  <w:abstractNum w:abstractNumId="1">
    <w:nsid w:val="8BF510CD"/>
    <w:multiLevelType w:val="singleLevel"/>
    <w:tmpl w:val="8BF510CD"/>
    <w:lvl w:ilvl="0" w:tentative="0">
      <w:start w:val="17"/>
      <w:numFmt w:val="decimal"/>
      <w:suff w:val="nothing"/>
      <w:lvlText w:val="%1、"/>
      <w:lvlJc w:val="left"/>
    </w:lvl>
  </w:abstractNum>
  <w:abstractNum w:abstractNumId="2">
    <w:nsid w:val="8EFBA6A7"/>
    <w:multiLevelType w:val="singleLevel"/>
    <w:tmpl w:val="8EFBA6A7"/>
    <w:lvl w:ilvl="0" w:tentative="0">
      <w:start w:val="12"/>
      <w:numFmt w:val="decimal"/>
      <w:suff w:val="nothing"/>
      <w:lvlText w:val="%1、"/>
      <w:lvlJc w:val="left"/>
    </w:lvl>
  </w:abstractNum>
  <w:abstractNum w:abstractNumId="3">
    <w:nsid w:val="97D208F4"/>
    <w:multiLevelType w:val="singleLevel"/>
    <w:tmpl w:val="97D208F4"/>
    <w:lvl w:ilvl="0" w:tentative="0">
      <w:start w:val="1"/>
      <w:numFmt w:val="decimal"/>
      <w:suff w:val="nothing"/>
      <w:lvlText w:val="%1、"/>
      <w:lvlJc w:val="left"/>
    </w:lvl>
  </w:abstractNum>
  <w:abstractNum w:abstractNumId="4">
    <w:nsid w:val="9AA91EF0"/>
    <w:multiLevelType w:val="singleLevel"/>
    <w:tmpl w:val="9AA91EF0"/>
    <w:lvl w:ilvl="0" w:tentative="0">
      <w:start w:val="1"/>
      <w:numFmt w:val="decimal"/>
      <w:suff w:val="nothing"/>
      <w:lvlText w:val="%1、"/>
      <w:lvlJc w:val="left"/>
    </w:lvl>
  </w:abstractNum>
  <w:abstractNum w:abstractNumId="5">
    <w:nsid w:val="A1E82A43"/>
    <w:multiLevelType w:val="singleLevel"/>
    <w:tmpl w:val="A1E82A43"/>
    <w:lvl w:ilvl="0" w:tentative="0">
      <w:start w:val="1"/>
      <w:numFmt w:val="decimal"/>
      <w:suff w:val="nothing"/>
      <w:lvlText w:val="%1、"/>
      <w:lvlJc w:val="left"/>
    </w:lvl>
  </w:abstractNum>
  <w:abstractNum w:abstractNumId="6">
    <w:nsid w:val="AD791AE3"/>
    <w:multiLevelType w:val="singleLevel"/>
    <w:tmpl w:val="AD791AE3"/>
    <w:lvl w:ilvl="0" w:tentative="0">
      <w:start w:val="1"/>
      <w:numFmt w:val="decimal"/>
      <w:suff w:val="nothing"/>
      <w:lvlText w:val="%1、"/>
      <w:lvlJc w:val="left"/>
    </w:lvl>
  </w:abstractNum>
  <w:abstractNum w:abstractNumId="7">
    <w:nsid w:val="B2AE8CE5"/>
    <w:multiLevelType w:val="singleLevel"/>
    <w:tmpl w:val="B2AE8CE5"/>
    <w:lvl w:ilvl="0" w:tentative="0">
      <w:start w:val="3"/>
      <w:numFmt w:val="chineseCounting"/>
      <w:suff w:val="nothing"/>
      <w:lvlText w:val="（%1）"/>
      <w:lvlJc w:val="left"/>
      <w:rPr>
        <w:rFonts w:hint="eastAsia"/>
      </w:rPr>
    </w:lvl>
  </w:abstractNum>
  <w:abstractNum w:abstractNumId="8">
    <w:nsid w:val="C83BC1D8"/>
    <w:multiLevelType w:val="singleLevel"/>
    <w:tmpl w:val="C83BC1D8"/>
    <w:lvl w:ilvl="0" w:tentative="0">
      <w:start w:val="1"/>
      <w:numFmt w:val="lowerLetter"/>
      <w:lvlText w:val="%1."/>
      <w:lvlJc w:val="left"/>
      <w:pPr>
        <w:tabs>
          <w:tab w:val="left" w:pos="312"/>
        </w:tabs>
      </w:pPr>
    </w:lvl>
  </w:abstractNum>
  <w:abstractNum w:abstractNumId="9">
    <w:nsid w:val="D9400012"/>
    <w:multiLevelType w:val="singleLevel"/>
    <w:tmpl w:val="D9400012"/>
    <w:lvl w:ilvl="0" w:tentative="0">
      <w:start w:val="1"/>
      <w:numFmt w:val="lowerLetter"/>
      <w:lvlText w:val="%1."/>
      <w:lvlJc w:val="left"/>
      <w:pPr>
        <w:tabs>
          <w:tab w:val="left" w:pos="312"/>
        </w:tabs>
      </w:pPr>
    </w:lvl>
  </w:abstractNum>
  <w:abstractNum w:abstractNumId="10">
    <w:nsid w:val="DC26ABE6"/>
    <w:multiLevelType w:val="singleLevel"/>
    <w:tmpl w:val="DC26ABE6"/>
    <w:lvl w:ilvl="0" w:tentative="0">
      <w:start w:val="1"/>
      <w:numFmt w:val="decimal"/>
      <w:suff w:val="nothing"/>
      <w:lvlText w:val="%1、"/>
      <w:lvlJc w:val="left"/>
    </w:lvl>
  </w:abstractNum>
  <w:abstractNum w:abstractNumId="11">
    <w:nsid w:val="DE50ACAE"/>
    <w:multiLevelType w:val="singleLevel"/>
    <w:tmpl w:val="DE50ACAE"/>
    <w:lvl w:ilvl="0" w:tentative="0">
      <w:start w:val="1"/>
      <w:numFmt w:val="decimal"/>
      <w:suff w:val="space"/>
      <w:lvlText w:val="%1、"/>
      <w:lvlJc w:val="left"/>
    </w:lvl>
  </w:abstractNum>
  <w:abstractNum w:abstractNumId="12">
    <w:nsid w:val="E98B3E02"/>
    <w:multiLevelType w:val="singleLevel"/>
    <w:tmpl w:val="E98B3E02"/>
    <w:lvl w:ilvl="0" w:tentative="0">
      <w:start w:val="5"/>
      <w:numFmt w:val="decimal"/>
      <w:suff w:val="nothing"/>
      <w:lvlText w:val="%1、"/>
      <w:lvlJc w:val="left"/>
    </w:lvl>
  </w:abstractNum>
  <w:abstractNum w:abstractNumId="13">
    <w:nsid w:val="EAF8A17D"/>
    <w:multiLevelType w:val="singleLevel"/>
    <w:tmpl w:val="EAF8A17D"/>
    <w:lvl w:ilvl="0" w:tentative="0">
      <w:start w:val="1"/>
      <w:numFmt w:val="decimal"/>
      <w:suff w:val="nothing"/>
      <w:lvlText w:val="%1、"/>
      <w:lvlJc w:val="left"/>
    </w:lvl>
  </w:abstractNum>
  <w:abstractNum w:abstractNumId="14">
    <w:nsid w:val="F45E28A2"/>
    <w:multiLevelType w:val="singleLevel"/>
    <w:tmpl w:val="F45E28A2"/>
    <w:lvl w:ilvl="0" w:tentative="0">
      <w:start w:val="1"/>
      <w:numFmt w:val="lowerLetter"/>
      <w:lvlText w:val="%1."/>
      <w:lvlJc w:val="left"/>
      <w:pPr>
        <w:tabs>
          <w:tab w:val="left" w:pos="312"/>
        </w:tabs>
      </w:pPr>
    </w:lvl>
  </w:abstractNum>
  <w:abstractNum w:abstractNumId="15">
    <w:nsid w:val="F935EC48"/>
    <w:multiLevelType w:val="singleLevel"/>
    <w:tmpl w:val="F935EC48"/>
    <w:lvl w:ilvl="0" w:tentative="0">
      <w:start w:val="1"/>
      <w:numFmt w:val="decimal"/>
      <w:suff w:val="nothing"/>
      <w:lvlText w:val="（%1）"/>
      <w:lvlJc w:val="left"/>
    </w:lvl>
  </w:abstractNum>
  <w:abstractNum w:abstractNumId="16">
    <w:nsid w:val="FFB568ED"/>
    <w:multiLevelType w:val="singleLevel"/>
    <w:tmpl w:val="FFB568ED"/>
    <w:lvl w:ilvl="0" w:tentative="0">
      <w:start w:val="1"/>
      <w:numFmt w:val="lowerLetter"/>
      <w:lvlText w:val="%1."/>
      <w:lvlJc w:val="left"/>
      <w:pPr>
        <w:tabs>
          <w:tab w:val="left" w:pos="312"/>
        </w:tabs>
      </w:pPr>
    </w:lvl>
  </w:abstractNum>
  <w:abstractNum w:abstractNumId="17">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8">
    <w:nsid w:val="00000005"/>
    <w:multiLevelType w:val="multilevel"/>
    <w:tmpl w:val="00000005"/>
    <w:lvl w:ilvl="0" w:tentative="0">
      <w:start w:val="1"/>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9">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1">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22">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23">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24">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015661D3"/>
    <w:multiLevelType w:val="multilevel"/>
    <w:tmpl w:val="015661D3"/>
    <w:lvl w:ilvl="0" w:tentative="0">
      <w:start w:val="1"/>
      <w:numFmt w:val="decimal"/>
      <w:lvlText w:val="%1、"/>
      <w:lvlJc w:val="left"/>
      <w:pPr>
        <w:ind w:left="360" w:hanging="360"/>
      </w:pPr>
      <w:rPr>
        <w:rFonts w:hint="default"/>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27">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28">
    <w:nsid w:val="09065FD6"/>
    <w:multiLevelType w:val="multilevel"/>
    <w:tmpl w:val="09065FD6"/>
    <w:lvl w:ilvl="0" w:tentative="0">
      <w:start w:val="4"/>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0AA72BAC"/>
    <w:multiLevelType w:val="singleLevel"/>
    <w:tmpl w:val="0AA72BAC"/>
    <w:lvl w:ilvl="0" w:tentative="0">
      <w:start w:val="1"/>
      <w:numFmt w:val="decimal"/>
      <w:suff w:val="nothing"/>
      <w:lvlText w:val="%1、"/>
      <w:lvlJc w:val="left"/>
    </w:lvl>
  </w:abstractNum>
  <w:abstractNum w:abstractNumId="30">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3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3">
    <w:nsid w:val="1D221811"/>
    <w:multiLevelType w:val="singleLevel"/>
    <w:tmpl w:val="1D221811"/>
    <w:lvl w:ilvl="0" w:tentative="0">
      <w:start w:val="1"/>
      <w:numFmt w:val="decimal"/>
      <w:suff w:val="nothing"/>
      <w:lvlText w:val="%1、"/>
      <w:lvlJc w:val="left"/>
    </w:lvl>
  </w:abstractNum>
  <w:abstractNum w:abstractNumId="34">
    <w:nsid w:val="1ED75182"/>
    <w:multiLevelType w:val="multilevel"/>
    <w:tmpl w:val="1ED7518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21919C91"/>
    <w:multiLevelType w:val="singleLevel"/>
    <w:tmpl w:val="21919C91"/>
    <w:lvl w:ilvl="0" w:tentative="0">
      <w:start w:val="1"/>
      <w:numFmt w:val="decimal"/>
      <w:suff w:val="nothing"/>
      <w:lvlText w:val="%1、"/>
      <w:lvlJc w:val="left"/>
    </w:lvl>
  </w:abstractNum>
  <w:abstractNum w:abstractNumId="3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7">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8">
    <w:nsid w:val="38A08BBF"/>
    <w:multiLevelType w:val="singleLevel"/>
    <w:tmpl w:val="38A08BBF"/>
    <w:lvl w:ilvl="0" w:tentative="0">
      <w:start w:val="1"/>
      <w:numFmt w:val="lowerLetter"/>
      <w:lvlText w:val="%1."/>
      <w:lvlJc w:val="left"/>
      <w:pPr>
        <w:tabs>
          <w:tab w:val="left" w:pos="312"/>
        </w:tabs>
      </w:pPr>
    </w:lvl>
  </w:abstractNum>
  <w:abstractNum w:abstractNumId="39">
    <w:nsid w:val="3A4C4830"/>
    <w:multiLevelType w:val="multilevel"/>
    <w:tmpl w:val="3A4C483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1">
    <w:nsid w:val="445F2953"/>
    <w:multiLevelType w:val="multilevel"/>
    <w:tmpl w:val="445F295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4A07C949"/>
    <w:multiLevelType w:val="singleLevel"/>
    <w:tmpl w:val="4A07C949"/>
    <w:lvl w:ilvl="0" w:tentative="0">
      <w:start w:val="1"/>
      <w:numFmt w:val="lowerLetter"/>
      <w:lvlText w:val="%1."/>
      <w:lvlJc w:val="left"/>
      <w:pPr>
        <w:tabs>
          <w:tab w:val="left" w:pos="312"/>
        </w:tabs>
      </w:pPr>
    </w:lvl>
  </w:abstractNum>
  <w:abstractNum w:abstractNumId="43">
    <w:nsid w:val="4A8E3951"/>
    <w:multiLevelType w:val="singleLevel"/>
    <w:tmpl w:val="4A8E3951"/>
    <w:lvl w:ilvl="0" w:tentative="0">
      <w:start w:val="12"/>
      <w:numFmt w:val="decimal"/>
      <w:suff w:val="nothing"/>
      <w:lvlText w:val="%1、"/>
      <w:lvlJc w:val="left"/>
    </w:lvl>
  </w:abstractNum>
  <w:abstractNum w:abstractNumId="44">
    <w:nsid w:val="58E4A1A9"/>
    <w:multiLevelType w:val="singleLevel"/>
    <w:tmpl w:val="58E4A1A9"/>
    <w:lvl w:ilvl="0" w:tentative="0">
      <w:start w:val="3"/>
      <w:numFmt w:val="decimal"/>
      <w:suff w:val="nothing"/>
      <w:lvlText w:val="%1、"/>
      <w:lvlJc w:val="left"/>
    </w:lvl>
  </w:abstractNum>
  <w:abstractNum w:abstractNumId="45">
    <w:nsid w:val="59F6D0D3"/>
    <w:multiLevelType w:val="singleLevel"/>
    <w:tmpl w:val="59F6D0D3"/>
    <w:lvl w:ilvl="0" w:tentative="0">
      <w:start w:val="1"/>
      <w:numFmt w:val="chineseCounting"/>
      <w:suff w:val="nothing"/>
      <w:lvlText w:val="%1、"/>
      <w:lvlJc w:val="left"/>
    </w:lvl>
  </w:abstractNum>
  <w:abstractNum w:abstractNumId="46">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7">
    <w:nsid w:val="5CEB7292"/>
    <w:multiLevelType w:val="multilevel"/>
    <w:tmpl w:val="5CEB729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6038C89E"/>
    <w:multiLevelType w:val="singleLevel"/>
    <w:tmpl w:val="6038C89E"/>
    <w:lvl w:ilvl="0" w:tentative="0">
      <w:start w:val="6"/>
      <w:numFmt w:val="decimal"/>
      <w:suff w:val="nothing"/>
      <w:lvlText w:val="%1、"/>
      <w:lvlJc w:val="left"/>
    </w:lvl>
  </w:abstractNum>
  <w:abstractNum w:abstractNumId="49">
    <w:nsid w:val="668F5319"/>
    <w:multiLevelType w:val="multilevel"/>
    <w:tmpl w:val="668F5319"/>
    <w:lvl w:ilvl="0" w:tentative="0">
      <w:start w:val="1"/>
      <w:numFmt w:val="chineseCountingThousand"/>
      <w:lvlText w:val="第%1条"/>
      <w:lvlJc w:val="left"/>
      <w:pPr>
        <w:tabs>
          <w:tab w:val="left" w:pos="403"/>
        </w:tabs>
        <w:ind w:left="0" w:firstLine="400"/>
      </w:pPr>
      <w:rPr>
        <w:rFonts w:hint="default"/>
        <w:b/>
      </w:rPr>
    </w:lvl>
    <w:lvl w:ilvl="1" w:tentative="0">
      <w:start w:val="1"/>
      <w:numFmt w:val="decimal"/>
      <w:lvlText w:val="%2、"/>
      <w:lvlJc w:val="left"/>
      <w:pPr>
        <w:tabs>
          <w:tab w:val="left" w:pos="423"/>
        </w:tabs>
        <w:ind w:left="20" w:firstLine="400"/>
      </w:pPr>
      <w:rPr>
        <w:rFonts w:hint="default"/>
        <w:b w:val="0"/>
      </w:rPr>
    </w:lvl>
    <w:lvl w:ilvl="2" w:tentative="0">
      <w:start w:val="1"/>
      <w:numFmt w:val="decimal"/>
      <w:lvlText w:val="%3."/>
      <w:lvlJc w:val="left"/>
      <w:pPr>
        <w:tabs>
          <w:tab w:val="left" w:pos="425"/>
        </w:tabs>
        <w:ind w:left="23" w:firstLine="397"/>
      </w:pPr>
      <w:rPr>
        <w:rFonts w:hint="default"/>
        <w:b w:val="0"/>
        <w:sz w:val="24"/>
        <w:szCs w:val="24"/>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1">
    <w:nsid w:val="728DA59B"/>
    <w:multiLevelType w:val="singleLevel"/>
    <w:tmpl w:val="728DA59B"/>
    <w:lvl w:ilvl="0" w:tentative="0">
      <w:start w:val="5"/>
      <w:numFmt w:val="decimal"/>
      <w:suff w:val="nothing"/>
      <w:lvlText w:val="%1、"/>
      <w:lvlJc w:val="left"/>
    </w:lvl>
  </w:abstractNum>
  <w:num w:numId="1">
    <w:abstractNumId w:val="22"/>
  </w:num>
  <w:num w:numId="2">
    <w:abstractNumId w:val="25"/>
  </w:num>
  <w:num w:numId="3">
    <w:abstractNumId w:val="19"/>
  </w:num>
  <w:num w:numId="4">
    <w:abstractNumId w:val="23"/>
  </w:num>
  <w:num w:numId="5">
    <w:abstractNumId w:val="21"/>
  </w:num>
  <w:num w:numId="6">
    <w:abstractNumId w:val="20"/>
  </w:num>
  <w:num w:numId="7">
    <w:abstractNumId w:val="30"/>
  </w:num>
  <w:num w:numId="8">
    <w:abstractNumId w:val="24"/>
  </w:num>
  <w:num w:numId="9">
    <w:abstractNumId w:val="32"/>
  </w:num>
  <w:num w:numId="10">
    <w:abstractNumId w:val="17"/>
  </w:num>
  <w:num w:numId="11">
    <w:abstractNumId w:val="40"/>
  </w:num>
  <w:num w:numId="12">
    <w:abstractNumId w:val="31"/>
  </w:num>
  <w:num w:numId="13">
    <w:abstractNumId w:val="50"/>
  </w:num>
  <w:num w:numId="14">
    <w:abstractNumId w:val="47"/>
  </w:num>
  <w:num w:numId="15">
    <w:abstractNumId w:val="39"/>
  </w:num>
  <w:num w:numId="16">
    <w:abstractNumId w:val="41"/>
  </w:num>
  <w:num w:numId="17">
    <w:abstractNumId w:val="26"/>
  </w:num>
  <w:num w:numId="18">
    <w:abstractNumId w:val="28"/>
  </w:num>
  <w:num w:numId="19">
    <w:abstractNumId w:val="10"/>
  </w:num>
  <w:num w:numId="20">
    <w:abstractNumId w:val="15"/>
  </w:num>
  <w:num w:numId="21">
    <w:abstractNumId w:val="7"/>
  </w:num>
  <w:num w:numId="22">
    <w:abstractNumId w:val="5"/>
  </w:num>
  <w:num w:numId="23">
    <w:abstractNumId w:val="38"/>
  </w:num>
  <w:num w:numId="24">
    <w:abstractNumId w:val="44"/>
  </w:num>
  <w:num w:numId="25">
    <w:abstractNumId w:val="33"/>
  </w:num>
  <w:num w:numId="26">
    <w:abstractNumId w:val="8"/>
  </w:num>
  <w:num w:numId="27">
    <w:abstractNumId w:val="29"/>
  </w:num>
  <w:num w:numId="28">
    <w:abstractNumId w:val="16"/>
  </w:num>
  <w:num w:numId="29">
    <w:abstractNumId w:val="4"/>
  </w:num>
  <w:num w:numId="30">
    <w:abstractNumId w:val="42"/>
  </w:num>
  <w:num w:numId="31">
    <w:abstractNumId w:val="34"/>
  </w:num>
  <w:num w:numId="32">
    <w:abstractNumId w:val="6"/>
  </w:num>
  <w:num w:numId="33">
    <w:abstractNumId w:val="9"/>
  </w:num>
  <w:num w:numId="34">
    <w:abstractNumId w:val="0"/>
  </w:num>
  <w:num w:numId="35">
    <w:abstractNumId w:val="51"/>
  </w:num>
  <w:num w:numId="36">
    <w:abstractNumId w:val="2"/>
  </w:num>
  <w:num w:numId="37">
    <w:abstractNumId w:val="13"/>
  </w:num>
  <w:num w:numId="38">
    <w:abstractNumId w:val="12"/>
  </w:num>
  <w:num w:numId="39">
    <w:abstractNumId w:val="48"/>
  </w:num>
  <w:num w:numId="40">
    <w:abstractNumId w:val="43"/>
  </w:num>
  <w:num w:numId="41">
    <w:abstractNumId w:val="1"/>
  </w:num>
  <w:num w:numId="42">
    <w:abstractNumId w:val="3"/>
  </w:num>
  <w:num w:numId="43">
    <w:abstractNumId w:val="14"/>
  </w:num>
  <w:num w:numId="44">
    <w:abstractNumId w:val="35"/>
  </w:num>
  <w:num w:numId="45">
    <w:abstractNumId w:val="18"/>
  </w:num>
  <w:num w:numId="46">
    <w:abstractNumId w:val="11"/>
  </w:num>
  <w:num w:numId="47">
    <w:abstractNumId w:val="49"/>
  </w:num>
  <w:num w:numId="48">
    <w:abstractNumId w:val="46"/>
  </w:num>
  <w:num w:numId="49">
    <w:abstractNumId w:val="36"/>
  </w:num>
  <w:num w:numId="50">
    <w:abstractNumId w:val="37"/>
  </w:num>
  <w:num w:numId="51">
    <w:abstractNumId w:val="27"/>
  </w:num>
  <w:num w:numId="5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zEwNTM5NzYwMDRjMzkwZTVkZjY2ODkwMGIxNGU0OTU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64A"/>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068"/>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A4E"/>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93"/>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5A1"/>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1C8"/>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19A"/>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5D"/>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89"/>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261"/>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23"/>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46"/>
    <w:rsid w:val="00A206E4"/>
    <w:rsid w:val="00A20702"/>
    <w:rsid w:val="00A20703"/>
    <w:rsid w:val="00A2080F"/>
    <w:rsid w:val="00A20A0B"/>
    <w:rsid w:val="00A20A0C"/>
    <w:rsid w:val="00A20A26"/>
    <w:rsid w:val="00A20AC2"/>
    <w:rsid w:val="00A21031"/>
    <w:rsid w:val="00A212E5"/>
    <w:rsid w:val="00A21376"/>
    <w:rsid w:val="00A2150A"/>
    <w:rsid w:val="00A217DC"/>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2BF"/>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783"/>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4E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966"/>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5D4D8E"/>
    <w:rsid w:val="03AA4690"/>
    <w:rsid w:val="04D0439C"/>
    <w:rsid w:val="057101ED"/>
    <w:rsid w:val="0B660C1A"/>
    <w:rsid w:val="0EAC0F21"/>
    <w:rsid w:val="13347772"/>
    <w:rsid w:val="1651030E"/>
    <w:rsid w:val="17F93E0B"/>
    <w:rsid w:val="18796B0C"/>
    <w:rsid w:val="1C455CA5"/>
    <w:rsid w:val="1D2C69D2"/>
    <w:rsid w:val="20FB7521"/>
    <w:rsid w:val="210B3EDB"/>
    <w:rsid w:val="239E00B4"/>
    <w:rsid w:val="241A4435"/>
    <w:rsid w:val="244F1AE6"/>
    <w:rsid w:val="251E74A4"/>
    <w:rsid w:val="27843CE5"/>
    <w:rsid w:val="29577D26"/>
    <w:rsid w:val="2F9F69F3"/>
    <w:rsid w:val="32EB653A"/>
    <w:rsid w:val="37E17655"/>
    <w:rsid w:val="3B965EA8"/>
    <w:rsid w:val="3BCB6780"/>
    <w:rsid w:val="3C506440"/>
    <w:rsid w:val="3F4154D6"/>
    <w:rsid w:val="41342E2C"/>
    <w:rsid w:val="42CD0A98"/>
    <w:rsid w:val="431A0C09"/>
    <w:rsid w:val="47F15329"/>
    <w:rsid w:val="480E2158"/>
    <w:rsid w:val="4B65373A"/>
    <w:rsid w:val="4BEE116E"/>
    <w:rsid w:val="4D00163A"/>
    <w:rsid w:val="4EE96C36"/>
    <w:rsid w:val="4F0F5BE3"/>
    <w:rsid w:val="52422029"/>
    <w:rsid w:val="55040901"/>
    <w:rsid w:val="56DF05DE"/>
    <w:rsid w:val="574A05B2"/>
    <w:rsid w:val="57FC6189"/>
    <w:rsid w:val="59735B28"/>
    <w:rsid w:val="59F36CDF"/>
    <w:rsid w:val="5F073306"/>
    <w:rsid w:val="5F0D4CFE"/>
    <w:rsid w:val="5F5F73B9"/>
    <w:rsid w:val="659377F6"/>
    <w:rsid w:val="67AC6234"/>
    <w:rsid w:val="6838144E"/>
    <w:rsid w:val="68AA7398"/>
    <w:rsid w:val="6C4217DE"/>
    <w:rsid w:val="6CC02668"/>
    <w:rsid w:val="742C597A"/>
    <w:rsid w:val="756D2820"/>
    <w:rsid w:val="7DBB0D0E"/>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4.png"/><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272</Pages>
  <Words>139489</Words>
  <Characters>146792</Characters>
  <Lines>6496</Lines>
  <Paragraphs>6595</Paragraphs>
  <TotalTime>64</TotalTime>
  <ScaleCrop>false</ScaleCrop>
  <LinksUpToDate>false</LinksUpToDate>
  <CharactersWithSpaces>154287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2026-04-07T02:04:00Z</dcterms:created>
  <dc:creator>Yin Hao</dc:creator>
  <cp:lastModifiedBy>徐伟哲</cp:lastModifiedBy>
  <cp:lastPrinted>2020-04-02T03:13:00Z</cp:lastPrinted>
  <dcterms:modified xsi:type="dcterms:W3CDTF">2026-04-15T08:40:20Z</dcterms:modified>
  <dc:title>政府采购示范文本（2023）</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F5CC2ADE32D64690974FEF776AA847B7_13</vt:lpwstr>
  </property>
  <property fmtid="{D5CDD505-2E9C-101B-9397-08002B2CF9AE}" pid="4" name="KSOTemplateDocerSaveRecord">
    <vt:lpwstr>eyJoZGlkIjoiMWQ3OWQwMTc5NTljOWJmZGY1NWYzM2ExOGNlYTYxNGQiLCJ1c2VySWQiOiIyMDkxODM2OTIifQ==</vt:lpwstr>
  </property>
</Properties>
</file>