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290" w:firstLineChars="50"/>
        <w:rPr>
          <w:rFonts w:hint="eastAsia" w:ascii="宋体" w:hAnsi="宋体" w:eastAsia="宋体" w:cs="宋体"/>
          <w:color w:val="auto"/>
          <w:sz w:val="58"/>
          <w:szCs w:val="58"/>
          <w:highlight w:val="none"/>
        </w:rPr>
      </w:pPr>
    </w:p>
    <w:p>
      <w:pPr>
        <w:spacing w:line="360" w:lineRule="auto"/>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北京市政府采购项目</w:t>
      </w:r>
    </w:p>
    <w:p>
      <w:pPr>
        <w:spacing w:line="360" w:lineRule="auto"/>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公开招标文件</w:t>
      </w:r>
    </w:p>
    <w:p>
      <w:pPr>
        <w:tabs>
          <w:tab w:val="left" w:pos="3240"/>
          <w:tab w:val="left" w:pos="3420"/>
        </w:tabs>
        <w:spacing w:line="360" w:lineRule="auto"/>
        <w:jc w:val="left"/>
        <w:rPr>
          <w:rFonts w:hint="eastAsia" w:ascii="宋体" w:hAnsi="宋体" w:eastAsia="宋体" w:cs="宋体"/>
          <w:b/>
          <w:bCs/>
          <w:color w:val="auto"/>
          <w:sz w:val="60"/>
          <w:szCs w:val="60"/>
          <w:highlight w:val="none"/>
        </w:rPr>
      </w:pPr>
    </w:p>
    <w:p>
      <w:pPr>
        <w:tabs>
          <w:tab w:val="left" w:pos="3240"/>
          <w:tab w:val="left" w:pos="3420"/>
        </w:tabs>
        <w:spacing w:line="360" w:lineRule="auto"/>
        <w:ind w:firstLine="540" w:firstLineChars="150"/>
        <w:jc w:val="left"/>
        <w:rPr>
          <w:rFonts w:hint="eastAsia" w:ascii="宋体" w:hAnsi="宋体" w:eastAsia="宋体" w:cs="宋体"/>
          <w:bCs/>
          <w:color w:val="auto"/>
          <w:sz w:val="36"/>
          <w:szCs w:val="36"/>
          <w:highlight w:val="none"/>
          <w:u w:val="single"/>
          <w:lang w:eastAsia="zh-CN"/>
        </w:rPr>
      </w:pPr>
      <w:r>
        <w:rPr>
          <w:rFonts w:hint="eastAsia" w:ascii="宋体" w:hAnsi="宋体" w:eastAsia="宋体" w:cs="宋体"/>
          <w:bCs/>
          <w:color w:val="auto"/>
          <w:sz w:val="36"/>
          <w:szCs w:val="36"/>
          <w:highlight w:val="none"/>
        </w:rPr>
        <w:t>项目名称：</w:t>
      </w:r>
      <w:r>
        <w:rPr>
          <w:rFonts w:hint="eastAsia" w:ascii="宋体" w:hAnsi="宋体" w:eastAsia="宋体" w:cs="宋体"/>
          <w:bCs/>
          <w:color w:val="auto"/>
          <w:sz w:val="36"/>
          <w:szCs w:val="36"/>
          <w:highlight w:val="none"/>
          <w:u w:val="single"/>
        </w:rPr>
        <w:t>强制免疫疫苗采购项目兽用疫苗采购项目</w:t>
      </w:r>
    </w:p>
    <w:p>
      <w:pPr>
        <w:tabs>
          <w:tab w:val="left" w:pos="3240"/>
          <w:tab w:val="left" w:pos="3420"/>
        </w:tabs>
        <w:spacing w:line="360" w:lineRule="auto"/>
        <w:ind w:firstLine="540" w:firstLineChars="150"/>
        <w:jc w:val="left"/>
        <w:rPr>
          <w:rFonts w:hint="eastAsia" w:ascii="宋体" w:hAnsi="宋体" w:eastAsia="宋体" w:cs="宋体"/>
          <w:bCs/>
          <w:color w:val="auto"/>
          <w:sz w:val="36"/>
          <w:szCs w:val="36"/>
          <w:highlight w:val="none"/>
          <w:u w:val="single"/>
        </w:rPr>
      </w:pPr>
      <w:r>
        <w:rPr>
          <w:rFonts w:hint="eastAsia" w:ascii="宋体" w:hAnsi="宋体" w:eastAsia="宋体" w:cs="宋体"/>
          <w:bCs/>
          <w:color w:val="auto"/>
          <w:sz w:val="36"/>
          <w:szCs w:val="36"/>
          <w:highlight w:val="none"/>
        </w:rPr>
        <w:t>项目编号：</w:t>
      </w:r>
      <w:r>
        <w:rPr>
          <w:rFonts w:hint="eastAsia" w:ascii="宋体" w:hAnsi="宋体" w:eastAsia="宋体" w:cs="宋体"/>
          <w:bCs/>
          <w:color w:val="auto"/>
          <w:sz w:val="36"/>
          <w:szCs w:val="36"/>
          <w:highlight w:val="none"/>
          <w:u w:val="single"/>
        </w:rPr>
        <w:t xml:space="preserve"> 11000026210200168193-XM001 </w:t>
      </w:r>
    </w:p>
    <w:p>
      <w:pPr>
        <w:tabs>
          <w:tab w:val="left" w:pos="3240"/>
          <w:tab w:val="left" w:pos="3420"/>
        </w:tabs>
        <w:spacing w:line="360" w:lineRule="auto"/>
        <w:ind w:firstLine="540" w:firstLineChars="150"/>
        <w:jc w:val="left"/>
        <w:rPr>
          <w:rFonts w:hint="eastAsia" w:ascii="宋体" w:hAnsi="宋体" w:eastAsia="宋体" w:cs="宋体"/>
          <w:bCs/>
          <w:color w:val="auto"/>
          <w:sz w:val="36"/>
          <w:szCs w:val="36"/>
          <w:highlight w:val="none"/>
          <w:u w:val="single"/>
        </w:rPr>
      </w:pPr>
      <w:r>
        <w:rPr>
          <w:rFonts w:hint="eastAsia" w:ascii="宋体" w:hAnsi="宋体" w:eastAsia="宋体" w:cs="宋体"/>
          <w:bCs/>
          <w:color w:val="auto"/>
          <w:sz w:val="36"/>
          <w:szCs w:val="36"/>
          <w:highlight w:val="none"/>
        </w:rPr>
        <w:t>采购人：</w:t>
      </w:r>
      <w:r>
        <w:rPr>
          <w:rFonts w:hint="eastAsia" w:ascii="宋体" w:hAnsi="宋体" w:eastAsia="宋体" w:cs="宋体"/>
          <w:bCs/>
          <w:color w:val="auto"/>
          <w:sz w:val="36"/>
          <w:szCs w:val="36"/>
          <w:highlight w:val="none"/>
          <w:u w:val="single"/>
        </w:rPr>
        <w:t xml:space="preserve">北京市动物疫病预防控制中心 </w:t>
      </w:r>
    </w:p>
    <w:p>
      <w:pPr>
        <w:tabs>
          <w:tab w:val="left" w:pos="3240"/>
          <w:tab w:val="left" w:pos="3420"/>
        </w:tabs>
        <w:spacing w:line="360" w:lineRule="auto"/>
        <w:ind w:firstLine="540" w:firstLineChars="150"/>
        <w:jc w:val="left"/>
        <w:rPr>
          <w:rFonts w:hint="eastAsia" w:ascii="宋体" w:hAnsi="宋体" w:eastAsia="宋体" w:cs="宋体"/>
          <w:color w:val="auto"/>
          <w:sz w:val="36"/>
          <w:szCs w:val="36"/>
          <w:highlight w:val="none"/>
          <w:u w:val="single"/>
        </w:rPr>
      </w:pPr>
      <w:r>
        <w:rPr>
          <w:rFonts w:hint="eastAsia" w:ascii="宋体" w:hAnsi="宋体" w:eastAsia="宋体" w:cs="宋体"/>
          <w:bCs/>
          <w:color w:val="auto"/>
          <w:sz w:val="36"/>
          <w:szCs w:val="36"/>
          <w:highlight w:val="none"/>
        </w:rPr>
        <w:t>采购代理机构：</w:t>
      </w:r>
      <w:r>
        <w:rPr>
          <w:rFonts w:hint="eastAsia" w:ascii="宋体" w:hAnsi="宋体" w:eastAsia="宋体" w:cs="宋体"/>
          <w:color w:val="auto"/>
          <w:sz w:val="36"/>
          <w:szCs w:val="36"/>
          <w:highlight w:val="none"/>
          <w:u w:val="single"/>
        </w:rPr>
        <w:t>北京国泰建中管理咨询有限公司</w:t>
      </w:r>
    </w:p>
    <w:p>
      <w:pPr>
        <w:pStyle w:val="2"/>
        <w:rPr>
          <w:rFonts w:hint="eastAsia"/>
          <w:color w:val="auto"/>
          <w:highlight w:val="none"/>
        </w:rPr>
      </w:pPr>
    </w:p>
    <w:p>
      <w:pPr>
        <w:spacing w:line="240" w:lineRule="auto"/>
        <w:jc w:val="left"/>
        <w:rPr>
          <w:rFonts w:hint="eastAsia" w:ascii="宋体" w:hAnsi="宋体" w:eastAsia="宋体" w:cs="宋体"/>
          <w:color w:val="auto"/>
          <w:sz w:val="36"/>
          <w:szCs w:val="36"/>
          <w:highlight w:val="none"/>
          <w:u w:val="single"/>
        </w:rPr>
      </w:pPr>
    </w:p>
    <w:p>
      <w:pPr>
        <w:spacing w:line="240" w:lineRule="auto"/>
        <w:jc w:val="left"/>
        <w:rPr>
          <w:rFonts w:hint="eastAsia" w:ascii="宋体" w:hAnsi="宋体" w:eastAsia="宋体" w:cs="宋体"/>
          <w:color w:val="auto"/>
          <w:sz w:val="36"/>
          <w:szCs w:val="36"/>
          <w:highlight w:val="none"/>
          <w:u w:val="single"/>
        </w:rPr>
      </w:pPr>
    </w:p>
    <w:p>
      <w:pPr>
        <w:spacing w:line="240" w:lineRule="auto"/>
        <w:jc w:val="left"/>
        <w:rPr>
          <w:rFonts w:hint="eastAsia" w:ascii="宋体" w:hAnsi="宋体" w:eastAsia="宋体" w:cs="宋体"/>
          <w:color w:val="auto"/>
          <w:sz w:val="36"/>
          <w:szCs w:val="36"/>
          <w:highlight w:val="none"/>
          <w:u w:val="single"/>
        </w:rPr>
      </w:pPr>
    </w:p>
    <w:p>
      <w:pPr>
        <w:tabs>
          <w:tab w:val="left" w:pos="3240"/>
          <w:tab w:val="left" w:pos="3420"/>
        </w:tabs>
        <w:spacing w:line="360" w:lineRule="auto"/>
        <w:ind w:firstLine="540" w:firstLineChars="150"/>
        <w:jc w:val="left"/>
        <w:rPr>
          <w:rFonts w:hint="eastAsia" w:ascii="宋体" w:hAnsi="宋体" w:eastAsia="宋体" w:cs="宋体"/>
          <w:color w:val="auto"/>
          <w:sz w:val="36"/>
          <w:szCs w:val="36"/>
          <w:highlight w:val="none"/>
          <w:u w:val="single"/>
        </w:rPr>
      </w:pPr>
    </w:p>
    <w:p>
      <w:pPr>
        <w:tabs>
          <w:tab w:val="left" w:pos="3240"/>
          <w:tab w:val="left" w:pos="3420"/>
        </w:tabs>
        <w:spacing w:line="360" w:lineRule="auto"/>
        <w:ind w:firstLine="540" w:firstLineChars="150"/>
        <w:jc w:val="left"/>
        <w:rPr>
          <w:rFonts w:hint="eastAsia" w:ascii="宋体" w:hAnsi="宋体" w:eastAsia="宋体" w:cs="宋体"/>
          <w:color w:val="auto"/>
          <w:sz w:val="36"/>
          <w:szCs w:val="36"/>
          <w:highlight w:val="none"/>
          <w:u w:val="single"/>
        </w:rPr>
      </w:pPr>
    </w:p>
    <w:p>
      <w:pPr>
        <w:widowControl/>
        <w:jc w:val="left"/>
        <w:rPr>
          <w:rFonts w:hint="eastAsia" w:ascii="宋体" w:hAnsi="宋体" w:eastAsia="宋体" w:cs="宋体"/>
          <w:b/>
          <w:bCs/>
          <w:color w:val="auto"/>
          <w:sz w:val="44"/>
          <w:highlight w:val="none"/>
        </w:rPr>
      </w:pPr>
    </w:p>
    <w:p>
      <w:pPr>
        <w:spacing w:line="360" w:lineRule="auto"/>
        <w:jc w:val="center"/>
        <w:outlineLvl w:val="0"/>
        <w:rPr>
          <w:rFonts w:hint="eastAsia" w:ascii="宋体" w:hAnsi="宋体" w:eastAsia="宋体" w:cs="宋体"/>
          <w:b/>
          <w:color w:val="auto"/>
          <w:sz w:val="36"/>
          <w:szCs w:val="36"/>
          <w:highlight w:val="none"/>
        </w:rPr>
      </w:pPr>
      <w:bookmarkStart w:id="0" w:name="_Toc192872474"/>
      <w:bookmarkStart w:id="1" w:name="_Toc99301418"/>
      <w:r>
        <w:rPr>
          <w:rFonts w:hint="eastAsia" w:ascii="宋体" w:hAnsi="宋体" w:eastAsia="宋体" w:cs="宋体"/>
          <w:b/>
          <w:color w:val="auto"/>
          <w:sz w:val="36"/>
          <w:szCs w:val="36"/>
          <w:highlight w:val="none"/>
        </w:rPr>
        <w:t>目      录</w:t>
      </w:r>
      <w:bookmarkEnd w:id="0"/>
      <w:bookmarkEnd w:id="1"/>
    </w:p>
    <w:p>
      <w:pPr>
        <w:rPr>
          <w:rFonts w:hint="eastAsia" w:ascii="宋体" w:hAnsi="宋体" w:eastAsia="宋体" w:cs="宋体"/>
          <w:color w:val="auto"/>
          <w:highlight w:val="none"/>
        </w:rPr>
      </w:pP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b w:val="0"/>
          <w:color w:val="auto"/>
          <w:highlight w:val="none"/>
        </w:rPr>
        <w:fldChar w:fldCharType="begin"/>
      </w:r>
      <w:r>
        <w:rPr>
          <w:rFonts w:hint="eastAsia" w:ascii="宋体" w:hAnsi="宋体" w:eastAsia="宋体" w:cs="宋体"/>
          <w:b w:val="0"/>
          <w:color w:val="auto"/>
          <w:highlight w:val="none"/>
        </w:rPr>
        <w:instrText xml:space="preserve"> TOC \o "1-1" \h \z \u </w:instrText>
      </w:r>
      <w:r>
        <w:rPr>
          <w:rFonts w:hint="eastAsia" w:ascii="宋体" w:hAnsi="宋体" w:eastAsia="宋体" w:cs="宋体"/>
          <w:b w:val="0"/>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"_Toc192872474"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目      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"_Toc192872475"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第一章   投标邀请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"_Toc192872476"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第二章   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"_Toc192872477"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第三章   资格审查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"_Toc192872478"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第四章   评标方法和评标标准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"_Toc192872479"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第五章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"_Toc192872480"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第六章   拟签订的合同文本</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_Toc192872480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"_Toc192872481"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第七章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spacing w:line="360" w:lineRule="auto"/>
        <w:rPr>
          <w:rFonts w:hint="eastAsia" w:ascii="宋体" w:hAnsi="宋体" w:eastAsia="宋体" w:cs="宋体"/>
          <w:b w:val="0"/>
          <w:color w:val="auto"/>
          <w:highlight w:val="none"/>
        </w:rPr>
      </w:pPr>
      <w:r>
        <w:rPr>
          <w:rFonts w:hint="eastAsia" w:ascii="宋体" w:hAnsi="宋体" w:eastAsia="宋体" w:cs="宋体"/>
          <w:b w:val="0"/>
          <w:color w:val="auto"/>
          <w:highlight w:val="none"/>
        </w:rPr>
        <w:fldChar w:fldCharType="end"/>
      </w:r>
    </w:p>
    <w:p>
      <w:pPr>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color w:val="auto"/>
          <w:sz w:val="24"/>
          <w:highlight w:val="none"/>
        </w:rPr>
        <w:br w:type="page"/>
      </w:r>
      <w:bookmarkStart w:id="2" w:name="_Toc192872475"/>
      <w:r>
        <w:rPr>
          <w:rFonts w:hint="eastAsia" w:ascii="宋体" w:hAnsi="宋体" w:eastAsia="宋体" w:cs="宋体"/>
          <w:b/>
          <w:color w:val="auto"/>
          <w:sz w:val="36"/>
          <w:szCs w:val="36"/>
          <w:highlight w:val="none"/>
        </w:rPr>
        <w:t>第一章   投标邀请</w:t>
      </w:r>
      <w:bookmarkEnd w:id="2"/>
    </w:p>
    <w:p>
      <w:pPr>
        <w:pStyle w:val="4"/>
        <w:spacing w:before="0" w:line="360" w:lineRule="auto"/>
        <w:jc w:val="left"/>
        <w:rPr>
          <w:rFonts w:hint="eastAsia" w:ascii="宋体" w:hAnsi="宋体" w:eastAsia="宋体" w:cs="宋体"/>
          <w:color w:val="auto"/>
          <w:sz w:val="24"/>
          <w:szCs w:val="24"/>
          <w:highlight w:val="none"/>
        </w:rPr>
      </w:pPr>
      <w:bookmarkStart w:id="3" w:name="_Toc28359079"/>
      <w:bookmarkStart w:id="4" w:name="_Toc35393790"/>
      <w:bookmarkStart w:id="5" w:name="_Toc35393621"/>
      <w:bookmarkStart w:id="6" w:name="_Toc28359002"/>
      <w:bookmarkStart w:id="7" w:name="_Hlk24379207"/>
      <w:r>
        <w:rPr>
          <w:rFonts w:hint="eastAsia" w:ascii="宋体" w:hAnsi="宋体" w:eastAsia="宋体" w:cs="宋体"/>
          <w:color w:val="auto"/>
          <w:sz w:val="24"/>
          <w:szCs w:val="24"/>
          <w:highlight w:val="none"/>
        </w:rPr>
        <w:t>一、项目基本情况</w:t>
      </w:r>
      <w:bookmarkEnd w:id="3"/>
      <w:bookmarkEnd w:id="4"/>
      <w:bookmarkEnd w:id="5"/>
      <w:bookmarkEnd w:id="6"/>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 项目名称：</w:t>
      </w:r>
      <w:r>
        <w:rPr>
          <w:rFonts w:hint="eastAsia" w:ascii="宋体" w:hAnsi="宋体" w:eastAsia="宋体" w:cs="宋体"/>
          <w:color w:val="auto"/>
          <w:sz w:val="24"/>
          <w:highlight w:val="none"/>
          <w:u w:val="single"/>
        </w:rPr>
        <w:t>强制免疫疫苗采购项目兽用疫苗采购项目</w:t>
      </w:r>
    </w:p>
    <w:p>
      <w:pPr>
        <w:spacing w:line="360" w:lineRule="auto"/>
        <w:ind w:firstLine="960" w:firstLineChars="400"/>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u w:val="none"/>
          <w:lang w:val="en-US" w:eastAsia="zh-CN"/>
        </w:rPr>
        <w:t>分包</w:t>
      </w:r>
      <w:r>
        <w:rPr>
          <w:rFonts w:hint="eastAsia" w:ascii="宋体" w:hAnsi="宋体" w:eastAsia="宋体" w:cs="宋体"/>
          <w:color w:val="auto"/>
          <w:sz w:val="24"/>
          <w:highlight w:val="none"/>
          <w:u w:val="none"/>
          <w:lang w:val="en-US" w:eastAsia="zh-CN"/>
        </w:rPr>
        <w:t>名称：</w:t>
      </w:r>
      <w:r>
        <w:rPr>
          <w:rFonts w:hint="eastAsia" w:ascii="宋体" w:hAnsi="宋体" w:eastAsia="宋体" w:cs="宋体"/>
          <w:color w:val="auto"/>
          <w:sz w:val="24"/>
          <w:highlight w:val="none"/>
          <w:u w:val="single"/>
          <w:lang w:val="en-US" w:eastAsia="zh-CN"/>
        </w:rPr>
        <w:t>第一包</w:t>
      </w:r>
    </w:p>
    <w:bookmarkEnd w:id="7"/>
    <w:p>
      <w:pPr>
        <w:numPr>
          <w:ilvl w:val="0"/>
          <w:numId w:val="1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项目编号：11000026210200168193-XM001</w:t>
      </w:r>
      <w:r>
        <w:rPr>
          <w:rFonts w:hint="eastAsia" w:ascii="宋体" w:hAnsi="宋体" w:eastAsia="宋体" w:cs="宋体"/>
          <w:color w:val="auto"/>
          <w:sz w:val="24"/>
          <w:highlight w:val="none"/>
          <w:lang w:val="en-US" w:eastAsia="zh-CN"/>
        </w:rPr>
        <w:t xml:space="preserve"> </w:t>
      </w:r>
    </w:p>
    <w:p>
      <w:pPr>
        <w:numPr>
          <w:ilvl w:val="0"/>
          <w:numId w:val="0"/>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包号：01</w:t>
      </w:r>
      <w:r>
        <w:rPr>
          <w:rFonts w:hint="eastAsia" w:ascii="宋体" w:hAnsi="宋体" w:eastAsia="宋体" w:cs="宋体"/>
          <w:color w:val="auto"/>
          <w:sz w:val="24"/>
          <w:highlight w:val="none"/>
        </w:rPr>
        <w:t xml:space="preserve"> </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 项目总预算金额：</w:t>
      </w:r>
      <w:r>
        <w:rPr>
          <w:rFonts w:hint="eastAsia" w:ascii="宋体" w:hAnsi="宋体" w:eastAsia="宋体" w:cs="宋体"/>
          <w:color w:val="auto"/>
          <w:sz w:val="24"/>
          <w:highlight w:val="none"/>
          <w:u w:val="single"/>
        </w:rPr>
        <w:t>158.054</w:t>
      </w:r>
      <w:r>
        <w:rPr>
          <w:rFonts w:hint="eastAsia" w:ascii="宋体" w:hAnsi="宋体" w:eastAsia="宋体" w:cs="宋体"/>
          <w:color w:val="auto"/>
          <w:sz w:val="24"/>
          <w:highlight w:val="none"/>
        </w:rPr>
        <w:t xml:space="preserve">万元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本包次采购预算：</w:t>
      </w:r>
      <w:r>
        <w:rPr>
          <w:rFonts w:hint="eastAsia" w:ascii="宋体" w:hAnsi="宋体" w:eastAsia="宋体" w:cs="宋体"/>
          <w:color w:val="auto"/>
          <w:sz w:val="24"/>
          <w:highlight w:val="none"/>
          <w:u w:val="single"/>
          <w:lang w:val="en-US" w:eastAsia="zh-CN"/>
        </w:rPr>
        <w:t>34.27</w:t>
      </w:r>
      <w:r>
        <w:rPr>
          <w:rFonts w:hint="eastAsia" w:ascii="宋体" w:hAnsi="宋体" w:eastAsia="宋体" w:cs="宋体"/>
          <w:color w:val="auto"/>
          <w:sz w:val="24"/>
          <w:highlight w:val="none"/>
        </w:rPr>
        <w:t>万元</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 采购需求简述： </w:t>
      </w:r>
    </w:p>
    <w:tbl>
      <w:tblPr>
        <w:tblStyle w:val="47"/>
        <w:tblW w:w="8315" w:type="dxa"/>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4350"/>
        <w:gridCol w:w="1765"/>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76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包号</w:t>
            </w:r>
          </w:p>
        </w:tc>
        <w:tc>
          <w:tcPr>
            <w:tcW w:w="435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标的名称</w:t>
            </w:r>
          </w:p>
        </w:tc>
        <w:tc>
          <w:tcPr>
            <w:tcW w:w="176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采购数量</w:t>
            </w:r>
          </w:p>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（万毫升）</w:t>
            </w:r>
          </w:p>
        </w:tc>
        <w:tc>
          <w:tcPr>
            <w:tcW w:w="143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76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01</w:t>
            </w:r>
          </w:p>
        </w:tc>
        <w:tc>
          <w:tcPr>
            <w:tcW w:w="435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重组禽流感病毒（H5+H7）四价灭活疫苗</w:t>
            </w:r>
          </w:p>
        </w:tc>
        <w:tc>
          <w:tcPr>
            <w:tcW w:w="176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149</w:t>
            </w:r>
          </w:p>
        </w:tc>
        <w:tc>
          <w:tcPr>
            <w:tcW w:w="143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100ml/瓶</w:t>
            </w:r>
          </w:p>
        </w:tc>
      </w:tr>
    </w:tbl>
    <w:p>
      <w:pPr>
        <w:tabs>
          <w:tab w:val="left" w:pos="312"/>
        </w:tabs>
        <w:spacing w:line="360" w:lineRule="auto"/>
        <w:ind w:left="480"/>
        <w:rPr>
          <w:rFonts w:hint="eastAsia" w:ascii="宋体" w:hAnsi="宋体" w:eastAsia="宋体" w:cs="宋体"/>
          <w:color w:val="auto"/>
          <w:sz w:val="24"/>
          <w:highlight w:val="none"/>
        </w:rPr>
      </w:pPr>
      <w:r>
        <w:rPr>
          <w:rFonts w:hint="eastAsia" w:ascii="宋体" w:hAnsi="宋体" w:eastAsia="宋体" w:cs="宋体"/>
          <w:color w:val="auto"/>
          <w:sz w:val="24"/>
          <w:highlight w:val="none"/>
        </w:rPr>
        <w:t>注：本项目不接受进口产品投标</w:t>
      </w:r>
      <w:r>
        <w:rPr>
          <w:rFonts w:hint="eastAsia" w:ascii="宋体" w:hAnsi="宋体" w:eastAsia="宋体" w:cs="宋体"/>
          <w:color w:val="auto"/>
          <w:sz w:val="24"/>
          <w:highlight w:val="none"/>
          <w:lang w:eastAsia="zh-CN"/>
        </w:rPr>
        <w:t>，如果年内农业农村部统一要求更换毒株，则新毒株的疫苗等效</w:t>
      </w:r>
      <w:r>
        <w:rPr>
          <w:rFonts w:hint="eastAsia" w:ascii="宋体" w:hAnsi="宋体" w:eastAsia="宋体" w:cs="宋体"/>
          <w:color w:val="auto"/>
          <w:sz w:val="24"/>
          <w:highlight w:val="none"/>
        </w:rPr>
        <w:t>。</w:t>
      </w:r>
    </w:p>
    <w:p>
      <w:pPr>
        <w:numPr>
          <w:ilvl w:val="0"/>
          <w:numId w:val="11"/>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月底前完成。供应商接到供货通知2日内或按要求时限，将货物运达采购人库房并将货物卸到指定位置。</w:t>
      </w:r>
    </w:p>
    <w:p>
      <w:pPr>
        <w:numPr>
          <w:ilvl w:val="0"/>
          <w:numId w:val="11"/>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本项目是否接受联合体投标：□是  ■否。</w:t>
      </w:r>
    </w:p>
    <w:p>
      <w:pPr>
        <w:pStyle w:val="4"/>
        <w:spacing w:before="0" w:line="360" w:lineRule="auto"/>
        <w:jc w:val="left"/>
        <w:rPr>
          <w:rFonts w:hint="eastAsia" w:ascii="宋体" w:hAnsi="宋体" w:eastAsia="宋体" w:cs="宋体"/>
          <w:color w:val="auto"/>
          <w:sz w:val="24"/>
          <w:szCs w:val="24"/>
          <w:highlight w:val="none"/>
        </w:rPr>
      </w:pPr>
      <w:bookmarkStart w:id="8" w:name="_Toc35393791"/>
      <w:bookmarkStart w:id="9" w:name="_Toc28359003"/>
      <w:bookmarkStart w:id="10" w:name="_Toc28359080"/>
      <w:bookmarkStart w:id="11" w:name="_Toc35393622"/>
      <w:r>
        <w:rPr>
          <w:rFonts w:hint="eastAsia" w:ascii="宋体" w:hAnsi="宋体" w:eastAsia="宋体" w:cs="宋体"/>
          <w:color w:val="auto"/>
          <w:sz w:val="24"/>
          <w:szCs w:val="24"/>
          <w:highlight w:val="none"/>
        </w:rPr>
        <w:t>二、申请人的资格要求（须同时满足）</w:t>
      </w:r>
      <w:bookmarkEnd w:id="8"/>
      <w:bookmarkEnd w:id="9"/>
      <w:bookmarkEnd w:id="10"/>
      <w:bookmarkEnd w:id="11"/>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pPr>
        <w:spacing w:line="360" w:lineRule="auto"/>
        <w:ind w:firstLine="480" w:firstLineChars="200"/>
        <w:rPr>
          <w:rFonts w:hint="eastAsia" w:ascii="宋体" w:hAnsi="宋体" w:eastAsia="宋体" w:cs="宋体"/>
          <w:color w:val="auto"/>
          <w:sz w:val="24"/>
          <w:highlight w:val="none"/>
        </w:rPr>
      </w:pPr>
      <w:bookmarkStart w:id="12" w:name="_Toc28359004"/>
      <w:bookmarkStart w:id="13" w:name="_Toc28359081"/>
      <w:r>
        <w:rPr>
          <w:rFonts w:hint="eastAsia" w:ascii="宋体" w:hAnsi="宋体" w:eastAsia="宋体" w:cs="宋体"/>
          <w:color w:val="auto"/>
          <w:sz w:val="24"/>
          <w:highlight w:val="none"/>
        </w:rPr>
        <w:t>2.落实政府采购政策需满足的资格要求：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中小企业政策</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本项目不专门面向中小企业预留采购份额。</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本项目专门面向</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u w:val="single"/>
        </w:rPr>
        <w:t>中小□小微企业采购</w:t>
      </w:r>
      <w:r>
        <w:rPr>
          <w:rFonts w:hint="eastAsia" w:ascii="宋体" w:hAnsi="宋体" w:eastAsia="宋体" w:cs="宋体"/>
          <w:color w:val="auto"/>
          <w:sz w:val="24"/>
          <w:highlight w:val="none"/>
        </w:rPr>
        <w:t>。即：提供的货物全部由符合政策要求的中小企业制造。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_。</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其它落实政府采购政策的资格要求：</w:t>
      </w:r>
    </w:p>
    <w:p>
      <w:pPr>
        <w:spacing w:line="360" w:lineRule="auto"/>
        <w:ind w:left="1078" w:leftChars="39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依据《关于政府采购支持监狱企业发展有关问题的通知》（财库〔2014〕68号）、《关于促进残疾人就业政府采购政策的通知》（财库〔2017〕141号），监狱企业及残疾人福利性单位适用于政府采购促进中小企业发展的相关政策,但不重复享受政策。</w:t>
      </w:r>
    </w:p>
    <w:p>
      <w:pPr>
        <w:spacing w:line="360" w:lineRule="auto"/>
        <w:ind w:left="1078" w:leftChars="39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2)未被信用中国网站（www.creditchina.gov.cn）、中国政府采购网（www.ccgp.gov.cn）列入失信被执行人、重大税收违法案件当事人名单、政府采购严重违法失信行为记录名单（处罚执行有效期失效的除外）。</w:t>
      </w:r>
    </w:p>
    <w:p>
      <w:pPr>
        <w:spacing w:line="360" w:lineRule="auto"/>
        <w:ind w:left="1080" w:leftChars="400"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3）采购人在政府采购活动中根据项目类别和性质执行相应的节约能源、保护环境、扶持不发达地区和少数民族地区等政府采购政策。</w:t>
      </w:r>
    </w:p>
    <w:p>
      <w:pPr>
        <w:spacing w:line="360" w:lineRule="auto"/>
        <w:ind w:firstLine="480" w:firstLineChars="200"/>
        <w:rPr>
          <w:rFonts w:hint="eastAsia" w:ascii="宋体" w:hAnsi="宋体" w:eastAsia="宋体" w:cs="宋体"/>
          <w:i/>
          <w:iCs/>
          <w:color w:val="auto"/>
          <w:sz w:val="24"/>
          <w:highlight w:val="none"/>
          <w:u w:val="single"/>
        </w:rPr>
      </w:pPr>
      <w:r>
        <w:rPr>
          <w:rFonts w:hint="eastAsia" w:ascii="宋体" w:hAnsi="宋体" w:eastAsia="宋体" w:cs="宋体"/>
          <w:color w:val="auto"/>
          <w:sz w:val="24"/>
          <w:highlight w:val="none"/>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3.1本项目是否属于政府购买服务：</w:t>
      </w:r>
    </w:p>
    <w:p>
      <w:pPr>
        <w:tabs>
          <w:tab w:val="left" w:pos="900"/>
          <w:tab w:val="left" w:pos="1134"/>
          <w:tab w:val="left" w:pos="1589"/>
          <w:tab w:val="left" w:pos="5521"/>
        </w:tabs>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■否</w:t>
      </w:r>
    </w:p>
    <w:p>
      <w:pPr>
        <w:tabs>
          <w:tab w:val="left" w:pos="900"/>
          <w:tab w:val="left" w:pos="1134"/>
          <w:tab w:val="left" w:pos="1589"/>
          <w:tab w:val="left" w:pos="5521"/>
        </w:tabs>
        <w:snapToGrid w:val="0"/>
        <w:spacing w:line="360" w:lineRule="auto"/>
        <w:ind w:left="991" w:leftChars="472"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□是，公益一类事业单位、使用事业编制且由财政拨款保障的群团组织，不得作为承接主体；</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3.2其他特定资格要求：</w:t>
      </w:r>
    </w:p>
    <w:p>
      <w:pPr>
        <w:spacing w:line="360" w:lineRule="auto"/>
        <w:ind w:left="1078" w:leftChars="39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1）单位负责人为同一人或者存在控股、管理关系的不同单位，不得同时参加</w:t>
      </w:r>
      <w:r>
        <w:rPr>
          <w:rFonts w:hint="eastAsia" w:ascii="宋体" w:hAnsi="宋体" w:eastAsia="宋体" w:cs="宋体"/>
          <w:color w:val="auto"/>
          <w:sz w:val="24"/>
          <w:highlight w:val="none"/>
          <w:lang w:val="en-US" w:eastAsia="zh-CN"/>
        </w:rPr>
        <w:t>同一标段</w:t>
      </w:r>
      <w:r>
        <w:rPr>
          <w:rFonts w:hint="eastAsia" w:ascii="宋体" w:hAnsi="宋体" w:eastAsia="宋体" w:cs="宋体"/>
          <w:color w:val="auto"/>
          <w:sz w:val="24"/>
          <w:highlight w:val="none"/>
        </w:rPr>
        <w:t>的投标。为本项目提供整体设计、规范编制或者项目管理、监理、检测等服务的投标人，不得再参加本项目投标。</w:t>
      </w:r>
    </w:p>
    <w:p>
      <w:pPr>
        <w:spacing w:line="360" w:lineRule="auto"/>
        <w:ind w:left="1078" w:leftChars="399" w:hanging="240" w:hangingChars="100"/>
        <w:rPr>
          <w:rFonts w:hint="eastAsia" w:ascii="宋体" w:hAnsi="宋体" w:eastAsia="宋体" w:cs="宋体"/>
          <w:color w:val="auto"/>
          <w:sz w:val="24"/>
          <w:highlight w:val="none"/>
        </w:rPr>
      </w:pPr>
      <w:bookmarkStart w:id="14" w:name="_Hlk192493146"/>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①</w:t>
      </w:r>
      <w:r>
        <w:rPr>
          <w:rFonts w:hint="eastAsia" w:ascii="宋体" w:hAnsi="宋体" w:cs="宋体"/>
          <w:color w:val="auto"/>
          <w:sz w:val="24"/>
          <w:highlight w:val="none"/>
          <w:lang w:val="en-US" w:eastAsia="zh-CN"/>
        </w:rPr>
        <w:t>投标人需</w:t>
      </w:r>
      <w:r>
        <w:rPr>
          <w:rFonts w:hint="eastAsia" w:ascii="宋体" w:hAnsi="宋体" w:eastAsia="宋体" w:cs="宋体"/>
          <w:color w:val="auto"/>
          <w:sz w:val="24"/>
          <w:highlight w:val="none"/>
        </w:rPr>
        <w:t>具有农业农村部门颁发的兽药生产许可证。</w:t>
      </w:r>
    </w:p>
    <w:p>
      <w:pPr>
        <w:spacing w:line="360" w:lineRule="auto"/>
        <w:ind w:left="1077" w:leftChars="513"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②投标人须具备所投各疫苗品种(毒株)的有效兽药产品批准文号（涉及农业农村部统一变更某产品名称和毒株的，变更后的产品批准文号文件同样有效）。</w:t>
      </w:r>
    </w:p>
    <w:p>
      <w:pPr>
        <w:spacing w:line="360" w:lineRule="auto"/>
        <w:ind w:left="1048" w:leftChars="499"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③</w:t>
      </w:r>
      <w:r>
        <w:rPr>
          <w:rFonts w:hint="eastAsia" w:ascii="宋体" w:hAnsi="宋体" w:cs="宋体"/>
          <w:color w:val="auto"/>
          <w:sz w:val="24"/>
          <w:highlight w:val="none"/>
          <w:lang w:val="en-US" w:eastAsia="zh-CN"/>
        </w:rPr>
        <w:t>投标人需</w:t>
      </w:r>
      <w:r>
        <w:rPr>
          <w:rFonts w:hint="eastAsia" w:ascii="宋体" w:hAnsi="宋体" w:eastAsia="宋体" w:cs="宋体"/>
          <w:color w:val="auto"/>
          <w:sz w:val="24"/>
          <w:highlight w:val="none"/>
        </w:rPr>
        <w:t>具有农业农村部门颁发的中华人民共和国兽药GMP证书。</w:t>
      </w:r>
    </w:p>
    <w:bookmarkEnd w:id="12"/>
    <w:bookmarkEnd w:id="13"/>
    <w:bookmarkEnd w:id="14"/>
    <w:p>
      <w:pPr>
        <w:pStyle w:val="4"/>
        <w:widowControl/>
        <w:spacing w:before="0" w:line="360" w:lineRule="auto"/>
        <w:jc w:val="left"/>
        <w:rPr>
          <w:rFonts w:hint="eastAsia" w:ascii="宋体" w:hAnsi="宋体" w:eastAsia="宋体" w:cs="宋体"/>
          <w:color w:val="auto"/>
          <w:sz w:val="24"/>
          <w:szCs w:val="24"/>
          <w:highlight w:val="none"/>
        </w:rPr>
      </w:pPr>
      <w:bookmarkStart w:id="15" w:name="_Toc35393623"/>
      <w:bookmarkStart w:id="16" w:name="_Toc35393792"/>
      <w:r>
        <w:rPr>
          <w:rFonts w:hint="eastAsia" w:ascii="宋体" w:hAnsi="宋体" w:eastAsia="宋体" w:cs="宋体"/>
          <w:color w:val="auto"/>
          <w:sz w:val="24"/>
          <w:szCs w:val="24"/>
          <w:highlight w:val="none"/>
        </w:rPr>
        <w:t>三、获取招标文件</w:t>
      </w:r>
      <w:bookmarkEnd w:id="15"/>
      <w:bookmarkEnd w:id="16"/>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1.时间：</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14</w:t>
      </w:r>
      <w:r>
        <w:rPr>
          <w:rFonts w:hint="eastAsia" w:ascii="宋体" w:hAnsi="宋体" w:eastAsia="宋体" w:cs="宋体"/>
          <w:color w:val="auto"/>
          <w:sz w:val="24"/>
          <w:highlight w:val="none"/>
          <w:u w:val="single"/>
        </w:rPr>
        <w:t>日8：</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rPr>
        <w:t>0至202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21</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16</w:t>
      </w:r>
      <w:r>
        <w:rPr>
          <w:rFonts w:hint="eastAsia" w:ascii="宋体" w:hAnsi="宋体" w:eastAsia="宋体" w:cs="宋体"/>
          <w:color w:val="auto"/>
          <w:sz w:val="24"/>
          <w:highlight w:val="none"/>
          <w:u w:val="single"/>
        </w:rPr>
        <w:t>：00_</w:t>
      </w:r>
      <w:r>
        <w:rPr>
          <w:rFonts w:hint="eastAsia" w:ascii="宋体" w:hAnsi="宋体" w:eastAsia="宋体" w:cs="宋体"/>
          <w:color w:val="auto"/>
          <w:sz w:val="24"/>
          <w:highlight w:val="none"/>
        </w:rPr>
        <w:t>（北京时间，法定节假日除外）。</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2.地点：北京市政府采购电子交易平台</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3.方式：投标人持CA数字认证证书或电子营业执照登录北京市政府采购电子交易平台（http://zbcg-bjzc.zhongcy.com/bjczj-portal-site/index.htmL#/home）获取电子版招标文件。</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4.售价：0元。</w:t>
      </w:r>
    </w:p>
    <w:p>
      <w:pPr>
        <w:pStyle w:val="4"/>
        <w:widowControl/>
        <w:spacing w:before="0" w:line="360" w:lineRule="auto"/>
        <w:jc w:val="left"/>
        <w:rPr>
          <w:rFonts w:hint="eastAsia" w:ascii="宋体" w:hAnsi="宋体" w:eastAsia="宋体" w:cs="宋体"/>
          <w:color w:val="auto"/>
          <w:sz w:val="24"/>
          <w:szCs w:val="24"/>
          <w:highlight w:val="none"/>
        </w:rPr>
      </w:pPr>
      <w:bookmarkStart w:id="17" w:name="_Toc28359005"/>
      <w:bookmarkStart w:id="18" w:name="_Toc28359082"/>
      <w:bookmarkStart w:id="19" w:name="_Toc35393624"/>
      <w:bookmarkStart w:id="20" w:name="_Toc35393793"/>
      <w:r>
        <w:rPr>
          <w:rFonts w:hint="eastAsia" w:ascii="宋体" w:hAnsi="宋体" w:eastAsia="宋体" w:cs="宋体"/>
          <w:color w:val="auto"/>
          <w:sz w:val="24"/>
          <w:szCs w:val="24"/>
          <w:highlight w:val="none"/>
        </w:rPr>
        <w:t>四、提交投标文件</w:t>
      </w:r>
      <w:bookmarkEnd w:id="17"/>
      <w:bookmarkEnd w:id="18"/>
      <w:r>
        <w:rPr>
          <w:rFonts w:hint="eastAsia" w:ascii="宋体" w:hAnsi="宋体" w:eastAsia="宋体" w:cs="宋体"/>
          <w:color w:val="auto"/>
          <w:sz w:val="24"/>
          <w:szCs w:val="24"/>
          <w:highlight w:val="none"/>
        </w:rPr>
        <w:t>截止时间、开标时间和地点</w:t>
      </w:r>
      <w:bookmarkEnd w:id="19"/>
      <w:bookmarkEnd w:id="20"/>
    </w:p>
    <w:p>
      <w:pPr>
        <w:spacing w:line="360" w:lineRule="auto"/>
        <w:ind w:firstLine="482" w:firstLineChars="200"/>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rPr>
        <w:t>投标截止时间、开标时间：</w:t>
      </w:r>
      <w:r>
        <w:rPr>
          <w:rFonts w:hint="eastAsia" w:ascii="宋体" w:hAnsi="宋体" w:eastAsia="宋体" w:cs="宋体"/>
          <w:b/>
          <w:bCs/>
          <w:color w:val="auto"/>
          <w:sz w:val="24"/>
          <w:highlight w:val="none"/>
          <w:u w:val="single"/>
        </w:rPr>
        <w:t>202</w:t>
      </w:r>
      <w:r>
        <w:rPr>
          <w:rFonts w:hint="eastAsia" w:ascii="宋体" w:hAnsi="宋体" w:eastAsia="宋体" w:cs="宋体"/>
          <w:b/>
          <w:bCs/>
          <w:color w:val="auto"/>
          <w:sz w:val="24"/>
          <w:highlight w:val="none"/>
          <w:u w:val="single"/>
          <w:lang w:val="en-US" w:eastAsia="zh-CN"/>
        </w:rPr>
        <w:t>6</w:t>
      </w:r>
      <w:r>
        <w:rPr>
          <w:rFonts w:hint="eastAsia" w:ascii="宋体" w:hAnsi="宋体" w:eastAsia="宋体" w:cs="宋体"/>
          <w:b/>
          <w:bCs/>
          <w:color w:val="auto"/>
          <w:sz w:val="24"/>
          <w:highlight w:val="none"/>
          <w:u w:val="single"/>
        </w:rPr>
        <w:t>年</w:t>
      </w:r>
      <w:r>
        <w:rPr>
          <w:rFonts w:hint="eastAsia" w:ascii="宋体" w:hAnsi="宋体" w:cs="宋体"/>
          <w:b/>
          <w:bCs/>
          <w:color w:val="auto"/>
          <w:sz w:val="24"/>
          <w:highlight w:val="none"/>
          <w:u w:val="single"/>
          <w:lang w:val="en-US" w:eastAsia="zh-CN"/>
        </w:rPr>
        <w:t>5</w:t>
      </w:r>
      <w:r>
        <w:rPr>
          <w:rFonts w:hint="eastAsia" w:ascii="宋体" w:hAnsi="宋体" w:eastAsia="宋体" w:cs="宋体"/>
          <w:b/>
          <w:bCs/>
          <w:color w:val="auto"/>
          <w:sz w:val="24"/>
          <w:highlight w:val="none"/>
          <w:u w:val="single"/>
        </w:rPr>
        <w:t xml:space="preserve"> 月</w:t>
      </w:r>
      <w:r>
        <w:rPr>
          <w:rFonts w:hint="eastAsia" w:ascii="宋体" w:hAnsi="宋体" w:cs="宋体"/>
          <w:b/>
          <w:bCs/>
          <w:color w:val="auto"/>
          <w:sz w:val="24"/>
          <w:highlight w:val="none"/>
          <w:u w:val="single"/>
          <w:lang w:val="en-US" w:eastAsia="zh-CN"/>
        </w:rPr>
        <w:t>8</w:t>
      </w:r>
      <w:r>
        <w:rPr>
          <w:rFonts w:hint="eastAsia" w:ascii="宋体" w:hAnsi="宋体" w:eastAsia="宋体" w:cs="宋体"/>
          <w:b/>
          <w:bCs/>
          <w:color w:val="auto"/>
          <w:sz w:val="24"/>
          <w:highlight w:val="none"/>
          <w:u w:val="single"/>
        </w:rPr>
        <w:t>日09点30分</w:t>
      </w:r>
      <w:r>
        <w:rPr>
          <w:rFonts w:hint="eastAsia" w:ascii="宋体" w:hAnsi="宋体" w:eastAsia="宋体" w:cs="宋体"/>
          <w:b/>
          <w:bCs/>
          <w:color w:val="auto"/>
          <w:sz w:val="24"/>
          <w:highlight w:val="none"/>
        </w:rPr>
        <w:t>（北京时间）</w:t>
      </w:r>
      <w:r>
        <w:rPr>
          <w:rFonts w:hint="eastAsia" w:ascii="宋体" w:hAnsi="宋体" w:eastAsia="宋体" w:cs="宋体"/>
          <w:b/>
          <w:bCs/>
          <w:iCs/>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地点：北京市政府采购电子交易平台</w:t>
      </w:r>
    </w:p>
    <w:p>
      <w:pPr>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方式：供应商持CA数字认证证书或电子营业执照登录北京市政府采购电子交易平台（http://zbcg-bjzc.zhongcy.com/bjczj-portal-site/index.htmL#/home）参与电子开标。</w:t>
      </w:r>
    </w:p>
    <w:p>
      <w:pPr>
        <w:pStyle w:val="4"/>
        <w:spacing w:before="0" w:line="360" w:lineRule="auto"/>
        <w:jc w:val="left"/>
        <w:rPr>
          <w:rFonts w:hint="eastAsia" w:ascii="宋体" w:hAnsi="宋体" w:eastAsia="宋体" w:cs="宋体"/>
          <w:color w:val="auto"/>
          <w:sz w:val="24"/>
          <w:szCs w:val="24"/>
          <w:highlight w:val="none"/>
        </w:rPr>
      </w:pPr>
      <w:bookmarkStart w:id="21" w:name="_Toc28359084"/>
      <w:bookmarkStart w:id="22" w:name="_Toc35393625"/>
      <w:bookmarkStart w:id="23" w:name="_Toc28359007"/>
      <w:bookmarkStart w:id="24" w:name="_Toc35393794"/>
      <w:r>
        <w:rPr>
          <w:rFonts w:hint="eastAsia" w:ascii="宋体" w:hAnsi="宋体" w:eastAsia="宋体" w:cs="宋体"/>
          <w:color w:val="auto"/>
          <w:sz w:val="24"/>
          <w:szCs w:val="24"/>
          <w:highlight w:val="none"/>
        </w:rPr>
        <w:t>五、公告期限</w:t>
      </w:r>
      <w:bookmarkEnd w:id="21"/>
      <w:bookmarkEnd w:id="22"/>
      <w:bookmarkEnd w:id="23"/>
      <w:bookmarkEnd w:id="24"/>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自本公告发布之日起5个工作日。</w:t>
      </w:r>
    </w:p>
    <w:p>
      <w:pPr>
        <w:pStyle w:val="4"/>
        <w:spacing w:before="0" w:line="360" w:lineRule="auto"/>
        <w:jc w:val="left"/>
        <w:rPr>
          <w:rFonts w:hint="eastAsia" w:ascii="宋体" w:hAnsi="宋体" w:eastAsia="宋体" w:cs="宋体"/>
          <w:color w:val="auto"/>
          <w:sz w:val="24"/>
          <w:szCs w:val="24"/>
          <w:highlight w:val="none"/>
        </w:rPr>
      </w:pPr>
      <w:bookmarkStart w:id="25" w:name="_Toc35393795"/>
      <w:bookmarkStart w:id="26" w:name="_Toc35393626"/>
      <w:r>
        <w:rPr>
          <w:rFonts w:hint="eastAsia" w:ascii="宋体" w:hAnsi="宋体" w:eastAsia="宋体" w:cs="宋体"/>
          <w:color w:val="auto"/>
          <w:sz w:val="24"/>
          <w:szCs w:val="24"/>
          <w:highlight w:val="none"/>
        </w:rPr>
        <w:t>六、其他补充事宜</w:t>
      </w:r>
      <w:bookmarkEnd w:id="25"/>
      <w:bookmarkEnd w:id="26"/>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需要落实的政府采购政策：根据本项目采购内容和性质，如果需要将执行强制、优先采购节能、环境标志产品，促进中小企业发展、支持监狱企业及残疾人福利性单位发展，推广政府采购信用担保工作等政府采购政策。</w:t>
      </w:r>
    </w:p>
    <w:p>
      <w:pPr>
        <w:widowControl/>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2.本项目采用</w:t>
      </w:r>
      <w:r>
        <w:rPr>
          <w:rFonts w:hint="eastAsia" w:ascii="宋体" w:hAnsi="宋体" w:eastAsia="宋体" w:cs="宋体"/>
          <w:b/>
          <w:bCs/>
          <w:color w:val="auto"/>
          <w:sz w:val="24"/>
          <w:highlight w:val="none"/>
        </w:rPr>
        <w:t>全流程电子化采购方式</w:t>
      </w:r>
      <w:r>
        <w:rPr>
          <w:rFonts w:hint="eastAsia" w:ascii="宋体" w:hAnsi="宋体" w:eastAsia="宋体" w:cs="宋体"/>
          <w:color w:val="auto"/>
          <w:sz w:val="24"/>
          <w:highlight w:val="none"/>
        </w:rPr>
        <w:t>，请投标人认真学习北京市政府采购电子交易平台发布的相关操作手册，(投标人可在交易平台下载相关手册)，办理 CA 数字证书或电子营业执照，进行北京市政府采购电子交易平台注册绑定，并认真核实</w:t>
      </w:r>
      <w:r>
        <w:rPr>
          <w:rFonts w:hint="eastAsia" w:ascii="宋体" w:hAnsi="宋体" w:eastAsia="宋体" w:cs="宋体"/>
          <w:bCs/>
          <w:color w:val="auto"/>
          <w:sz w:val="24"/>
          <w:highlight w:val="none"/>
        </w:rPr>
        <w:t>CA 数字证书或电子营业执照情况确认是否符合本项目电子化采购流程要求。</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CA认证证书服务热线 010-58511086</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电子营业执照服务热线 400-699-7000</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技术支持服务热线    010-86483801</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3.1办理CA认证证书或电子营业执照</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投标人登录北京市政府采购电子交易平台查阅 “用户指南”—“操作指南”—“市场主体CA办理操作流程指引”/“ 电子营业执照使用指南”，按照程序要求办理。</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3.2注册</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3.3驱动、客户端下载</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投标人登录北京市政府采购电子交易平台“用户指南”—“工具下载”—“招标采购系统文件驱动安装包”下载相关驱动。</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投标人登录北京市政府采购电子交易平台“用户指南”—“工具下载”—“投标文件编制工具”下载相关客户端。</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 获取电子招标文件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投标人持CA数字认证证书或电子营业执照登录北京市政府采购电子交易平台获取电子招标文件。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如计划参与多个采购包的投标，应在登录北京市政府采购电子交易平台后，在【我的项目】栏目依次选择对应采购包，进入项目工作台招标/招标文件环节分别按采购包下载招标文件电子版。未在规定期限内按上述操作获取文件的采购包，投标人无法提交相应包的电子投标文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3.5编制电子投标文件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投标人应使用电子投标客户端编制电子投标文件并进行线上投标，投标人电子投标文件需要加密并加盖电子签章</w:t>
      </w:r>
      <w:r>
        <w:rPr>
          <w:rFonts w:hint="eastAsia" w:ascii="宋体" w:hAnsi="宋体" w:eastAsia="宋体" w:cs="宋体"/>
          <w:bCs/>
          <w:color w:val="auto"/>
          <w:sz w:val="24"/>
          <w:highlight w:val="none"/>
        </w:rPr>
        <w:t>，如无法按照要求在电子投标文件中加盖电子签章和加密，请及时通过技术支持服务热线联系技术人员</w:t>
      </w:r>
      <w:r>
        <w:rPr>
          <w:rFonts w:hint="eastAsia" w:ascii="宋体" w:hAnsi="宋体" w:eastAsia="宋体" w:cs="宋体"/>
          <w:color w:val="auto"/>
          <w:sz w:val="24"/>
          <w:highlight w:val="none"/>
        </w:rPr>
        <w:t>。</w:t>
      </w:r>
    </w:p>
    <w:p>
      <w:pPr>
        <w:widowControl/>
        <w:spacing w:line="360" w:lineRule="auto"/>
        <w:ind w:firstLine="480" w:firstLineChars="200"/>
        <w:jc w:val="left"/>
        <w:rPr>
          <w:rFonts w:hint="eastAsia" w:ascii="宋体" w:hAnsi="宋体" w:eastAsia="宋体" w:cs="宋体"/>
          <w:color w:val="auto"/>
          <w:sz w:val="24"/>
          <w:highlight w:val="none"/>
          <w:lang w:val="zh-TW"/>
        </w:rPr>
      </w:pPr>
      <w:r>
        <w:rPr>
          <w:rFonts w:hint="eastAsia" w:ascii="宋体" w:hAnsi="宋体" w:eastAsia="宋体" w:cs="宋体"/>
          <w:color w:val="auto"/>
          <w:sz w:val="24"/>
          <w:highlight w:val="none"/>
          <w:lang w:val="zh-TW" w:eastAsia="zh-TW"/>
        </w:rPr>
        <w:t>3.6</w:t>
      </w:r>
      <w:r>
        <w:rPr>
          <w:rFonts w:hint="eastAsia" w:ascii="宋体" w:hAnsi="宋体" w:eastAsia="宋体" w:cs="宋体"/>
          <w:color w:val="auto"/>
          <w:sz w:val="24"/>
          <w:highlight w:val="none"/>
          <w:lang w:val="zh-TW"/>
        </w:rPr>
        <w:t>提交电子投标文件</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投标人应于</w:t>
      </w:r>
      <w:r>
        <w:rPr>
          <w:rFonts w:hint="eastAsia" w:ascii="宋体" w:hAnsi="宋体" w:eastAsia="宋体" w:cs="宋体"/>
          <w:b/>
          <w:bCs/>
          <w:color w:val="auto"/>
          <w:sz w:val="24"/>
          <w:highlight w:val="none"/>
        </w:rPr>
        <w:t>投标截止时间前</w:t>
      </w:r>
      <w:r>
        <w:rPr>
          <w:rFonts w:hint="eastAsia" w:ascii="宋体" w:hAnsi="宋体" w:eastAsia="宋体" w:cs="宋体"/>
          <w:color w:val="auto"/>
          <w:sz w:val="24"/>
          <w:highlight w:val="none"/>
        </w:rPr>
        <w:t>在北京市政府采购电子交易平台提交电子投标文件，上传电子投标文件过程中请保持与互联网的连接畅通。</w:t>
      </w:r>
    </w:p>
    <w:p>
      <w:pPr>
        <w:widowControl/>
        <w:spacing w:line="360" w:lineRule="auto"/>
        <w:ind w:firstLine="482" w:firstLineChars="200"/>
        <w:jc w:val="left"/>
        <w:rPr>
          <w:rFonts w:hint="eastAsia" w:ascii="宋体" w:hAnsi="宋体" w:eastAsia="宋体" w:cs="宋体"/>
          <w:b/>
          <w:color w:val="auto"/>
          <w:sz w:val="24"/>
          <w:highlight w:val="none"/>
          <w:lang w:eastAsia="zh-TW"/>
        </w:rPr>
      </w:pPr>
      <w:r>
        <w:rPr>
          <w:rFonts w:hint="eastAsia" w:ascii="宋体" w:hAnsi="宋体" w:eastAsia="宋体" w:cs="宋体"/>
          <w:b/>
          <w:color w:val="auto"/>
          <w:sz w:val="24"/>
          <w:highlight w:val="none"/>
          <w:lang w:val="zh-TW"/>
        </w:rPr>
        <w:t>3.</w:t>
      </w:r>
      <w:r>
        <w:rPr>
          <w:rFonts w:hint="eastAsia" w:ascii="宋体" w:hAnsi="宋体" w:eastAsia="宋体" w:cs="宋体"/>
          <w:b/>
          <w:color w:val="auto"/>
          <w:sz w:val="24"/>
          <w:highlight w:val="none"/>
          <w:lang w:val="zh-TW" w:eastAsia="zh-TW"/>
        </w:rPr>
        <w:t>7</w:t>
      </w:r>
      <w:r>
        <w:rPr>
          <w:rFonts w:hint="eastAsia" w:ascii="宋体" w:hAnsi="宋体" w:eastAsia="宋体" w:cs="宋体"/>
          <w:b/>
          <w:color w:val="auto"/>
          <w:sz w:val="24"/>
          <w:highlight w:val="none"/>
          <w:lang w:val="zh-TW"/>
        </w:rPr>
        <w:t>电子开标</w:t>
      </w:r>
    </w:p>
    <w:p>
      <w:pPr>
        <w:widowControl/>
        <w:adjustRightInd w:val="0"/>
        <w:snapToGrid w:val="0"/>
        <w:spacing w:line="360" w:lineRule="auto"/>
        <w:ind w:firstLine="482" w:firstLineChars="200"/>
        <w:jc w:val="left"/>
        <w:rPr>
          <w:rFonts w:hint="eastAsia" w:ascii="宋体" w:hAnsi="宋体" w:eastAsia="宋体" w:cs="宋体"/>
          <w:b/>
          <w:bCs/>
          <w:color w:val="auto"/>
          <w:sz w:val="24"/>
          <w:highlight w:val="none"/>
          <w:lang w:val="zh-TW" w:eastAsia="zh-TW" w:bidi="ar"/>
        </w:rPr>
      </w:pPr>
      <w:r>
        <w:rPr>
          <w:rFonts w:hint="eastAsia" w:ascii="宋体" w:hAnsi="宋体" w:eastAsia="宋体" w:cs="宋体"/>
          <w:b/>
          <w:bCs/>
          <w:color w:val="auto"/>
          <w:sz w:val="24"/>
          <w:highlight w:val="none"/>
          <w:lang w:val="zh-TW" w:eastAsia="zh-TW" w:bidi="ar"/>
        </w:rPr>
        <w:t>3.7.1</w:t>
      </w:r>
      <w:r>
        <w:rPr>
          <w:rFonts w:hint="eastAsia" w:ascii="宋体" w:hAnsi="宋体" w:eastAsia="宋体" w:cs="宋体"/>
          <w:b/>
          <w:bCs/>
          <w:color w:val="auto"/>
          <w:sz w:val="24"/>
          <w:highlight w:val="none"/>
          <w:lang w:val="zh-TW" w:bidi="ar"/>
        </w:rPr>
        <w:t>投标人可以远程使用</w:t>
      </w:r>
      <w:r>
        <w:rPr>
          <w:rFonts w:hint="eastAsia" w:ascii="宋体" w:hAnsi="宋体" w:eastAsia="宋体" w:cs="宋体"/>
          <w:b/>
          <w:bCs/>
          <w:color w:val="auto"/>
          <w:sz w:val="24"/>
          <w:highlight w:val="none"/>
          <w:lang w:val="zh-TW" w:eastAsia="zh-TW" w:bidi="ar"/>
        </w:rPr>
        <w:t>CA</w:t>
      </w:r>
      <w:r>
        <w:rPr>
          <w:rFonts w:hint="eastAsia" w:ascii="宋体" w:hAnsi="宋体" w:eastAsia="宋体" w:cs="宋体"/>
          <w:b/>
          <w:bCs/>
          <w:color w:val="auto"/>
          <w:sz w:val="24"/>
          <w:highlight w:val="none"/>
          <w:lang w:val="zh-TW" w:bidi="ar"/>
        </w:rPr>
        <w:t>认证证书或电子营业执照登录北京市政府采购电子交易平台进行电子开标，按照流程完成签到、解密、开标确认等步骤。</w:t>
      </w:r>
    </w:p>
    <w:p>
      <w:pPr>
        <w:widowControl/>
        <w:adjustRightInd w:val="0"/>
        <w:snapToGrid w:val="0"/>
        <w:spacing w:line="360" w:lineRule="auto"/>
        <w:ind w:firstLine="482" w:firstLineChars="200"/>
        <w:jc w:val="left"/>
        <w:rPr>
          <w:rFonts w:hint="eastAsia" w:ascii="宋体" w:hAnsi="宋体" w:eastAsia="宋体" w:cs="宋体"/>
          <w:b/>
          <w:bCs/>
          <w:color w:val="auto"/>
          <w:sz w:val="24"/>
          <w:highlight w:val="none"/>
          <w:lang w:val="zh-TW" w:bidi="ar"/>
        </w:rPr>
      </w:pPr>
      <w:r>
        <w:rPr>
          <w:rFonts w:hint="eastAsia" w:ascii="宋体" w:hAnsi="宋体" w:eastAsia="宋体" w:cs="宋体"/>
          <w:b/>
          <w:bCs/>
          <w:color w:val="auto"/>
          <w:sz w:val="24"/>
          <w:highlight w:val="none"/>
          <w:lang w:val="zh-TW" w:bidi="ar"/>
        </w:rPr>
        <w:t>3</w:t>
      </w:r>
      <w:r>
        <w:rPr>
          <w:rFonts w:hint="eastAsia" w:ascii="宋体" w:hAnsi="宋体" w:eastAsia="宋体" w:cs="宋体"/>
          <w:b/>
          <w:bCs/>
          <w:color w:val="auto"/>
          <w:sz w:val="24"/>
          <w:highlight w:val="none"/>
          <w:lang w:val="zh-TW" w:eastAsia="zh-TW" w:bidi="ar"/>
        </w:rPr>
        <w:t>.7.2</w:t>
      </w:r>
      <w:r>
        <w:rPr>
          <w:rFonts w:hint="eastAsia" w:ascii="宋体" w:hAnsi="宋体" w:eastAsia="宋体" w:cs="宋体"/>
          <w:b/>
          <w:bCs/>
          <w:color w:val="auto"/>
          <w:sz w:val="24"/>
          <w:highlight w:val="none"/>
          <w:lang w:val="zh-TW" w:bidi="ar"/>
        </w:rPr>
        <w:t>投标人也可以在投标递交截止时间前携带加密锁（解密符）、笔记本电脑等前往现场（北京市海淀区成府路270号中科科仪院内6号楼3层多功能会议室）进行电子开标。</w:t>
      </w:r>
    </w:p>
    <w:p>
      <w:pPr>
        <w:pStyle w:val="4"/>
        <w:spacing w:before="0" w:line="360" w:lineRule="auto"/>
        <w:jc w:val="left"/>
        <w:rPr>
          <w:rFonts w:hint="eastAsia" w:ascii="宋体" w:hAnsi="宋体" w:eastAsia="宋体" w:cs="宋体"/>
          <w:color w:val="auto"/>
          <w:sz w:val="24"/>
          <w:szCs w:val="24"/>
          <w:highlight w:val="none"/>
        </w:rPr>
      </w:pPr>
      <w:bookmarkStart w:id="27" w:name="_Toc35393627"/>
      <w:bookmarkStart w:id="28" w:name="_Toc28359008"/>
      <w:bookmarkStart w:id="29" w:name="_Toc28359085"/>
      <w:bookmarkStart w:id="30" w:name="_Toc35393796"/>
      <w:r>
        <w:rPr>
          <w:rFonts w:hint="eastAsia" w:ascii="宋体" w:hAnsi="宋体" w:eastAsia="宋体" w:cs="宋体"/>
          <w:color w:val="auto"/>
          <w:sz w:val="24"/>
          <w:szCs w:val="24"/>
          <w:highlight w:val="none"/>
        </w:rPr>
        <w:t>七、对本次招标提出询问，请按以下方式联系。</w:t>
      </w:r>
      <w:bookmarkEnd w:id="27"/>
      <w:bookmarkEnd w:id="28"/>
      <w:bookmarkEnd w:id="29"/>
      <w:bookmarkEnd w:id="30"/>
    </w:p>
    <w:p>
      <w:pPr>
        <w:widowControl/>
        <w:spacing w:line="360" w:lineRule="auto"/>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　　　</w:t>
      </w:r>
      <w:r>
        <w:rPr>
          <w:rFonts w:hint="eastAsia" w:ascii="宋体" w:hAnsi="宋体" w:eastAsia="宋体" w:cs="宋体"/>
          <w:b/>
          <w:color w:val="auto"/>
          <w:sz w:val="24"/>
          <w:highlight w:val="none"/>
        </w:rPr>
        <w:t>1.采购人信息</w:t>
      </w:r>
    </w:p>
    <w:p>
      <w:pPr>
        <w:spacing w:line="360" w:lineRule="auto"/>
        <w:ind w:left="1079" w:leftChars="371" w:hanging="300" w:hangingChars="125"/>
        <w:jc w:val="left"/>
        <w:rPr>
          <w:rFonts w:hint="eastAsia" w:ascii="宋体" w:hAnsi="宋体" w:eastAsia="宋体" w:cs="宋体"/>
          <w:color w:val="auto"/>
          <w:sz w:val="24"/>
          <w:highlight w:val="none"/>
        </w:rPr>
      </w:pPr>
      <w:bookmarkStart w:id="31" w:name="_Hlk192493199"/>
      <w:bookmarkStart w:id="32" w:name="_Toc28359086"/>
      <w:bookmarkStart w:id="33" w:name="_Toc28359009"/>
      <w:r>
        <w:rPr>
          <w:rFonts w:hint="eastAsia" w:ascii="宋体" w:hAnsi="宋体" w:eastAsia="宋体" w:cs="宋体"/>
          <w:color w:val="auto"/>
          <w:sz w:val="24"/>
          <w:highlight w:val="none"/>
        </w:rPr>
        <w:t>名    称：</w:t>
      </w:r>
      <w:bookmarkStart w:id="34" w:name="OLE_LINK56"/>
      <w:r>
        <w:rPr>
          <w:rFonts w:hint="eastAsia" w:ascii="宋体" w:hAnsi="宋体" w:eastAsia="宋体" w:cs="宋体"/>
          <w:color w:val="auto"/>
          <w:sz w:val="24"/>
          <w:highlight w:val="none"/>
          <w:u w:val="single"/>
        </w:rPr>
        <w:t>北京市动物疫病预防控制中心</w:t>
      </w:r>
      <w:bookmarkEnd w:id="34"/>
      <w:r>
        <w:rPr>
          <w:rFonts w:hint="eastAsia" w:ascii="宋体" w:hAnsi="宋体" w:eastAsia="宋体" w:cs="宋体"/>
          <w:color w:val="auto"/>
          <w:sz w:val="24"/>
          <w:highlight w:val="none"/>
          <w:u w:val="single"/>
        </w:rPr>
        <w:t xml:space="preserve">  _</w:t>
      </w:r>
    </w:p>
    <w:p>
      <w:pPr>
        <w:spacing w:line="360" w:lineRule="auto"/>
        <w:ind w:left="1079" w:leftChars="371" w:hanging="300" w:hangingChars="1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bookmarkStart w:id="35" w:name="OLE_LINK5"/>
      <w:r>
        <w:rPr>
          <w:rFonts w:hint="eastAsia" w:ascii="宋体" w:hAnsi="宋体" w:eastAsia="宋体" w:cs="宋体"/>
          <w:color w:val="auto"/>
          <w:sz w:val="24"/>
          <w:highlight w:val="none"/>
          <w:u w:val="single"/>
        </w:rPr>
        <w:t>北京市大兴区祥瑞大街19号</w:t>
      </w:r>
      <w:bookmarkEnd w:id="35"/>
    </w:p>
    <w:p>
      <w:pPr>
        <w:spacing w:line="360" w:lineRule="auto"/>
        <w:ind w:left="1079" w:leftChars="371" w:hanging="300" w:hangingChars="125"/>
        <w:jc w:val="left"/>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联系方式：</w:t>
      </w:r>
      <w:bookmarkEnd w:id="31"/>
      <w:r>
        <w:rPr>
          <w:rFonts w:hint="eastAsia" w:ascii="宋体" w:hAnsi="宋体" w:eastAsia="宋体" w:cs="宋体"/>
          <w:color w:val="auto"/>
          <w:sz w:val="24"/>
          <w:highlight w:val="none"/>
          <w:u w:val="single"/>
        </w:rPr>
        <w:t>010-60275513</w:t>
      </w:r>
    </w:p>
    <w:p>
      <w:pPr>
        <w:spacing w:line="360" w:lineRule="auto"/>
        <w:ind w:left="1080" w:leftChars="371" w:hanging="301" w:hangingChars="12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2.采购代理机构信息</w:t>
      </w:r>
      <w:bookmarkEnd w:id="32"/>
      <w:bookmarkEnd w:id="33"/>
    </w:p>
    <w:p>
      <w:pPr>
        <w:spacing w:line="360" w:lineRule="auto"/>
        <w:ind w:left="1079" w:leftChars="371" w:hanging="300" w:hangingChars="125"/>
        <w:jc w:val="left"/>
        <w:rPr>
          <w:rFonts w:hint="eastAsia" w:ascii="宋体" w:hAnsi="宋体" w:eastAsia="宋体" w:cs="宋体"/>
          <w:color w:val="auto"/>
          <w:sz w:val="24"/>
          <w:highlight w:val="none"/>
        </w:rPr>
      </w:pPr>
      <w:bookmarkStart w:id="36" w:name="_Toc28359010"/>
      <w:bookmarkStart w:id="37" w:name="_Toc28359087"/>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u w:val="single"/>
        </w:rPr>
        <w:t>北京国泰建中管理咨询有限公司__</w:t>
      </w:r>
    </w:p>
    <w:p>
      <w:pPr>
        <w:spacing w:line="360" w:lineRule="auto"/>
        <w:ind w:left="1079" w:leftChars="371" w:hanging="300" w:hangingChars="125"/>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bookmarkStart w:id="38" w:name="OLE_LINK4"/>
      <w:r>
        <w:rPr>
          <w:rFonts w:hint="eastAsia" w:ascii="宋体" w:hAnsi="宋体" w:eastAsia="宋体" w:cs="宋体"/>
          <w:color w:val="auto"/>
          <w:sz w:val="24"/>
          <w:highlight w:val="none"/>
          <w:u w:val="single"/>
        </w:rPr>
        <w:t>北京市海淀区成府路270号中科科仪院内6号楼3层</w:t>
      </w:r>
      <w:bookmarkEnd w:id="38"/>
    </w:p>
    <w:p>
      <w:pPr>
        <w:spacing w:line="360" w:lineRule="auto"/>
        <w:ind w:left="1079" w:leftChars="371" w:hanging="300" w:hangingChars="125"/>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联系方式：</w:t>
      </w:r>
      <w:bookmarkStart w:id="39" w:name="OLE_LINK7"/>
      <w:bookmarkStart w:id="40" w:name="OLE_LINK6"/>
      <w:r>
        <w:rPr>
          <w:rFonts w:hint="eastAsia" w:ascii="宋体" w:hAnsi="宋体" w:eastAsia="宋体" w:cs="宋体"/>
          <w:color w:val="auto"/>
          <w:sz w:val="24"/>
          <w:highlight w:val="none"/>
          <w:u w:val="single"/>
        </w:rPr>
        <w:t>010-68001293/68001559</w:t>
      </w:r>
      <w:bookmarkEnd w:id="39"/>
      <w:r>
        <w:rPr>
          <w:rFonts w:hint="eastAsia" w:ascii="宋体" w:hAnsi="宋体" w:eastAsia="宋体" w:cs="宋体"/>
          <w:color w:val="auto"/>
          <w:sz w:val="24"/>
          <w:highlight w:val="none"/>
          <w:u w:val="single"/>
        </w:rPr>
        <w:t xml:space="preserve"> </w:t>
      </w:r>
      <w:bookmarkEnd w:id="40"/>
    </w:p>
    <w:p>
      <w:pPr>
        <w:spacing w:line="360" w:lineRule="auto"/>
        <w:ind w:firstLine="723" w:firstLineChars="300"/>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3.项目联系方式</w:t>
      </w:r>
      <w:bookmarkEnd w:id="36"/>
      <w:bookmarkEnd w:id="37"/>
    </w:p>
    <w:p>
      <w:pPr>
        <w:pStyle w:val="23"/>
        <w:spacing w:line="360" w:lineRule="auto"/>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highlight w:val="none"/>
          <w:u w:val="single"/>
        </w:rPr>
        <w:t>于元惠、张敏、杜子一、张伟</w:t>
      </w:r>
    </w:p>
    <w:p>
      <w:pPr>
        <w:pStyle w:val="23"/>
        <w:spacing w:line="360" w:lineRule="auto"/>
        <w:ind w:firstLine="720" w:firstLineChars="3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 xml:space="preserve">010-68001293/68001559 </w:t>
      </w:r>
    </w:p>
    <w:p>
      <w:pPr>
        <w:pStyle w:val="23"/>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br w:type="page"/>
      </w:r>
      <w:bookmarkStart w:id="41" w:name="_Toc512937850"/>
      <w:bookmarkStart w:id="42" w:name="_Toc353873938"/>
      <w:bookmarkStart w:id="43" w:name="_Toc127151777"/>
      <w:bookmarkStart w:id="44" w:name="_Toc192872476"/>
      <w:bookmarkStart w:id="45" w:name="_Toc264969275"/>
      <w:bookmarkStart w:id="46" w:name="_Toc226965856"/>
      <w:bookmarkStart w:id="47" w:name="_Toc195842950"/>
      <w:bookmarkStart w:id="48" w:name="_Toc305158854"/>
      <w:bookmarkStart w:id="49" w:name="_Toc265228423"/>
      <w:bookmarkStart w:id="50" w:name="_Toc305158928"/>
      <w:bookmarkStart w:id="51" w:name="_Toc150774783"/>
      <w:bookmarkStart w:id="52" w:name="_Toc353825548"/>
      <w:bookmarkStart w:id="53" w:name="_Toc127161488"/>
      <w:r>
        <w:rPr>
          <w:rFonts w:hint="eastAsia" w:ascii="宋体" w:hAnsi="宋体" w:eastAsia="宋体" w:cs="宋体"/>
          <w:b/>
          <w:color w:val="auto"/>
          <w:sz w:val="36"/>
          <w:szCs w:val="36"/>
          <w:highlight w:val="none"/>
        </w:rPr>
        <w:t>第二章   投标人须知</w:t>
      </w:r>
      <w:bookmarkEnd w:id="41"/>
      <w:bookmarkEnd w:id="42"/>
      <w:bookmarkEnd w:id="43"/>
      <w:bookmarkEnd w:id="44"/>
      <w:bookmarkEnd w:id="45"/>
      <w:bookmarkEnd w:id="46"/>
      <w:bookmarkEnd w:id="47"/>
      <w:bookmarkEnd w:id="48"/>
      <w:bookmarkEnd w:id="49"/>
      <w:bookmarkEnd w:id="50"/>
      <w:bookmarkEnd w:id="51"/>
      <w:bookmarkEnd w:id="52"/>
      <w:bookmarkEnd w:id="53"/>
    </w:p>
    <w:p>
      <w:pPr>
        <w:pStyle w:val="4"/>
        <w:tabs>
          <w:tab w:val="center" w:pos="4592"/>
          <w:tab w:val="left" w:pos="7860"/>
        </w:tabs>
        <w:spacing w:before="0" w:line="360" w:lineRule="auto"/>
        <w:rPr>
          <w:rFonts w:hint="eastAsia" w:ascii="宋体" w:hAnsi="宋体" w:eastAsia="宋体" w:cs="宋体"/>
          <w:color w:val="auto"/>
          <w:sz w:val="28"/>
          <w:highlight w:val="none"/>
        </w:rPr>
      </w:pPr>
      <w:bookmarkStart w:id="54" w:name="_Toc226337215"/>
      <w:bookmarkStart w:id="55" w:name="_Toc164229360"/>
      <w:bookmarkStart w:id="56" w:name="_Toc226965709"/>
      <w:bookmarkStart w:id="57" w:name="_Toc150480757"/>
      <w:bookmarkStart w:id="58" w:name="_Toc127161433"/>
      <w:bookmarkStart w:id="59" w:name="_Toc127151519"/>
      <w:bookmarkStart w:id="60" w:name="_Toc164608788"/>
      <w:bookmarkStart w:id="61" w:name="_Toc164351613"/>
      <w:bookmarkStart w:id="62" w:name="_Toc127151720"/>
      <w:bookmarkStart w:id="63" w:name="_Toc150774724"/>
      <w:bookmarkStart w:id="64" w:name="_Toc150509270"/>
      <w:bookmarkStart w:id="65" w:name="_Toc150774619"/>
      <w:bookmarkStart w:id="66" w:name="_Toc151193689"/>
      <w:bookmarkStart w:id="67" w:name="_Toc149720812"/>
      <w:bookmarkStart w:id="68" w:name="_Toc520356144"/>
      <w:bookmarkStart w:id="69" w:name="_Toc151193617"/>
      <w:bookmarkStart w:id="70" w:name="_Toc151190146"/>
      <w:bookmarkStart w:id="71" w:name="_Toc151193833"/>
      <w:bookmarkStart w:id="72" w:name="_Toc151193761"/>
      <w:bookmarkStart w:id="73" w:name="_Toc151193907"/>
      <w:bookmarkStart w:id="74" w:name="_Toc226309763"/>
      <w:bookmarkStart w:id="75" w:name="_Toc226965792"/>
      <w:bookmarkStart w:id="76" w:name="_Toc195842884"/>
      <w:bookmarkStart w:id="77" w:name="_Toc164229214"/>
      <w:bookmarkStart w:id="78" w:name="_Toc142311021"/>
      <w:bookmarkStart w:id="79" w:name="_Toc164608633"/>
      <w:r>
        <w:rPr>
          <w:rFonts w:hint="eastAsia" w:ascii="宋体" w:hAnsi="宋体" w:eastAsia="宋体" w:cs="宋体"/>
          <w:color w:val="auto"/>
          <w:sz w:val="28"/>
          <w:highlight w:val="none"/>
        </w:rPr>
        <w:t>投标人须知资料表</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本表是对投标人须知的具体补充和修改，如有矛盾，均以本资料表为准。标记“</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”的选项意为适用于本项目，标记“□”的选项意为不适用于本项目。</w:t>
      </w:r>
    </w:p>
    <w:tbl>
      <w:tblPr>
        <w:tblStyle w:val="47"/>
        <w:tblW w:w="91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512"/>
        <w:gridCol w:w="6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tblHeader/>
          <w:jc w:val="center"/>
        </w:trPr>
        <w:tc>
          <w:tcPr>
            <w:tcW w:w="1035" w:type="dxa"/>
            <w:vAlign w:val="center"/>
          </w:tcPr>
          <w:p>
            <w:pPr>
              <w:spacing w:after="0" w:line="360" w:lineRule="auto"/>
              <w:jc w:val="center"/>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条款号</w:t>
            </w:r>
          </w:p>
        </w:tc>
        <w:tc>
          <w:tcPr>
            <w:tcW w:w="1512" w:type="dxa"/>
            <w:vAlign w:val="center"/>
          </w:tcPr>
          <w:p>
            <w:pPr>
              <w:spacing w:after="0"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条目</w:t>
            </w:r>
          </w:p>
        </w:tc>
        <w:tc>
          <w:tcPr>
            <w:tcW w:w="6609" w:type="dxa"/>
            <w:vAlign w:val="center"/>
          </w:tcPr>
          <w:p>
            <w:pPr>
              <w:spacing w:after="0"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512" w:type="dxa"/>
            <w:vAlign w:val="center"/>
          </w:tcPr>
          <w:p>
            <w:pPr>
              <w:adjustRightInd w:val="0"/>
              <w:snapToGrid w:val="0"/>
              <w:spacing w:after="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□服务</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512" w:type="dxa"/>
            <w:vAlign w:val="center"/>
          </w:tcPr>
          <w:p>
            <w:pPr>
              <w:adjustRightInd w:val="0"/>
              <w:snapToGrid w:val="0"/>
              <w:spacing w:after="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科研仪器设备</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是否属于科研仪器设备采购项目：</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□是</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512" w:type="dxa"/>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核心产品</w:t>
            </w:r>
          </w:p>
        </w:tc>
        <w:tc>
          <w:tcPr>
            <w:tcW w:w="6609" w:type="dxa"/>
            <w:vAlign w:val="center"/>
          </w:tcPr>
          <w:p>
            <w:pPr>
              <w:pStyle w:val="23"/>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关于核心产品本项目不适用。</w:t>
            </w:r>
          </w:p>
          <w:p>
            <w:pPr>
              <w:pStyle w:val="23"/>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highlight w:val="none"/>
              </w:rPr>
              <w:t>■</w:t>
            </w:r>
            <w:r>
              <w:rPr>
                <w:rFonts w:hint="eastAsia" w:ascii="宋体" w:hAnsi="宋体" w:eastAsia="宋体" w:cs="宋体"/>
                <w:color w:val="auto"/>
                <w:sz w:val="24"/>
                <w:szCs w:val="24"/>
                <w:highlight w:val="none"/>
              </w:rPr>
              <w:t>本项目本包次为单一产品采购项目。</w:t>
            </w:r>
          </w:p>
          <w:p>
            <w:pPr>
              <w:adjustRightInd w:val="0"/>
              <w:snapToGrid w:val="0"/>
              <w:spacing w:after="0" w:line="360" w:lineRule="auto"/>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rPr>
              <w:t>□本包次为非单一产品采购项目，</w:t>
            </w:r>
            <w:r>
              <w:rPr>
                <w:rFonts w:hint="eastAsia" w:ascii="宋体" w:hAnsi="宋体" w:eastAsia="宋体" w:cs="宋体"/>
                <w:b/>
                <w:bCs/>
                <w:color w:val="auto"/>
                <w:sz w:val="24"/>
                <w:highlight w:val="none"/>
              </w:rPr>
              <w:t>核心产品为：</w:t>
            </w:r>
            <w:r>
              <w:rPr>
                <w:rFonts w:hint="eastAsia" w:ascii="宋体" w:hAnsi="宋体" w:eastAsia="宋体" w:cs="宋体"/>
                <w:b/>
                <w:bCs/>
                <w:color w:val="auto"/>
                <w:sz w:val="24"/>
                <w:highlight w:val="none"/>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Merge w:val="restart"/>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512" w:type="dxa"/>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现场考察</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不组织</w:t>
            </w:r>
          </w:p>
          <w:p>
            <w:pPr>
              <w:adjustRightInd w:val="0"/>
              <w:snapToGrid w:val="0"/>
              <w:spacing w:after="0" w:line="360" w:lineRule="auto"/>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□组织，考察时间：__年_月_日_</w:t>
            </w:r>
            <w:r>
              <w:rPr>
                <w:rFonts w:hint="eastAsia" w:ascii="宋体" w:hAnsi="宋体" w:eastAsia="宋体" w:cs="宋体"/>
                <w:bCs/>
                <w:color w:val="auto"/>
                <w:sz w:val="24"/>
                <w:highlight w:val="none"/>
              </w:rPr>
              <w:t>点</w:t>
            </w:r>
            <w:r>
              <w:rPr>
                <w:rFonts w:hint="eastAsia" w:ascii="宋体" w:hAnsi="宋体" w:eastAsia="宋体" w:cs="宋体"/>
                <w:color w:val="auto"/>
                <w:sz w:val="24"/>
                <w:highlight w:val="none"/>
              </w:rPr>
              <w:t>_</w:t>
            </w:r>
            <w:r>
              <w:rPr>
                <w:rFonts w:hint="eastAsia" w:ascii="宋体" w:hAnsi="宋体" w:eastAsia="宋体" w:cs="宋体"/>
                <w:bCs/>
                <w:color w:val="auto"/>
                <w:sz w:val="24"/>
                <w:highlight w:val="none"/>
              </w:rPr>
              <w:t>分</w:t>
            </w:r>
          </w:p>
          <w:p>
            <w:pPr>
              <w:pStyle w:val="23"/>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考察地点：____________。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3" w:hRule="atLeast"/>
          <w:jc w:val="center"/>
        </w:trPr>
        <w:tc>
          <w:tcPr>
            <w:tcW w:w="1035" w:type="dxa"/>
            <w:vMerge w:val="continue"/>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p>
        </w:tc>
        <w:tc>
          <w:tcPr>
            <w:tcW w:w="1512" w:type="dxa"/>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开标前答疑会</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不召开</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□召开，召开时间：__年_月_日_</w:t>
            </w:r>
            <w:r>
              <w:rPr>
                <w:rFonts w:hint="eastAsia" w:ascii="宋体" w:hAnsi="宋体" w:eastAsia="宋体" w:cs="宋体"/>
                <w:bCs/>
                <w:color w:val="auto"/>
                <w:sz w:val="24"/>
                <w:highlight w:val="none"/>
              </w:rPr>
              <w:t>点</w:t>
            </w:r>
            <w:r>
              <w:rPr>
                <w:rFonts w:hint="eastAsia" w:ascii="宋体" w:hAnsi="宋体" w:eastAsia="宋体" w:cs="宋体"/>
                <w:color w:val="auto"/>
                <w:sz w:val="24"/>
                <w:highlight w:val="none"/>
              </w:rPr>
              <w:t>_</w:t>
            </w:r>
            <w:r>
              <w:rPr>
                <w:rFonts w:hint="eastAsia" w:ascii="宋体" w:hAnsi="宋体" w:eastAsia="宋体" w:cs="宋体"/>
                <w:bCs/>
                <w:color w:val="auto"/>
                <w:sz w:val="24"/>
                <w:highlight w:val="none"/>
              </w:rPr>
              <w:t>分</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召开地点：____________。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p>
        </w:tc>
        <w:tc>
          <w:tcPr>
            <w:tcW w:w="1512" w:type="dxa"/>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样品</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投标样品递交：</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5.2.5</w:t>
            </w:r>
          </w:p>
        </w:tc>
        <w:tc>
          <w:tcPr>
            <w:tcW w:w="151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标的所属行业</w:t>
            </w:r>
          </w:p>
        </w:tc>
        <w:tc>
          <w:tcPr>
            <w:tcW w:w="6609" w:type="dxa"/>
            <w:vAlign w:val="center"/>
          </w:tcPr>
          <w:p>
            <w:pPr>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本项目采购标的对应的中小企业划分标准所属行业：</w:t>
            </w:r>
          </w:p>
          <w:tbl>
            <w:tblPr>
              <w:tblStyle w:val="47"/>
              <w:tblW w:w="6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8"/>
              <w:gridCol w:w="2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3938" w:type="dxa"/>
                  <w:tcBorders>
                    <w:top w:val="single" w:color="auto" w:sz="4" w:space="0"/>
                    <w:left w:val="single" w:color="auto" w:sz="4" w:space="0"/>
                    <w:bottom w:val="single" w:color="auto" w:sz="4" w:space="0"/>
                    <w:right w:val="single" w:color="auto" w:sz="4" w:space="0"/>
                  </w:tcBorders>
                  <w:vAlign w:val="center"/>
                </w:tcPr>
                <w:p>
                  <w:pPr>
                    <w:spacing w:after="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标的名称</w:t>
                  </w:r>
                </w:p>
              </w:tc>
              <w:tc>
                <w:tcPr>
                  <w:tcW w:w="2473" w:type="dxa"/>
                  <w:tcBorders>
                    <w:top w:val="single" w:color="auto" w:sz="4" w:space="0"/>
                    <w:left w:val="single" w:color="auto" w:sz="4" w:space="0"/>
                    <w:bottom w:val="single" w:color="auto" w:sz="4" w:space="0"/>
                    <w:right w:val="single" w:color="auto" w:sz="4" w:space="0"/>
                  </w:tcBorders>
                  <w:vAlign w:val="center"/>
                </w:tcPr>
                <w:p>
                  <w:pPr>
                    <w:spacing w:after="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938" w:type="dxa"/>
                  <w:tcBorders>
                    <w:top w:val="single" w:color="auto" w:sz="4" w:space="0"/>
                    <w:left w:val="single" w:color="auto" w:sz="4" w:space="0"/>
                    <w:bottom w:val="single" w:color="auto" w:sz="4" w:space="0"/>
                    <w:right w:val="single" w:color="auto" w:sz="4" w:space="0"/>
                  </w:tcBorders>
                  <w:vAlign w:val="center"/>
                </w:tcPr>
                <w:p>
                  <w:pPr>
                    <w:spacing w:after="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重组禽流感病毒（H5+H7）四价灭活疫苗</w:t>
                  </w:r>
                </w:p>
              </w:tc>
              <w:tc>
                <w:tcPr>
                  <w:tcW w:w="2473" w:type="dxa"/>
                  <w:tcBorders>
                    <w:top w:val="single" w:color="auto" w:sz="4" w:space="0"/>
                    <w:left w:val="single" w:color="auto" w:sz="4" w:space="0"/>
                    <w:bottom w:val="single" w:color="auto" w:sz="4" w:space="0"/>
                    <w:right w:val="single" w:color="auto" w:sz="4" w:space="0"/>
                  </w:tcBorders>
                  <w:vAlign w:val="center"/>
                </w:tcPr>
                <w:p>
                  <w:pPr>
                    <w:spacing w:after="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工业（制造业）</w:t>
                  </w:r>
                </w:p>
              </w:tc>
            </w:tr>
          </w:tbl>
          <w:p>
            <w:pP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7"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1512" w:type="dxa"/>
            <w:vMerge w:val="restart"/>
            <w:vAlign w:val="center"/>
          </w:tcPr>
          <w:p>
            <w:pPr>
              <w:adjustRightInd w:val="0"/>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投标保证金</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本项目不收取保证金）</w:t>
            </w:r>
          </w:p>
        </w:tc>
        <w:tc>
          <w:tcPr>
            <w:tcW w:w="6609" w:type="dxa"/>
            <w:vAlign w:val="center"/>
          </w:tcPr>
          <w:p>
            <w:pPr>
              <w:pStyle w:val="23"/>
              <w:adjustRightInd w:val="0"/>
              <w:snapToGrid w:val="0"/>
              <w:spacing w:after="0" w:line="360" w:lineRule="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szCs w:val="24"/>
                <w:highlight w:val="none"/>
              </w:rPr>
              <w:t>投标保证金金额：</w:t>
            </w:r>
            <w:r>
              <w:rPr>
                <w:rFonts w:hint="eastAsia" w:hAnsi="宋体" w:cs="宋体"/>
                <w:b/>
                <w:bCs/>
                <w:color w:val="auto"/>
                <w:sz w:val="24"/>
                <w:szCs w:val="24"/>
                <w:highlight w:val="none"/>
                <w:u w:val="single"/>
                <w:lang w:val="en-US" w:eastAsia="zh-CN"/>
              </w:rPr>
              <w:t>/</w:t>
            </w:r>
          </w:p>
          <w:p>
            <w:pPr>
              <w:topLinePunct/>
              <w:spacing w:after="0" w:line="400" w:lineRule="exact"/>
              <w:ind w:right="20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投标保证金收受人信息：</w:t>
            </w:r>
          </w:p>
          <w:p>
            <w:pPr>
              <w:topLinePunct/>
              <w:spacing w:after="0" w:line="400" w:lineRule="exact"/>
              <w:ind w:right="20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招标代理机构银行账户信息：</w:t>
            </w:r>
          </w:p>
          <w:p>
            <w:pPr>
              <w:topLinePunct/>
              <w:spacing w:after="0" w:line="400" w:lineRule="exact"/>
              <w:ind w:right="20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开户名（全称）：北京国泰建中管理咨询有限公司</w:t>
            </w:r>
          </w:p>
          <w:p>
            <w:pPr>
              <w:topLinePunct/>
              <w:spacing w:after="0" w:line="400" w:lineRule="exact"/>
              <w:ind w:right="20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 户  银 行 ：招商银行股份有限公司北京分行甘家口支行</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 ：531902429310101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12.7.2</w:t>
            </w:r>
          </w:p>
        </w:tc>
        <w:tc>
          <w:tcPr>
            <w:tcW w:w="1512" w:type="dxa"/>
            <w:vMerge w:val="continue"/>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6609" w:type="dxa"/>
            <w:vAlign w:val="center"/>
          </w:tcPr>
          <w:p>
            <w:pPr>
              <w:adjustRightInd w:val="0"/>
              <w:snapToGrid w:val="0"/>
              <w:spacing w:after="0" w:line="24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投标保证金可以不予退还的其他情形：</w:t>
            </w:r>
          </w:p>
          <w:p>
            <w:pPr>
              <w:adjustRightInd w:val="0"/>
              <w:snapToGrid w:val="0"/>
              <w:spacing w:after="0" w:line="24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□无</w:t>
            </w:r>
          </w:p>
          <w:p>
            <w:pPr>
              <w:pStyle w:val="23"/>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■有，具体情形：</w:t>
            </w:r>
            <w:r>
              <w:rPr>
                <w:rFonts w:hint="eastAsia" w:ascii="宋体" w:hAnsi="宋体" w:eastAsia="宋体" w:cs="宋体"/>
                <w:color w:val="auto"/>
                <w:sz w:val="24"/>
                <w:szCs w:val="24"/>
                <w:highlight w:val="none"/>
                <w:u w:val="single"/>
              </w:rPr>
              <w:t xml:space="preserve"> 详见投标人须知 </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1512" w:type="dxa"/>
            <w:vAlign w:val="center"/>
          </w:tcPr>
          <w:p>
            <w:pPr>
              <w:adjustRightInd w:val="0"/>
              <w:snapToGrid w:val="0"/>
              <w:spacing w:after="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自提交投标文件的截止之日起算</w:t>
            </w:r>
            <w:r>
              <w:rPr>
                <w:rFonts w:hint="eastAsia" w:ascii="宋体" w:hAnsi="宋体" w:eastAsia="宋体" w:cs="宋体"/>
                <w:color w:val="auto"/>
                <w:sz w:val="24"/>
                <w:highlight w:val="none"/>
                <w:u w:val="single"/>
              </w:rPr>
              <w:t xml:space="preserve"> 90 </w:t>
            </w:r>
            <w:r>
              <w:rPr>
                <w:rFonts w:hint="eastAsia" w:ascii="宋体" w:hAnsi="宋体" w:eastAsia="宋体" w:cs="宋体"/>
                <w:color w:val="auto"/>
                <w:sz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w:t>
            </w:r>
          </w:p>
        </w:tc>
        <w:tc>
          <w:tcPr>
            <w:tcW w:w="1512"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解密时间</w:t>
            </w:r>
          </w:p>
        </w:tc>
        <w:tc>
          <w:tcPr>
            <w:tcW w:w="6609" w:type="dxa"/>
            <w:vAlign w:val="center"/>
          </w:tcPr>
          <w:p>
            <w:pPr>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解密时间：</w:t>
            </w:r>
            <w:r>
              <w:rPr>
                <w:rFonts w:hint="eastAsia" w:ascii="宋体" w:hAnsi="宋体" w:eastAsia="宋体" w:cs="宋体"/>
                <w:color w:val="auto"/>
                <w:sz w:val="24"/>
                <w:highlight w:val="none"/>
                <w:lang w:val="en-US" w:eastAsia="zh-CN"/>
              </w:rPr>
              <w:t>不少于</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分钟</w:t>
            </w:r>
            <w:r>
              <w:rPr>
                <w:rFonts w:hint="eastAsia" w:ascii="宋体" w:hAnsi="宋体" w:eastAsia="宋体" w:cs="宋体"/>
                <w:i/>
                <w:iCs/>
                <w:color w:val="auto"/>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512" w:type="dxa"/>
            <w:vAlign w:val="center"/>
          </w:tcPr>
          <w:p>
            <w:pPr>
              <w:spacing w:after="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确定中标人</w:t>
            </w:r>
          </w:p>
        </w:tc>
        <w:tc>
          <w:tcPr>
            <w:tcW w:w="6609" w:type="dxa"/>
            <w:vAlign w:val="center"/>
          </w:tcPr>
          <w:p>
            <w:pPr>
              <w:pStyle w:val="2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中标候选人并列的，采购人是否委托评标委员会确定中标人：</w:t>
            </w:r>
          </w:p>
          <w:p>
            <w:pPr>
              <w:pStyle w:val="2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■否</w:t>
            </w:r>
          </w:p>
          <w:p>
            <w:pPr>
              <w:pStyle w:val="2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□是</w:t>
            </w:r>
          </w:p>
          <w:p>
            <w:pPr>
              <w:pStyle w:val="23"/>
              <w:adjustRightInd w:val="0"/>
              <w:snapToGrid w:val="0"/>
              <w:spacing w:after="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中标候选人并列的，按照以下方式确定中标人：</w:t>
            </w:r>
          </w:p>
          <w:p>
            <w:pPr>
              <w:pStyle w:val="2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■得分且投标报价均相同的，以</w:t>
            </w:r>
            <w:r>
              <w:rPr>
                <w:rFonts w:hint="eastAsia" w:ascii="宋体" w:hAnsi="宋体" w:eastAsia="宋体" w:cs="宋体"/>
                <w:color w:val="auto"/>
                <w:sz w:val="24"/>
                <w:highlight w:val="none"/>
                <w:u w:val="single"/>
              </w:rPr>
              <w:t xml:space="preserve"> 评审因素的量化指标评审 </w:t>
            </w:r>
            <w:r>
              <w:rPr>
                <w:rFonts w:hint="eastAsia" w:ascii="宋体" w:hAnsi="宋体" w:eastAsia="宋体" w:cs="宋体"/>
                <w:color w:val="auto"/>
                <w:sz w:val="24"/>
                <w:highlight w:val="none"/>
              </w:rPr>
              <w:t>得分高者为中标人</w:t>
            </w:r>
          </w:p>
          <w:p>
            <w:pPr>
              <w:pStyle w:val="2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25.5</w:t>
            </w:r>
          </w:p>
        </w:tc>
        <w:tc>
          <w:tcPr>
            <w:tcW w:w="1512" w:type="dxa"/>
            <w:vAlign w:val="center"/>
          </w:tcPr>
          <w:p>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分包</w:t>
            </w:r>
          </w:p>
        </w:tc>
        <w:tc>
          <w:tcPr>
            <w:tcW w:w="6609" w:type="dxa"/>
            <w:vAlign w:val="center"/>
          </w:tcPr>
          <w:p>
            <w:pPr>
              <w:spacing w:after="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本项目的非主体、非关键性工作是否允许分包： </w:t>
            </w:r>
          </w:p>
          <w:p>
            <w:pPr>
              <w:spacing w:after="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■不允许</w:t>
            </w:r>
          </w:p>
          <w:p>
            <w:pPr>
              <w:spacing w:after="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□允许，具体要求：</w:t>
            </w:r>
          </w:p>
          <w:p>
            <w:pPr>
              <w:spacing w:after="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（1）可以分包履行的具体内容：</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w:t>
            </w:r>
          </w:p>
          <w:p>
            <w:pPr>
              <w:spacing w:after="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（2）允许分包的金额或者比例：</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u w:val="single"/>
                <w:lang w:val="en-US" w:eastAsia="zh-CN"/>
              </w:rPr>
              <w:t>/</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w:t>
            </w:r>
          </w:p>
          <w:p>
            <w:pPr>
              <w:spacing w:after="0" w:line="360" w:lineRule="auto"/>
              <w:jc w:val="left"/>
              <w:rPr>
                <w:rFonts w:hint="eastAsia" w:ascii="宋体" w:hAnsi="宋体" w:eastAsia="宋体" w:cs="宋体"/>
                <w:b w:val="0"/>
                <w:bCs w:val="0"/>
                <w:color w:val="auto"/>
                <w:sz w:val="24"/>
                <w:highlight w:val="none"/>
                <w:u w:val="single"/>
              </w:rPr>
            </w:pPr>
            <w:r>
              <w:rPr>
                <w:rFonts w:hint="eastAsia" w:ascii="宋体" w:hAnsi="宋体" w:eastAsia="宋体" w:cs="宋体"/>
                <w:b w:val="0"/>
                <w:bCs w:val="0"/>
                <w:color w:val="auto"/>
                <w:sz w:val="24"/>
                <w:highlight w:val="none"/>
              </w:rPr>
              <w:t>（3）其他要求：</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u w:val="single"/>
                <w:lang w:val="en-US" w:eastAsia="zh-CN"/>
              </w:rPr>
              <w:t>/</w:t>
            </w:r>
            <w:r>
              <w:rPr>
                <w:rFonts w:hint="eastAsia" w:ascii="宋体" w:hAnsi="宋体" w:eastAsia="宋体" w:cs="宋体"/>
                <w:b w:val="0"/>
                <w:bCs w:val="0"/>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25.6</w:t>
            </w:r>
          </w:p>
        </w:tc>
        <w:tc>
          <w:tcPr>
            <w:tcW w:w="151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政采贷</w:t>
            </w:r>
          </w:p>
        </w:tc>
        <w:tc>
          <w:tcPr>
            <w:tcW w:w="6609" w:type="dxa"/>
            <w:vAlign w:val="center"/>
          </w:tcPr>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投标人，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26.1.1</w:t>
            </w:r>
          </w:p>
        </w:tc>
        <w:tc>
          <w:tcPr>
            <w:tcW w:w="151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询问</w:t>
            </w:r>
          </w:p>
        </w:tc>
        <w:tc>
          <w:tcPr>
            <w:tcW w:w="6609" w:type="dxa"/>
            <w:vAlign w:val="center"/>
          </w:tcPr>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询问送达形式：</w:t>
            </w:r>
            <w:r>
              <w:rPr>
                <w:rFonts w:hint="eastAsia" w:ascii="宋体" w:hAnsi="宋体" w:eastAsia="宋体" w:cs="宋体"/>
                <w:color w:val="auto"/>
                <w:sz w:val="24"/>
                <w:highlight w:val="none"/>
                <w:u w:val="single"/>
              </w:rPr>
              <w:t>Word版、</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"mailto:盖章后电子版均需发电子邮箱至bjgtjz@126.com/"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sz w:val="24"/>
                <w:highlight w:val="none"/>
              </w:rPr>
              <w:t>盖章后电子版均需发电子邮箱至bjgtjz@126.com/</w:t>
            </w:r>
            <w:r>
              <w:rPr>
                <w:rStyle w:val="55"/>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u w:val="single"/>
              </w:rPr>
              <w:t>盖章后的纸质版原件快递至北京市海淀区成府路270号中科科仪6号楼3层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w:t>
            </w:r>
          </w:p>
        </w:tc>
        <w:tc>
          <w:tcPr>
            <w:tcW w:w="151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6609" w:type="dxa"/>
            <w:vAlign w:val="center"/>
          </w:tcPr>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接收询问和质疑的联系方式</w:t>
            </w:r>
          </w:p>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联系部门：</w:t>
            </w:r>
            <w:r>
              <w:rPr>
                <w:rFonts w:hint="eastAsia" w:ascii="宋体" w:hAnsi="宋体" w:eastAsia="宋体" w:cs="宋体"/>
                <w:color w:val="auto"/>
                <w:sz w:val="24"/>
                <w:highlight w:val="none"/>
                <w:u w:val="single"/>
              </w:rPr>
              <w:t xml:space="preserve"> 招标部 </w:t>
            </w:r>
            <w:r>
              <w:rPr>
                <w:rFonts w:hint="eastAsia" w:ascii="宋体" w:hAnsi="宋体" w:eastAsia="宋体" w:cs="宋体"/>
                <w:color w:val="auto"/>
                <w:sz w:val="24"/>
                <w:highlight w:val="none"/>
              </w:rPr>
              <w:t>；</w:t>
            </w:r>
          </w:p>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010-68001293  </w:t>
            </w:r>
            <w:r>
              <w:rPr>
                <w:rFonts w:hint="eastAsia" w:ascii="宋体" w:hAnsi="宋体" w:eastAsia="宋体" w:cs="宋体"/>
                <w:color w:val="auto"/>
                <w:sz w:val="24"/>
                <w:highlight w:val="none"/>
              </w:rPr>
              <w:t>；</w:t>
            </w:r>
          </w:p>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北京市海淀区成府路270号中科科仪院内6号楼3层</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8"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5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代理费</w:t>
            </w:r>
          </w:p>
        </w:tc>
        <w:tc>
          <w:tcPr>
            <w:tcW w:w="660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收费对象：</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■中标人</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收费标准：</w:t>
            </w:r>
            <w:r>
              <w:rPr>
                <w:rFonts w:hint="eastAsia" w:ascii="宋体" w:hAnsi="宋体" w:eastAsia="宋体" w:cs="宋体"/>
                <w:color w:val="auto"/>
                <w:sz w:val="24"/>
                <w:highlight w:val="none"/>
                <w:u w:val="single"/>
              </w:rPr>
              <w:t>_详见投标人须知条款27.2__</w:t>
            </w:r>
            <w:r>
              <w:rPr>
                <w:rFonts w:hint="eastAsia" w:ascii="宋体" w:hAnsi="宋体" w:eastAsia="宋体" w:cs="宋体"/>
                <w:color w:val="auto"/>
                <w:sz w:val="24"/>
                <w:highlight w:val="none"/>
              </w:rPr>
              <w:t>；</w:t>
            </w:r>
          </w:p>
          <w:p>
            <w:pPr>
              <w:spacing w:after="0"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缴纳时间：</w:t>
            </w:r>
            <w:r>
              <w:rPr>
                <w:rFonts w:hint="eastAsia" w:ascii="宋体" w:hAnsi="宋体" w:eastAsia="宋体" w:cs="宋体"/>
                <w:color w:val="auto"/>
                <w:sz w:val="24"/>
                <w:highlight w:val="none"/>
                <w:u w:val="single"/>
              </w:rPr>
              <w:t>_中标人在领取中标通知书的同时以电汇或现金的形式向招标代理机构一次性缴付本项目代理服务费。</w:t>
            </w:r>
          </w:p>
        </w:tc>
      </w:tr>
    </w:tbl>
    <w:p>
      <w:pPr>
        <w:tabs>
          <w:tab w:val="left" w:pos="5580"/>
        </w:tabs>
        <w:adjustRightInd w:val="0"/>
        <w:spacing w:line="360" w:lineRule="auto"/>
        <w:jc w:val="distribute"/>
        <w:rPr>
          <w:rFonts w:hint="eastAsia" w:ascii="宋体" w:hAnsi="宋体" w:eastAsia="宋体" w:cs="宋体"/>
          <w:color w:val="auto"/>
          <w:sz w:val="24"/>
          <w:highlight w:val="none"/>
        </w:rPr>
        <w:sectPr>
          <w:headerReference r:id="rId3" w:type="first"/>
          <w:footerReference r:id="rId4" w:type="default"/>
          <w:type w:val="nextColumn"/>
          <w:pgSz w:w="11901" w:h="16817"/>
          <w:pgMar w:top="1418" w:right="1474" w:bottom="1418" w:left="1474" w:header="851" w:footer="851" w:gutter="0"/>
          <w:pgNumType w:start="0"/>
          <w:cols w:space="720" w:num="1"/>
          <w:titlePg/>
          <w:docGrid w:linePitch="462" w:charSpace="0"/>
        </w:sectPr>
      </w:pPr>
    </w:p>
    <w:p>
      <w:pPr>
        <w:spacing w:before="240" w:beforeLines="100" w:after="240" w:afterLines="100"/>
        <w:jc w:val="center"/>
        <w:rPr>
          <w:rFonts w:hint="eastAsia" w:ascii="宋体" w:hAnsi="宋体" w:eastAsia="宋体" w:cs="宋体"/>
          <w:b/>
          <w:color w:val="auto"/>
          <w:sz w:val="28"/>
          <w:szCs w:val="28"/>
          <w:highlight w:val="none"/>
        </w:rPr>
      </w:pPr>
      <w:bookmarkStart w:id="80" w:name="_Toc150774722"/>
      <w:bookmarkStart w:id="81" w:name="_Toc142311019"/>
      <w:bookmarkStart w:id="82" w:name="_Toc226965790"/>
      <w:bookmarkStart w:id="83" w:name="_Toc150480755"/>
      <w:bookmarkStart w:id="84" w:name="_Toc127151517"/>
      <w:bookmarkStart w:id="85" w:name="_Toc353873662"/>
      <w:bookmarkStart w:id="86" w:name="_Toc305158859"/>
      <w:bookmarkStart w:id="87" w:name="_Toc265228355"/>
      <w:bookmarkStart w:id="88" w:name="_Toc353873932"/>
      <w:bookmarkStart w:id="89" w:name="_Toc264969207"/>
      <w:bookmarkStart w:id="90" w:name="_Toc353825542"/>
      <w:bookmarkStart w:id="91" w:name="_Toc195842882"/>
      <w:bookmarkStart w:id="92" w:name="_Toc226337213"/>
      <w:bookmarkStart w:id="93" w:name="_Toc305158785"/>
      <w:r>
        <w:rPr>
          <w:rFonts w:hint="eastAsia" w:ascii="宋体" w:hAnsi="宋体" w:eastAsia="宋体" w:cs="宋体"/>
          <w:b/>
          <w:color w:val="auto"/>
          <w:sz w:val="28"/>
          <w:szCs w:val="28"/>
          <w:highlight w:val="none"/>
        </w:rPr>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pPr>
        <w:pStyle w:val="4"/>
        <w:tabs>
          <w:tab w:val="center" w:pos="4592"/>
          <w:tab w:val="left" w:pos="7860"/>
        </w:tabs>
        <w:spacing w:before="0" w:line="360" w:lineRule="auto"/>
        <w:jc w:val="left"/>
        <w:rPr>
          <w:rFonts w:hint="eastAsia" w:ascii="宋体" w:hAnsi="宋体" w:eastAsia="宋体" w:cs="宋体"/>
          <w:color w:val="auto"/>
          <w:sz w:val="28"/>
          <w:highlight w:val="none"/>
        </w:rPr>
      </w:pPr>
      <w:bookmarkStart w:id="94" w:name="_Toc127151518"/>
      <w:bookmarkStart w:id="95" w:name="_Toc520356143"/>
      <w:r>
        <w:rPr>
          <w:rFonts w:hint="eastAsia" w:ascii="宋体" w:hAnsi="宋体" w:eastAsia="宋体" w:cs="宋体"/>
          <w:color w:val="auto"/>
          <w:sz w:val="28"/>
          <w:highlight w:val="none"/>
        </w:rPr>
        <w:tab/>
      </w:r>
      <w:bookmarkStart w:id="96" w:name="_Toc265228356"/>
      <w:bookmarkStart w:id="97" w:name="_Toc305158786"/>
      <w:bookmarkStart w:id="98" w:name="_Toc151193906"/>
      <w:bookmarkStart w:id="99" w:name="_Toc226309762"/>
      <w:bookmarkStart w:id="100" w:name="_Toc226965791"/>
      <w:bookmarkStart w:id="101" w:name="_Toc264969208"/>
      <w:bookmarkStart w:id="102" w:name="_Toc151193688"/>
      <w:bookmarkStart w:id="103" w:name="_Toc142311020"/>
      <w:bookmarkStart w:id="104" w:name="_Toc151193832"/>
      <w:bookmarkStart w:id="105" w:name="_Toc150774618"/>
      <w:bookmarkStart w:id="106" w:name="_Toc151190145"/>
      <w:bookmarkStart w:id="107" w:name="_Toc150509269"/>
      <w:bookmarkStart w:id="108" w:name="_Toc151193760"/>
      <w:bookmarkStart w:id="109" w:name="_Toc226965708"/>
      <w:bookmarkStart w:id="110" w:name="_Toc151193616"/>
      <w:bookmarkStart w:id="111" w:name="_Toc195842883"/>
      <w:bookmarkStart w:id="112" w:name="_Toc305158860"/>
      <w:bookmarkStart w:id="113" w:name="_Toc150480756"/>
      <w:bookmarkStart w:id="114" w:name="_Toc226337214"/>
      <w:bookmarkStart w:id="115" w:name="_Toc150774723"/>
      <w:r>
        <w:rPr>
          <w:rFonts w:hint="eastAsia" w:ascii="宋体" w:hAnsi="宋体" w:eastAsia="宋体" w:cs="宋体"/>
          <w:color w:val="auto"/>
          <w:sz w:val="28"/>
          <w:highlight w:val="none"/>
        </w:rPr>
        <w:t>一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宋体" w:hAnsi="宋体" w:eastAsia="宋体" w:cs="宋体"/>
          <w:color w:val="auto"/>
          <w:sz w:val="28"/>
          <w:highlight w:val="none"/>
        </w:rPr>
        <w:tab/>
      </w:r>
    </w:p>
    <w:p>
      <w:pPr>
        <w:numPr>
          <w:ilvl w:val="0"/>
          <w:numId w:val="12"/>
        </w:numPr>
        <w:tabs>
          <w:tab w:val="left" w:pos="360"/>
          <w:tab w:val="clear" w:pos="900"/>
        </w:tabs>
        <w:snapToGrid w:val="0"/>
        <w:spacing w:line="360" w:lineRule="auto"/>
        <w:ind w:left="357" w:hanging="357"/>
        <w:outlineLvl w:val="1"/>
        <w:rPr>
          <w:rFonts w:hint="eastAsia" w:ascii="宋体" w:hAnsi="宋体" w:eastAsia="宋体" w:cs="宋体"/>
          <w:color w:val="auto"/>
          <w:sz w:val="24"/>
          <w:highlight w:val="none"/>
        </w:rPr>
      </w:pPr>
      <w:bookmarkStart w:id="116" w:name="_Toc305158787"/>
      <w:bookmarkStart w:id="117" w:name="_Toc305158861"/>
      <w:bookmarkStart w:id="118" w:name="_Toc264969209"/>
      <w:bookmarkStart w:id="119" w:name="_Toc265228357"/>
      <w:r>
        <w:rPr>
          <w:rFonts w:hint="eastAsia" w:ascii="宋体" w:hAnsi="宋体" w:eastAsia="宋体" w:cs="宋体"/>
          <w:color w:val="auto"/>
          <w:sz w:val="24"/>
          <w:highlight w:val="none"/>
        </w:rPr>
        <w:t>采购人、采购代理机构、投标人</w:t>
      </w:r>
      <w:bookmarkEnd w:id="116"/>
      <w:bookmarkEnd w:id="117"/>
      <w:bookmarkEnd w:id="118"/>
      <w:bookmarkEnd w:id="119"/>
      <w:r>
        <w:rPr>
          <w:rFonts w:hint="eastAsia" w:ascii="宋体" w:hAnsi="宋体" w:eastAsia="宋体" w:cs="宋体"/>
          <w:color w:val="auto"/>
          <w:sz w:val="24"/>
          <w:highlight w:val="none"/>
        </w:rPr>
        <w:t>、联合体</w:t>
      </w:r>
    </w:p>
    <w:p>
      <w:pPr>
        <w:numPr>
          <w:ilvl w:val="1"/>
          <w:numId w:val="12"/>
        </w:numPr>
        <w:tabs>
          <w:tab w:val="left" w:pos="1080"/>
          <w:tab w:val="left" w:pos="2014"/>
          <w:tab w:val="left" w:pos="5521"/>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采购人、采购代理机构：指依法进行政府采购的国家机关、事业单位、团体组织，及其委托的采购代理机构。本项目采购人、采购代理机构见第一章《投标邀请》。</w:t>
      </w:r>
    </w:p>
    <w:p>
      <w:pPr>
        <w:numPr>
          <w:ilvl w:val="1"/>
          <w:numId w:val="12"/>
        </w:numPr>
        <w:tabs>
          <w:tab w:val="left" w:pos="1080"/>
          <w:tab w:val="left" w:pos="2014"/>
          <w:tab w:val="left" w:pos="5521"/>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投标人（也称“投标人”、“申请人”）：指向采购人提供货物、工程或者服务的法人、其他组织或者自然人。</w:t>
      </w:r>
    </w:p>
    <w:p>
      <w:pPr>
        <w:numPr>
          <w:ilvl w:val="1"/>
          <w:numId w:val="12"/>
        </w:numPr>
        <w:tabs>
          <w:tab w:val="left" w:pos="1080"/>
          <w:tab w:val="left" w:pos="2014"/>
          <w:tab w:val="left" w:pos="5521"/>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联合体：指两个以上的自然人、法人或者其他组织组成一个联合体，以一个投标人的身份共同参加政府采购。</w:t>
      </w:r>
    </w:p>
    <w:p>
      <w:pPr>
        <w:numPr>
          <w:ilvl w:val="0"/>
          <w:numId w:val="12"/>
        </w:numPr>
        <w:tabs>
          <w:tab w:val="left" w:pos="360"/>
          <w:tab w:val="clear" w:pos="900"/>
        </w:tabs>
        <w:snapToGrid w:val="0"/>
        <w:spacing w:line="360" w:lineRule="auto"/>
        <w:ind w:left="357" w:hanging="357"/>
        <w:outlineLvl w:val="1"/>
        <w:rPr>
          <w:rFonts w:hint="eastAsia" w:ascii="宋体" w:hAnsi="宋体" w:eastAsia="宋体" w:cs="宋体"/>
          <w:color w:val="auto"/>
          <w:sz w:val="24"/>
          <w:highlight w:val="none"/>
        </w:rPr>
      </w:pPr>
      <w:bookmarkStart w:id="120" w:name="_Toc164229361"/>
      <w:bookmarkStart w:id="121" w:name="_Toc164608634"/>
      <w:bookmarkStart w:id="122" w:name="_Toc127161434"/>
      <w:bookmarkStart w:id="123" w:name="_Toc151193618"/>
      <w:bookmarkStart w:id="124" w:name="_Toc226965710"/>
      <w:bookmarkStart w:id="125" w:name="_Toc226965793"/>
      <w:bookmarkStart w:id="126" w:name="_Toc150774725"/>
      <w:bookmarkStart w:id="127" w:name="_Toc150509271"/>
      <w:bookmarkStart w:id="128" w:name="_Toc151193908"/>
      <w:bookmarkStart w:id="129" w:name="_Toc127151520"/>
      <w:bookmarkStart w:id="130" w:name="_Toc150774620"/>
      <w:bookmarkStart w:id="131" w:name="_Toc142311022"/>
      <w:bookmarkStart w:id="132" w:name="_Toc127151721"/>
      <w:bookmarkStart w:id="133" w:name="_Toc305158788"/>
      <w:bookmarkStart w:id="134" w:name="_Toc226309764"/>
      <w:bookmarkStart w:id="135" w:name="_Toc151193762"/>
      <w:bookmarkStart w:id="136" w:name="_Toc226337216"/>
      <w:bookmarkStart w:id="137" w:name="_Toc151190147"/>
      <w:bookmarkStart w:id="138" w:name="_Toc149720813"/>
      <w:bookmarkStart w:id="139" w:name="_Toc264969210"/>
      <w:bookmarkStart w:id="140" w:name="_Toc265228358"/>
      <w:bookmarkStart w:id="141" w:name="_Toc151193690"/>
      <w:bookmarkStart w:id="142" w:name="_Toc150480758"/>
      <w:bookmarkStart w:id="143" w:name="_Toc164608789"/>
      <w:bookmarkStart w:id="144" w:name="_Toc195842885"/>
      <w:bookmarkStart w:id="145" w:name="_Toc305158862"/>
      <w:bookmarkStart w:id="146" w:name="_Toc164229215"/>
      <w:bookmarkStart w:id="147" w:name="_Toc164351614"/>
      <w:bookmarkStart w:id="148" w:name="_Toc151193834"/>
      <w:r>
        <w:rPr>
          <w:rFonts w:hint="eastAsia" w:ascii="宋体" w:hAnsi="宋体" w:eastAsia="宋体" w:cs="宋体"/>
          <w:color w:val="auto"/>
          <w:sz w:val="24"/>
          <w:highlight w:val="none"/>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hint="eastAsia" w:ascii="宋体" w:hAnsi="宋体" w:eastAsia="宋体" w:cs="宋体"/>
          <w:color w:val="auto"/>
          <w:sz w:val="24"/>
          <w:highlight w:val="none"/>
        </w:rPr>
        <w:t>、项目属性、科研仪器设备采购、核心产品</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资金来源为财政性资金和/或本项目采购中无法与财政性资金分割的非财政性资金。</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项目属性见《投标人须知资料表》。</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是否属于科研仪器设备采购见《投标人须知资料表》。</w:t>
      </w:r>
    </w:p>
    <w:p>
      <w:pPr>
        <w:numPr>
          <w:ilvl w:val="1"/>
          <w:numId w:val="12"/>
        </w:numPr>
        <w:tabs>
          <w:tab w:val="left" w:pos="1080"/>
          <w:tab w:val="left" w:pos="2014"/>
          <w:tab w:val="left" w:pos="5521"/>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核心产品见《投标人须知资料表》。</w:t>
      </w:r>
    </w:p>
    <w:p>
      <w:pPr>
        <w:numPr>
          <w:ilvl w:val="0"/>
          <w:numId w:val="12"/>
        </w:numPr>
        <w:tabs>
          <w:tab w:val="left" w:pos="36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现场考察、开标前答疑会</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8"/>
          <w:highlight w:val="none"/>
        </w:rPr>
      </w:pPr>
      <w:r>
        <w:rPr>
          <w:rFonts w:hint="eastAsia" w:ascii="宋体" w:hAnsi="宋体" w:eastAsia="宋体" w:cs="宋体"/>
          <w:color w:val="auto"/>
          <w:sz w:val="24"/>
          <w:highlight w:val="none"/>
        </w:rPr>
        <w:t>若《投标人须知资料表》中规定了组织现场考察、召开开标前答疑会，则投标人应按要求在规定的时间和地点参加。</w:t>
      </w:r>
      <w:bookmarkStart w:id="149" w:name="_Toc305158790"/>
      <w:bookmarkStart w:id="150" w:name="_Toc150509273"/>
      <w:bookmarkStart w:id="151" w:name="_Toc150480760"/>
      <w:bookmarkStart w:id="152" w:name="_Toc226309766"/>
      <w:bookmarkStart w:id="153" w:name="_Toc151193620"/>
      <w:bookmarkStart w:id="154" w:name="_Toc127151522"/>
      <w:bookmarkStart w:id="155" w:name="_Toc226965795"/>
      <w:bookmarkStart w:id="156" w:name="_Toc151193910"/>
      <w:bookmarkStart w:id="157" w:name="_Toc151193836"/>
      <w:bookmarkStart w:id="158" w:name="_Toc264969212"/>
      <w:bookmarkStart w:id="159" w:name="_Toc305158864"/>
      <w:bookmarkStart w:id="160" w:name="_Toc226337218"/>
      <w:bookmarkStart w:id="161" w:name="_Toc150774622"/>
      <w:bookmarkStart w:id="162" w:name="_Toc151193764"/>
      <w:bookmarkStart w:id="163" w:name="_Toc142311024"/>
      <w:bookmarkStart w:id="164" w:name="_Toc150774727"/>
      <w:bookmarkStart w:id="165" w:name="_Toc195842887"/>
      <w:bookmarkStart w:id="166" w:name="_Toc151190149"/>
      <w:bookmarkStart w:id="167" w:name="_Toc265228360"/>
      <w:bookmarkStart w:id="168" w:name="_Toc520356146"/>
      <w:bookmarkStart w:id="169" w:name="_Toc151193692"/>
      <w:bookmarkStart w:id="170" w:name="_Toc226965712"/>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pPr>
        <w:numPr>
          <w:ilvl w:val="0"/>
          <w:numId w:val="12"/>
        </w:numPr>
        <w:tabs>
          <w:tab w:val="left" w:pos="36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样品</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本项目是否要求投标人提供样品，以及样品制作的标准和要求、是否需要随样品提交相关检测报告、样品的递交与退还等要求见《投标人须知资料表》。</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样品的评审方法以及评审标准等内容见第四章《评标方法和评标标准》。</w:t>
      </w:r>
    </w:p>
    <w:p>
      <w:pPr>
        <w:numPr>
          <w:ilvl w:val="0"/>
          <w:numId w:val="12"/>
        </w:numPr>
        <w:tabs>
          <w:tab w:val="left" w:pos="360"/>
          <w:tab w:val="clear" w:pos="90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政府采购政策（包括但不限于下列具体政策要求）</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采购本国货物、工程和服务</w:t>
      </w:r>
    </w:p>
    <w:p>
      <w:pPr>
        <w:numPr>
          <w:ilvl w:val="2"/>
          <w:numId w:val="12"/>
        </w:numPr>
        <w:tabs>
          <w:tab w:val="left" w:pos="2014"/>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政府采购应当采购本国货物、工程和服务。但有《中华人民共和国政府采购法》第十条规定情形的除外。</w:t>
      </w:r>
    </w:p>
    <w:p>
      <w:pPr>
        <w:numPr>
          <w:ilvl w:val="2"/>
          <w:numId w:val="12"/>
        </w:numPr>
        <w:tabs>
          <w:tab w:val="left" w:pos="2014"/>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本项目如接受非本国货物、工程、服务参与投标，则具体要求见第五章《采购需求》。</w:t>
      </w:r>
    </w:p>
    <w:p>
      <w:pPr>
        <w:numPr>
          <w:ilvl w:val="2"/>
          <w:numId w:val="12"/>
        </w:numPr>
        <w:tabs>
          <w:tab w:val="left" w:pos="2014"/>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本国产品</w:t>
      </w:r>
    </w:p>
    <w:p>
      <w:pPr>
        <w:tabs>
          <w:tab w:val="left" w:pos="900"/>
          <w:tab w:val="left" w:pos="1080"/>
          <w:tab w:val="left" w:pos="1589"/>
        </w:tabs>
        <w:snapToGrid w:val="0"/>
        <w:spacing w:line="360" w:lineRule="auto"/>
        <w:ind w:left="1080"/>
        <w:rPr>
          <w:rFonts w:hint="eastAsia" w:ascii="宋体" w:hAnsi="宋体" w:eastAsia="宋体" w:cs="宋体"/>
          <w:color w:val="auto"/>
          <w:sz w:val="24"/>
          <w:highlight w:val="none"/>
        </w:rPr>
      </w:pPr>
      <w:bookmarkStart w:id="171" w:name="_Hlk217316762"/>
      <w:r>
        <w:rPr>
          <w:rFonts w:hint="eastAsia" w:ascii="宋体" w:hAnsi="宋体" w:eastAsia="宋体" w:cs="宋体"/>
          <w:color w:val="auto"/>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71"/>
      <w:r>
        <w:rPr>
          <w:rFonts w:hint="eastAsia" w:ascii="宋体" w:hAnsi="宋体" w:eastAsia="宋体" w:cs="宋体"/>
          <w:color w:val="auto"/>
          <w:sz w:val="24"/>
          <w:highlight w:val="none"/>
        </w:rPr>
        <w:t>，落实本国产品</w:t>
      </w:r>
      <w:r>
        <w:rPr>
          <w:rFonts w:hint="eastAsia" w:ascii="宋体" w:hAnsi="宋体" w:eastAsia="宋体" w:cs="宋体"/>
          <w:color w:val="auto"/>
          <w:sz w:val="24"/>
          <w:highlight w:val="none"/>
          <w:lang w:eastAsia="zh-CN"/>
        </w:rPr>
        <w:t>标准</w:t>
      </w:r>
      <w:r>
        <w:rPr>
          <w:rFonts w:hint="eastAsia" w:ascii="宋体" w:hAnsi="宋体" w:eastAsia="宋体" w:cs="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中小企业、监狱企业及残疾人福利性单位</w:t>
      </w:r>
    </w:p>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中小企业定义：</w:t>
      </w: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1"/>
          <w:numId w:val="13"/>
        </w:numPr>
        <w:tabs>
          <w:tab w:val="left" w:pos="900"/>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1"/>
          <w:numId w:val="13"/>
        </w:numPr>
        <w:tabs>
          <w:tab w:val="left" w:pos="900"/>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2"/>
          <w:numId w:val="13"/>
        </w:numPr>
        <w:tabs>
          <w:tab w:val="left" w:pos="900"/>
          <w:tab w:val="left" w:pos="2035"/>
          <w:tab w:val="left" w:pos="2885"/>
          <w:tab w:val="left" w:pos="2977"/>
        </w:tabs>
        <w:snapToGrid w:val="0"/>
        <w:spacing w:line="360" w:lineRule="auto"/>
        <w:ind w:firstLineChars="0"/>
        <w:rPr>
          <w:rFonts w:hint="eastAsia" w:ascii="宋体" w:hAnsi="宋体"/>
          <w:vanish/>
          <w:color w:val="auto"/>
          <w:sz w:val="24"/>
          <w:highlight w:val="none"/>
        </w:rPr>
      </w:pPr>
    </w:p>
    <w:p>
      <w:pPr>
        <w:keepNext w:val="0"/>
        <w:keepLines w:val="0"/>
        <w:pageBreakBefore w:val="0"/>
        <w:widowControl w:val="0"/>
        <w:numPr>
          <w:ilvl w:val="0"/>
          <w:numId w:val="0"/>
        </w:numPr>
        <w:tabs>
          <w:tab w:val="left" w:pos="1988"/>
          <w:tab w:val="left" w:pos="2035"/>
          <w:tab w:val="left" w:pos="2885"/>
          <w:tab w:val="left" w:pos="2977"/>
        </w:tabs>
        <w:kinsoku/>
        <w:wordWrap/>
        <w:overflowPunct/>
        <w:topLinePunct w:val="0"/>
        <w:autoSpaceDE/>
        <w:autoSpaceDN/>
        <w:bidi w:val="0"/>
        <w:adjustRightInd/>
        <w:snapToGrid w:val="0"/>
        <w:spacing w:line="360" w:lineRule="auto"/>
        <w:ind w:left="2942" w:leftChars="944" w:hanging="960" w:hangingChars="400"/>
        <w:textAlignment w:val="auto"/>
        <w:rPr>
          <w:rFonts w:hint="eastAsia" w:ascii="宋体" w:hAnsi="宋体"/>
          <w:color w:val="auto"/>
          <w:sz w:val="24"/>
          <w:highlight w:val="none"/>
        </w:rPr>
      </w:pPr>
      <w:r>
        <w:rPr>
          <w:rFonts w:hint="eastAsia" w:ascii="宋体" w:hAnsi="宋体"/>
          <w:color w:val="auto"/>
          <w:sz w:val="24"/>
          <w:highlight w:val="none"/>
          <w:lang w:val="en-US" w:eastAsia="zh-CN"/>
        </w:rPr>
        <w:t>5.3.1.1</w:t>
      </w:r>
      <w:r>
        <w:rPr>
          <w:rFonts w:hint="eastAsia" w:ascii="宋体" w:hAnsi="宋体"/>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5.3.1.2</w:t>
      </w:r>
      <w:r>
        <w:rPr>
          <w:rFonts w:ascii="宋体" w:hAnsi="宋体"/>
          <w:color w:val="auto"/>
          <w:sz w:val="24"/>
          <w:highlight w:val="none"/>
        </w:rPr>
        <w:t>投标人提供的货物、工程或者服务符合下列情形的，享受中小企业扶持政策：</w:t>
      </w:r>
    </w:p>
    <w:p>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（3）在服务采购项目中，服务由中小企业承接，即提供服务的人员为中小企业依照《中华人民共和国劳动</w:t>
      </w:r>
      <w:r>
        <w:rPr>
          <w:rFonts w:hint="eastAsia" w:ascii="宋体" w:hAnsi="宋体"/>
          <w:color w:val="auto"/>
          <w:sz w:val="24"/>
          <w:highlight w:val="none"/>
        </w:rPr>
        <w:t>合同法</w:t>
      </w:r>
      <w:r>
        <w:rPr>
          <w:rFonts w:ascii="宋体" w:hAnsi="宋体"/>
          <w:color w:val="auto"/>
          <w:sz w:val="24"/>
          <w:highlight w:val="none"/>
        </w:rPr>
        <w:t>》订立劳动合同的从业人员。</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5.3.1.3</w:t>
      </w:r>
      <w:r>
        <w:rPr>
          <w:rFonts w:ascii="宋体" w:hAnsi="宋体"/>
          <w:color w:val="auto"/>
          <w:sz w:val="24"/>
          <w:highlight w:val="none"/>
        </w:rPr>
        <w:t>在货物采购项目中，投标人提供的货物既有中小企业制造货物，也有大型企业制造货物的，不享受中小企业扶持政策。</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5.3.1.4</w:t>
      </w:r>
      <w:r>
        <w:rPr>
          <w:rFonts w:ascii="宋体" w:hAnsi="宋体"/>
          <w:color w:val="auto"/>
          <w:sz w:val="24"/>
          <w:highlight w:val="none"/>
        </w:rPr>
        <w:t>以联合体形式参加政府采购活动，联合体各方均为中小企业的，联合体视同中小企业。其中，联合体各方均为小微企业的，联合体视同小微企业。</w:t>
      </w:r>
    </w:p>
    <w:p>
      <w:pPr>
        <w:numPr>
          <w:ilvl w:val="2"/>
          <w:numId w:val="12"/>
        </w:numPr>
        <w:snapToGrid w:val="0"/>
        <w:spacing w:line="360" w:lineRule="auto"/>
        <w:rPr>
          <w:rFonts w:hint="eastAsia" w:ascii="宋体" w:hAnsi="宋体"/>
          <w:color w:val="auto"/>
          <w:sz w:val="24"/>
          <w:highlight w:val="none"/>
        </w:rPr>
      </w:pPr>
      <w:r>
        <w:rPr>
          <w:rFonts w:hint="eastAsia" w:ascii="宋体" w:hAnsi="宋体"/>
          <w:color w:val="auto"/>
          <w:sz w:val="24"/>
          <w:highlight w:val="none"/>
        </w:rPr>
        <w:t>在政府采购活动中，监狱企业视同小型、微型企业，享受预留份额、 评审中价格扣除等政府采购促进中小企业发展的政府采购政策。</w:t>
      </w:r>
      <w:r>
        <w:rPr>
          <w:rFonts w:ascii="宋体" w:hAnsi="宋体"/>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88"/>
        <w:numPr>
          <w:ilvl w:val="2"/>
          <w:numId w:val="13"/>
        </w:numPr>
        <w:snapToGrid w:val="0"/>
        <w:spacing w:line="360" w:lineRule="auto"/>
        <w:ind w:firstLineChars="0"/>
        <w:rPr>
          <w:rFonts w:hint="eastAsia" w:ascii="宋体" w:hAnsi="宋体"/>
          <w:vanish/>
          <w:color w:val="auto"/>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1984" w:leftChars="0" w:hanging="901"/>
        <w:textAlignment w:val="auto"/>
        <w:rPr>
          <w:rFonts w:hint="eastAsia" w:ascii="宋体" w:hAnsi="宋体"/>
          <w:color w:val="auto"/>
          <w:highlight w:val="none"/>
        </w:rPr>
      </w:pPr>
      <w:r>
        <w:rPr>
          <w:rFonts w:hint="eastAsia" w:ascii="宋体" w:hAnsi="宋体"/>
          <w:color w:val="auto"/>
          <w:sz w:val="24"/>
          <w:highlight w:val="none"/>
          <w:lang w:val="en-US" w:eastAsia="zh-CN"/>
        </w:rPr>
        <w:t xml:space="preserve">5.3.3   </w:t>
      </w:r>
      <w:r>
        <w:rPr>
          <w:rFonts w:hint="eastAsia" w:ascii="宋体" w:hAnsi="宋体"/>
          <w:color w:val="auto"/>
          <w:sz w:val="24"/>
          <w:highlight w:val="none"/>
        </w:rPr>
        <w:t>在政府采购活动中，残疾人福利性单位视同小型、微型企业，</w:t>
      </w:r>
      <w:r>
        <w:rPr>
          <w:rFonts w:hint="eastAsia" w:ascii="宋体" w:hAnsi="宋体"/>
          <w:color w:val="auto"/>
          <w:sz w:val="24"/>
          <w:highlight w:val="none"/>
          <w:lang w:val="en-US" w:eastAsia="zh-CN"/>
        </w:rPr>
        <w:t xml:space="preserve">享受 </w:t>
      </w:r>
      <w:r>
        <w:rPr>
          <w:rFonts w:hint="eastAsia" w:ascii="宋体" w:hAnsi="宋体"/>
          <w:color w:val="auto"/>
          <w:sz w:val="24"/>
          <w:highlight w:val="none"/>
        </w:rPr>
        <w:t>预留份额、评审中价格扣除等促进中小企业发展的政府采购政策。</w:t>
      </w:r>
      <w:r>
        <w:rPr>
          <w:rFonts w:ascii="宋体" w:hAnsi="宋体"/>
          <w:color w:val="auto"/>
          <w:sz w:val="24"/>
          <w:highlight w:val="none"/>
        </w:rPr>
        <w:t>残疾人福</w:t>
      </w:r>
      <w:r>
        <w:rPr>
          <w:rFonts w:hint="eastAsia" w:ascii="宋体" w:hAnsi="宋体"/>
          <w:color w:val="auto"/>
          <w:sz w:val="24"/>
          <w:highlight w:val="none"/>
          <w:lang w:val="en-US" w:eastAsia="zh-CN"/>
        </w:rPr>
        <w:t xml:space="preserve"> </w:t>
      </w:r>
      <w:r>
        <w:rPr>
          <w:rFonts w:ascii="宋体" w:hAnsi="宋体"/>
          <w:color w:val="auto"/>
          <w:sz w:val="24"/>
          <w:highlight w:val="none"/>
        </w:rPr>
        <w:t>利单位定义：享受政府采购支持政策的残疾人福利性单位应当同时满足以下条件：</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5.3.3.1</w:t>
      </w:r>
      <w:r>
        <w:rPr>
          <w:rFonts w:ascii="宋体" w:hAnsi="宋体"/>
          <w:color w:val="auto"/>
          <w:sz w:val="24"/>
          <w:highlight w:val="none"/>
        </w:rPr>
        <w:t>安置的残疾人占本单位在职职工人数的比例不低于25%（含25%），并且安置的残疾人人数不少于10 人（含10 人）；</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5.3.3.2</w:t>
      </w:r>
      <w:r>
        <w:rPr>
          <w:rFonts w:ascii="宋体" w:hAnsi="宋体"/>
          <w:color w:val="auto"/>
          <w:sz w:val="24"/>
          <w:highlight w:val="none"/>
        </w:rPr>
        <w:t>依法与安置的每位残疾人签订了一年以上（含一年）的劳动合同或服务协议；</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5.3.3.3</w:t>
      </w:r>
      <w:r>
        <w:rPr>
          <w:rFonts w:ascii="宋体" w:hAnsi="宋体"/>
          <w:color w:val="auto"/>
          <w:sz w:val="24"/>
          <w:highlight w:val="none"/>
        </w:rPr>
        <w:t>为安置的每位残疾人按月足额缴纳了基本养老保险、基本医疗保险、失业保险、工伤保险和生育保险等社会保险费；</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5.3.3.4</w:t>
      </w:r>
      <w:r>
        <w:rPr>
          <w:rFonts w:ascii="宋体" w:hAnsi="宋体"/>
          <w:color w:val="auto"/>
          <w:sz w:val="24"/>
          <w:highlight w:val="none"/>
        </w:rPr>
        <w:t>通过银行等金融机构向安置的每位残疾人，按月支付了不低于单位所在区县适用的经省级人民政府批准的月最低工资标准的工资；</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5.3.3.5</w:t>
      </w:r>
      <w:r>
        <w:rPr>
          <w:rFonts w:ascii="宋体" w:hAnsi="宋体"/>
          <w:color w:val="auto"/>
          <w:sz w:val="24"/>
          <w:highlight w:val="none"/>
        </w:rPr>
        <w:t>提供本单位制造的货物、承担的工程或者服务（以下简称产品），或者提供其他残疾人福利性单位制造的货物（不包括使用非残疾人福利性单位注册商标的货物）；</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5.3.3.6</w:t>
      </w:r>
      <w:r>
        <w:rPr>
          <w:rFonts w:ascii="宋体" w:hAnsi="宋体"/>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pStyle w:val="288"/>
        <w:numPr>
          <w:ilvl w:val="2"/>
          <w:numId w:val="12"/>
        </w:numPr>
        <w:snapToGrid w:val="0"/>
        <w:spacing w:line="360" w:lineRule="auto"/>
        <w:ind w:firstLineChars="0"/>
        <w:rPr>
          <w:rFonts w:hint="eastAsia" w:ascii="宋体" w:hAnsi="宋体"/>
          <w:vanish/>
          <w:color w:val="auto"/>
          <w:sz w:val="24"/>
          <w:highlight w:val="none"/>
        </w:rPr>
      </w:pP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本项目是否专门面向中小企业预留采购份额见第一章《投标邀请》。</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采购标的对应的中小企业划分标准所属行业见《投标人须知资料表》。</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小微企业价格评审优惠的政策调整：见第四章《评标方法和评标标准》。</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政府采购节能产品、环境标志产品</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政府采购节能产品、环境标志产品实施品目清单管理。财政部、发展 改革委、生态环境部等部门根据产品节能环保性能、技术水平和市场 成熟程度等因素，确定实施政府优先采购和强制采购的产品类别及所 依据的相关标准规范，以品目清单的形式发布并适时调整。依据品目 清单和认证证书实施政府优先采购和强制采购。</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 采购。关于政府采购节能产品、环境标志产品的相关规定依据《关于调整优化节能产品、环境标志产品政府采购执行机制的通知》（财库 〔2019〕9 号）。</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如本项目采购产品属于实施政府强制采购品目清单范围的节能产品， 则投标人所报产品必须获得国家确定的认证机构出具的、处于有效期之内的节能产品认证证书，否则</w:t>
      </w:r>
      <w:r>
        <w:rPr>
          <w:rFonts w:ascii="宋体" w:hAnsi="宋体"/>
          <w:b/>
          <w:bCs/>
          <w:color w:val="auto"/>
          <w:sz w:val="24"/>
          <w:highlight w:val="none"/>
        </w:rPr>
        <w:t>投标无效</w:t>
      </w:r>
      <w:r>
        <w:rPr>
          <w:rFonts w:hint="eastAsia" w:ascii="宋体" w:hAnsi="宋体"/>
          <w:color w:val="auto"/>
          <w:sz w:val="24"/>
          <w:highlight w:val="none"/>
        </w:rPr>
        <w:t>。</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非政府强制采购的节能产品或环境标志产品，依据品目清单和认证证书实施政府优先采购。优先采购的具体规定见第四章《评标程序、评标方法和评标标准》（如涉及）</w:t>
      </w:r>
      <w:r>
        <w:rPr>
          <w:rFonts w:hint="eastAsia"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正版软件</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网络安全专用产品</w:t>
      </w:r>
    </w:p>
    <w:p>
      <w:pPr>
        <w:numPr>
          <w:ilvl w:val="2"/>
          <w:numId w:val="12"/>
        </w:numPr>
        <w:tabs>
          <w:tab w:val="left" w:pos="900"/>
          <w:tab w:val="left" w:pos="2014"/>
        </w:tabs>
        <w:snapToGrid w:val="0"/>
        <w:spacing w:after="0" w:line="360" w:lineRule="auto"/>
        <w:rPr>
          <w:rFonts w:hint="eastAsia" w:ascii="宋体" w:hAnsi="宋体"/>
          <w:color w:val="auto"/>
          <w:sz w:val="24"/>
          <w:highlight w:val="none"/>
        </w:rPr>
      </w:pPr>
      <w:r>
        <w:rPr>
          <w:rFonts w:hint="eastAsia" w:ascii="宋体" w:hAnsi="宋体"/>
          <w:color w:val="auto"/>
          <w:sz w:val="24"/>
          <w:highlight w:val="none"/>
        </w:rPr>
        <w:t>根据《关于调整网络安全专用产品安全管理有关事项的公告》（2023年第1号），</w:t>
      </w:r>
      <w:r>
        <w:rPr>
          <w:rFonts w:ascii="宋体" w:hAnsi="宋体"/>
          <w:color w:val="auto"/>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推广使用低挥发性有机化合物（VOCs）</w:t>
      </w:r>
    </w:p>
    <w:p>
      <w:pPr>
        <w:tabs>
          <w:tab w:val="left" w:pos="900"/>
          <w:tab w:val="left" w:pos="1980"/>
          <w:tab w:val="left" w:pos="2014"/>
        </w:tabs>
        <w:snapToGrid w:val="0"/>
        <w:spacing w:line="360" w:lineRule="auto"/>
        <w:ind w:left="1989" w:leftChars="490" w:hanging="960" w:hangingChars="400"/>
        <w:rPr>
          <w:rFonts w:hint="eastAsia" w:ascii="宋体" w:hAnsi="宋体"/>
          <w:color w:val="auto"/>
          <w:sz w:val="24"/>
          <w:highlight w:val="none"/>
        </w:rPr>
      </w:pPr>
      <w:r>
        <w:rPr>
          <w:rFonts w:hint="eastAsia" w:ascii="宋体" w:hAnsi="宋体"/>
          <w:color w:val="auto"/>
          <w:sz w:val="24"/>
          <w:highlight w:val="none"/>
        </w:rPr>
        <w:t>5.7.1   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含量限制标准（具体标准见第五章《采购需求》），否则投标无效；属于推荐性标准的，优先采购，具体见第四章《评标程序、评标方法和评标标准》</w:t>
      </w:r>
      <w:r>
        <w:rPr>
          <w:rFonts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采购需求标准</w:t>
      </w:r>
    </w:p>
    <w:p>
      <w:pPr>
        <w:tabs>
          <w:tab w:val="left" w:pos="900"/>
          <w:tab w:val="left" w:pos="1980"/>
          <w:tab w:val="left" w:pos="2014"/>
        </w:tabs>
        <w:snapToGrid w:val="0"/>
        <w:spacing w:line="360" w:lineRule="auto"/>
        <w:ind w:left="1080"/>
        <w:rPr>
          <w:rFonts w:hint="eastAsia" w:ascii="宋体" w:hAnsi="宋体"/>
          <w:color w:val="auto"/>
          <w:sz w:val="24"/>
          <w:highlight w:val="none"/>
        </w:rPr>
      </w:pPr>
      <w:r>
        <w:rPr>
          <w:rFonts w:hint="eastAsia" w:ascii="宋体" w:hAnsi="宋体"/>
          <w:color w:val="auto"/>
          <w:sz w:val="24"/>
          <w:highlight w:val="none"/>
        </w:rPr>
        <w:t>5.8.1</w:t>
      </w:r>
      <w:r>
        <w:rPr>
          <w:rFonts w:hint="eastAsia" w:ascii="宋体" w:hAnsi="宋体"/>
          <w:color w:val="auto"/>
          <w:sz w:val="24"/>
          <w:highlight w:val="none"/>
        </w:rPr>
        <w:tab/>
      </w:r>
      <w:r>
        <w:rPr>
          <w:rFonts w:hint="eastAsia" w:ascii="宋体" w:hAnsi="宋体"/>
          <w:color w:val="auto"/>
          <w:sz w:val="24"/>
          <w:highlight w:val="none"/>
        </w:rPr>
        <w:t>商品包装、快递包装政府采购需求标准(试行)</w:t>
      </w:r>
    </w:p>
    <w:p>
      <w:pPr>
        <w:tabs>
          <w:tab w:val="left" w:pos="1980"/>
          <w:tab w:val="left" w:pos="2014"/>
        </w:tabs>
        <w:snapToGrid w:val="0"/>
        <w:spacing w:line="360" w:lineRule="auto"/>
        <w:ind w:left="1980"/>
        <w:rPr>
          <w:rFonts w:hint="eastAsia" w:ascii="宋体" w:hAnsi="宋体"/>
          <w:color w:val="auto"/>
          <w:sz w:val="24"/>
          <w:highlight w:val="none"/>
        </w:rPr>
      </w:pPr>
      <w:r>
        <w:rPr>
          <w:rFonts w:hint="eastAsia" w:ascii="宋体" w:hAnsi="宋体"/>
          <w:color w:val="auto"/>
          <w:sz w:val="24"/>
          <w:highlight w:val="none"/>
        </w:rPr>
        <w:t>为助力打好污染防治攻坚战， 推广使用绿色包装， 根据财政部关于印发《商品包装政府采购需求标准(试行)》、《快递包装政府采购需求标准(试行)》的通知(财办库〔2020〕123 号)，本项目如涉及商品包装和快递包装的，则其具体要求见第五章《采购需求》。</w:t>
      </w:r>
    </w:p>
    <w:p>
      <w:pPr>
        <w:tabs>
          <w:tab w:val="left" w:pos="1980"/>
          <w:tab w:val="left" w:pos="2014"/>
        </w:tabs>
        <w:snapToGrid w:val="0"/>
        <w:spacing w:line="360" w:lineRule="auto"/>
        <w:ind w:firstLine="960" w:firstLineChars="400"/>
        <w:rPr>
          <w:rFonts w:hint="eastAsia" w:ascii="宋体" w:hAnsi="宋体"/>
          <w:color w:val="auto"/>
          <w:sz w:val="24"/>
          <w:highlight w:val="none"/>
        </w:rPr>
      </w:pPr>
      <w:r>
        <w:rPr>
          <w:rFonts w:hint="eastAsia" w:ascii="宋体" w:hAnsi="宋体"/>
          <w:color w:val="auto"/>
          <w:sz w:val="24"/>
          <w:highlight w:val="none"/>
        </w:rPr>
        <w:t xml:space="preserve">5.8.2   </w:t>
      </w:r>
      <w:r>
        <w:rPr>
          <w:rFonts w:ascii="宋体" w:hAnsi="宋体"/>
          <w:color w:val="auto"/>
          <w:sz w:val="24"/>
          <w:highlight w:val="none"/>
        </w:rPr>
        <w:t xml:space="preserve">其他政府采购需求标准 </w:t>
      </w:r>
    </w:p>
    <w:p>
      <w:pPr>
        <w:tabs>
          <w:tab w:val="left" w:pos="900"/>
          <w:tab w:val="left" w:pos="1980"/>
          <w:tab w:val="left" w:pos="2014"/>
        </w:tabs>
        <w:snapToGrid w:val="0"/>
        <w:spacing w:line="360" w:lineRule="auto"/>
        <w:ind w:left="1985"/>
        <w:rPr>
          <w:rFonts w:hint="eastAsia" w:ascii="宋体" w:hAnsi="宋体"/>
          <w:color w:val="auto"/>
          <w:sz w:val="24"/>
          <w:highlight w:val="none"/>
        </w:rPr>
      </w:pPr>
      <w:r>
        <w:rPr>
          <w:rFonts w:hint="eastAsia" w:ascii="宋体" w:hAnsi="宋体"/>
          <w:color w:val="auto"/>
          <w:sz w:val="24"/>
          <w:highlight w:val="none"/>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投标费用</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olor w:val="auto"/>
          <w:sz w:val="28"/>
          <w:highlight w:val="none"/>
        </w:rPr>
      </w:pP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二   招标文件</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招标文件构成</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招标文件包括以下部分：</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投标邀请</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投标人须知</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资格审查</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评标方法和评标标准</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采购需求</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拟签订的合同文本</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投标文件格式</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投标人应认真阅读招标文件的全部内容。投标人应按照招标文件要求提交投标文件并保证所提供的全部资料的真实性，并对招标文件做出实质性响应，否则</w:t>
      </w:r>
      <w:r>
        <w:rPr>
          <w:rFonts w:ascii="宋体" w:hAnsi="宋体"/>
          <w:b/>
          <w:color w:val="auto"/>
          <w:sz w:val="24"/>
          <w:highlight w:val="none"/>
        </w:rPr>
        <w:t>投标无效</w:t>
      </w:r>
      <w:r>
        <w:rPr>
          <w:rFonts w:ascii="宋体" w:hAnsi="宋体"/>
          <w:color w:val="auto"/>
          <w:sz w:val="24"/>
          <w:highlight w:val="none"/>
        </w:rPr>
        <w:t>。</w:t>
      </w:r>
    </w:p>
    <w:p>
      <w:pPr>
        <w:numPr>
          <w:ilvl w:val="0"/>
          <w:numId w:val="12"/>
        </w:numPr>
        <w:tabs>
          <w:tab w:val="left" w:pos="1080"/>
          <w:tab w:val="left" w:pos="2014"/>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对招标文件的澄清或修改</w:t>
      </w:r>
    </w:p>
    <w:p>
      <w:pPr>
        <w:numPr>
          <w:ilvl w:val="1"/>
          <w:numId w:val="12"/>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采购人或采购代理机构对已发出的招标文件进行必要澄清或者修改的，将在原公告发布媒体上发布更正公告，并以书面形式通知所有获取招标文件的潜在投标人。</w:t>
      </w:r>
    </w:p>
    <w:p>
      <w:pPr>
        <w:numPr>
          <w:ilvl w:val="1"/>
          <w:numId w:val="12"/>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上述书面通知，按照获取招标文件的潜在投标人提供的联系方式发出，因提供的信息有误导致通知延迟或无法通知的，采购人或采购代理机构不承担责任。</w:t>
      </w:r>
    </w:p>
    <w:p>
      <w:pPr>
        <w:numPr>
          <w:ilvl w:val="1"/>
          <w:numId w:val="12"/>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olor w:val="auto"/>
          <w:sz w:val="28"/>
          <w:highlight w:val="none"/>
        </w:rPr>
      </w:pP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三   投标文件的编制</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投标范围、投标文件中计量单位的使用及投标语言</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color w:val="auto"/>
          <w:sz w:val="24"/>
          <w:highlight w:val="none"/>
        </w:rPr>
        <w:t>无效投标</w:t>
      </w:r>
      <w:r>
        <w:rPr>
          <w:rFonts w:ascii="宋体" w:hAnsi="宋体"/>
          <w:color w:val="auto"/>
          <w:sz w:val="24"/>
          <w:highlight w:val="none"/>
        </w:rPr>
        <w:t>。</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除招标文件有特殊要求外，本项目投标所使用的计量单位，应采用中华人民共和国法定计量单位。</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投标文件构成</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投标人应当按照招标文件的要求编制投标文件。投标文件应由《资格证明文件》、《商务技术文件》两部分构成。投标文件的部分格式要求，见第七章《投标文件格式》。</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kern w:val="0"/>
          <w:sz w:val="24"/>
          <w:highlight w:val="none"/>
        </w:rPr>
        <w:t>对于招标文件中标记了“实质性格式”文件的，</w:t>
      </w:r>
      <w:r>
        <w:rPr>
          <w:rFonts w:ascii="宋体" w:hAnsi="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olor w:val="auto"/>
          <w:kern w:val="0"/>
          <w:sz w:val="24"/>
          <w:highlight w:val="none"/>
        </w:rPr>
        <w:t>否则</w:t>
      </w:r>
      <w:r>
        <w:rPr>
          <w:rFonts w:ascii="宋体" w:hAnsi="宋体"/>
          <w:b/>
          <w:color w:val="auto"/>
          <w:kern w:val="0"/>
          <w:sz w:val="24"/>
          <w:highlight w:val="none"/>
        </w:rPr>
        <w:t>投标无效</w:t>
      </w:r>
      <w:r>
        <w:rPr>
          <w:rFonts w:ascii="宋体" w:hAnsi="宋体"/>
          <w:color w:val="auto"/>
          <w:kern w:val="0"/>
          <w:sz w:val="24"/>
          <w:highlight w:val="none"/>
        </w:rPr>
        <w:t>。未标记“实质性格式”的文件和招标文件未提供格式的内容，可由投标人自行编写。</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第四章《评标方法和评标标准》中涉及的证明文件。</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投标人认为应附的其他材料。</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投标报价</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所有投标均以人民币为计价货币</w:t>
      </w:r>
      <w:r>
        <w:rPr>
          <w:rFonts w:ascii="宋体" w:hAnsi="宋体"/>
          <w:color w:val="auto"/>
          <w:sz w:val="24"/>
          <w:highlight w:val="none"/>
        </w:rPr>
        <w:t>。</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投标人的报价应包括为完成本项目所发生的一切费用和税费，采购人将不再支付报价以外的任何费用。</w:t>
      </w:r>
      <w:r>
        <w:rPr>
          <w:rFonts w:hint="eastAsia" w:ascii="宋体" w:hAnsi="宋体"/>
          <w:color w:val="auto"/>
          <w:sz w:val="24"/>
          <w:highlight w:val="none"/>
        </w:rPr>
        <w:t>投标人的报价应包括但不限于下列内容，《投标人须知资料表》中有特殊规定的，从其规定。</w:t>
      </w:r>
    </w:p>
    <w:p>
      <w:pPr>
        <w:numPr>
          <w:ilvl w:val="2"/>
          <w:numId w:val="12"/>
        </w:numPr>
        <w:snapToGrid w:val="0"/>
        <w:spacing w:line="360" w:lineRule="auto"/>
        <w:rPr>
          <w:rFonts w:hint="eastAsia" w:ascii="宋体" w:hAnsi="宋体"/>
          <w:color w:val="auto"/>
          <w:sz w:val="24"/>
          <w:highlight w:val="none"/>
        </w:rPr>
      </w:pPr>
      <w:r>
        <w:rPr>
          <w:rFonts w:hint="eastAsia" w:ascii="宋体" w:hAnsi="宋体"/>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ascii="宋体" w:hAnsi="宋体"/>
          <w:color w:val="auto"/>
          <w:sz w:val="24"/>
          <w:highlight w:val="none"/>
        </w:rPr>
        <w:t>；</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 xml:space="preserve">按照招标文件要求完成本项目的全部相关服务费用。 </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采购人不得向投标人索要或者接受其给予的赠品、回扣或者与采购无关的其他商品、服务。</w:t>
      </w:r>
    </w:p>
    <w:p>
      <w:pPr>
        <w:numPr>
          <w:ilvl w:val="1"/>
          <w:numId w:val="12"/>
        </w:numPr>
        <w:tabs>
          <w:tab w:val="left" w:pos="1080"/>
          <w:tab w:val="left" w:pos="2014"/>
        </w:tabs>
        <w:snapToGrid w:val="0"/>
        <w:spacing w:line="360" w:lineRule="auto"/>
        <w:ind w:left="1080" w:hanging="720"/>
        <w:rPr>
          <w:color w:val="auto"/>
          <w:sz w:val="24"/>
          <w:highlight w:val="none"/>
        </w:rPr>
      </w:pPr>
      <w:r>
        <w:rPr>
          <w:color w:val="auto"/>
          <w:sz w:val="24"/>
          <w:highlight w:val="none"/>
        </w:rPr>
        <w:t>投标人不能提供任何有选择性或可调整的报价（招标文件另有规定的除外），否则其</w:t>
      </w:r>
      <w:r>
        <w:rPr>
          <w:b/>
          <w:color w:val="auto"/>
          <w:sz w:val="24"/>
          <w:highlight w:val="none"/>
        </w:rPr>
        <w:t>投标无效</w:t>
      </w:r>
      <w:r>
        <w:rPr>
          <w:color w:val="auto"/>
          <w:sz w:val="24"/>
          <w:highlight w:val="none"/>
        </w:rPr>
        <w:t>。</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投标人不能提供任何有选择性或可调整的报价（招标文件另有规定的除外），否则其投标无效</w:t>
      </w:r>
      <w:r>
        <w:rPr>
          <w:rFonts w:ascii="宋体" w:hAnsi="宋体"/>
          <w:color w:val="auto"/>
          <w:sz w:val="24"/>
          <w:highlight w:val="none"/>
        </w:rPr>
        <w:t>。</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投标保证金</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投标人应按《投标人须知资料表》中规定的金额及要求交纳投标保证金。</w:t>
      </w:r>
      <w:r>
        <w:rPr>
          <w:rFonts w:hint="eastAsia" w:ascii="宋体" w:hAnsi="宋体"/>
          <w:color w:val="auto"/>
          <w:sz w:val="24"/>
          <w:highlight w:val="none"/>
        </w:rPr>
        <w:t>投标人自愿超额缴纳投标保证金的，投标文件不做无效处理。</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交纳投标保证金可采用的形式：政府采购法律法规接受的支票、汇票、本票、网上银行支付或者金融机构、担保机构出具的保函等非现金形式。</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r>
        <w:rPr>
          <w:rFonts w:hint="eastAsia" w:ascii="宋体" w:hAnsi="宋体"/>
          <w:color w:val="auto"/>
          <w:sz w:val="24"/>
          <w:highlight w:val="none"/>
        </w:rPr>
        <w:t>以电子保函形式提交投标保证金的，应在投标截止时间前通过</w:t>
      </w:r>
      <w:r>
        <w:rPr>
          <w:rFonts w:hint="eastAsia" w:ascii="宋体" w:hAnsi="宋体"/>
          <w:color w:val="auto"/>
          <w:sz w:val="24"/>
          <w:highlight w:val="none"/>
          <w:lang w:bidi="ar"/>
        </w:rPr>
        <w:t>北京市政府采购电子交易平台完成电子保函在线办理。</w:t>
      </w:r>
      <w:r>
        <w:rPr>
          <w:rFonts w:hint="eastAsia" w:ascii="宋体" w:hAnsi="宋体"/>
          <w:color w:val="auto"/>
          <w:sz w:val="24"/>
          <w:highlight w:val="none"/>
        </w:rPr>
        <w:t>未按上述要求缴纳投标保证金的，其</w:t>
      </w:r>
      <w:r>
        <w:rPr>
          <w:rFonts w:ascii="宋体" w:hAnsi="宋体"/>
          <w:b/>
          <w:color w:val="auto"/>
          <w:sz w:val="24"/>
          <w:highlight w:val="none"/>
        </w:rPr>
        <w:t>投标无效</w:t>
      </w:r>
      <w:r>
        <w:rPr>
          <w:rFonts w:ascii="宋体" w:hAnsi="宋体"/>
          <w:color w:val="auto"/>
          <w:sz w:val="24"/>
          <w:highlight w:val="none"/>
        </w:rPr>
        <w:t>。</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hint="eastAsia" w:ascii="宋体" w:hAnsi="宋体"/>
          <w:color w:val="auto"/>
          <w:sz w:val="24"/>
          <w:highlight w:val="none"/>
        </w:rPr>
        <w:t>投标人除需在投标文件中提供“</w:t>
      </w:r>
      <w:r>
        <w:rPr>
          <w:rFonts w:hint="eastAsia" w:ascii="宋体" w:hAnsi="宋体"/>
          <w:color w:val="auto"/>
          <w:sz w:val="24"/>
          <w:szCs w:val="20"/>
          <w:highlight w:val="none"/>
        </w:rPr>
        <w:t>投标保证金凭证</w:t>
      </w:r>
      <w:r>
        <w:rPr>
          <w:rFonts w:ascii="宋体" w:hAnsi="宋体"/>
          <w:color w:val="auto"/>
          <w:sz w:val="24"/>
          <w:szCs w:val="20"/>
          <w:highlight w:val="none"/>
        </w:rPr>
        <w:t>/</w:t>
      </w:r>
      <w:r>
        <w:rPr>
          <w:rFonts w:hint="eastAsia" w:ascii="宋体" w:hAnsi="宋体"/>
          <w:color w:val="auto"/>
          <w:sz w:val="24"/>
          <w:szCs w:val="20"/>
          <w:highlight w:val="none"/>
        </w:rPr>
        <w:t>交款单据电子件</w:t>
      </w:r>
      <w:r>
        <w:rPr>
          <w:rFonts w:hint="eastAsia" w:ascii="宋体" w:hAnsi="宋体"/>
          <w:color w:val="auto"/>
          <w:sz w:val="24"/>
          <w:highlight w:val="none"/>
        </w:rPr>
        <w:t>”，还需在投标截止时间前，通过电子交易平台上传“</w:t>
      </w:r>
      <w:r>
        <w:rPr>
          <w:rFonts w:hint="eastAsia" w:ascii="宋体" w:hAnsi="宋体"/>
          <w:color w:val="auto"/>
          <w:sz w:val="24"/>
          <w:szCs w:val="20"/>
          <w:highlight w:val="none"/>
        </w:rPr>
        <w:t>投标保证金凭证</w:t>
      </w:r>
      <w:r>
        <w:rPr>
          <w:rFonts w:ascii="宋体" w:hAnsi="宋体"/>
          <w:color w:val="auto"/>
          <w:sz w:val="24"/>
          <w:szCs w:val="20"/>
          <w:highlight w:val="none"/>
        </w:rPr>
        <w:t>/</w:t>
      </w:r>
      <w:r>
        <w:rPr>
          <w:rFonts w:hint="eastAsia" w:ascii="宋体" w:hAnsi="宋体"/>
          <w:color w:val="auto"/>
          <w:sz w:val="24"/>
          <w:szCs w:val="20"/>
          <w:highlight w:val="none"/>
        </w:rPr>
        <w:t>交款单据电子件</w:t>
      </w:r>
      <w:r>
        <w:rPr>
          <w:rFonts w:hint="eastAsia" w:ascii="宋体" w:hAnsi="宋体"/>
          <w:color w:val="auto"/>
          <w:sz w:val="24"/>
          <w:highlight w:val="none"/>
        </w:rPr>
        <w:t>”。</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投标保证金有效期同投标有效期。</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hint="eastAsia" w:ascii="宋体" w:hAnsi="宋体"/>
          <w:color w:val="auto"/>
          <w:sz w:val="24"/>
          <w:highlight w:val="none"/>
        </w:rPr>
        <w:t>投标人为联合体的，可以由联合体中的一方或者多方共同交纳投标保证金，其交纳的投标保证金对联合体各方均具有约束力。</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采购人、采购代理机构将及时退还投标人的投标保证金，采用银行保函、担保机构担保函等形式递交的</w:t>
      </w:r>
      <w:r>
        <w:rPr>
          <w:rFonts w:hint="eastAsia" w:ascii="宋体" w:hAnsi="宋体"/>
          <w:color w:val="auto"/>
          <w:sz w:val="24"/>
          <w:highlight w:val="none"/>
        </w:rPr>
        <w:t>投标</w:t>
      </w:r>
      <w:r>
        <w:rPr>
          <w:rFonts w:ascii="宋体" w:hAnsi="宋体"/>
          <w:color w:val="auto"/>
          <w:sz w:val="24"/>
          <w:highlight w:val="none"/>
        </w:rPr>
        <w:t>保证金，经投标人同意后采购人、采购代理机构可以不再退还，但因投标人自身原因导致无法及时退还的除外：</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投标人在投标截止时间前撤回已提交的投标文件的，自收到投标人书面撤回通知之日起5个工作日内退还已收取的投标保证金；</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中标人的投标保证金，自采购合同签订之日起5个工作日内退还中标人；</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未中标投标人的投标保证金，自中标通知书发出之日起5个工作日内退还未中标人；</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终止招标项目已经收取投标保证金的，自终止采购活动后5个工作日内退还已收取的投标保证金及其在银行产生的孳息。</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有下列情形之一的，采购人或采购代理机构可以不予退还投标保证金：</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投标有效期内投标人撤销投标文件的；</w:t>
      </w:r>
    </w:p>
    <w:p>
      <w:pPr>
        <w:numPr>
          <w:ilvl w:val="2"/>
          <w:numId w:val="12"/>
        </w:numPr>
        <w:tabs>
          <w:tab w:val="left" w:pos="900"/>
          <w:tab w:val="left" w:pos="1080"/>
          <w:tab w:val="left" w:pos="2014"/>
        </w:tabs>
        <w:snapToGrid w:val="0"/>
        <w:spacing w:line="360" w:lineRule="auto"/>
        <w:rPr>
          <w:rFonts w:hint="eastAsia" w:ascii="宋体" w:hAnsi="宋体"/>
          <w:color w:val="auto"/>
          <w:sz w:val="24"/>
          <w:highlight w:val="none"/>
        </w:rPr>
      </w:pPr>
      <w:r>
        <w:rPr>
          <w:rFonts w:ascii="宋体" w:hAnsi="宋体"/>
          <w:color w:val="auto"/>
          <w:sz w:val="24"/>
          <w:highlight w:val="none"/>
        </w:rPr>
        <w:t>《投标人须知资料表》中规定的其他情形。</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投标有效期</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w:t>
      </w:r>
      <w:r>
        <w:rPr>
          <w:rFonts w:hint="eastAsia" w:ascii="宋体" w:hAnsi="宋体"/>
          <w:color w:val="auto"/>
          <w:sz w:val="24"/>
          <w:highlight w:val="none"/>
        </w:rPr>
        <w:t>文件</w:t>
      </w:r>
      <w:r>
        <w:rPr>
          <w:rFonts w:ascii="宋体" w:hAnsi="宋体"/>
          <w:color w:val="auto"/>
          <w:sz w:val="24"/>
          <w:highlight w:val="none"/>
        </w:rPr>
        <w:t>应在本招标文件《投标人须知资料表》中规定的投标有效期内保持有效，投标有效期少于招标文件规定期限的，其</w:t>
      </w:r>
      <w:r>
        <w:rPr>
          <w:rFonts w:ascii="宋体" w:hAnsi="宋体"/>
          <w:b/>
          <w:color w:val="auto"/>
          <w:sz w:val="24"/>
          <w:highlight w:val="none"/>
        </w:rPr>
        <w:t>投标无效</w:t>
      </w:r>
      <w:r>
        <w:rPr>
          <w:rFonts w:ascii="宋体" w:hAnsi="宋体"/>
          <w:color w:val="auto"/>
          <w:sz w:val="24"/>
          <w:highlight w:val="none"/>
        </w:rPr>
        <w:t>。</w:t>
      </w:r>
    </w:p>
    <w:p>
      <w:pPr>
        <w:numPr>
          <w:ilvl w:val="0"/>
          <w:numId w:val="12"/>
        </w:numPr>
        <w:tabs>
          <w:tab w:val="left" w:pos="360"/>
        </w:tabs>
        <w:snapToGrid w:val="0"/>
        <w:spacing w:line="360" w:lineRule="auto"/>
        <w:ind w:left="357" w:hanging="357"/>
        <w:outlineLvl w:val="1"/>
        <w:rPr>
          <w:rFonts w:hint="eastAsia" w:ascii="宋体" w:hAnsi="宋体"/>
          <w:b/>
          <w:color w:val="auto"/>
          <w:sz w:val="24"/>
          <w:highlight w:val="none"/>
        </w:rPr>
      </w:pPr>
      <w:r>
        <w:rPr>
          <w:rFonts w:ascii="宋体" w:hAnsi="宋体"/>
          <w:b/>
          <w:color w:val="auto"/>
          <w:sz w:val="24"/>
          <w:highlight w:val="none"/>
        </w:rPr>
        <w:t>投标文件的签署、盖章</w:t>
      </w:r>
    </w:p>
    <w:p>
      <w:pPr>
        <w:numPr>
          <w:ilvl w:val="1"/>
          <w:numId w:val="12"/>
        </w:numPr>
        <w:tabs>
          <w:tab w:val="left" w:pos="1080"/>
          <w:tab w:val="left" w:pos="1589"/>
          <w:tab w:val="left" w:pos="2014"/>
        </w:tabs>
        <w:snapToGrid w:val="0"/>
        <w:spacing w:line="360" w:lineRule="auto"/>
        <w:ind w:left="1077" w:hanging="720"/>
        <w:rPr>
          <w:rFonts w:hint="eastAsia" w:ascii="宋体" w:hAnsi="宋体"/>
          <w:b/>
          <w:color w:val="auto"/>
          <w:sz w:val="24"/>
          <w:highlight w:val="none"/>
        </w:rPr>
      </w:pPr>
      <w:r>
        <w:rPr>
          <w:rFonts w:ascii="宋体" w:hAnsi="宋体"/>
          <w:b/>
          <w:color w:val="auto"/>
          <w:sz w:val="24"/>
          <w:highlight w:val="none"/>
        </w:rPr>
        <w:t>招标文件要求签字的内容（如授权委托书等），</w:t>
      </w:r>
      <w:r>
        <w:rPr>
          <w:rFonts w:hint="eastAsia" w:ascii="宋体" w:hAnsi="宋体"/>
          <w:b/>
          <w:color w:val="auto"/>
          <w:sz w:val="24"/>
          <w:highlight w:val="none"/>
        </w:rPr>
        <w:t>可以使用电子签章或使用原件的电子件（电子件指扫描件、照片等形式电子文件）</w:t>
      </w:r>
      <w:r>
        <w:rPr>
          <w:rFonts w:hint="eastAsia" w:ascii="宋体" w:hAnsi="宋体"/>
          <w:color w:val="auto"/>
          <w:sz w:val="24"/>
          <w:highlight w:val="none"/>
        </w:rPr>
        <w:t>；</w:t>
      </w:r>
      <w:r>
        <w:rPr>
          <w:rFonts w:hint="eastAsia" w:ascii="宋体" w:hAnsi="宋体"/>
          <w:b/>
          <w:bCs/>
          <w:color w:val="auto"/>
          <w:sz w:val="24"/>
          <w:highlight w:val="none"/>
        </w:rPr>
        <w:t>要求第三方出具的盖章件原件或相关证书文件</w:t>
      </w:r>
      <w:r>
        <w:rPr>
          <w:rFonts w:ascii="宋体" w:hAnsi="宋体"/>
          <w:b/>
          <w:color w:val="auto"/>
          <w:sz w:val="24"/>
          <w:highlight w:val="none"/>
        </w:rPr>
        <w:t>（如联合协议、分包意向协议、</w:t>
      </w:r>
      <w:r>
        <w:rPr>
          <w:rFonts w:hint="eastAsia" w:ascii="宋体" w:hAnsi="宋体"/>
          <w:b/>
          <w:bCs/>
          <w:color w:val="auto"/>
          <w:sz w:val="24"/>
          <w:highlight w:val="none"/>
        </w:rPr>
        <w:t>资质证书、质量管理体系证书、人员资质证书等</w:t>
      </w:r>
      <w:r>
        <w:rPr>
          <w:rFonts w:ascii="宋体" w:hAnsi="宋体"/>
          <w:b/>
          <w:color w:val="auto"/>
          <w:sz w:val="24"/>
          <w:highlight w:val="none"/>
        </w:rPr>
        <w:t>），投标文件中应使用原件的电子件。</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招标文件要求盖章的内容，</w:t>
      </w:r>
      <w:r>
        <w:rPr>
          <w:rFonts w:hint="eastAsia" w:ascii="宋体" w:hAnsi="宋体"/>
          <w:color w:val="auto"/>
          <w:sz w:val="24"/>
          <w:highlight w:val="none"/>
        </w:rPr>
        <w:t>一般</w:t>
      </w:r>
      <w:r>
        <w:rPr>
          <w:rFonts w:ascii="宋体" w:hAnsi="宋体"/>
          <w:color w:val="auto"/>
          <w:sz w:val="24"/>
          <w:highlight w:val="none"/>
        </w:rPr>
        <w:t>通过投标文件编制工具加盖电子签章。</w:t>
      </w:r>
    </w:p>
    <w:p>
      <w:pPr>
        <w:tabs>
          <w:tab w:val="left" w:pos="900"/>
          <w:tab w:val="left" w:pos="1080"/>
        </w:tabs>
        <w:snapToGrid w:val="0"/>
        <w:spacing w:line="360" w:lineRule="auto"/>
        <w:ind w:left="357"/>
        <w:rPr>
          <w:rFonts w:hint="eastAsia" w:ascii="宋体" w:hAnsi="宋体"/>
          <w:color w:val="auto"/>
          <w:highlight w:val="none"/>
        </w:rPr>
      </w:pP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四   投标文件的提交</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投标文件的提交</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本项目使用北京市政府采购电子交易平台。投标人根据招标文件及电子交易平台供应商操作手册要求编制、生成并提交电子投标文件</w:t>
      </w:r>
      <w:r>
        <w:rPr>
          <w:rFonts w:ascii="宋体" w:hAnsi="宋体"/>
          <w:color w:val="auto"/>
          <w:sz w:val="24"/>
          <w:highlight w:val="none"/>
        </w:rPr>
        <w:t>。</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采购人及采购代理机构拒绝接受通过电子交易平台以外任何形式提交的投标文件，投标保证金除外。</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投标截止时间</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投标人应在招标文件要求提交投标文件截止时间前，将电子投标文件提交至电子交易平台。</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投标文件的修改与撤回</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投标截止时间前，投标人可以通过电子交易平台对所提交的投标文件进行补充、修改或者撤回。投标保证金</w:t>
      </w:r>
      <w:r>
        <w:rPr>
          <w:rFonts w:hint="eastAsia" w:ascii="宋体" w:hAnsi="宋体"/>
          <w:color w:val="auto"/>
          <w:sz w:val="24"/>
          <w:highlight w:val="none"/>
        </w:rPr>
        <w:t>的</w:t>
      </w:r>
      <w:r>
        <w:rPr>
          <w:rFonts w:ascii="宋体" w:hAnsi="宋体"/>
          <w:color w:val="auto"/>
          <w:sz w:val="24"/>
          <w:highlight w:val="none"/>
        </w:rPr>
        <w:t>补充、修改或者撤回</w:t>
      </w:r>
      <w:r>
        <w:rPr>
          <w:rFonts w:hint="eastAsia" w:ascii="宋体" w:hAnsi="宋体"/>
          <w:color w:val="auto"/>
          <w:sz w:val="24"/>
          <w:highlight w:val="none"/>
        </w:rPr>
        <w:t>无需</w:t>
      </w:r>
      <w:r>
        <w:rPr>
          <w:rFonts w:ascii="宋体" w:hAnsi="宋体"/>
          <w:color w:val="auto"/>
          <w:sz w:val="24"/>
          <w:highlight w:val="none"/>
        </w:rPr>
        <w:t>通过电子交易平台</w:t>
      </w:r>
      <w:r>
        <w:rPr>
          <w:rFonts w:hint="eastAsia" w:ascii="宋体" w:hAnsi="宋体"/>
          <w:color w:val="auto"/>
          <w:sz w:val="24"/>
          <w:highlight w:val="none"/>
        </w:rPr>
        <w:t>，</w:t>
      </w:r>
      <w:r>
        <w:rPr>
          <w:rFonts w:ascii="宋体" w:hAnsi="宋体"/>
          <w:color w:val="auto"/>
          <w:sz w:val="24"/>
          <w:highlight w:val="none"/>
        </w:rPr>
        <w:t>但应</w:t>
      </w:r>
      <w:r>
        <w:rPr>
          <w:rFonts w:hint="eastAsia" w:ascii="宋体" w:hAnsi="宋体"/>
          <w:color w:val="auto"/>
          <w:sz w:val="24"/>
          <w:highlight w:val="none"/>
        </w:rPr>
        <w:t>就其</w:t>
      </w:r>
      <w:r>
        <w:rPr>
          <w:rFonts w:ascii="宋体" w:hAnsi="宋体"/>
          <w:color w:val="auto"/>
          <w:sz w:val="24"/>
          <w:highlight w:val="none"/>
        </w:rPr>
        <w:t>补充、修改或者撤回</w:t>
      </w:r>
      <w:r>
        <w:rPr>
          <w:rFonts w:hint="eastAsia" w:ascii="宋体" w:hAnsi="宋体"/>
          <w:color w:val="auto"/>
          <w:sz w:val="24"/>
          <w:highlight w:val="none"/>
        </w:rPr>
        <w:t>通知</w:t>
      </w:r>
      <w:r>
        <w:rPr>
          <w:rFonts w:ascii="宋体" w:hAnsi="宋体"/>
          <w:color w:val="auto"/>
          <w:sz w:val="24"/>
          <w:highlight w:val="none"/>
        </w:rPr>
        <w:t>采购人或采购代理机构。</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投标人对投标文件的补充、修改的内容应当按照招标文件要求签署、盖章，作为投标文件的组成部分</w:t>
      </w:r>
      <w:r>
        <w:rPr>
          <w:rFonts w:hint="eastAsia" w:ascii="宋体" w:hAnsi="宋体"/>
          <w:color w:val="auto"/>
          <w:sz w:val="24"/>
          <w:highlight w:val="none"/>
        </w:rPr>
        <w:t>。</w:t>
      </w:r>
    </w:p>
    <w:p>
      <w:pPr>
        <w:spacing w:line="360" w:lineRule="auto"/>
        <w:rPr>
          <w:rFonts w:hint="eastAsia" w:ascii="宋体" w:hAnsi="宋体"/>
          <w:color w:val="auto"/>
          <w:sz w:val="24"/>
          <w:highlight w:val="none"/>
        </w:rPr>
      </w:pP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五   开标、资格审查及评标</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开标</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采购人或采购代理机构将按招标文件的规定，在投标截止时间的同一时间和招标文件预先确定的地点组织开标。</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本项目开标使用电子交易平台。</w:t>
      </w:r>
      <w:r>
        <w:rPr>
          <w:rFonts w:hint="eastAsia" w:ascii="宋体" w:hAnsi="宋体"/>
          <w:b/>
          <w:bCs/>
          <w:color w:val="auto"/>
          <w:sz w:val="24"/>
          <w:highlight w:val="none"/>
        </w:rPr>
        <w:t>投标人应自行在招标文件规定的开标时间登录北京市政府采购电子交易平台，并在收到系统解密指令后在规定的解密时间（至少30分钟）内对投标文件进行解密。开标过程中出现系统故障等政府采购电子交易平台技术问题投标人应及时联系电子交易平台技术人员解决，并在系统中向采购代理机构报告问题，任何因非系统原因导致的解密失败，视为投标无效。（投标人应对本单位开标环节的顺利开展负责，任何投标人自身原因导致的未在规定时间内解密成功由投标人自行承担后果）。</w:t>
      </w:r>
    </w:p>
    <w:p>
      <w:pPr>
        <w:numPr>
          <w:ilvl w:val="1"/>
          <w:numId w:val="12"/>
        </w:numPr>
        <w:tabs>
          <w:tab w:val="left" w:pos="1080"/>
          <w:tab w:val="left" w:pos="1589"/>
          <w:tab w:val="left" w:pos="2014"/>
        </w:tabs>
        <w:snapToGrid w:val="0"/>
        <w:spacing w:line="360" w:lineRule="auto"/>
        <w:ind w:left="1077" w:hanging="720"/>
        <w:rPr>
          <w:rFonts w:hint="eastAsia" w:ascii="宋体" w:hAnsi="宋体"/>
          <w:b/>
          <w:bCs/>
          <w:color w:val="auto"/>
          <w:sz w:val="24"/>
          <w:highlight w:val="none"/>
        </w:rPr>
      </w:pPr>
      <w:r>
        <w:rPr>
          <w:rFonts w:ascii="宋体" w:hAnsi="宋体"/>
          <w:color w:val="auto"/>
          <w:sz w:val="24"/>
          <w:highlight w:val="none"/>
        </w:rPr>
        <w:t>开标过程将使用电子交易平台宣布投标人名称、投标价格和招标文件规定的需要宣布的其他内容并进行记录，并由参加开标的各投标人代表确认。</w:t>
      </w:r>
      <w:r>
        <w:rPr>
          <w:rFonts w:ascii="宋体" w:hAnsi="宋体"/>
          <w:b/>
          <w:bCs/>
          <w:color w:val="auto"/>
          <w:sz w:val="24"/>
          <w:highlight w:val="none"/>
        </w:rPr>
        <w:t>投标人未在规定时间内提出疑义或确认一览表的</w:t>
      </w:r>
      <w:r>
        <w:rPr>
          <w:rFonts w:hint="eastAsia" w:ascii="宋体" w:hAnsi="宋体"/>
          <w:b/>
          <w:bCs/>
          <w:color w:val="auto"/>
          <w:sz w:val="24"/>
          <w:highlight w:val="none"/>
        </w:rPr>
        <w:t>，</w:t>
      </w:r>
      <w:r>
        <w:rPr>
          <w:rFonts w:ascii="宋体" w:hAnsi="宋体"/>
          <w:b/>
          <w:bCs/>
          <w:color w:val="auto"/>
          <w:sz w:val="24"/>
          <w:highlight w:val="none"/>
        </w:rPr>
        <w:t>视同认可开标结果</w:t>
      </w:r>
      <w:r>
        <w:rPr>
          <w:rFonts w:hint="eastAsia" w:ascii="宋体" w:hAnsi="宋体"/>
          <w:b/>
          <w:bCs/>
          <w:color w:val="auto"/>
          <w:sz w:val="24"/>
          <w:highlight w:val="none"/>
        </w:rPr>
        <w:t>。</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r>
        <w:rPr>
          <w:rFonts w:hint="eastAsia" w:ascii="宋体" w:hAnsi="宋体"/>
          <w:b/>
          <w:color w:val="auto"/>
          <w:sz w:val="24"/>
          <w:highlight w:val="none"/>
        </w:rPr>
        <w:t>在收到系统的确认开标结果的指令后，在规定时间内未提出异议或未确认的，均视为默认开标结果无误无异议。</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投标人不足3家的，不予开标。</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资格审查</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见第三章《资格审查》。</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评标委员会</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评标委员会根据政府采购有关规定和本次招标采购项目的特点进行组建，并负责具体评标事务，独立履行职责。</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评标方法和评标标准</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见第四章《评标方法和评标标准》。</w:t>
      </w: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六   确定中标</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确定中标人</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ascii="宋体" w:hAnsi="宋体"/>
          <w:color w:val="auto"/>
          <w:sz w:val="24"/>
          <w:highlight w:val="none"/>
        </w:rPr>
        <w:t>。</w:t>
      </w:r>
      <w:r>
        <w:rPr>
          <w:rFonts w:ascii="宋体" w:hAnsi="宋体"/>
          <w:color w:val="auto"/>
          <w:sz w:val="24"/>
          <w:highlight w:val="none"/>
        </w:rPr>
        <w:t>采购人是否委托评标委员会直接确定</w:t>
      </w:r>
      <w:r>
        <w:rPr>
          <w:rFonts w:hint="eastAsia" w:ascii="宋体" w:hAnsi="宋体"/>
          <w:color w:val="auto"/>
          <w:sz w:val="24"/>
          <w:highlight w:val="none"/>
        </w:rPr>
        <w:t>中标人</w:t>
      </w:r>
      <w:r>
        <w:rPr>
          <w:rFonts w:ascii="宋体" w:hAnsi="宋体"/>
          <w:color w:val="auto"/>
          <w:sz w:val="24"/>
          <w:highlight w:val="none"/>
        </w:rPr>
        <w:t>，见《</w:t>
      </w:r>
      <w:r>
        <w:rPr>
          <w:rFonts w:hint="eastAsia" w:ascii="宋体" w:hAnsi="宋体"/>
          <w:color w:val="auto"/>
          <w:sz w:val="24"/>
          <w:highlight w:val="none"/>
        </w:rPr>
        <w:t>投标人</w:t>
      </w:r>
      <w:r>
        <w:rPr>
          <w:rFonts w:ascii="宋体" w:hAnsi="宋体"/>
          <w:color w:val="auto"/>
          <w:sz w:val="24"/>
          <w:highlight w:val="none"/>
        </w:rPr>
        <w:t>须知资料表》。</w:t>
      </w:r>
      <w:r>
        <w:rPr>
          <w:rFonts w:hint="eastAsia" w:ascii="宋体" w:hAnsi="宋体"/>
          <w:color w:val="auto"/>
          <w:sz w:val="24"/>
          <w:highlight w:val="none"/>
        </w:rPr>
        <w:t>中标</w:t>
      </w:r>
      <w:r>
        <w:rPr>
          <w:rFonts w:ascii="宋体" w:hAnsi="宋体"/>
          <w:color w:val="auto"/>
          <w:sz w:val="24"/>
          <w:highlight w:val="none"/>
        </w:rPr>
        <w:t>候选人并列的，按照《</w:t>
      </w:r>
      <w:r>
        <w:rPr>
          <w:rFonts w:hint="eastAsia" w:ascii="宋体" w:hAnsi="宋体"/>
          <w:color w:val="auto"/>
          <w:sz w:val="24"/>
          <w:highlight w:val="none"/>
        </w:rPr>
        <w:t>投标人</w:t>
      </w:r>
      <w:r>
        <w:rPr>
          <w:rFonts w:ascii="宋体" w:hAnsi="宋体"/>
          <w:color w:val="auto"/>
          <w:sz w:val="24"/>
          <w:highlight w:val="none"/>
        </w:rPr>
        <w:t>须知资料表》要求确定成交投标人。</w:t>
      </w:r>
    </w:p>
    <w:p>
      <w:pPr>
        <w:numPr>
          <w:ilvl w:val="0"/>
          <w:numId w:val="15"/>
        </w:numPr>
        <w:tabs>
          <w:tab w:val="left" w:pos="360"/>
          <w:tab w:val="left" w:pos="90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中标公告与中标通知书</w:t>
      </w:r>
    </w:p>
    <w:p>
      <w:pPr>
        <w:numPr>
          <w:ilvl w:val="1"/>
          <w:numId w:val="15"/>
        </w:numPr>
        <w:tabs>
          <w:tab w:val="left" w:pos="1080"/>
          <w:tab w:val="left" w:pos="1589"/>
          <w:tab w:val="left" w:pos="2014"/>
        </w:tabs>
        <w:snapToGrid w:val="0"/>
        <w:spacing w:after="0" w:line="360" w:lineRule="auto"/>
        <w:ind w:left="1077" w:hanging="720"/>
        <w:jc w:val="left"/>
        <w:rPr>
          <w:rFonts w:hint="eastAsia" w:ascii="宋体" w:hAnsi="宋体"/>
          <w:color w:val="auto"/>
          <w:sz w:val="24"/>
          <w:highlight w:val="none"/>
        </w:rPr>
      </w:pPr>
      <w:r>
        <w:rPr>
          <w:rFonts w:ascii="宋体" w:hAnsi="宋体"/>
          <w:color w:val="auto"/>
          <w:sz w:val="24"/>
          <w:highlight w:val="none"/>
        </w:rPr>
        <w:t>采购人或采购代理机构自中标人确定之日起2个工作日内，</w:t>
      </w:r>
      <w:r>
        <w:rPr>
          <w:rFonts w:ascii="宋体" w:hAnsi="宋体"/>
          <w:color w:val="auto"/>
          <w:kern w:val="0"/>
          <w:sz w:val="24"/>
          <w:highlight w:val="none"/>
        </w:rPr>
        <w:t>在北京市政府采</w:t>
      </w:r>
      <w:r>
        <w:rPr>
          <w:rFonts w:hint="eastAsia" w:ascii="宋体" w:hAnsi="宋体"/>
          <w:color w:val="auto"/>
          <w:kern w:val="0"/>
          <w:sz w:val="24"/>
          <w:highlight w:val="none"/>
        </w:rPr>
        <w:t xml:space="preserve">           </w:t>
      </w:r>
      <w:r>
        <w:rPr>
          <w:rFonts w:hint="default" w:ascii="宋体" w:hAnsi="宋体"/>
          <w:color w:val="auto"/>
          <w:kern w:val="2"/>
          <w:sz w:val="24"/>
          <w:highlight w:val="none"/>
          <w:lang w:val="en-US" w:eastAsia="zh-CN"/>
        </w:rPr>
        <w:t xml:space="preserve">  </w:t>
      </w:r>
      <w:r>
        <w:rPr>
          <w:rFonts w:ascii="宋体" w:hAnsi="宋体"/>
          <w:color w:val="auto"/>
          <w:kern w:val="0"/>
          <w:sz w:val="24"/>
          <w:highlight w:val="none"/>
        </w:rPr>
        <w:t>购网公告中标结果</w:t>
      </w:r>
      <w:r>
        <w:rPr>
          <w:rFonts w:ascii="宋体" w:hAnsi="宋体"/>
          <w:color w:val="auto"/>
          <w:sz w:val="24"/>
          <w:highlight w:val="none"/>
        </w:rPr>
        <w:t>，同时向中标人发出中标通知书，中标公告期限为1个工作日。</w:t>
      </w:r>
      <w:r>
        <w:rPr>
          <w:rFonts w:hint="eastAsia" w:ascii="宋体" w:hAnsi="宋体"/>
          <w:color w:val="auto"/>
          <w:sz w:val="24"/>
          <w:highlight w:val="none"/>
        </w:rPr>
        <w:t>项目采购采用最低评标（审）价法的，公告中标、成交结果时应当同时公告因落实政府采购政策等原因进行价格扣除后中标、成交投标人的评审报</w:t>
      </w:r>
      <w:r>
        <w:rPr>
          <w:rFonts w:ascii="宋体" w:hAnsi="宋体"/>
          <w:color w:val="auto"/>
          <w:sz w:val="24"/>
          <w:highlight w:val="none"/>
        </w:rPr>
        <w:t>价；项目采购采用综合评分法的，公告中标、成交结果时应当同时公告中标、成交投标人的评审总得分。</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中标通知书对采购人和中标投标人均具有法律效力。中标通知书发出后，采购人改变中标结果的，或者中标投标人放弃中标项目的，应当依法承担法律责任。</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废标</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在招标采购中，出现下列情形之一的，应予废标：</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24.1.1</w:t>
      </w:r>
      <w:r>
        <w:rPr>
          <w:rFonts w:ascii="宋体" w:hAnsi="宋体"/>
          <w:color w:val="auto"/>
          <w:sz w:val="24"/>
          <w:highlight w:val="none"/>
        </w:rPr>
        <w:t>符合专业条件的投标人或者对招标文件作实质响应的投标人不足三家的；</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24.1.2</w:t>
      </w:r>
      <w:r>
        <w:rPr>
          <w:rFonts w:ascii="宋体" w:hAnsi="宋体"/>
          <w:color w:val="auto"/>
          <w:sz w:val="24"/>
          <w:highlight w:val="none"/>
        </w:rPr>
        <w:t>出现影响采购公正的违法、违规行为的；</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24.1.3</w:t>
      </w:r>
      <w:r>
        <w:rPr>
          <w:rFonts w:ascii="宋体" w:hAnsi="宋体"/>
          <w:color w:val="auto"/>
          <w:sz w:val="24"/>
          <w:highlight w:val="none"/>
        </w:rPr>
        <w:t>投标人的报价均超过了采购预算，采购人不能支付的；</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24.1.4</w:t>
      </w:r>
      <w:r>
        <w:rPr>
          <w:rFonts w:ascii="宋体" w:hAnsi="宋体"/>
          <w:color w:val="auto"/>
          <w:sz w:val="24"/>
          <w:highlight w:val="none"/>
        </w:rPr>
        <w:t>因重大变故，采购任务取消的。</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废标后，采购人将废标理由通知所有投标人。</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签订合同</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中标人</w:t>
      </w:r>
      <w:r>
        <w:rPr>
          <w:rFonts w:hint="eastAsia" w:ascii="宋体" w:hAnsi="宋体"/>
          <w:color w:val="auto"/>
          <w:sz w:val="24"/>
          <w:highlight w:val="none"/>
        </w:rPr>
        <w:t>拒绝</w:t>
      </w:r>
      <w:r>
        <w:rPr>
          <w:rFonts w:ascii="宋体" w:hAnsi="宋体"/>
          <w:color w:val="auto"/>
          <w:sz w:val="24"/>
          <w:highlight w:val="none"/>
        </w:rPr>
        <w:t>与采购人签订合同的，采购人</w:t>
      </w:r>
      <w:r>
        <w:rPr>
          <w:rFonts w:hint="eastAsia" w:ascii="宋体" w:hAnsi="宋体"/>
          <w:color w:val="auto"/>
          <w:sz w:val="24"/>
          <w:highlight w:val="none"/>
        </w:rPr>
        <w:t>可以</w:t>
      </w:r>
      <w:r>
        <w:rPr>
          <w:rFonts w:ascii="宋体" w:hAnsi="宋体"/>
          <w:color w:val="auto"/>
          <w:sz w:val="24"/>
          <w:highlight w:val="none"/>
        </w:rPr>
        <w:t>按照评</w:t>
      </w:r>
      <w:r>
        <w:rPr>
          <w:rFonts w:hint="eastAsia" w:ascii="宋体" w:hAnsi="宋体"/>
          <w:color w:val="auto"/>
          <w:sz w:val="24"/>
          <w:highlight w:val="none"/>
        </w:rPr>
        <w:t>标</w:t>
      </w:r>
      <w:r>
        <w:rPr>
          <w:rFonts w:ascii="宋体" w:hAnsi="宋体"/>
          <w:color w:val="auto"/>
          <w:sz w:val="24"/>
          <w:highlight w:val="none"/>
        </w:rPr>
        <w:t>报告推荐的中标候选人名单排序，确定下一候选人为中标人，</w:t>
      </w:r>
      <w:r>
        <w:rPr>
          <w:rFonts w:hint="eastAsia" w:ascii="宋体" w:hAnsi="宋体"/>
          <w:color w:val="auto"/>
          <w:sz w:val="24"/>
          <w:highlight w:val="none"/>
        </w:rPr>
        <w:t>也可以</w:t>
      </w:r>
      <w:r>
        <w:rPr>
          <w:rFonts w:ascii="宋体" w:hAnsi="宋体"/>
          <w:color w:val="auto"/>
          <w:sz w:val="24"/>
          <w:highlight w:val="none"/>
        </w:rPr>
        <w:t>重新开展政府采购活动。</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联合体中标的，联合体各方应当共同与采购人签订合同，就中标项目向采购人承担连带责任。</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政府采购合同不能转包。</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color w:val="auto"/>
          <w:sz w:val="24"/>
          <w:highlight w:val="none"/>
        </w:rPr>
        <w:t>，</w:t>
      </w:r>
      <w:r>
        <w:rPr>
          <w:rFonts w:ascii="宋体" w:hAnsi="宋体"/>
          <w:color w:val="auto"/>
          <w:sz w:val="24"/>
          <w:highlight w:val="none"/>
        </w:rPr>
        <w:t>否则</w:t>
      </w:r>
      <w:r>
        <w:rPr>
          <w:rFonts w:ascii="宋体" w:hAnsi="宋体"/>
          <w:b/>
          <w:color w:val="auto"/>
          <w:sz w:val="24"/>
          <w:highlight w:val="none"/>
        </w:rPr>
        <w:t>投标无效</w:t>
      </w:r>
      <w:r>
        <w:rPr>
          <w:rFonts w:ascii="宋体" w:hAnsi="宋体"/>
          <w:color w:val="auto"/>
          <w:sz w:val="24"/>
          <w:highlight w:val="none"/>
        </w:rPr>
        <w:t>。中标人就采购项目和分包项目向采购人负责，分包投标人就分包项目承担责任。</w:t>
      </w:r>
    </w:p>
    <w:p>
      <w:pPr>
        <w:pStyle w:val="288"/>
        <w:numPr>
          <w:ilvl w:val="1"/>
          <w:numId w:val="15"/>
        </w:numPr>
        <w:ind w:firstLineChars="0"/>
        <w:rPr>
          <w:rFonts w:hint="eastAsia" w:ascii="宋体" w:hAnsi="宋体"/>
          <w:color w:val="auto"/>
          <w:sz w:val="24"/>
          <w:highlight w:val="none"/>
        </w:rPr>
      </w:pPr>
      <w:r>
        <w:rPr>
          <w:rFonts w:hint="eastAsia" w:ascii="宋体" w:hAnsi="宋体"/>
          <w:color w:val="auto"/>
          <w:sz w:val="24"/>
          <w:highlight w:val="none"/>
        </w:rPr>
        <w:t>“政采贷”融资指引：详见《投标人须知资料表》。</w:t>
      </w:r>
    </w:p>
    <w:p>
      <w:pPr>
        <w:numPr>
          <w:ilvl w:val="0"/>
          <w:numId w:val="15"/>
        </w:numPr>
        <w:tabs>
          <w:tab w:val="left" w:pos="360"/>
          <w:tab w:val="left" w:pos="90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询问与质疑</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询问</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26.1.1</w:t>
      </w:r>
      <w:r>
        <w:rPr>
          <w:rFonts w:hint="eastAsia" w:ascii="宋体" w:hAnsi="宋体"/>
          <w:color w:val="auto"/>
          <w:sz w:val="24"/>
          <w:highlight w:val="none"/>
        </w:rPr>
        <w:t>投标人对政府采购活动事项有疑问的，可依法向采购人或采购代理</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机构提出询问，提出形式见《投标人须知资料表》</w:t>
      </w:r>
      <w:r>
        <w:rPr>
          <w:rFonts w:ascii="宋体" w:hAnsi="宋体"/>
          <w:color w:val="auto"/>
          <w:sz w:val="24"/>
          <w:highlight w:val="none"/>
        </w:rPr>
        <w:t>。</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26.1.2</w:t>
      </w:r>
      <w:r>
        <w:rPr>
          <w:rFonts w:hint="eastAsia" w:ascii="宋体" w:hAnsi="宋体"/>
          <w:color w:val="auto"/>
          <w:sz w:val="24"/>
          <w:highlight w:val="none"/>
        </w:rPr>
        <w:t>采购人或采购代理机构对投标人依法提出的询问，在3个工作日内作</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出答复，但答复的内容不得涉及商业秘密。</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质疑</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26.2.1</w:t>
      </w:r>
      <w:r>
        <w:rPr>
          <w:rFonts w:ascii="宋体" w:hAnsi="宋体"/>
          <w:color w:val="auto"/>
          <w:sz w:val="24"/>
          <w:highlight w:val="none"/>
        </w:rPr>
        <w:t>投标人认为招标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26.2.2</w:t>
      </w:r>
      <w:r>
        <w:rPr>
          <w:rFonts w:ascii="宋体" w:hAnsi="宋体"/>
          <w:color w:val="auto"/>
          <w:sz w:val="24"/>
          <w:highlight w:val="none"/>
        </w:rPr>
        <w:t>质疑函须使用财政部制定的范本文件。</w:t>
      </w:r>
      <w:r>
        <w:rPr>
          <w:rFonts w:hint="eastAsia" w:ascii="宋体" w:hAnsi="宋体"/>
          <w:color w:val="auto"/>
          <w:sz w:val="24"/>
          <w:highlight w:val="none"/>
        </w:rPr>
        <w:t>投标人为自然人的，质疑函应当由本人签字； 投标人为法人或者其他组织的，质疑函应当由法定代表人、主要负责人，或者其授权代表签字或者盖章，并加盖公章。</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26.2.3</w:t>
      </w:r>
      <w:r>
        <w:rPr>
          <w:rFonts w:hint="eastAsia" w:ascii="宋体" w:hAnsi="宋体"/>
          <w:color w:val="auto"/>
          <w:sz w:val="24"/>
          <w:highlight w:val="none"/>
        </w:rPr>
        <w:t>投标人委托代理人进行质疑的，应当随质疑函同时提交投标人签署的授权委托书。授权委托书应当载明代理人的姓名或者名称、代理事项、 具体权限、期限和相关事项。</w:t>
      </w:r>
      <w:r>
        <w:rPr>
          <w:rFonts w:ascii="宋体" w:hAnsi="宋体"/>
          <w:color w:val="auto"/>
          <w:sz w:val="24"/>
          <w:highlight w:val="none"/>
        </w:rPr>
        <w:t>投标人为自然人的，应当由本人签字；投标人为法人或者其他组织的，应当由法定代表人、主要负责人签字或者盖章，并加盖公章。</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26.2.4</w:t>
      </w:r>
      <w:r>
        <w:rPr>
          <w:rFonts w:ascii="宋体" w:hAnsi="宋体"/>
          <w:color w:val="auto"/>
          <w:sz w:val="24"/>
          <w:highlight w:val="none"/>
        </w:rPr>
        <w:t>投标人应在法定质疑期内一次性提出针对同一采购程序环节的质疑，法定质疑期内针对同一采购程序环节再次提出的质疑，采购人、采购代理机构有权不予答复。</w:t>
      </w:r>
    </w:p>
    <w:p>
      <w:pPr>
        <w:numPr>
          <w:ilvl w:val="1"/>
          <w:numId w:val="15"/>
        </w:numPr>
        <w:tabs>
          <w:tab w:val="left" w:pos="1080"/>
          <w:tab w:val="left" w:pos="1589"/>
          <w:tab w:val="left" w:pos="2014"/>
        </w:tabs>
        <w:snapToGrid w:val="0"/>
        <w:spacing w:line="360" w:lineRule="auto"/>
        <w:ind w:left="1077" w:hanging="720"/>
        <w:rPr>
          <w:rFonts w:hint="eastAsia" w:ascii="宋体" w:hAnsi="宋体" w:eastAsia="宋体" w:cs="宋体"/>
          <w:color w:val="auto"/>
          <w:sz w:val="24"/>
          <w:highlight w:val="none"/>
        </w:rPr>
      </w:pPr>
      <w:r>
        <w:rPr>
          <w:rFonts w:ascii="宋体" w:hAnsi="宋体"/>
          <w:color w:val="auto"/>
          <w:sz w:val="24"/>
          <w:highlight w:val="none"/>
        </w:rPr>
        <w:t>接收询问和质疑的联系部门、联系电话和通讯地址见《投标人须知资料表》</w:t>
      </w:r>
      <w:r>
        <w:rPr>
          <w:rFonts w:hint="eastAsia" w:ascii="宋体" w:hAnsi="宋体" w:eastAsia="宋体" w:cs="宋体"/>
          <w:color w:val="auto"/>
          <w:sz w:val="24"/>
          <w:highlight w:val="none"/>
        </w:rPr>
        <w:t>。</w:t>
      </w:r>
    </w:p>
    <w:p>
      <w:pPr>
        <w:numPr>
          <w:ilvl w:val="0"/>
          <w:numId w:val="15"/>
        </w:numPr>
        <w:tabs>
          <w:tab w:val="left" w:pos="360"/>
          <w:tab w:val="left" w:pos="90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代理费</w:t>
      </w:r>
    </w:p>
    <w:p>
      <w:pPr>
        <w:tabs>
          <w:tab w:val="left" w:pos="1080"/>
          <w:tab w:val="left" w:pos="1589"/>
          <w:tab w:val="left" w:pos="2014"/>
        </w:tabs>
        <w:snapToGrid w:val="0"/>
        <w:spacing w:line="360" w:lineRule="auto"/>
        <w:ind w:left="142"/>
        <w:rPr>
          <w:rFonts w:hint="eastAsia" w:ascii="宋体" w:hAnsi="宋体" w:eastAsia="宋体" w:cs="宋体"/>
          <w:color w:val="auto"/>
          <w:sz w:val="24"/>
          <w:highlight w:val="none"/>
        </w:rPr>
      </w:pPr>
      <w:bookmarkStart w:id="172" w:name="_Toc127151554"/>
      <w:bookmarkStart w:id="173" w:name="_Toc353873664"/>
      <w:bookmarkStart w:id="174" w:name="_Toc226337250"/>
      <w:bookmarkStart w:id="175" w:name="_Toc226965827"/>
      <w:bookmarkStart w:id="176" w:name="_Toc353825544"/>
      <w:bookmarkStart w:id="177" w:name="_Toc150774759"/>
      <w:bookmarkStart w:id="178" w:name="_Toc305158896"/>
      <w:bookmarkStart w:id="179" w:name="_Toc142311056"/>
      <w:bookmarkStart w:id="180" w:name="_Toc150480792"/>
      <w:bookmarkStart w:id="181" w:name="_Toc353873934"/>
      <w:bookmarkStart w:id="182" w:name="_Toc264969244"/>
      <w:bookmarkStart w:id="183" w:name="_Toc265228392"/>
      <w:bookmarkStart w:id="184" w:name="_Toc305158822"/>
      <w:r>
        <w:rPr>
          <w:rFonts w:hint="eastAsia" w:ascii="宋体" w:hAnsi="宋体" w:eastAsia="宋体" w:cs="宋体"/>
          <w:color w:val="auto"/>
          <w:sz w:val="24"/>
          <w:highlight w:val="none"/>
        </w:rPr>
        <w:t>27.1收费对象、收费标准及缴纳时间见《投标人须知资料表》。由中标人支付的，中标人须一次性向采购代理机构缴纳代理费，投标报价应包含代理费用。</w:t>
      </w:r>
    </w:p>
    <w:p>
      <w:pPr>
        <w:spacing w:line="360" w:lineRule="auto"/>
        <w:ind w:firstLine="240" w:firstLineChars="1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27.2</w:t>
      </w:r>
      <w:r>
        <w:rPr>
          <w:rFonts w:hint="eastAsia" w:ascii="宋体" w:hAnsi="宋体" w:eastAsia="宋体" w:cs="宋体"/>
          <w:b/>
          <w:bCs/>
          <w:color w:val="auto"/>
          <w:sz w:val="24"/>
          <w:highlight w:val="none"/>
        </w:rPr>
        <w:t>收费标准执行附表标准：</w:t>
      </w:r>
    </w:p>
    <w:tbl>
      <w:tblPr>
        <w:tblStyle w:val="47"/>
        <w:tblW w:w="8027"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8"/>
        <w:gridCol w:w="1560"/>
        <w:gridCol w:w="1698"/>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exact"/>
        </w:trPr>
        <w:tc>
          <w:tcPr>
            <w:tcW w:w="2968" w:type="dxa"/>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-6350</wp:posOffset>
                      </wp:positionV>
                      <wp:extent cx="1874520" cy="238760"/>
                      <wp:effectExtent l="635" t="4445" r="10795" b="23495"/>
                      <wp:wrapNone/>
                      <wp:docPr id="1100286580"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874520" cy="23876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5.4pt;margin-top:-0.5pt;height:18.8pt;width:147.6pt;z-index:251659264;mso-width-relative:page;mso-height-relative:page;" filled="f" stroked="t" coordsize="21600,21600" o:gfxdata="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VgETz2AAAAAkBAAAPAAAAAAAAAAEA&#10;IAAAACIAAABkcnMvZG93bnJldi54bWxQSwECFAAUAAAACACHTuJAWj/LYdYBAABqAwAADgAAAAAA&#10;AAABACAAAAAnAQAAZHJzL2Uyb0RvYy54bWxQSwUGAAAAAAYABgBZAQAAbwUAAAAA&#10;">
                      <v:fill on="f" focussize="0,0"/>
                      <v:stroke color="#000000" joinstyle="round"/>
                      <v:imagedata o:title=""/>
                      <o:lock v:ext="edit" aspectratio="f"/>
                    </v:line>
                  </w:pict>
                </mc:Fallback>
              </mc:AlternateContent>
            </w:r>
            <w:r>
              <w:rPr>
                <w:rFonts w:hint="eastAsia" w:ascii="宋体" w:hAnsi="宋体" w:eastAsia="宋体" w:cs="宋体"/>
                <w:color w:val="auto"/>
                <w:szCs w:val="21"/>
                <w:highlight w:val="none"/>
              </w:rPr>
              <w:t xml:space="preserve">                  费率</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中标（成交）金额</w:t>
            </w:r>
          </w:p>
        </w:tc>
        <w:tc>
          <w:tcPr>
            <w:tcW w:w="1560" w:type="dxa"/>
            <w:vAlign w:val="center"/>
          </w:tcPr>
          <w:p>
            <w:pPr>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69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801"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2968" w:type="dxa"/>
          </w:tcPr>
          <w:p>
            <w:pPr>
              <w:ind w:left="430" w:left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100～200万元（含）</w:t>
            </w:r>
          </w:p>
        </w:tc>
        <w:tc>
          <w:tcPr>
            <w:tcW w:w="1560"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w:t>
            </w:r>
          </w:p>
        </w:tc>
        <w:tc>
          <w:tcPr>
            <w:tcW w:w="1698"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801"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2968" w:type="dxa"/>
          </w:tcPr>
          <w:p>
            <w:pPr>
              <w:ind w:left="430" w:left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200～500万元（含）</w:t>
            </w:r>
          </w:p>
        </w:tc>
        <w:tc>
          <w:tcPr>
            <w:tcW w:w="1560" w:type="dxa"/>
          </w:tcPr>
          <w:p>
            <w:pPr>
              <w:ind w:right="569" w:rightChars="271" w:firstLine="210" w:firstLineChars="100"/>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w:t>
            </w:r>
          </w:p>
        </w:tc>
        <w:tc>
          <w:tcPr>
            <w:tcW w:w="1698"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w:t>
            </w:r>
          </w:p>
        </w:tc>
        <w:tc>
          <w:tcPr>
            <w:tcW w:w="1801"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2968" w:type="dxa"/>
          </w:tcPr>
          <w:p>
            <w:pPr>
              <w:ind w:left="430" w:left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500～1000万元（含）</w:t>
            </w:r>
          </w:p>
        </w:tc>
        <w:tc>
          <w:tcPr>
            <w:tcW w:w="1560"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w:t>
            </w:r>
          </w:p>
        </w:tc>
        <w:tc>
          <w:tcPr>
            <w:tcW w:w="1698"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w:t>
            </w:r>
          </w:p>
        </w:tc>
        <w:tc>
          <w:tcPr>
            <w:tcW w:w="1801"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exact"/>
        </w:trPr>
        <w:tc>
          <w:tcPr>
            <w:tcW w:w="8027" w:type="dxa"/>
            <w:gridSpan w:val="4"/>
          </w:tcPr>
          <w:p>
            <w:pPr>
              <w:spacing w:after="0"/>
              <w:ind w:right="569" w:rightChars="2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100万元以下的项目收取定额代理费，其中：</w:t>
            </w:r>
          </w:p>
          <w:p>
            <w:pPr>
              <w:ind w:right="569" w:rightChars="271"/>
              <w:rPr>
                <w:rFonts w:hint="eastAsia" w:ascii="宋体" w:hAnsi="宋体" w:eastAsia="宋体" w:cs="宋体"/>
                <w:color w:val="auto"/>
                <w:szCs w:val="21"/>
                <w:highlight w:val="none"/>
              </w:rPr>
            </w:pPr>
            <w:r>
              <w:rPr>
                <w:rFonts w:hint="eastAsia" w:ascii="宋体" w:hAnsi="宋体" w:eastAsia="宋体" w:cs="宋体"/>
                <w:color w:val="auto"/>
                <w:szCs w:val="21"/>
                <w:highlight w:val="none"/>
              </w:rPr>
              <w:t>20万元（含）以下的各类项目收取3000元，20～50万元（含）的各类项目收取8000元，50～100万元（含）货物和服务类项目收取1.5万元，50～100万元（含）工程类项目收取1万元。</w:t>
            </w:r>
          </w:p>
        </w:tc>
      </w:tr>
    </w:tbl>
    <w:p>
      <w:pPr>
        <w:tabs>
          <w:tab w:val="left" w:pos="1080"/>
          <w:tab w:val="left" w:pos="1589"/>
          <w:tab w:val="left" w:pos="2014"/>
        </w:tabs>
        <w:snapToGrid w:val="0"/>
        <w:spacing w:line="360" w:lineRule="auto"/>
        <w:ind w:left="142"/>
        <w:rPr>
          <w:rFonts w:hint="eastAsia" w:ascii="宋体" w:hAnsi="宋体" w:eastAsia="宋体" w:cs="宋体"/>
          <w:color w:val="auto"/>
          <w:sz w:val="24"/>
          <w:highlight w:val="none"/>
        </w:rPr>
      </w:pPr>
    </w:p>
    <w:p>
      <w:pPr>
        <w:pStyle w:val="23"/>
        <w:spacing w:line="360" w:lineRule="auto"/>
        <w:jc w:val="center"/>
        <w:outlineLvl w:val="0"/>
        <w:rPr>
          <w:rFonts w:hint="eastAsia" w:ascii="宋体" w:hAnsi="宋体" w:eastAsia="宋体" w:cs="宋体"/>
          <w:b/>
          <w:color w:val="auto"/>
          <w:sz w:val="36"/>
          <w:szCs w:val="36"/>
          <w:highlight w:val="none"/>
        </w:rPr>
        <w:sectPr>
          <w:headerReference r:id="rId6" w:type="first"/>
          <w:footerReference r:id="rId8" w:type="first"/>
          <w:headerReference r:id="rId5" w:type="even"/>
          <w:footerReference r:id="rId7" w:type="even"/>
          <w:pgSz w:w="11901" w:h="16817"/>
          <w:pgMar w:top="1418" w:right="1474" w:bottom="1418" w:left="1474" w:header="851" w:footer="992" w:gutter="0"/>
          <w:cols w:space="720" w:num="1"/>
          <w:docGrid w:linePitch="340" w:charSpace="0"/>
        </w:sectPr>
      </w:pPr>
    </w:p>
    <w:p>
      <w:pPr>
        <w:pStyle w:val="23"/>
        <w:spacing w:line="360" w:lineRule="auto"/>
        <w:jc w:val="center"/>
        <w:outlineLvl w:val="0"/>
        <w:rPr>
          <w:rFonts w:hint="eastAsia" w:ascii="宋体" w:hAnsi="宋体" w:eastAsia="宋体" w:cs="宋体"/>
          <w:b/>
          <w:color w:val="auto"/>
          <w:sz w:val="36"/>
          <w:szCs w:val="36"/>
          <w:highlight w:val="none"/>
        </w:rPr>
      </w:pPr>
      <w:bookmarkStart w:id="185" w:name="_Toc192872477"/>
      <w:r>
        <w:rPr>
          <w:rFonts w:hint="eastAsia" w:ascii="宋体" w:hAnsi="宋体" w:eastAsia="宋体" w:cs="宋体"/>
          <w:b/>
          <w:color w:val="auto"/>
          <w:sz w:val="36"/>
          <w:szCs w:val="36"/>
          <w:highlight w:val="none"/>
        </w:rPr>
        <w:t xml:space="preserve">第三章   </w:t>
      </w:r>
      <w:bookmarkEnd w:id="172"/>
      <w:bookmarkEnd w:id="173"/>
      <w:bookmarkEnd w:id="174"/>
      <w:bookmarkEnd w:id="175"/>
      <w:bookmarkEnd w:id="176"/>
      <w:bookmarkEnd w:id="177"/>
      <w:bookmarkEnd w:id="178"/>
      <w:bookmarkEnd w:id="179"/>
      <w:bookmarkEnd w:id="180"/>
      <w:bookmarkEnd w:id="181"/>
      <w:bookmarkEnd w:id="182"/>
      <w:bookmarkEnd w:id="183"/>
      <w:bookmarkEnd w:id="184"/>
      <w:r>
        <w:rPr>
          <w:rFonts w:hint="eastAsia" w:ascii="宋体" w:hAnsi="宋体" w:eastAsia="宋体" w:cs="宋体"/>
          <w:b/>
          <w:color w:val="auto"/>
          <w:sz w:val="36"/>
          <w:szCs w:val="36"/>
          <w:highlight w:val="none"/>
        </w:rPr>
        <w:t>资格审查</w:t>
      </w:r>
      <w:bookmarkEnd w:id="185"/>
      <w:bookmarkStart w:id="186" w:name="_Toc487900382"/>
    </w:p>
    <w:p>
      <w:pPr>
        <w:tabs>
          <w:tab w:val="left" w:pos="360"/>
          <w:tab w:val="left" w:pos="900"/>
        </w:tabs>
        <w:snapToGrid w:val="0"/>
        <w:spacing w:line="360" w:lineRule="auto"/>
        <w:jc w:val="center"/>
        <w:outlineLvl w:val="1"/>
        <w:rPr>
          <w:rFonts w:hint="eastAsia" w:ascii="宋体" w:hAnsi="宋体" w:eastAsia="宋体" w:cs="宋体"/>
          <w:b/>
          <w:color w:val="auto"/>
          <w:sz w:val="24"/>
          <w:highlight w:val="none"/>
        </w:rPr>
      </w:pPr>
      <w:bookmarkStart w:id="187" w:name="_Toc99301422"/>
      <w:r>
        <w:rPr>
          <w:rFonts w:hint="eastAsia" w:ascii="宋体" w:hAnsi="宋体" w:eastAsia="宋体" w:cs="宋体"/>
          <w:b/>
          <w:color w:val="auto"/>
          <w:sz w:val="24"/>
          <w:highlight w:val="none"/>
        </w:rPr>
        <w:t>一、资格审查程序</w:t>
      </w:r>
      <w:bookmarkEnd w:id="187"/>
    </w:p>
    <w:p>
      <w:pPr>
        <w:numPr>
          <w:ilvl w:val="0"/>
          <w:numId w:val="16"/>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开标结束后，采购人或采购代理机构将根据《资格审查要求》中的规定，对投标人进行资格审查，并形成资格审查结果。</w:t>
      </w:r>
    </w:p>
    <w:p>
      <w:pPr>
        <w:numPr>
          <w:ilvl w:val="0"/>
          <w:numId w:val="16"/>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《资格审查要求》中对格式有要求的，除招标文件另有规定外，均为“实质性格式”文件。</w:t>
      </w:r>
    </w:p>
    <w:p>
      <w:pPr>
        <w:numPr>
          <w:ilvl w:val="0"/>
          <w:numId w:val="16"/>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投标人《资格证明文件》有任何一项不符合《资格审查要求》的，资格审查不合格，其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numPr>
          <w:ilvl w:val="0"/>
          <w:numId w:val="16"/>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资格审查合格的投标人不足3家的，不进行评标。</w:t>
      </w:r>
    </w:p>
    <w:p>
      <w:pPr>
        <w:tabs>
          <w:tab w:val="left" w:pos="360"/>
          <w:tab w:val="left" w:pos="900"/>
        </w:tabs>
        <w:snapToGrid w:val="0"/>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二、资格审查要求</w:t>
      </w:r>
    </w:p>
    <w:tbl>
      <w:tblPr>
        <w:tblStyle w:val="47"/>
        <w:tblW w:w="9233"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2301"/>
        <w:gridCol w:w="4644"/>
        <w:gridCol w:w="1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83" w:hRule="atLeast"/>
          <w:tblHeader/>
        </w:trPr>
        <w:tc>
          <w:tcPr>
            <w:tcW w:w="710" w:type="dxa"/>
            <w:vAlign w:val="center"/>
          </w:tcPr>
          <w:p>
            <w:pPr>
              <w:tabs>
                <w:tab w:val="left" w:pos="1080"/>
              </w:tabs>
              <w:snapToGrid w:val="0"/>
              <w:spacing w:after="0" w:line="240" w:lineRule="auto"/>
              <w:jc w:val="center"/>
              <w:rPr>
                <w:rFonts w:hint="eastAsia" w:ascii="宋体" w:hAnsi="宋体" w:eastAsia="宋体" w:cs="宋体"/>
                <w:b/>
                <w:color w:val="auto"/>
                <w:sz w:val="24"/>
                <w:highlight w:val="none"/>
              </w:rPr>
            </w:pPr>
            <w:bookmarkStart w:id="188" w:name="_Hlt487972895"/>
            <w:bookmarkEnd w:id="188"/>
            <w:r>
              <w:rPr>
                <w:rFonts w:hint="eastAsia" w:ascii="宋体" w:hAnsi="宋体" w:eastAsia="宋体" w:cs="宋体"/>
                <w:b/>
                <w:color w:val="auto"/>
                <w:sz w:val="24"/>
                <w:highlight w:val="none"/>
              </w:rPr>
              <w:t>序号</w:t>
            </w:r>
          </w:p>
        </w:tc>
        <w:tc>
          <w:tcPr>
            <w:tcW w:w="2301" w:type="dxa"/>
            <w:vAlign w:val="center"/>
          </w:tcPr>
          <w:p>
            <w:pPr>
              <w:tabs>
                <w:tab w:val="left" w:pos="1080"/>
              </w:tabs>
              <w:snapToGrid w:val="0"/>
              <w:spacing w:after="0"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审查因素</w:t>
            </w:r>
          </w:p>
        </w:tc>
        <w:tc>
          <w:tcPr>
            <w:tcW w:w="4644" w:type="dxa"/>
            <w:vAlign w:val="center"/>
          </w:tcPr>
          <w:p>
            <w:pPr>
              <w:tabs>
                <w:tab w:val="left" w:pos="1080"/>
              </w:tabs>
              <w:snapToGrid w:val="0"/>
              <w:spacing w:after="0"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审查内容</w:t>
            </w:r>
          </w:p>
        </w:tc>
        <w:tc>
          <w:tcPr>
            <w:tcW w:w="1578" w:type="dxa"/>
            <w:vAlign w:val="center"/>
          </w:tcPr>
          <w:p>
            <w:pPr>
              <w:tabs>
                <w:tab w:val="left" w:pos="1080"/>
              </w:tabs>
              <w:snapToGrid w:val="0"/>
              <w:spacing w:after="0"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满足《中华人民共和国政府采购法》第二十二条规定及法律法规的其他规定</w:t>
            </w:r>
          </w:p>
        </w:tc>
        <w:tc>
          <w:tcPr>
            <w:tcW w:w="4644"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具体规定见第一章《投标邀请》</w:t>
            </w:r>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营业执照等证明文件</w:t>
            </w:r>
          </w:p>
        </w:tc>
        <w:tc>
          <w:tcPr>
            <w:tcW w:w="4644" w:type="dxa"/>
            <w:vAlign w:val="center"/>
          </w:tcPr>
          <w:p>
            <w:pPr>
              <w:tabs>
                <w:tab w:val="left" w:pos="1080"/>
              </w:tabs>
              <w:snapToGrid w:val="0"/>
              <w:spacing w:after="0" w:line="240" w:lineRule="auto"/>
              <w:rPr>
                <w:rFonts w:hint="eastAsia" w:ascii="宋体" w:hAnsi="宋体" w:eastAsia="宋体" w:cs="宋体"/>
                <w:color w:val="auto"/>
                <w:sz w:val="24"/>
                <w:highlight w:val="none"/>
              </w:rPr>
            </w:pPr>
            <w:bookmarkStart w:id="189" w:name="OLE_LINK12"/>
            <w:r>
              <w:rPr>
                <w:rFonts w:hint="eastAsia" w:ascii="宋体" w:hAnsi="宋体" w:eastAsia="宋体" w:cs="宋体"/>
                <w:color w:val="auto"/>
                <w:sz w:val="24"/>
                <w:highlight w:val="none"/>
              </w:rPr>
              <w:t>投标人为企业（包括合伙企业）的，应提供有效的“营业执照”；</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投标人为事业单位的，应提供有效的“事业单位法人证书”；</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投标人是非企业机构的，应提供有效的“执业许可证”、“登记证书”等证明文件；</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投标人是个体工商户的，应提供有效的“个体工商户营业执照”；</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投标人是自然人的，应提供有效的自然人身份证明。</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 对于银行、保险、石油石化、电力、电信等行业的分支机构，可以提供上述授权，也可以提供其所属法人/其他组织的有关文件或制度等能够证明授权其独立开展业务的证明材料。</w:t>
            </w:r>
            <w:bookmarkEnd w:id="189"/>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投标人资格声明书</w:t>
            </w:r>
          </w:p>
        </w:tc>
        <w:tc>
          <w:tcPr>
            <w:tcW w:w="4644" w:type="dxa"/>
            <w:vAlign w:val="center"/>
          </w:tcPr>
          <w:p>
            <w:pPr>
              <w:tabs>
                <w:tab w:val="left" w:pos="1080"/>
              </w:tabs>
              <w:snapToGrid w:val="0"/>
              <w:spacing w:after="0" w:line="240" w:lineRule="auto"/>
              <w:rPr>
                <w:rFonts w:hint="eastAsia" w:ascii="宋体" w:hAnsi="宋体" w:eastAsia="宋体" w:cs="宋体"/>
                <w:color w:val="auto"/>
                <w:sz w:val="24"/>
                <w:highlight w:val="none"/>
              </w:rPr>
            </w:pPr>
            <w:bookmarkStart w:id="190" w:name="OLE_LINK11"/>
            <w:r>
              <w:rPr>
                <w:rFonts w:hint="eastAsia" w:ascii="宋体" w:hAnsi="宋体" w:eastAsia="宋体" w:cs="宋体"/>
                <w:color w:val="auto"/>
                <w:sz w:val="24"/>
                <w:highlight w:val="none"/>
              </w:rPr>
              <w:t>提供了符合招标文件要求的《投标人资格声明书》。</w:t>
            </w:r>
            <w:bookmarkEnd w:id="190"/>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bookmarkStart w:id="191" w:name="OLE_LINK50"/>
            <w:r>
              <w:rPr>
                <w:rFonts w:hint="eastAsia" w:ascii="宋体" w:hAnsi="宋体" w:eastAsia="宋体" w:cs="宋体"/>
                <w:color w:val="auto"/>
                <w:sz w:val="24"/>
                <w:highlight w:val="none"/>
              </w:rPr>
              <w:t>投标人信用记录</w:t>
            </w:r>
            <w:bookmarkEnd w:id="191"/>
          </w:p>
        </w:tc>
        <w:tc>
          <w:tcPr>
            <w:tcW w:w="4644"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查询渠道：信用中国网站和中国政府采购网（</w:t>
            </w:r>
            <w:r>
              <w:rPr>
                <w:rFonts w:hint="eastAsia" w:ascii="宋体" w:hAnsi="宋体" w:eastAsia="宋体" w:cs="宋体"/>
                <w:color w:val="auto"/>
                <w:highlight w:val="none"/>
              </w:rPr>
              <w:t>www.creditchina.gov.cn</w:t>
            </w:r>
            <w:r>
              <w:rPr>
                <w:rFonts w:hint="eastAsia" w:ascii="宋体" w:hAnsi="宋体" w:eastAsia="宋体" w:cs="宋体"/>
                <w:color w:val="auto"/>
                <w:sz w:val="24"/>
                <w:highlight w:val="none"/>
              </w:rPr>
              <w:t>、</w:t>
            </w:r>
            <w:r>
              <w:rPr>
                <w:rFonts w:hint="eastAsia" w:ascii="宋体" w:hAnsi="宋体" w:eastAsia="宋体" w:cs="宋体"/>
                <w:color w:val="auto"/>
                <w:highlight w:val="none"/>
              </w:rPr>
              <w:t>www.ccgp.gov.cn</w:t>
            </w:r>
            <w:r>
              <w:rPr>
                <w:rFonts w:hint="eastAsia" w:ascii="宋体" w:hAnsi="宋体" w:eastAsia="宋体" w:cs="宋体"/>
                <w:color w:val="auto"/>
                <w:sz w:val="24"/>
                <w:highlight w:val="none"/>
              </w:rPr>
              <w:t>）；</w:t>
            </w:r>
          </w:p>
          <w:p>
            <w:pPr>
              <w:tabs>
                <w:tab w:val="left" w:pos="900"/>
                <w:tab w:val="left" w:pos="19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截止时点：投标截止时间以后、资格审查阶段采购人或采购代理机构的实际查询时间；</w:t>
            </w:r>
          </w:p>
          <w:p>
            <w:pPr>
              <w:tabs>
                <w:tab w:val="left" w:pos="900"/>
                <w:tab w:val="left" w:pos="19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信用信息查询记录和证据留存具体方式：查询结果网页截图或打印页作为查询记录和证据，与其他招标文件一并保存；</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信用信息的使用原则：经认定的被列入失信被执行人、重大税收违法案件当事人名单、政府采购严重违法失信行为记录名单的投标人，其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。联合体形式投标的，联合体成员存在不良信用记录，视同联合体存在不良信用记录。</w:t>
            </w:r>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本项目的特定资格要求</w:t>
            </w:r>
          </w:p>
        </w:tc>
        <w:tc>
          <w:tcPr>
            <w:tcW w:w="4644"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如有，见第一章《投标邀请》</w:t>
            </w:r>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bookmarkStart w:id="192" w:name="OLE_LINK10"/>
            <w:r>
              <w:rPr>
                <w:rFonts w:hint="eastAsia" w:ascii="宋体" w:hAnsi="宋体" w:eastAsia="宋体" w:cs="宋体"/>
                <w:color w:val="auto"/>
                <w:sz w:val="24"/>
                <w:highlight w:val="none"/>
              </w:rPr>
              <w:t>特定资格要求</w:t>
            </w:r>
            <w:bookmarkEnd w:id="192"/>
          </w:p>
        </w:tc>
        <w:tc>
          <w:tcPr>
            <w:tcW w:w="4644" w:type="dxa"/>
            <w:vAlign w:val="center"/>
          </w:tcPr>
          <w:p>
            <w:pPr>
              <w:pStyle w:val="288"/>
              <w:numPr>
                <w:ilvl w:val="0"/>
                <w:numId w:val="17"/>
              </w:numPr>
              <w:spacing w:after="0" w:line="240" w:lineRule="atLeast"/>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投标人需具有农业农村部门颁发的兽药生产许可证。</w:t>
            </w:r>
          </w:p>
          <w:p>
            <w:pPr>
              <w:pStyle w:val="288"/>
              <w:numPr>
                <w:ilvl w:val="0"/>
                <w:numId w:val="17"/>
              </w:numPr>
              <w:spacing w:after="0" w:line="240" w:lineRule="atLeast"/>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投标人须具备所投各疫苗品种(毒株)的有效兽药产品批准文号（涉及农业农村部统一变更某产品名称和毒株的，变更后的产品批准文号文件同样有效）。</w:t>
            </w:r>
          </w:p>
          <w:p>
            <w:pPr>
              <w:pStyle w:val="288"/>
              <w:numPr>
                <w:ilvl w:val="0"/>
                <w:numId w:val="17"/>
              </w:numPr>
              <w:spacing w:after="0" w:line="240" w:lineRule="atLeast"/>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投标人需具有农业农村部门颁发的中华人民共和国兽药GMP证书。</w:t>
            </w:r>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提供证明文件的电子件或电子证照加盖投标人公章；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2301" w:type="dxa"/>
            <w:vAlign w:val="center"/>
          </w:tcPr>
          <w:p>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获取招标文件</w:t>
            </w:r>
          </w:p>
        </w:tc>
        <w:tc>
          <w:tcPr>
            <w:tcW w:w="464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tLeas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在规定期限内通过北京市政府采购电子交易平台获取所参与包的招标文件。</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注：如本项目接受联合体，且供应商为联合体时，联合体中任一成员获取文件即视为满足要求。</w:t>
            </w:r>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p>
        </w:tc>
      </w:t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186"/>
    </w:tbl>
    <w:p>
      <w:pPr>
        <w:widowControl/>
        <w:jc w:val="left"/>
        <w:rPr>
          <w:rFonts w:hint="eastAsia" w:ascii="宋体" w:hAnsi="宋体" w:eastAsia="宋体" w:cs="宋体"/>
          <w:color w:val="auto"/>
          <w:sz w:val="24"/>
          <w:highlight w:val="none"/>
        </w:rPr>
      </w:pPr>
      <w:bookmarkStart w:id="193" w:name="_Toc353825550"/>
      <w:bookmarkStart w:id="194" w:name="_Toc226965858"/>
      <w:bookmarkStart w:id="195" w:name="_Toc127151779"/>
      <w:bookmarkStart w:id="196" w:name="_Toc127161490"/>
      <w:bookmarkStart w:id="197" w:name="_Toc353873940"/>
      <w:r>
        <w:rPr>
          <w:rFonts w:hint="eastAsia" w:ascii="宋体" w:hAnsi="宋体" w:eastAsia="宋体" w:cs="宋体"/>
          <w:color w:val="auto"/>
          <w:sz w:val="24"/>
          <w:highlight w:val="none"/>
        </w:rPr>
        <w:br w:type="page"/>
      </w:r>
    </w:p>
    <w:p>
      <w:pPr>
        <w:spacing w:line="360" w:lineRule="auto"/>
        <w:jc w:val="center"/>
        <w:outlineLvl w:val="0"/>
        <w:rPr>
          <w:rFonts w:hint="eastAsia" w:ascii="宋体" w:hAnsi="宋体" w:eastAsia="宋体" w:cs="宋体"/>
          <w:b/>
          <w:color w:val="auto"/>
          <w:sz w:val="36"/>
          <w:szCs w:val="36"/>
          <w:highlight w:val="none"/>
        </w:rPr>
      </w:pPr>
      <w:bookmarkStart w:id="198" w:name="_Toc192872478"/>
      <w:r>
        <w:rPr>
          <w:rFonts w:hint="eastAsia" w:ascii="宋体" w:hAnsi="宋体" w:eastAsia="宋体" w:cs="宋体"/>
          <w:b/>
          <w:color w:val="auto"/>
          <w:sz w:val="36"/>
          <w:szCs w:val="36"/>
          <w:highlight w:val="none"/>
        </w:rPr>
        <w:t xml:space="preserve">第四章   </w:t>
      </w:r>
      <w:bookmarkEnd w:id="193"/>
      <w:bookmarkEnd w:id="194"/>
      <w:bookmarkEnd w:id="195"/>
      <w:bookmarkEnd w:id="196"/>
      <w:bookmarkEnd w:id="197"/>
      <w:bookmarkStart w:id="199" w:name="_Hlt164229061"/>
      <w:bookmarkEnd w:id="199"/>
      <w:r>
        <w:rPr>
          <w:rFonts w:hint="eastAsia" w:ascii="宋体" w:hAnsi="宋体" w:eastAsia="宋体" w:cs="宋体"/>
          <w:b/>
          <w:color w:val="auto"/>
          <w:sz w:val="36"/>
          <w:szCs w:val="36"/>
          <w:highlight w:val="none"/>
        </w:rPr>
        <w:t>评标方法和评标标准</w:t>
      </w:r>
      <w:bookmarkEnd w:id="198"/>
    </w:p>
    <w:p>
      <w:pPr>
        <w:tabs>
          <w:tab w:val="left" w:pos="360"/>
          <w:tab w:val="left" w:pos="900"/>
        </w:tabs>
        <w:snapToGrid w:val="0"/>
        <w:spacing w:line="360" w:lineRule="auto"/>
        <w:jc w:val="center"/>
        <w:outlineLvl w:val="1"/>
        <w:rPr>
          <w:rFonts w:hint="eastAsia" w:ascii="宋体" w:hAnsi="宋体" w:eastAsia="宋体" w:cs="宋体"/>
          <w:b/>
          <w:color w:val="auto"/>
          <w:highlight w:val="none"/>
        </w:rPr>
      </w:pPr>
      <w:r>
        <w:rPr>
          <w:rFonts w:hint="eastAsia" w:ascii="宋体" w:hAnsi="宋体" w:eastAsia="宋体" w:cs="宋体"/>
          <w:b/>
          <w:color w:val="auto"/>
          <w:sz w:val="24"/>
          <w:highlight w:val="none"/>
        </w:rPr>
        <w:t>一、评标方法</w:t>
      </w:r>
    </w:p>
    <w:p>
      <w:pPr>
        <w:numPr>
          <w:ilvl w:val="0"/>
          <w:numId w:val="18"/>
        </w:numPr>
        <w:tabs>
          <w:tab w:val="left" w:pos="360"/>
        </w:tabs>
        <w:snapToGrid w:val="0"/>
        <w:spacing w:line="360" w:lineRule="auto"/>
        <w:outlineLvl w:val="1"/>
        <w:rPr>
          <w:rFonts w:hint="eastAsia" w:ascii="宋体" w:hAnsi="宋体" w:eastAsia="宋体" w:cs="宋体"/>
          <w:color w:val="auto"/>
          <w:sz w:val="24"/>
          <w:highlight w:val="none"/>
        </w:rPr>
      </w:pPr>
      <w:bookmarkStart w:id="200" w:name="_Toc264969231"/>
      <w:bookmarkStart w:id="201" w:name="_Toc151193855"/>
      <w:bookmarkStart w:id="202" w:name="_Toc149720834"/>
      <w:bookmarkStart w:id="203" w:name="_Toc151193639"/>
      <w:bookmarkStart w:id="204" w:name="_Toc265228379"/>
      <w:bookmarkStart w:id="205" w:name="_Toc151193783"/>
      <w:bookmarkStart w:id="206" w:name="_Toc150509292"/>
      <w:bookmarkStart w:id="207" w:name="_Toc150774641"/>
      <w:bookmarkStart w:id="208" w:name="_Toc195842906"/>
      <w:bookmarkStart w:id="209" w:name="_Toc151193929"/>
      <w:bookmarkStart w:id="210" w:name="_Toc226965731"/>
      <w:bookmarkStart w:id="211" w:name="_Toc150774746"/>
      <w:bookmarkStart w:id="212" w:name="_Toc164608655"/>
      <w:bookmarkStart w:id="213" w:name="_Toc226309785"/>
      <w:bookmarkStart w:id="214" w:name="_Toc150480779"/>
      <w:bookmarkStart w:id="215" w:name="_Toc127151541"/>
      <w:bookmarkStart w:id="216" w:name="_Toc164608810"/>
      <w:bookmarkStart w:id="217" w:name="_Toc305158883"/>
      <w:bookmarkStart w:id="218" w:name="_Toc164229382"/>
      <w:bookmarkStart w:id="219" w:name="_Toc151193711"/>
      <w:bookmarkStart w:id="220" w:name="_Toc127161455"/>
      <w:bookmarkStart w:id="221" w:name="_Toc305158809"/>
      <w:bookmarkStart w:id="222" w:name="_Toc127151742"/>
      <w:bookmarkStart w:id="223" w:name="_Toc226965814"/>
      <w:bookmarkStart w:id="224" w:name="_Toc142311043"/>
      <w:bookmarkStart w:id="225" w:name="_Toc226337237"/>
      <w:bookmarkStart w:id="226" w:name="_Toc164351635"/>
      <w:bookmarkStart w:id="227" w:name="_Toc151190168"/>
      <w:bookmarkStart w:id="228" w:name="_Toc164229236"/>
      <w:bookmarkStart w:id="229" w:name="_Toc353825551"/>
      <w:bookmarkStart w:id="230" w:name="_Toc353873941"/>
      <w:bookmarkStart w:id="231" w:name="_Toc226965828"/>
      <w:bookmarkStart w:id="232" w:name="_Toc305158897"/>
      <w:bookmarkStart w:id="233" w:name="_Toc353873935"/>
      <w:bookmarkStart w:id="234" w:name="_Toc353825545"/>
      <w:bookmarkStart w:id="235" w:name="_Toc142311057"/>
      <w:bookmarkStart w:id="236" w:name="_Toc226337251"/>
      <w:bookmarkStart w:id="237" w:name="_Toc305158823"/>
      <w:bookmarkStart w:id="238" w:name="_Toc150774760"/>
      <w:bookmarkStart w:id="239" w:name="_Toc264969245"/>
      <w:bookmarkStart w:id="240" w:name="_Toc150480793"/>
      <w:bookmarkStart w:id="241" w:name="_Toc353873665"/>
      <w:bookmarkStart w:id="242" w:name="_Toc195842920"/>
      <w:bookmarkStart w:id="243" w:name="_Toc127151555"/>
      <w:bookmarkStart w:id="244" w:name="_Toc265228393"/>
      <w:r>
        <w:rPr>
          <w:rFonts w:hint="eastAsia" w:ascii="宋体" w:hAnsi="宋体" w:eastAsia="宋体" w:cs="宋体"/>
          <w:color w:val="auto"/>
          <w:sz w:val="24"/>
          <w:highlight w:val="none"/>
        </w:rPr>
        <w:t>投标文件的符合性审查</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评标委员会对资格审查合格的投标人的投标文件进行符合性审查，以确定其是否满足招标文件的实质性要求。</w:t>
      </w:r>
      <w:bookmarkStart w:id="245" w:name="_Toc520356167"/>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245"/>
      <w:r>
        <w:rPr>
          <w:rFonts w:hint="eastAsia" w:ascii="宋体" w:hAnsi="宋体" w:eastAsia="宋体" w:cs="宋体"/>
          <w:color w:val="auto"/>
          <w:sz w:val="24"/>
          <w:highlight w:val="none"/>
        </w:rPr>
        <w:t>要求的，</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符合性审查要求</w:t>
      </w:r>
    </w:p>
    <w:tbl>
      <w:tblPr>
        <w:tblStyle w:val="47"/>
        <w:tblW w:w="89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746"/>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722" w:type="dxa"/>
            <w:vAlign w:val="center"/>
          </w:tcPr>
          <w:p>
            <w:pPr>
              <w:widowControl/>
              <w:spacing w:after="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序号</w:t>
            </w:r>
          </w:p>
        </w:tc>
        <w:tc>
          <w:tcPr>
            <w:tcW w:w="1746" w:type="dxa"/>
            <w:vAlign w:val="center"/>
          </w:tcPr>
          <w:p>
            <w:pPr>
              <w:widowControl/>
              <w:spacing w:after="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审查因素</w:t>
            </w:r>
          </w:p>
        </w:tc>
        <w:tc>
          <w:tcPr>
            <w:tcW w:w="6475" w:type="dxa"/>
            <w:vAlign w:val="center"/>
          </w:tcPr>
          <w:p>
            <w:pPr>
              <w:widowControl/>
              <w:spacing w:after="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bookmarkStart w:id="246" w:name="_Hlk196842304"/>
            <w:r>
              <w:rPr>
                <w:rFonts w:hint="eastAsia" w:ascii="宋体" w:hAnsi="宋体" w:eastAsia="宋体" w:cs="宋体"/>
                <w:color w:val="auto"/>
                <w:kern w:val="0"/>
                <w:sz w:val="24"/>
                <w:highlight w:val="none"/>
              </w:rPr>
              <w:t>1</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授权委托书</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按招标文件要求提供授权委托书；</w:t>
            </w:r>
          </w:p>
        </w:tc>
      </w:tr>
      <w:bookmarkEnd w:id="2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bookmarkStart w:id="247" w:name="OLE_LINK13"/>
            <w:r>
              <w:rPr>
                <w:rFonts w:hint="eastAsia" w:ascii="宋体" w:hAnsi="宋体" w:eastAsia="宋体" w:cs="宋体"/>
                <w:color w:val="auto"/>
                <w:kern w:val="0"/>
                <w:sz w:val="24"/>
                <w:highlight w:val="none"/>
              </w:rPr>
              <w:t>投标完整性</w:t>
            </w:r>
            <w:bookmarkEnd w:id="247"/>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未将一个采购包中的内容拆开投标；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bookmarkStart w:id="248" w:name="_Hlk196842154"/>
            <w:r>
              <w:rPr>
                <w:rFonts w:hint="eastAsia" w:ascii="宋体" w:hAnsi="宋体" w:eastAsia="宋体" w:cs="宋体"/>
                <w:color w:val="auto"/>
                <w:kern w:val="0"/>
                <w:sz w:val="24"/>
                <w:highlight w:val="none"/>
              </w:rPr>
              <w:t>3</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投标报价</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bookmarkStart w:id="249" w:name="OLE_LINK28"/>
            <w:r>
              <w:rPr>
                <w:rFonts w:hint="eastAsia" w:ascii="宋体" w:hAnsi="宋体" w:eastAsia="宋体" w:cs="宋体"/>
                <w:color w:val="auto"/>
                <w:kern w:val="0"/>
                <w:sz w:val="24"/>
                <w:highlight w:val="none"/>
              </w:rPr>
              <w:t>投标报价未</w:t>
            </w:r>
            <w:r>
              <w:rPr>
                <w:rFonts w:hint="eastAsia" w:ascii="宋体" w:hAnsi="宋体" w:eastAsia="宋体" w:cs="宋体"/>
                <w:color w:val="auto"/>
                <w:sz w:val="24"/>
                <w:highlight w:val="none"/>
              </w:rPr>
              <w:t>超过招标文件中规定的项目/采购包预算金额或者项目/采购包最高限价</w:t>
            </w:r>
            <w:r>
              <w:rPr>
                <w:rFonts w:hint="eastAsia" w:ascii="宋体" w:hAnsi="宋体" w:eastAsia="宋体" w:cs="宋体"/>
                <w:color w:val="auto"/>
                <w:kern w:val="0"/>
                <w:sz w:val="24"/>
                <w:highlight w:val="none"/>
              </w:rPr>
              <w:t>；</w:t>
            </w:r>
            <w:bookmarkEnd w:id="249"/>
          </w:p>
        </w:tc>
      </w:tr>
      <w:bookmarkEnd w:id="2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报价唯一性</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投标文件未</w:t>
            </w:r>
            <w:r>
              <w:rPr>
                <w:rFonts w:hint="eastAsia" w:ascii="宋体" w:hAnsi="宋体" w:eastAsia="宋体" w:cs="宋体"/>
                <w:color w:val="auto"/>
                <w:sz w:val="24"/>
                <w:highlight w:val="none"/>
              </w:rPr>
              <w:t>出现可选择性或可调整的报价（招标文件另有规定的除外）</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bookmarkStart w:id="250" w:name="_Hlk196842161"/>
            <w:r>
              <w:rPr>
                <w:rFonts w:hint="eastAsia" w:ascii="宋体" w:hAnsi="宋体" w:eastAsia="宋体" w:cs="宋体"/>
                <w:color w:val="auto"/>
                <w:kern w:val="0"/>
                <w:sz w:val="24"/>
                <w:highlight w:val="none"/>
              </w:rPr>
              <w:t>5</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投标有效期</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投标文件中承诺的投标有效期满足招标文件中载明的投标有效期的；</w:t>
            </w:r>
          </w:p>
        </w:tc>
      </w:tr>
      <w:bookmarkEnd w:id="2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bookmarkStart w:id="251" w:name="_Hlk201755809"/>
            <w:r>
              <w:rPr>
                <w:rFonts w:hint="eastAsia" w:ascii="宋体" w:hAnsi="宋体" w:eastAsia="宋体" w:cs="宋体"/>
                <w:color w:val="auto"/>
                <w:kern w:val="0"/>
                <w:sz w:val="24"/>
                <w:highlight w:val="none"/>
              </w:rPr>
              <w:t>6</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实质性格式</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bookmarkStart w:id="252" w:name="OLE_LINK55"/>
            <w:r>
              <w:rPr>
                <w:rFonts w:hint="eastAsia" w:ascii="宋体" w:hAnsi="宋体" w:eastAsia="宋体" w:cs="宋体"/>
                <w:color w:val="auto"/>
                <w:kern w:val="0"/>
                <w:sz w:val="24"/>
                <w:highlight w:val="none"/>
              </w:rPr>
              <w:t>标记为“实质性格式”的文件均按招标文件要求提供且签署、盖章的；</w:t>
            </w:r>
            <w:bookmarkEnd w:id="252"/>
          </w:p>
        </w:tc>
      </w:tr>
      <w:bookmarkEnd w:id="2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lang w:eastAsia="zh-CN"/>
              </w:rPr>
            </w:pPr>
            <w:bookmarkStart w:id="253" w:name="OLE_LINK24"/>
            <w:r>
              <w:rPr>
                <w:rFonts w:hint="eastAsia" w:ascii="宋体" w:hAnsi="宋体" w:eastAsia="宋体" w:cs="宋体"/>
                <w:color w:val="auto"/>
                <w:sz w:val="24"/>
                <w:highlight w:val="none"/>
              </w:rPr>
              <w:t>★号技术参数响应</w:t>
            </w:r>
            <w:bookmarkEnd w:id="253"/>
            <w:r>
              <w:rPr>
                <w:rFonts w:hint="eastAsia" w:ascii="宋体" w:hAnsi="宋体" w:eastAsia="宋体" w:cs="宋体"/>
                <w:color w:val="auto"/>
                <w:sz w:val="24"/>
                <w:highlight w:val="none"/>
                <w:lang w:val="en-US" w:eastAsia="zh-CN"/>
              </w:rPr>
              <w:t xml:space="preserve"> </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投标文件满足招标文件《采购需求》中★号技术参数要求；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w:t>
            </w:r>
          </w:p>
        </w:tc>
        <w:tc>
          <w:tcPr>
            <w:tcW w:w="1746" w:type="dxa"/>
            <w:vAlign w:val="center"/>
          </w:tcPr>
          <w:p>
            <w:pPr>
              <w:widowControl/>
              <w:spacing w:after="0"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报价的修正（如有）</w:t>
            </w:r>
          </w:p>
        </w:tc>
        <w:tc>
          <w:tcPr>
            <w:tcW w:w="6475" w:type="dxa"/>
            <w:vAlign w:val="center"/>
          </w:tcPr>
          <w:p>
            <w:pPr>
              <w:widowControl/>
              <w:spacing w:after="0" w:line="240" w:lineRule="auto"/>
              <w:jc w:val="left"/>
              <w:rPr>
                <w:rFonts w:hint="eastAsia" w:ascii="宋体" w:hAnsi="宋体" w:eastAsia="宋体" w:cs="宋体"/>
                <w:color w:val="auto"/>
                <w:sz w:val="24"/>
                <w:highlight w:val="none"/>
              </w:rPr>
            </w:pPr>
            <w:bookmarkStart w:id="254" w:name="OLE_LINK54"/>
            <w:r>
              <w:rPr>
                <w:rFonts w:hint="eastAsia" w:ascii="宋体" w:hAnsi="宋体" w:eastAsia="宋体" w:cs="宋体"/>
                <w:color w:val="auto"/>
                <w:sz w:val="24"/>
                <w:highlight w:val="none"/>
              </w:rPr>
              <w:t>不涉及报价修正，或投标文件报价出现前后不一致时，投标人对修正后的报价予以确认；（如有）</w:t>
            </w:r>
            <w:bookmarkEnd w:id="2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lang w:eastAsia="zh-CN"/>
              </w:rPr>
            </w:pPr>
            <w:bookmarkStart w:id="255" w:name="_Hlk201755829"/>
            <w:r>
              <w:rPr>
                <w:rFonts w:hint="eastAsia" w:ascii="宋体" w:hAnsi="宋体" w:eastAsia="宋体" w:cs="宋体"/>
                <w:color w:val="auto"/>
                <w:kern w:val="0"/>
                <w:sz w:val="24"/>
                <w:highlight w:val="none"/>
                <w:lang w:val="en-US" w:eastAsia="zh-CN"/>
              </w:rPr>
              <w:t>9</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lang w:eastAsia="zh-CN"/>
              </w:rPr>
            </w:pPr>
            <w:bookmarkStart w:id="256" w:name="OLE_LINK18"/>
            <w:r>
              <w:rPr>
                <w:rFonts w:hint="eastAsia" w:ascii="宋体" w:hAnsi="宋体" w:eastAsia="宋体" w:cs="宋体"/>
                <w:color w:val="auto"/>
                <w:kern w:val="0"/>
                <w:sz w:val="24"/>
                <w:highlight w:val="none"/>
              </w:rPr>
              <w:t>进口产品</w:t>
            </w:r>
            <w:bookmarkEnd w:id="256"/>
            <w:r>
              <w:rPr>
                <w:rFonts w:hint="eastAsia" w:ascii="宋体" w:hAnsi="宋体" w:eastAsia="宋体" w:cs="宋体"/>
                <w:color w:val="auto"/>
                <w:sz w:val="24"/>
                <w:highlight w:val="none"/>
                <w:lang w:val="en-US" w:eastAsia="zh-CN"/>
              </w:rPr>
              <w:t xml:space="preserve"> </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bookmarkStart w:id="257" w:name="OLE_LINK26"/>
            <w:r>
              <w:rPr>
                <w:rFonts w:hint="eastAsia" w:ascii="宋体" w:hAnsi="宋体" w:eastAsia="宋体" w:cs="宋体"/>
                <w:color w:val="auto"/>
                <w:kern w:val="0"/>
                <w:sz w:val="24"/>
                <w:highlight w:val="none"/>
              </w:rPr>
              <w:t>招标文件不接受进口产品投标的内容时，投标人所投产品不含进口产品；</w:t>
            </w:r>
            <w:bookmarkEnd w:id="257"/>
          </w:p>
        </w:tc>
      </w:tr>
      <w:bookmarkEnd w:id="2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10</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bookmarkStart w:id="258" w:name="OLE_LINK19"/>
            <w:r>
              <w:rPr>
                <w:rFonts w:hint="eastAsia" w:ascii="宋体" w:hAnsi="宋体" w:eastAsia="宋体" w:cs="宋体"/>
                <w:color w:val="auto"/>
                <w:kern w:val="0"/>
                <w:sz w:val="24"/>
                <w:highlight w:val="none"/>
              </w:rPr>
              <w:t>公平竞争</w:t>
            </w:r>
            <w:bookmarkEnd w:id="258"/>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bookmarkStart w:id="259" w:name="OLE_LINK25"/>
            <w:r>
              <w:rPr>
                <w:rFonts w:hint="eastAsia" w:ascii="宋体" w:hAnsi="宋体" w:eastAsia="宋体" w:cs="宋体"/>
                <w:color w:val="auto"/>
                <w:sz w:val="24"/>
                <w:highlight w:val="none"/>
              </w:rPr>
              <w:t>投标人遵循公平竞争的原则，不存在恶意串通，妨碍其他投标人的竞争行为，不存在损害采购人或者其他投标人的合法权益情形的；</w:t>
            </w:r>
            <w:bookmarkEnd w:id="2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dstrike/>
                <w:color w:val="auto"/>
                <w:kern w:val="0"/>
                <w:sz w:val="24"/>
                <w:highlight w:val="none"/>
                <w:lang w:val="en-US" w:eastAsia="zh-CN"/>
              </w:rPr>
            </w:pPr>
            <w:bookmarkStart w:id="260" w:name="_Hlk196842191"/>
            <w:r>
              <w:rPr>
                <w:rFonts w:hint="eastAsia" w:ascii="宋体" w:hAnsi="宋体" w:eastAsia="宋体" w:cs="宋体"/>
                <w:color w:val="auto"/>
                <w:kern w:val="0"/>
                <w:sz w:val="24"/>
                <w:highlight w:val="none"/>
                <w:lang w:val="en-US" w:eastAsia="zh-CN"/>
              </w:rPr>
              <w:t>11</w:t>
            </w:r>
          </w:p>
        </w:tc>
        <w:tc>
          <w:tcPr>
            <w:tcW w:w="1746" w:type="dxa"/>
            <w:vAlign w:val="center"/>
          </w:tcPr>
          <w:p>
            <w:pPr>
              <w:widowControl/>
              <w:spacing w:after="0" w:line="240" w:lineRule="auto"/>
              <w:jc w:val="left"/>
              <w:rPr>
                <w:rFonts w:hint="eastAsia" w:ascii="宋体" w:hAnsi="宋体" w:eastAsia="宋体" w:cs="宋体"/>
                <w:dstrike/>
                <w:color w:val="auto"/>
                <w:kern w:val="0"/>
                <w:sz w:val="24"/>
                <w:highlight w:val="none"/>
              </w:rPr>
            </w:pPr>
            <w:r>
              <w:rPr>
                <w:rFonts w:hint="eastAsia" w:ascii="宋体" w:hAnsi="宋体" w:eastAsia="宋体" w:cs="宋体"/>
                <w:color w:val="auto"/>
                <w:kern w:val="0"/>
                <w:sz w:val="24"/>
                <w:highlight w:val="none"/>
              </w:rPr>
              <w:t>国家有关部门对投标人的投标产品有强制性规定或要求的</w:t>
            </w:r>
            <w:r>
              <w:rPr>
                <w:rFonts w:hint="eastAsia" w:ascii="宋体" w:hAnsi="宋体" w:eastAsia="宋体" w:cs="宋体"/>
                <w:color w:val="auto"/>
                <w:sz w:val="24"/>
                <w:highlight w:val="none"/>
              </w:rPr>
              <w:t>（如有）</w:t>
            </w:r>
          </w:p>
        </w:tc>
        <w:tc>
          <w:tcPr>
            <w:tcW w:w="6475" w:type="dxa"/>
            <w:vAlign w:val="center"/>
          </w:tcPr>
          <w:p>
            <w:pPr>
              <w:widowControl/>
              <w:adjustRightInd w:val="0"/>
              <w:snapToGrid w:val="0"/>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国家有关部门对投标人的投标产品有强制性规定或要求的（如相应技术、安全、节能和环保等），投标人的投标产品应符合相应规定或要求，并提供证明文件电子件：</w:t>
            </w:r>
          </w:p>
          <w:p>
            <w:pPr>
              <w:widowControl/>
              <w:adjustRightInd w:val="0"/>
              <w:snapToGrid w:val="0"/>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1）采购的产品若属于《节能产品政府采购品目清单》范围中政府强制采购产品，则投标人所报产品必须获得国家确定的认证机构出具的、处于有效期之内的节能产品认证证书；</w:t>
            </w:r>
          </w:p>
          <w:p>
            <w:pPr>
              <w:widowControl/>
              <w:adjustRightInd w:val="0"/>
              <w:snapToGrid w:val="0"/>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 </w:t>
            </w:r>
          </w:p>
          <w:p>
            <w:pPr>
              <w:widowControl/>
              <w:adjustRightInd w:val="0"/>
              <w:snapToGrid w:val="0"/>
              <w:spacing w:after="0" w:line="240" w:lineRule="auto"/>
              <w:jc w:val="left"/>
              <w:rPr>
                <w:rFonts w:hint="eastAsia" w:ascii="宋体" w:hAnsi="宋体" w:eastAsia="宋体" w:cs="宋体"/>
                <w:dstrike/>
                <w:color w:val="auto"/>
                <w:sz w:val="24"/>
                <w:highlight w:val="none"/>
              </w:rPr>
            </w:pPr>
            <w:r>
              <w:rPr>
                <w:rFonts w:hint="eastAsia" w:ascii="宋体" w:hAnsi="宋体" w:eastAsia="宋体" w:cs="宋体"/>
                <w:color w:val="auto"/>
                <w:kern w:val="0"/>
                <w:sz w:val="24"/>
                <w:highlight w:val="none"/>
              </w:rPr>
              <w:t>3）项目中涉及涂料、胶黏剂、油墨、清洗剂等挥发性有机物产品，且属于强制性标准的，供应商应执行符合本市和国家的 VOCs 含量限制标准。</w:t>
            </w:r>
          </w:p>
        </w:tc>
      </w:tr>
      <w:bookmarkEnd w:id="2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lang w:val="en-US" w:eastAsia="zh-CN"/>
              </w:rPr>
            </w:pPr>
            <w:bookmarkStart w:id="261" w:name="_Hlk196842245"/>
            <w:r>
              <w:rPr>
                <w:rFonts w:hint="eastAsia" w:ascii="宋体" w:hAnsi="宋体" w:eastAsia="宋体" w:cs="宋体"/>
                <w:color w:val="auto"/>
                <w:kern w:val="0"/>
                <w:sz w:val="24"/>
                <w:highlight w:val="none"/>
                <w:lang w:val="en-US" w:eastAsia="zh-CN"/>
              </w:rPr>
              <w:t>12</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串通投标</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bookmarkEnd w:id="26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13</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bookmarkStart w:id="262" w:name="OLE_LINK22"/>
            <w:r>
              <w:rPr>
                <w:rFonts w:hint="eastAsia" w:ascii="宋体" w:hAnsi="宋体" w:eastAsia="宋体" w:cs="宋体"/>
                <w:color w:val="auto"/>
                <w:kern w:val="0"/>
                <w:sz w:val="24"/>
                <w:highlight w:val="none"/>
              </w:rPr>
              <w:t>附加条件</w:t>
            </w:r>
            <w:bookmarkEnd w:id="262"/>
          </w:p>
        </w:tc>
        <w:tc>
          <w:tcPr>
            <w:tcW w:w="6475" w:type="dxa"/>
            <w:vAlign w:val="center"/>
          </w:tcPr>
          <w:p>
            <w:pPr>
              <w:widowControl/>
              <w:spacing w:after="0"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lang w:val="en-US" w:eastAsia="zh-CN"/>
              </w:rPr>
            </w:pPr>
            <w:bookmarkStart w:id="263" w:name="_Hlk201755858"/>
            <w:r>
              <w:rPr>
                <w:rFonts w:hint="eastAsia" w:ascii="宋体" w:hAnsi="宋体" w:eastAsia="宋体" w:cs="宋体"/>
                <w:color w:val="auto"/>
                <w:kern w:val="0"/>
                <w:sz w:val="24"/>
                <w:highlight w:val="none"/>
                <w:lang w:val="en-US" w:eastAsia="zh-CN"/>
              </w:rPr>
              <w:t>14</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其他无效情形</w:t>
            </w:r>
          </w:p>
        </w:tc>
        <w:tc>
          <w:tcPr>
            <w:tcW w:w="6475" w:type="dxa"/>
            <w:vAlign w:val="center"/>
          </w:tcPr>
          <w:p>
            <w:pPr>
              <w:widowControl/>
              <w:spacing w:after="0"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投标人、投标文件不存在不符合法律、法规和招标文件规定的其他无效情形。</w:t>
            </w:r>
          </w:p>
        </w:tc>
      </w:tr>
      <w:bookmarkEnd w:id="263"/>
    </w:tbl>
    <w:p>
      <w:pPr>
        <w:numPr>
          <w:ilvl w:val="0"/>
          <w:numId w:val="18"/>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投标文件有关事项的澄清或者说明</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电子形式，并加盖公章，或者由法定代表人或其授权的代表签章或签字，在北京市政府采购电子交易平台系统中按评标委员会规定的回复时间内完成澄清回复。投标人的澄清、说明或者补正不得超出投标文件的范围或者改变投标文件的实质性内容。澄清文件将作为投标文件内容的一部分。</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bookmarkStart w:id="264" w:name="_Hlk220085436"/>
      <w:r>
        <w:rPr>
          <w:rFonts w:hint="eastAsia" w:ascii="宋体" w:hAnsi="宋体" w:eastAsia="宋体" w:cs="宋体"/>
          <w:color w:val="auto"/>
          <w:sz w:val="24"/>
          <w:highlight w:val="none"/>
        </w:rPr>
        <w:t>异常低价处理</w:t>
      </w:r>
    </w:p>
    <w:p>
      <w:pPr>
        <w:numPr>
          <w:ilvl w:val="2"/>
          <w:numId w:val="18"/>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政府采购评审中出现下列情形之一的，评审委员会应当启动异常低价投标（响应）审查程序：</w:t>
      </w:r>
    </w:p>
    <w:p>
      <w:pPr>
        <w:tabs>
          <w:tab w:val="left" w:pos="1589"/>
          <w:tab w:val="left" w:pos="1701"/>
          <w:tab w:val="left" w:pos="2035"/>
          <w:tab w:val="left" w:pos="2114"/>
        </w:tabs>
        <w:snapToGrid w:val="0"/>
        <w:spacing w:line="360" w:lineRule="auto"/>
        <w:ind w:left="1843" w:hanging="2"/>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（1）投标（响应）报价低于全部通过符合性审查供应商投标（响应）报价平均值</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%的，即投标（响应）报价&lt;全部通过符合性审查供应商投标（响应）报价平均值×</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w:t>
      </w:r>
    </w:p>
    <w:p>
      <w:pPr>
        <w:tabs>
          <w:tab w:val="left" w:pos="1589"/>
          <w:tab w:val="left" w:pos="1701"/>
          <w:tab w:val="left" w:pos="2035"/>
          <w:tab w:val="left" w:pos="2114"/>
        </w:tabs>
        <w:snapToGrid w:val="0"/>
        <w:spacing w:line="360" w:lineRule="auto"/>
        <w:ind w:left="1843" w:hanging="2"/>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（2）投标（响应）报价低于通过符合性审查的次低报价供应商投标（响应）报价</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%的，即投标（响应）报价&lt;通过符合性审查的次低报价供应商投标（响应）报价×</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w:t>
      </w:r>
    </w:p>
    <w:p>
      <w:pPr>
        <w:tabs>
          <w:tab w:val="left" w:pos="1589"/>
          <w:tab w:val="left" w:pos="1701"/>
          <w:tab w:val="left" w:pos="2035"/>
          <w:tab w:val="left" w:pos="2114"/>
        </w:tabs>
        <w:snapToGrid w:val="0"/>
        <w:spacing w:line="360" w:lineRule="auto"/>
        <w:ind w:left="1843" w:hanging="2"/>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（3）投标（响应）报价低于采购项目最高限价</w:t>
      </w: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rPr>
        <w:t>%的，即投标（响应）报价&lt;采购项目最高限价×</w:t>
      </w: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rPr>
        <w:t>%；未设定最高限价的采购项目，以采购项目预算金额作为最高限价；</w:t>
      </w:r>
    </w:p>
    <w:p>
      <w:pPr>
        <w:tabs>
          <w:tab w:val="left" w:pos="1589"/>
          <w:tab w:val="left" w:pos="1701"/>
          <w:tab w:val="left" w:pos="2035"/>
          <w:tab w:val="left" w:pos="2114"/>
        </w:tabs>
        <w:snapToGrid w:val="0"/>
        <w:spacing w:line="360" w:lineRule="auto"/>
        <w:ind w:left="1843" w:hanging="2"/>
        <w:rPr>
          <w:rFonts w:hint="eastAsia" w:ascii="宋体" w:hAnsi="宋体" w:eastAsia="宋体" w:cs="宋体"/>
          <w:color w:val="auto"/>
          <w:sz w:val="24"/>
          <w:highlight w:val="none"/>
        </w:rPr>
      </w:pPr>
      <w:r>
        <w:rPr>
          <w:rFonts w:hint="eastAsia" w:ascii="宋体" w:hAnsi="宋体" w:eastAsia="宋体" w:cs="宋体"/>
          <w:color w:val="auto"/>
          <w:sz w:val="24"/>
          <w:highlight w:val="none"/>
        </w:rPr>
        <w:t>（4）评审委员会基于专业判断，认为供应商报价过低，有可能影响产品质量或者不能诚信履约的其他情形。</w:t>
      </w:r>
    </w:p>
    <w:p>
      <w:pPr>
        <w:numPr>
          <w:ilvl w:val="2"/>
          <w:numId w:val="18"/>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numPr>
          <w:ilvl w:val="2"/>
          <w:numId w:val="18"/>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宋体" w:hAnsi="宋体" w:eastAsia="宋体" w:cs="宋体"/>
          <w:b/>
          <w:bCs/>
          <w:color w:val="auto"/>
          <w:sz w:val="24"/>
          <w:highlight w:val="none"/>
        </w:rPr>
        <w:t>无效投标（响应）</w:t>
      </w:r>
      <w:r>
        <w:rPr>
          <w:rFonts w:hint="eastAsia" w:ascii="宋体" w:hAnsi="宋体" w:eastAsia="宋体" w:cs="宋体"/>
          <w:color w:val="auto"/>
          <w:sz w:val="24"/>
          <w:highlight w:val="none"/>
        </w:rPr>
        <w:t>处理。</w:t>
      </w:r>
    </w:p>
    <w:p>
      <w:pPr>
        <w:numPr>
          <w:ilvl w:val="2"/>
          <w:numId w:val="18"/>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color w:val="auto"/>
          <w:sz w:val="24"/>
          <w:highlight w:val="none"/>
        </w:rPr>
      </w:pPr>
      <w:bookmarkStart w:id="265" w:name="_Hlk190337965"/>
      <w:r>
        <w:rPr>
          <w:rFonts w:hint="eastAsia" w:ascii="宋体" w:hAnsi="宋体" w:eastAsia="宋体" w:cs="宋体"/>
          <w:color w:val="auto"/>
          <w:sz w:val="24"/>
          <w:highlight w:val="none"/>
        </w:rPr>
        <w:t xml:space="preserve"> 上述投标（响应）报价指按照本章2.4修正后的报价</w:t>
      </w:r>
      <w:bookmarkEnd w:id="265"/>
      <w:r>
        <w:rPr>
          <w:rFonts w:hint="eastAsia" w:ascii="宋体" w:hAnsi="宋体" w:eastAsia="宋体" w:cs="宋体"/>
          <w:color w:val="auto"/>
          <w:sz w:val="24"/>
          <w:highlight w:val="none"/>
        </w:rPr>
        <w:t>。</w:t>
      </w:r>
    </w:p>
    <w:bookmarkEnd w:id="264"/>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投标文件报价出现前后不一致的，按照下列规定修正：</w:t>
      </w:r>
    </w:p>
    <w:p>
      <w:pPr>
        <w:numPr>
          <w:ilvl w:val="2"/>
          <w:numId w:val="18"/>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□有，具体规定为：______________</w:t>
      </w:r>
    </w:p>
    <w:p>
      <w:p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■无，按下述2.4.2-2.4.7项规定修正。</w:t>
      </w:r>
    </w:p>
    <w:p>
      <w:pPr>
        <w:numPr>
          <w:ilvl w:val="2"/>
          <w:numId w:val="18"/>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单独递交的开标一览表（报价表）与投标文件中开标一览表（报价表）内容不一致的，以单独递交的开标一览表（报价表）为准；</w:t>
      </w:r>
    </w:p>
    <w:p>
      <w:pPr>
        <w:numPr>
          <w:ilvl w:val="2"/>
          <w:numId w:val="18"/>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投标文件中开标一览表（报价表）内容与投标文件中相应内容不一致的，以开标一览表（报价表）为准；</w:t>
      </w:r>
    </w:p>
    <w:p>
      <w:pPr>
        <w:numPr>
          <w:ilvl w:val="2"/>
          <w:numId w:val="18"/>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大写金额和小写金额不一致的，以大写金额为准；</w:t>
      </w:r>
    </w:p>
    <w:p>
      <w:pPr>
        <w:numPr>
          <w:ilvl w:val="2"/>
          <w:numId w:val="18"/>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单价金额小数点或者百分比有明显错位的，以开标一览表的总价为准，并修改单价；</w:t>
      </w:r>
    </w:p>
    <w:p>
      <w:pPr>
        <w:numPr>
          <w:ilvl w:val="2"/>
          <w:numId w:val="18"/>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总价金额与按单价汇总金额不一致的，以单价金额计算结果为准。</w:t>
      </w:r>
    </w:p>
    <w:p>
      <w:pPr>
        <w:numPr>
          <w:ilvl w:val="2"/>
          <w:numId w:val="18"/>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同时出现两种以上不一致的，按照前款规定的顺序修正。修正后的报价经投标人书面确认后产生约束力，投标人不确认的，其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落实政府采购政策的价格调整：只有符合第二章《投标人须知》5.2条规定情形的，可以享受中小企业扶持政策，用扣除后的价格参加评审；否则，评标时价格不予扣除。</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对于未预留份额专门面向中小企业采购的采购项目，以及预留份额项目中的非预留部分采购包，对小微企业报价给予</w:t>
      </w:r>
      <w:r>
        <w:rPr>
          <w:rFonts w:hint="eastAsia" w:ascii="宋体" w:hAnsi="宋体" w:eastAsia="宋体" w:cs="宋体"/>
          <w:color w:val="auto"/>
          <w:sz w:val="24"/>
          <w:highlight w:val="none"/>
          <w:u w:val="single"/>
        </w:rPr>
        <w:t>10%</w:t>
      </w:r>
      <w:r>
        <w:rPr>
          <w:rFonts w:hint="eastAsia" w:ascii="宋体" w:hAnsi="宋体" w:eastAsia="宋体" w:cs="宋体"/>
          <w:color w:val="auto"/>
          <w:sz w:val="24"/>
          <w:highlight w:val="none"/>
        </w:rPr>
        <w:t>的扣除，用扣除后的价格参加评审。</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eastAsia="宋体" w:cs="宋体"/>
          <w:color w:val="auto"/>
          <w:sz w:val="24"/>
          <w:highlight w:val="none"/>
          <w:u w:val="single"/>
        </w:rPr>
        <w:t>4</w:t>
      </w:r>
      <w:r>
        <w:rPr>
          <w:rFonts w:hint="eastAsia" w:ascii="宋体" w:hAnsi="宋体" w:eastAsia="宋体" w:cs="宋体"/>
          <w:color w:val="auto"/>
          <w:sz w:val="24"/>
          <w:highlight w:val="none"/>
        </w:rPr>
        <w:t>%的扣除，用扣除后的价格参加评审。</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组成联合体或者接受分包的小微企业与联合体内其他企业、分包企业之间存在直接控股、管理关系的，不享受价格扣除优惠政策。</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价格扣除比例对小型企业和微型企业同等对待，不作区分。</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中小企业参加政府采购活动，应当按照招标文件给定的格式出具《中小企业声明函》，否则不得享受相关中小企业扶持政策。</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监狱企业提供了由省级以上监狱管理局（北京市含教育矫治局）、戒毒管理局（含新疆生产建设兵团）出具的属于监狱企业的证明文件的，视同小微企业。</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残疾人福利性单位按招标文件要求提供了《残疾人福利性单位声明函》（见附件）的，视同小微企业。</w:t>
      </w:r>
    </w:p>
    <w:p>
      <w:pPr>
        <w:numPr>
          <w:ilvl w:val="2"/>
          <w:numId w:val="18"/>
        </w:numPr>
        <w:tabs>
          <w:tab w:val="left" w:pos="1080"/>
          <w:tab w:val="left" w:pos="1589"/>
          <w:tab w:val="left" w:pos="2014"/>
          <w:tab w:val="clear" w:pos="1980"/>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若投标人同时属于小型或微型企业、监狱企业、残疾人福利性单位中的两种及以上，将不重复享受小微企业价格扣减的优惠政策。</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支持本国产品政府采购的价格调整：只有符合第二章《投标人须知》5.2条规定情形的，可以享受本国产品支持政策，用扣除后的价格参加评审；否则，评标时价格不予扣除。</w:t>
      </w:r>
    </w:p>
    <w:p>
      <w:pPr>
        <w:numPr>
          <w:ilvl w:val="2"/>
          <w:numId w:val="18"/>
        </w:numPr>
        <w:tabs>
          <w:tab w:val="left" w:pos="1080"/>
          <w:tab w:val="left" w:pos="2100"/>
          <w:tab w:val="clear" w:pos="1980"/>
        </w:tabs>
        <w:snapToGrid w:val="0"/>
        <w:spacing w:line="360" w:lineRule="auto"/>
        <w:ind w:left="2088" w:leftChars="502" w:hanging="1034" w:hangingChars="431"/>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本项目既有本国产品又有非本国产品参与竞争的，依法对本国产品给予价格评审优惠，对本国产品的报价给予20%的价格扣除，用扣除后的价格参与评审。</w:t>
      </w:r>
    </w:p>
    <w:p>
      <w:pPr>
        <w:numPr>
          <w:ilvl w:val="2"/>
          <w:numId w:val="18"/>
        </w:numPr>
        <w:tabs>
          <w:tab w:val="left" w:pos="1080"/>
          <w:tab w:val="left" w:pos="2100"/>
          <w:tab w:val="clear" w:pos="1980"/>
        </w:tabs>
        <w:snapToGrid w:val="0"/>
        <w:spacing w:line="360" w:lineRule="auto"/>
        <w:ind w:left="2088" w:leftChars="502" w:hanging="1034" w:hangingChars="431"/>
        <w:rPr>
          <w:rFonts w:hint="eastAsia" w:ascii="宋体" w:hAnsi="宋体" w:eastAsia="宋体" w:cs="宋体"/>
          <w:color w:val="auto"/>
          <w:sz w:val="24"/>
          <w:highlight w:val="none"/>
        </w:rPr>
      </w:pPr>
      <w:r>
        <w:rPr>
          <w:rFonts w:hint="eastAsia" w:ascii="宋体" w:hAnsi="宋体" w:eastAsia="宋体" w:cs="宋体"/>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2"/>
          <w:numId w:val="18"/>
        </w:numPr>
        <w:tabs>
          <w:tab w:val="left" w:pos="1080"/>
          <w:tab w:val="left" w:pos="2100"/>
          <w:tab w:val="clear" w:pos="1980"/>
        </w:tabs>
        <w:snapToGrid w:val="0"/>
        <w:spacing w:line="360" w:lineRule="auto"/>
        <w:ind w:left="2088" w:leftChars="502" w:hanging="1034" w:hangingChars="431"/>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供应商提供本国产品参加政府采购活动的，应当按照招标文件给定的格式出具《关于符合本国产品标准的声明函》或提供财政部会同有关部门规定的有关证明文件，否则视为非本国产品。</w:t>
      </w:r>
    </w:p>
    <w:p>
      <w:pPr>
        <w:numPr>
          <w:ilvl w:val="0"/>
          <w:numId w:val="18"/>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投标文件的比较和评价</w:t>
      </w:r>
      <w:bookmarkEnd w:id="229"/>
      <w:bookmarkEnd w:id="230"/>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评标方法和评标标准</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本项目采用的评标方法为：</w:t>
      </w:r>
    </w:p>
    <w:p>
      <w:pPr>
        <w:tabs>
          <w:tab w:val="left" w:pos="900"/>
          <w:tab w:val="left" w:pos="1589"/>
          <w:tab w:val="left" w:pos="1701"/>
        </w:tabs>
        <w:snapToGrid w:val="0"/>
        <w:spacing w:line="360" w:lineRule="auto"/>
        <w:ind w:left="1985"/>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eastAsia="宋体" w:cs="宋体"/>
          <w:color w:val="auto"/>
          <w:sz w:val="24"/>
          <w:highlight w:val="none"/>
        </w:rPr>
      </w:pPr>
      <w:r>
        <w:rPr>
          <w:rFonts w:hint="eastAsia" w:ascii="宋体" w:hAnsi="宋体" w:eastAsia="宋体" w:cs="宋体"/>
          <w:color w:val="auto"/>
          <w:sz w:val="24"/>
          <w:highlight w:val="none"/>
        </w:rPr>
        <w:t>□最低评标价法，指投标文件满足招标文件全部实质性要求，且投标报价最低的投标人为中标候选人的评标方法。</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□随机抽取</w:t>
      </w:r>
    </w:p>
    <w:p>
      <w:p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■其他方式，具体要求：__</w:t>
      </w:r>
      <w:r>
        <w:rPr>
          <w:rFonts w:hint="eastAsia" w:ascii="宋体" w:hAnsi="宋体" w:eastAsia="宋体" w:cs="宋体"/>
          <w:color w:val="auto"/>
          <w:sz w:val="24"/>
          <w:highlight w:val="none"/>
          <w:u w:val="single"/>
        </w:rPr>
        <w:t>_/</w:t>
      </w:r>
      <w:r>
        <w:rPr>
          <w:rFonts w:hint="eastAsia" w:ascii="宋体" w:hAnsi="宋体" w:eastAsia="宋体" w:cs="宋体"/>
          <w:color w:val="auto"/>
          <w:sz w:val="24"/>
          <w:highlight w:val="none"/>
        </w:rPr>
        <w:t>__</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非政府强制采购的节能产品或环境标志产品，依据品目清单和认证证书实施政府优先采购。优先采购的具体规定</w:t>
      </w:r>
      <w:r>
        <w:rPr>
          <w:rFonts w:hint="eastAsia" w:ascii="宋体" w:hAnsi="宋体" w:eastAsia="宋体" w:cs="宋体"/>
          <w:color w:val="auto"/>
          <w:sz w:val="24"/>
          <w:highlight w:val="none"/>
          <w:u w:val="single"/>
          <w:lang w:val="en-US" w:eastAsia="zh-CN"/>
        </w:rPr>
        <w:t>详见评分细则</w:t>
      </w:r>
      <w:r>
        <w:rPr>
          <w:rFonts w:hint="eastAsia" w:ascii="宋体" w:hAnsi="宋体" w:eastAsia="宋体" w:cs="宋体"/>
          <w:color w:val="auto"/>
          <w:sz w:val="24"/>
          <w:highlight w:val="none"/>
        </w:rPr>
        <w:t>。</w:t>
      </w:r>
    </w:p>
    <w:p>
      <w:pPr>
        <w:numPr>
          <w:ilvl w:val="0"/>
          <w:numId w:val="18"/>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确定</w:t>
      </w:r>
      <w:bookmarkStart w:id="266" w:name="_Toc151193716"/>
      <w:bookmarkStart w:id="267" w:name="_Toc226965736"/>
      <w:bookmarkStart w:id="268" w:name="_Toc151193934"/>
      <w:bookmarkStart w:id="269" w:name="_Toc195842911"/>
      <w:bookmarkStart w:id="270" w:name="_Toc150774751"/>
      <w:bookmarkStart w:id="271" w:name="_Toc164229387"/>
      <w:bookmarkStart w:id="272" w:name="_Toc127161460"/>
      <w:bookmarkStart w:id="273" w:name="_Toc151193644"/>
      <w:bookmarkStart w:id="274" w:name="_Toc305158814"/>
      <w:bookmarkStart w:id="275" w:name="_Toc127151546"/>
      <w:bookmarkStart w:id="276" w:name="_Ref467307010"/>
      <w:bookmarkStart w:id="277" w:name="_Toc151190173"/>
      <w:bookmarkStart w:id="278" w:name="_Toc127151747"/>
      <w:bookmarkStart w:id="279" w:name="_Toc226309790"/>
      <w:bookmarkStart w:id="280" w:name="_Toc264969236"/>
      <w:bookmarkStart w:id="281" w:name="_Toc226965819"/>
      <w:bookmarkStart w:id="282" w:name="_Toc265228384"/>
      <w:bookmarkStart w:id="283" w:name="_Toc149720839"/>
      <w:bookmarkStart w:id="284" w:name="_Toc164608660"/>
      <w:bookmarkStart w:id="285" w:name="_Toc150509297"/>
      <w:bookmarkStart w:id="286" w:name="_Toc226337242"/>
      <w:bookmarkStart w:id="287" w:name="_Toc164608815"/>
      <w:bookmarkStart w:id="288" w:name="_Toc142311048"/>
      <w:bookmarkStart w:id="289" w:name="_Toc520356170"/>
      <w:bookmarkStart w:id="290" w:name="_Toc164351640"/>
      <w:bookmarkStart w:id="291" w:name="_Toc150774646"/>
      <w:bookmarkStart w:id="292" w:name="_Toc164229241"/>
      <w:bookmarkStart w:id="293" w:name="_Toc305158888"/>
      <w:bookmarkStart w:id="294" w:name="_Toc150480784"/>
      <w:bookmarkStart w:id="295" w:name="_Toc151193860"/>
      <w:bookmarkStart w:id="296" w:name="_Toc151193788"/>
      <w:r>
        <w:rPr>
          <w:rFonts w:hint="eastAsia" w:ascii="宋体" w:hAnsi="宋体" w:eastAsia="宋体" w:cs="宋体"/>
          <w:color w:val="auto"/>
          <w:sz w:val="24"/>
          <w:highlight w:val="none"/>
        </w:rPr>
        <w:t>中标候选人名单</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3"/>
        <w:tabs>
          <w:tab w:val="left" w:pos="900"/>
          <w:tab w:val="left" w:pos="2127"/>
        </w:tabs>
        <w:adjustRightInd w:val="0"/>
        <w:snapToGrid w:val="0"/>
        <w:spacing w:line="360" w:lineRule="auto"/>
        <w:ind w:left="993" w:firstLine="136" w:firstLineChars="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□随机抽取</w:t>
      </w:r>
    </w:p>
    <w:p>
      <w:pPr>
        <w:pStyle w:val="23"/>
        <w:tabs>
          <w:tab w:val="left" w:pos="900"/>
          <w:tab w:val="left" w:pos="2127"/>
        </w:tabs>
        <w:adjustRightInd w:val="0"/>
        <w:snapToGrid w:val="0"/>
        <w:spacing w:line="360" w:lineRule="auto"/>
        <w:ind w:left="993" w:firstLine="136" w:firstLineChars="57"/>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其他方式，具体要求：</w:t>
      </w:r>
      <w:r>
        <w:rPr>
          <w:rFonts w:hint="eastAsia" w:ascii="宋体" w:hAnsi="宋体" w:eastAsia="宋体" w:cs="宋体"/>
          <w:color w:val="auto"/>
          <w:sz w:val="24"/>
          <w:szCs w:val="24"/>
          <w:highlight w:val="none"/>
          <w:u w:val="single"/>
        </w:rPr>
        <w:t>_按投标报价由低到高顺序排列。得分且投标报价相同的，按量化指标（技术评分）由高到低顺序排列。_</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评标委员会要对评分汇总情况进行复核，特别是对排名第一的、报价最低的、投标或响应文件被认定为无效的情形进行重点复核。</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评标委员会将根据各投标人的评标排序，依次推荐本项目（各采购包）的中标候选人，起草并签署评标报告。本项目（各采购包）评标委员会共（各）推荐_</w:t>
      </w:r>
      <w:r>
        <w:rPr>
          <w:rFonts w:hint="eastAsia" w:ascii="宋体" w:hAnsi="宋体" w:eastAsia="宋体" w:cs="宋体"/>
          <w:color w:val="auto"/>
          <w:sz w:val="24"/>
          <w:highlight w:val="none"/>
          <w:u w:val="single"/>
        </w:rPr>
        <w:t>3</w:t>
      </w:r>
      <w:r>
        <w:rPr>
          <w:rFonts w:hint="eastAsia" w:ascii="宋体" w:hAnsi="宋体" w:eastAsia="宋体" w:cs="宋体"/>
          <w:color w:val="auto"/>
          <w:sz w:val="24"/>
          <w:highlight w:val="none"/>
        </w:rPr>
        <w:t>_名中标候选人。</w:t>
      </w:r>
    </w:p>
    <w:p>
      <w:pPr>
        <w:numPr>
          <w:ilvl w:val="0"/>
          <w:numId w:val="18"/>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报告违法行为</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评标委员会在评标过程中发现投标人有行贿、提供虚假材料或者串通等违法行为时，应当及时向财政部门报告。</w:t>
      </w:r>
    </w:p>
    <w:p>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tabs>
          <w:tab w:val="left" w:pos="360"/>
          <w:tab w:val="left" w:pos="900"/>
        </w:tabs>
        <w:snapToGrid w:val="0"/>
        <w:spacing w:after="0" w:line="360" w:lineRule="auto"/>
        <w:jc w:val="center"/>
        <w:outlineLvl w:val="1"/>
        <w:rPr>
          <w:rFonts w:hint="eastAsia" w:ascii="宋体" w:hAnsi="宋体" w:eastAsia="宋体" w:cs="宋体"/>
          <w:b/>
          <w:color w:val="auto"/>
          <w:highlight w:val="none"/>
        </w:rPr>
      </w:pPr>
      <w:r>
        <w:rPr>
          <w:rFonts w:hint="eastAsia" w:ascii="宋体" w:hAnsi="宋体" w:eastAsia="宋体" w:cs="宋体"/>
          <w:b/>
          <w:color w:val="auto"/>
          <w:sz w:val="24"/>
          <w:highlight w:val="none"/>
        </w:rPr>
        <w:t>二、评标标准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textAlignment w:val="auto"/>
        <w:rPr>
          <w:rFonts w:hint="eastAsia" w:ascii="宋体" w:hAnsi="宋体" w:eastAsia="宋体" w:cs="宋体"/>
          <w:color w:val="auto"/>
          <w:sz w:val="24"/>
          <w:szCs w:val="24"/>
          <w:highlight w:val="none"/>
        </w:rPr>
      </w:pPr>
      <w:bookmarkStart w:id="297" w:name="_Toc192872479"/>
      <w:r>
        <w:rPr>
          <w:rFonts w:hint="eastAsia" w:ascii="宋体" w:hAnsi="宋体" w:eastAsia="宋体" w:cs="宋体"/>
          <w:color w:val="auto"/>
          <w:sz w:val="24"/>
          <w:szCs w:val="24"/>
          <w:highlight w:val="none"/>
        </w:rPr>
        <w:t>价格评分标准（共30分）</w:t>
      </w:r>
    </w:p>
    <w:tbl>
      <w:tblPr>
        <w:tblStyle w:val="47"/>
        <w:tblW w:w="8551" w:type="dxa"/>
        <w:jc w:val="center"/>
        <w:tblInd w:w="-7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333"/>
        <w:gridCol w:w="833"/>
        <w:gridCol w:w="5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 w:hRule="atLeast"/>
          <w:jc w:val="center"/>
        </w:trPr>
        <w:tc>
          <w:tcPr>
            <w:tcW w:w="784"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33"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tc>
        <w:tc>
          <w:tcPr>
            <w:tcW w:w="833"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560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784"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33"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833"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601" w:type="dxa"/>
            <w:noWrap/>
            <w:vAlign w:val="center"/>
          </w:tcPr>
          <w:p>
            <w:pPr>
              <w:keepNext w:val="0"/>
              <w:keepLines w:val="0"/>
              <w:pageBreakBefore w:val="0"/>
              <w:widowControl w:val="0"/>
              <w:tabs>
                <w:tab w:val="left" w:pos="420"/>
              </w:tabs>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基准价= 满足招标文件要求且投标价格最低的投标总价</w:t>
            </w:r>
          </w:p>
          <w:p>
            <w:pPr>
              <w:keepNext w:val="0"/>
              <w:keepLines w:val="0"/>
              <w:pageBreakBefore w:val="0"/>
              <w:widowControl w:val="0"/>
              <w:tabs>
                <w:tab w:val="left" w:pos="420"/>
              </w:tabs>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其他投标人的价格分按照下列公式计算：</w:t>
            </w:r>
          </w:p>
          <w:p>
            <w:pPr>
              <w:keepNext w:val="0"/>
              <w:keepLines w:val="0"/>
              <w:pageBreakBefore w:val="0"/>
              <w:widowControl w:val="0"/>
              <w:tabs>
                <w:tab w:val="left" w:pos="420"/>
                <w:tab w:val="left" w:pos="540"/>
                <w:tab w:val="left" w:pos="6045"/>
              </w:tabs>
              <w:kinsoku/>
              <w:wordWrap/>
              <w:overflowPunct/>
              <w:topLinePunct w:val="0"/>
              <w:autoSpaceDE/>
              <w:autoSpaceDN/>
              <w:bidi w:val="0"/>
              <w:adjustRightInd w:val="0"/>
              <w:snapToGrid w:val="0"/>
              <w:spacing w:after="0" w:line="44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投标报价得分=（评标基准价 / 投标报价）×30</w:t>
            </w:r>
          </w:p>
        </w:tc>
      </w:tr>
    </w:tbl>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实力和信誉详细评分表（15分）</w:t>
      </w:r>
    </w:p>
    <w:tbl>
      <w:tblPr>
        <w:tblStyle w:val="47"/>
        <w:tblW w:w="8771" w:type="dxa"/>
        <w:jc w:val="center"/>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317"/>
        <w:gridCol w:w="850"/>
        <w:gridCol w:w="5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1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tc>
        <w:tc>
          <w:tcPr>
            <w:tcW w:w="85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5844"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76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1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研发能力</w:t>
            </w:r>
          </w:p>
        </w:tc>
        <w:tc>
          <w:tcPr>
            <w:tcW w:w="85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844"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投标人具有疫苗相关的在研发平台、技术成果、成果转化等能力，具有安全性和免疫效力优势的创新技术与产品。</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具备完善、成体系的自主研发能力且方式技术科学、全面、合理，拥有国家级企业技术中心，重点实验室或博士后科研工作站等研发平台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具有权威性，广泛应用程度高得2分；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具备一定得自主研发能力但</w:t>
            </w:r>
            <w:bookmarkStart w:id="397" w:name="_GoBack"/>
            <w:bookmarkEnd w:id="397"/>
            <w:r>
              <w:rPr>
                <w:rFonts w:hint="eastAsia" w:ascii="宋体" w:hAnsi="宋体" w:eastAsia="宋体" w:cs="宋体"/>
                <w:color w:val="auto"/>
                <w:sz w:val="24"/>
                <w:szCs w:val="24"/>
                <w:highlight w:val="none"/>
              </w:rPr>
              <w:t>缺乏科学性和广泛应用得1分；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自主研发能力弱，不具备成型的体系和经验得0分。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5" w:hRule="atLeast"/>
          <w:jc w:val="center"/>
        </w:trPr>
        <w:tc>
          <w:tcPr>
            <w:tcW w:w="76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1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生产能力</w:t>
            </w:r>
          </w:p>
        </w:tc>
        <w:tc>
          <w:tcPr>
            <w:tcW w:w="85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5844"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生产能力强，产品质量稳定。以2025年取得相应疫苗合格的批次签发的数量判定（</w:t>
            </w:r>
            <w:r>
              <w:rPr>
                <w:rFonts w:hint="eastAsia" w:ascii="宋体" w:hAnsi="宋体" w:eastAsia="宋体" w:cs="宋体"/>
                <w:color w:val="auto"/>
                <w:sz w:val="24"/>
                <w:szCs w:val="24"/>
                <w:highlight w:val="none"/>
                <w:lang w:val="en-US" w:eastAsia="zh-CN"/>
              </w:rPr>
              <w:t>投标单位提供</w:t>
            </w:r>
            <w:r>
              <w:rPr>
                <w:rFonts w:hint="eastAsia" w:ascii="宋体" w:hAnsi="宋体" w:eastAsia="宋体" w:cs="宋体"/>
                <w:color w:val="auto"/>
                <w:sz w:val="24"/>
                <w:szCs w:val="24"/>
                <w:highlight w:val="none"/>
              </w:rPr>
              <w:t>中国兽医药品监察所网站查询结果截图，并按签发日期统计）。</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按重组禽流感病毒（三价和四价）灭活疫苗批签发数量计算</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≥150个，</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149</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个，不得分</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atLeast"/>
          <w:jc w:val="center"/>
        </w:trPr>
        <w:tc>
          <w:tcPr>
            <w:tcW w:w="76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131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用户反馈及项目验收证明</w:t>
            </w:r>
          </w:p>
        </w:tc>
        <w:tc>
          <w:tcPr>
            <w:tcW w:w="85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5844"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提供2025年以来同产品的</w:t>
            </w:r>
            <w:r>
              <w:rPr>
                <w:rFonts w:hint="eastAsia" w:ascii="宋体" w:hAnsi="宋体" w:cs="宋体"/>
                <w:color w:val="auto"/>
                <w:sz w:val="24"/>
                <w:szCs w:val="24"/>
                <w:highlight w:val="none"/>
                <w:lang w:eastAsia="zh-CN"/>
              </w:rPr>
              <w:t>不同</w:t>
            </w:r>
            <w:r>
              <w:rPr>
                <w:rFonts w:hint="eastAsia" w:ascii="宋体" w:hAnsi="宋体" w:eastAsia="宋体" w:cs="宋体"/>
                <w:color w:val="auto"/>
                <w:sz w:val="24"/>
                <w:szCs w:val="24"/>
                <w:highlight w:val="none"/>
              </w:rPr>
              <w:t>用户</w:t>
            </w:r>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rPr>
              <w:t>使用反馈</w:t>
            </w:r>
            <w:r>
              <w:rPr>
                <w:rFonts w:hint="eastAsia" w:ascii="宋体" w:hAnsi="宋体" w:eastAsia="宋体" w:cs="宋体"/>
                <w:color w:val="auto"/>
                <w:sz w:val="24"/>
                <w:szCs w:val="24"/>
                <w:highlight w:val="none"/>
                <w:lang w:val="en-US" w:eastAsia="zh-CN"/>
              </w:rPr>
              <w:t>报告</w:t>
            </w:r>
            <w:r>
              <w:rPr>
                <w:rFonts w:hint="eastAsia" w:ascii="宋体" w:hAnsi="宋体" w:eastAsia="宋体" w:cs="宋体"/>
                <w:color w:val="auto"/>
                <w:sz w:val="24"/>
                <w:szCs w:val="24"/>
                <w:highlight w:val="none"/>
              </w:rPr>
              <w:t>和</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验收证明</w:t>
            </w:r>
            <w:r>
              <w:rPr>
                <w:rFonts w:hint="eastAsia" w:ascii="宋体" w:hAnsi="宋体" w:cs="宋体"/>
                <w:color w:val="auto"/>
                <w:sz w:val="24"/>
                <w:szCs w:val="24"/>
                <w:highlight w:val="none"/>
                <w:lang w:eastAsia="zh-CN"/>
              </w:rPr>
              <w:t>：</w:t>
            </w:r>
          </w:p>
          <w:p>
            <w:pPr>
              <w:pStyle w:val="288"/>
              <w:adjustRightInd w:val="0"/>
              <w:snapToGrid w:val="0"/>
              <w:spacing w:after="0" w:line="240" w:lineRule="atLeast"/>
              <w:ind w:firstLine="0" w:firstLineChars="0"/>
              <w:rPr>
                <w:color w:val="auto"/>
                <w:highlight w:val="none"/>
              </w:rPr>
            </w:pPr>
            <w:r>
              <w:rPr>
                <w:rFonts w:hint="eastAsia" w:ascii="宋体" w:hAnsi="宋体" w:eastAsia="宋体" w:cs="宋体"/>
                <w:color w:val="auto"/>
                <w:sz w:val="24"/>
                <w:szCs w:val="24"/>
                <w:highlight w:val="none"/>
              </w:rPr>
              <w:t>1.提供5份及以上，且结论均为</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满意</w:t>
            </w:r>
            <w:r>
              <w:rPr>
                <w:rFonts w:hint="eastAsia" w:ascii="宋体" w:hAnsi="宋体" w:cs="宋体"/>
                <w:color w:val="auto"/>
                <w:sz w:val="24"/>
                <w:szCs w:val="24"/>
                <w:highlight w:val="none"/>
                <w:lang w:eastAsia="zh-CN"/>
              </w:rPr>
              <w:t>”、</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合格</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2.提供3-4份，</w:t>
            </w:r>
            <w:r>
              <w:rPr>
                <w:rFonts w:hint="eastAsia" w:ascii="宋体" w:hAnsi="宋体" w:cs="宋体"/>
                <w:color w:val="auto"/>
                <w:sz w:val="24"/>
                <w:szCs w:val="24"/>
                <w:highlight w:val="none"/>
                <w:lang w:val="en-US" w:eastAsia="zh-CN"/>
              </w:rPr>
              <w:t>或结果有“不满意”、“不合格”,或提供材料不全面，</w:t>
            </w:r>
            <w:r>
              <w:rPr>
                <w:rFonts w:hint="eastAsia" w:ascii="宋体" w:hAnsi="宋体" w:eastAsia="宋体" w:cs="宋体"/>
                <w:color w:val="auto"/>
                <w:sz w:val="24"/>
                <w:szCs w:val="24"/>
                <w:highlight w:val="none"/>
              </w:rPr>
              <w:t>得1分；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3.提供少于3份，不得分。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4" w:hRule="atLeast"/>
          <w:jc w:val="center"/>
        </w:trPr>
        <w:tc>
          <w:tcPr>
            <w:tcW w:w="76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131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认证及证书情况</w:t>
            </w:r>
          </w:p>
        </w:tc>
        <w:tc>
          <w:tcPr>
            <w:tcW w:w="85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844"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取得</w:t>
            </w:r>
            <w:r>
              <w:rPr>
                <w:rFonts w:hint="eastAsia" w:ascii="宋体" w:hAnsi="宋体" w:eastAsia="宋体" w:cs="宋体"/>
                <w:color w:val="auto"/>
                <w:sz w:val="24"/>
                <w:szCs w:val="24"/>
                <w:highlight w:val="none"/>
              </w:rPr>
              <w:t>疫苗产品新兽药注册证书的，得1分；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(2)同时通过ISO9001质量管理体系认证，</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ISO14001环境管理体系认证，ISO45001职业健康安全管理体系认证的，得1分；通过其中任意2项的，得0.5分。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注：需提供有效证书</w:t>
            </w:r>
            <w:r>
              <w:rPr>
                <w:rFonts w:hint="eastAsia" w:ascii="宋体" w:hAnsi="宋体" w:cs="宋体"/>
                <w:color w:val="auto"/>
                <w:sz w:val="24"/>
                <w:szCs w:val="24"/>
                <w:highlight w:val="none"/>
                <w:lang w:val="en-US" w:eastAsia="zh-CN"/>
              </w:rPr>
              <w:t>电子</w:t>
            </w:r>
            <w:r>
              <w:rPr>
                <w:rFonts w:hint="eastAsia" w:ascii="宋体" w:hAnsi="宋体" w:eastAsia="宋体" w:cs="宋体"/>
                <w:color w:val="auto"/>
                <w:sz w:val="24"/>
                <w:szCs w:val="24"/>
                <w:highlight w:val="none"/>
              </w:rPr>
              <w:t>件并加盖公章。</w:t>
            </w:r>
          </w:p>
        </w:tc>
      </w:tr>
    </w:tbl>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货物的技术性能（35分）</w:t>
      </w:r>
    </w:p>
    <w:tbl>
      <w:tblPr>
        <w:tblStyle w:val="47"/>
        <w:tblW w:w="8221" w:type="dxa"/>
        <w:jc w:val="center"/>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418"/>
        <w:gridCol w:w="709"/>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18"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tc>
        <w:tc>
          <w:tcPr>
            <w:tcW w:w="70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5335"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2" w:hRule="atLeast"/>
          <w:jc w:val="center"/>
        </w:trPr>
        <w:tc>
          <w:tcPr>
            <w:tcW w:w="75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18"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货物的技术参数是否满足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w:t>
            </w:r>
          </w:p>
        </w:tc>
        <w:tc>
          <w:tcPr>
            <w:tcW w:w="70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335"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1.技术参数响应情况</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技术参数完全满足招标文件要求的，得10分。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每有一项非关键参数负偏离，扣2分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扣完为止。关键参数(毒株，工艺，安全性，有效性，有效期)负偏离的，本项得0分。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2.冷链运输保障方案</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提供详细的冷链运输保障方案，包括</w:t>
            </w:r>
            <w:r>
              <w:rPr>
                <w:rFonts w:hint="eastAsia" w:ascii="宋体" w:hAnsi="宋体" w:cs="宋体"/>
                <w:color w:val="auto"/>
                <w:sz w:val="24"/>
                <w:szCs w:val="24"/>
                <w:highlight w:val="none"/>
                <w:lang w:eastAsia="zh-CN"/>
              </w:rPr>
              <w:t>保温设施、运输总时长控制、</w:t>
            </w:r>
            <w:r>
              <w:rPr>
                <w:rFonts w:hint="eastAsia" w:ascii="宋体" w:hAnsi="宋体" w:eastAsia="宋体" w:cs="宋体"/>
                <w:color w:val="auto"/>
                <w:sz w:val="24"/>
                <w:szCs w:val="24"/>
                <w:highlight w:val="none"/>
              </w:rPr>
              <w:t>温控设备，温度记录</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应急预案等，方案科学可行得3分；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方案不完整得1分；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3.生产设施与生物材料保障</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提供实验动物房，生物材料来源，检测设施设备等证明材料，齐全得2分；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部分提供得1分；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3" w:hRule="atLeast"/>
          <w:jc w:val="center"/>
        </w:trPr>
        <w:tc>
          <w:tcPr>
            <w:tcW w:w="75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18"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货物的先进性、工艺生产、安全可靠性</w:t>
            </w:r>
          </w:p>
        </w:tc>
        <w:tc>
          <w:tcPr>
            <w:tcW w:w="70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335"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1.原材料质量控制：</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提供主要原材料(鸡胚，</w:t>
            </w:r>
            <w:r>
              <w:rPr>
                <w:rFonts w:hint="eastAsia" w:ascii="宋体" w:hAnsi="宋体" w:cs="宋体"/>
                <w:color w:val="auto"/>
                <w:sz w:val="24"/>
                <w:szCs w:val="24"/>
                <w:highlight w:val="none"/>
                <w:lang w:eastAsia="zh-CN"/>
              </w:rPr>
              <w:t>种毒，</w:t>
            </w:r>
            <w:r>
              <w:rPr>
                <w:rFonts w:hint="eastAsia" w:ascii="宋体" w:hAnsi="宋体" w:eastAsia="宋体" w:cs="宋体"/>
                <w:color w:val="auto"/>
                <w:sz w:val="24"/>
                <w:szCs w:val="24"/>
                <w:highlight w:val="none"/>
              </w:rPr>
              <w:t>佐剂)的来源，检测报告及质量控制流程，完善得3分；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基本完善得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未提供</w:t>
            </w:r>
            <w:r>
              <w:rPr>
                <w:rFonts w:hint="eastAsia" w:ascii="宋体" w:hAnsi="宋体" w:eastAsia="宋体" w:cs="宋体"/>
                <w:color w:val="auto"/>
                <w:sz w:val="24"/>
                <w:szCs w:val="24"/>
                <w:highlight w:val="none"/>
              </w:rPr>
              <w:t>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.生产工艺与设备：</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具备完整的疫苗生产</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储存</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检测设施(含实验动物房)，能充分满足采购人</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使用、运输的需求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并提供相关证明，得4分</w:t>
            </w:r>
            <w:r>
              <w:rPr>
                <w:rFonts w:hint="eastAsia" w:ascii="宋体" w:hAnsi="宋体" w:cs="宋体"/>
                <w:color w:val="auto"/>
                <w:sz w:val="24"/>
                <w:szCs w:val="24"/>
                <w:highlight w:val="none"/>
                <w:lang w:eastAsia="zh-CN"/>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具有一定的自主生产和储存能力得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未提供</w:t>
            </w:r>
            <w:r>
              <w:rPr>
                <w:rFonts w:hint="eastAsia" w:ascii="宋体" w:hAnsi="宋体" w:eastAsia="宋体" w:cs="宋体"/>
                <w:color w:val="auto"/>
                <w:sz w:val="24"/>
                <w:szCs w:val="24"/>
                <w:highlight w:val="none"/>
              </w:rPr>
              <w:t>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.质量内控标准：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在国家标准基础上，制定更严格的内控标准(如内毒素含量，效力检验值等)，并提供证明材料，</w:t>
            </w:r>
            <w:r>
              <w:rPr>
                <w:rFonts w:hint="eastAsia" w:ascii="宋体" w:hAnsi="宋体" w:cs="宋体"/>
                <w:color w:val="auto"/>
                <w:sz w:val="24"/>
                <w:szCs w:val="24"/>
                <w:highlight w:val="none"/>
                <w:lang w:val="en-US" w:eastAsia="zh-CN"/>
              </w:rPr>
              <w:t>内控制度完善合理</w:t>
            </w:r>
            <w:r>
              <w:rPr>
                <w:rFonts w:hint="eastAsia" w:ascii="宋体" w:hAnsi="宋体" w:eastAsia="宋体" w:cs="宋体"/>
                <w:color w:val="auto"/>
                <w:sz w:val="24"/>
                <w:szCs w:val="24"/>
                <w:highlight w:val="none"/>
              </w:rPr>
              <w:t>得3分</w:t>
            </w:r>
            <w:r>
              <w:rPr>
                <w:rFonts w:hint="eastAsia" w:ascii="宋体" w:hAnsi="宋体" w:cs="宋体"/>
                <w:color w:val="auto"/>
                <w:sz w:val="24"/>
                <w:szCs w:val="24"/>
                <w:highlight w:val="none"/>
                <w:lang w:eastAsia="zh-CN"/>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内容制度基本完善缺乏可行性得1分；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未提供不得分</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0" w:hRule="atLeast"/>
          <w:jc w:val="center"/>
        </w:trPr>
        <w:tc>
          <w:tcPr>
            <w:tcW w:w="75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18"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检测结果</w:t>
            </w:r>
          </w:p>
        </w:tc>
        <w:tc>
          <w:tcPr>
            <w:tcW w:w="70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335"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提供2025年取得合格的连续5个批次签发报告，评定其效力、理化指标</w:t>
            </w:r>
            <w:r>
              <w:rPr>
                <w:rFonts w:hint="eastAsia" w:ascii="宋体" w:hAnsi="宋体" w:cs="宋体"/>
                <w:color w:val="auto"/>
                <w:sz w:val="24"/>
                <w:szCs w:val="24"/>
                <w:highlight w:val="none"/>
                <w:lang w:eastAsia="zh-CN"/>
              </w:rPr>
              <w:t>。要求为：</w:t>
            </w:r>
            <w:r>
              <w:rPr>
                <w:rFonts w:hint="eastAsia" w:ascii="宋体" w:hAnsi="宋体" w:eastAsia="宋体" w:cs="宋体"/>
                <w:color w:val="auto"/>
                <w:sz w:val="24"/>
                <w:szCs w:val="24"/>
                <w:highlight w:val="none"/>
              </w:rPr>
              <w:t>甲醛含量</w:t>
            </w:r>
            <w:r>
              <w:rPr>
                <w:rFonts w:hint="eastAsia" w:ascii="宋体" w:hAnsi="宋体" w:cs="宋体"/>
                <w:color w:val="auto"/>
                <w:sz w:val="24"/>
                <w:szCs w:val="24"/>
                <w:highlight w:val="none"/>
                <w:lang w:eastAsia="zh-CN"/>
              </w:rPr>
              <w:t>低，</w:t>
            </w:r>
            <w:r>
              <w:rPr>
                <w:rFonts w:hint="eastAsia" w:ascii="宋体" w:hAnsi="宋体" w:eastAsia="宋体" w:cs="宋体"/>
                <w:color w:val="auto"/>
                <w:sz w:val="24"/>
                <w:szCs w:val="24"/>
                <w:highlight w:val="none"/>
              </w:rPr>
              <w:t>粘度</w:t>
            </w:r>
            <w:r>
              <w:rPr>
                <w:rFonts w:hint="eastAsia" w:ascii="宋体" w:hAnsi="宋体" w:cs="宋体"/>
                <w:color w:val="auto"/>
                <w:sz w:val="24"/>
                <w:szCs w:val="24"/>
                <w:highlight w:val="none"/>
                <w:lang w:eastAsia="zh-CN"/>
              </w:rPr>
              <w:t>批次间相对稳定，</w:t>
            </w:r>
            <w:r>
              <w:rPr>
                <w:rFonts w:hint="eastAsia" w:ascii="宋体" w:hAnsi="宋体" w:eastAsia="宋体" w:cs="宋体"/>
                <w:color w:val="auto"/>
                <w:sz w:val="24"/>
                <w:szCs w:val="24"/>
                <w:highlight w:val="none"/>
              </w:rPr>
              <w:t>效价</w:t>
            </w:r>
            <w:r>
              <w:rPr>
                <w:rFonts w:hint="eastAsia" w:ascii="宋体" w:hAnsi="宋体" w:cs="宋体"/>
                <w:color w:val="auto"/>
                <w:sz w:val="24"/>
                <w:szCs w:val="24"/>
                <w:highlight w:val="none"/>
                <w:lang w:eastAsia="zh-CN"/>
              </w:rPr>
              <w:t>平均值高且批次间差异小。</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检测报告齐全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整体优于</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要求，批次间</w:t>
            </w:r>
            <w:r>
              <w:rPr>
                <w:rFonts w:hint="eastAsia" w:ascii="宋体" w:hAnsi="宋体" w:cs="宋体"/>
                <w:color w:val="auto"/>
                <w:sz w:val="24"/>
                <w:szCs w:val="24"/>
                <w:highlight w:val="none"/>
                <w:lang w:val="en-US" w:eastAsia="zh-CN"/>
              </w:rPr>
              <w:t>较一致</w:t>
            </w:r>
            <w:r>
              <w:rPr>
                <w:rFonts w:hint="eastAsia" w:ascii="宋体" w:hAnsi="宋体" w:eastAsia="宋体" w:cs="宋体"/>
                <w:color w:val="auto"/>
                <w:sz w:val="24"/>
                <w:szCs w:val="24"/>
                <w:highlight w:val="none"/>
              </w:rPr>
              <w:t>，体现优良的质量和较高的稳定性</w:t>
            </w:r>
            <w:r>
              <w:rPr>
                <w:rFonts w:hint="eastAsia" w:ascii="宋体" w:hAnsi="宋体" w:eastAsia="宋体" w:cs="宋体"/>
                <w:color w:val="auto"/>
                <w:sz w:val="24"/>
                <w:szCs w:val="24"/>
                <w:highlight w:val="none"/>
                <w:lang w:val="en-US" w:eastAsia="zh-CN"/>
              </w:rPr>
              <w:t>得10分</w:t>
            </w:r>
            <w:r>
              <w:rPr>
                <w:rFonts w:hint="eastAsia" w:ascii="宋体" w:hAnsi="宋体" w:eastAsia="宋体" w:cs="宋体"/>
                <w:color w:val="auto"/>
                <w:sz w:val="24"/>
                <w:szCs w:val="24"/>
                <w:highlight w:val="none"/>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检测报告齐全，批次间差异较小，满足或基本满足本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要求，体现较高的产品质量</w:t>
            </w:r>
            <w:r>
              <w:rPr>
                <w:rFonts w:hint="eastAsia" w:ascii="宋体" w:hAnsi="宋体" w:eastAsia="宋体" w:cs="宋体"/>
                <w:color w:val="auto"/>
                <w:sz w:val="24"/>
                <w:szCs w:val="24"/>
                <w:highlight w:val="none"/>
                <w:lang w:val="en-US" w:eastAsia="zh-CN"/>
              </w:rPr>
              <w:t>得7分</w:t>
            </w:r>
            <w:r>
              <w:rPr>
                <w:rFonts w:hint="eastAsia" w:ascii="宋体" w:hAnsi="宋体" w:eastAsia="宋体" w:cs="宋体"/>
                <w:color w:val="auto"/>
                <w:sz w:val="24"/>
                <w:szCs w:val="24"/>
                <w:highlight w:val="none"/>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检测报告</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齐全，批次间差异较大，部分非关键指标不满足本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得3分</w:t>
            </w:r>
            <w:r>
              <w:rPr>
                <w:rFonts w:hint="eastAsia" w:ascii="宋体" w:hAnsi="宋体" w:eastAsia="宋体" w:cs="宋体"/>
                <w:color w:val="auto"/>
                <w:sz w:val="24"/>
                <w:szCs w:val="24"/>
                <w:highlight w:val="none"/>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报告不齐全，批次间差异极大，多个批次、多个指标或个别关键指标不满足本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得1分</w:t>
            </w:r>
            <w:r>
              <w:rPr>
                <w:rFonts w:hint="eastAsia" w:ascii="宋体" w:hAnsi="宋体" w:eastAsia="宋体" w:cs="宋体"/>
                <w:color w:val="auto"/>
                <w:sz w:val="24"/>
                <w:szCs w:val="24"/>
                <w:highlight w:val="none"/>
              </w:rPr>
              <w:t>。</w:t>
            </w:r>
          </w:p>
        </w:tc>
      </w:tr>
    </w:tbl>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售后服务质量（20分）</w:t>
      </w:r>
    </w:p>
    <w:tbl>
      <w:tblPr>
        <w:tblStyle w:val="47"/>
        <w:tblW w:w="84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426"/>
        <w:gridCol w:w="992"/>
        <w:gridCol w:w="5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26"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tc>
        <w:tc>
          <w:tcPr>
            <w:tcW w:w="992"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5288"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2" w:hRule="atLeast"/>
          <w:jc w:val="center"/>
        </w:trPr>
        <w:tc>
          <w:tcPr>
            <w:tcW w:w="701" w:type="dxa"/>
            <w:vMerge w:val="restart"/>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26" w:type="dxa"/>
            <w:vMerge w:val="restart"/>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售后服务响应、不良反应处理。</w:t>
            </w:r>
          </w:p>
        </w:tc>
        <w:tc>
          <w:tcPr>
            <w:tcW w:w="992" w:type="dxa"/>
            <w:vMerge w:val="restart"/>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5288"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售后服务</w:t>
            </w:r>
            <w:r>
              <w:rPr>
                <w:rFonts w:hint="eastAsia" w:ascii="宋体" w:hAnsi="宋体" w:cs="宋体"/>
                <w:color w:val="auto"/>
                <w:sz w:val="24"/>
                <w:szCs w:val="24"/>
                <w:highlight w:val="none"/>
                <w:lang w:val="en-US" w:eastAsia="zh-CN"/>
              </w:rPr>
              <w:t>机构</w:t>
            </w:r>
            <w:r>
              <w:rPr>
                <w:rFonts w:hint="eastAsia" w:ascii="宋体" w:hAnsi="宋体" w:eastAsia="宋体" w:cs="宋体"/>
                <w:color w:val="auto"/>
                <w:sz w:val="24"/>
                <w:szCs w:val="24"/>
                <w:highlight w:val="none"/>
              </w:rPr>
              <w:t>规模大、人员齐全，能对售后服务做出及时的响应，得3分；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有常驻机构但机构规模实力欠缺，人员配备不足，得1分；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无常驻机构不得分。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2.承诺售后服务响应时间：</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接到采购方通知后24小时内到达现场，得2分；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48小时内到达，得1分；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超过48小时不得分。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3.提供7</w:t>
            </w:r>
            <w:r>
              <w:rPr>
                <w:rFonts w:hint="eastAsia" w:ascii="汉仪细圆B5" w:hAnsi="汉仪细圆B5" w:eastAsia="汉仪细圆B5" w:cs="汉仪细圆B5"/>
                <w:color w:val="auto"/>
                <w:sz w:val="24"/>
                <w:szCs w:val="24"/>
                <w:highlight w:val="none"/>
              </w:rPr>
              <w:t>×</w:t>
            </w:r>
            <w:r>
              <w:rPr>
                <w:rFonts w:hint="eastAsia" w:ascii="宋体" w:hAnsi="宋体" w:eastAsia="宋体" w:cs="宋体"/>
                <w:color w:val="auto"/>
                <w:sz w:val="24"/>
                <w:szCs w:val="24"/>
                <w:highlight w:val="none"/>
              </w:rPr>
              <w:t>24小时技术支持热线，得1分。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 w:hRule="atLeast"/>
          <w:jc w:val="center"/>
        </w:trPr>
        <w:tc>
          <w:tcPr>
            <w:tcW w:w="701" w:type="dxa"/>
            <w:vMerge w:val="continue"/>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jc w:val="center"/>
              <w:textAlignment w:val="auto"/>
              <w:rPr>
                <w:rFonts w:hint="eastAsia" w:ascii="宋体" w:hAnsi="宋体" w:eastAsia="宋体" w:cs="宋体"/>
                <w:color w:val="auto"/>
                <w:sz w:val="24"/>
                <w:szCs w:val="24"/>
                <w:highlight w:val="none"/>
              </w:rPr>
            </w:pPr>
          </w:p>
        </w:tc>
        <w:tc>
          <w:tcPr>
            <w:tcW w:w="1426" w:type="dxa"/>
            <w:vMerge w:val="continue"/>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jc w:val="center"/>
              <w:textAlignment w:val="auto"/>
              <w:rPr>
                <w:rFonts w:hint="eastAsia" w:ascii="宋体" w:hAnsi="宋体" w:eastAsia="宋体" w:cs="宋体"/>
                <w:color w:val="auto"/>
                <w:sz w:val="24"/>
                <w:szCs w:val="24"/>
                <w:highlight w:val="none"/>
              </w:rPr>
            </w:pPr>
          </w:p>
        </w:tc>
        <w:tc>
          <w:tcPr>
            <w:tcW w:w="992" w:type="dxa"/>
            <w:vMerge w:val="continue"/>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jc w:val="center"/>
              <w:textAlignment w:val="auto"/>
              <w:rPr>
                <w:rFonts w:hint="eastAsia" w:ascii="宋体" w:hAnsi="宋体" w:eastAsia="宋体" w:cs="宋体"/>
                <w:color w:val="auto"/>
                <w:sz w:val="24"/>
                <w:szCs w:val="24"/>
                <w:highlight w:val="none"/>
              </w:rPr>
            </w:pPr>
          </w:p>
        </w:tc>
        <w:tc>
          <w:tcPr>
            <w:tcW w:w="5288"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不良反应赔付及时、全额、便捷，保证出现疫情或产品出现大规模不良反应等突发事件时能及时处理，且应对措施完善可行性高，对过敏反应处理措施到位得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措施基本可行，对过敏反应处理措施部分到位得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不能做到不良反应时及时、全额赔付，出现疫情或产品出现大规模不良反应等突发事件时的应急方案不完善，不具备可行性得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0" w:hRule="atLeast"/>
          <w:jc w:val="center"/>
        </w:trPr>
        <w:tc>
          <w:tcPr>
            <w:tcW w:w="70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26"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技术支持</w:t>
            </w:r>
          </w:p>
        </w:tc>
        <w:tc>
          <w:tcPr>
            <w:tcW w:w="992"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288"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(1)提供详细的技术支持方案(含免疫程序，效果评估，技术指导等)，科学全面得3分；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方案简略得1分；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(2)承诺每年提供不少于2次现场技术培训或入户指导，得2分。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(3)技术人员配备：投入本项目的</w:t>
            </w:r>
            <w:r>
              <w:rPr>
                <w:rFonts w:hint="eastAsia" w:ascii="宋体" w:hAnsi="宋体" w:cs="宋体"/>
                <w:color w:val="auto"/>
                <w:sz w:val="24"/>
                <w:szCs w:val="24"/>
                <w:highlight w:val="none"/>
                <w:lang w:val="en-US" w:eastAsia="zh-CN"/>
              </w:rPr>
              <w:t>人员力量雄厚，技术全面，整体团队2人及以上且具备</w:t>
            </w:r>
            <w:r>
              <w:rPr>
                <w:rFonts w:hint="eastAsia" w:ascii="宋体" w:hAnsi="宋体" w:eastAsia="宋体" w:cs="宋体"/>
                <w:color w:val="auto"/>
                <w:sz w:val="24"/>
                <w:szCs w:val="24"/>
                <w:highlight w:val="none"/>
              </w:rPr>
              <w:t>高级技术职称，得2分；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技术力量薄弱，人员相对较少</w:t>
            </w:r>
            <w:r>
              <w:rPr>
                <w:rFonts w:hint="eastAsia" w:ascii="宋体" w:hAnsi="宋体" w:eastAsia="宋体" w:cs="宋体"/>
                <w:color w:val="auto"/>
                <w:sz w:val="24"/>
                <w:szCs w:val="24"/>
                <w:highlight w:val="none"/>
              </w:rPr>
              <w:t>，得1分</w:t>
            </w:r>
            <w:r>
              <w:rPr>
                <w:rFonts w:hint="eastAsia" w:ascii="宋体" w:hAnsi="宋体" w:cs="宋体"/>
                <w:color w:val="auto"/>
                <w:sz w:val="24"/>
                <w:szCs w:val="24"/>
                <w:highlight w:val="none"/>
                <w:lang w:eastAsia="zh-CN"/>
              </w:rPr>
              <w:t>。</w:t>
            </w:r>
          </w:p>
        </w:tc>
      </w:tr>
    </w:tbl>
    <w:p>
      <w:pPr>
        <w:pStyle w:val="23"/>
        <w:spacing w:line="360" w:lineRule="auto"/>
        <w:jc w:val="center"/>
        <w:outlineLvl w:val="0"/>
        <w:rPr>
          <w:rFonts w:hint="eastAsia" w:ascii="宋体" w:hAnsi="宋体" w:eastAsia="宋体" w:cs="宋体"/>
          <w:b/>
          <w:color w:val="auto"/>
          <w:sz w:val="36"/>
          <w:szCs w:val="36"/>
          <w:highlight w:val="none"/>
        </w:rPr>
        <w:sectPr>
          <w:footerReference r:id="rId9" w:type="default"/>
          <w:pgSz w:w="11907" w:h="16840"/>
          <w:pgMar w:top="1440" w:right="1797" w:bottom="1440" w:left="1797" w:header="851" w:footer="851" w:gutter="0"/>
          <w:cols w:space="720" w:num="1"/>
          <w:docGrid w:linePitch="462" w:charSpace="0"/>
        </w:sectPr>
      </w:pPr>
    </w:p>
    <w:p>
      <w:pPr>
        <w:pStyle w:val="23"/>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第五章   采购需求</w:t>
      </w:r>
      <w:bookmarkEnd w:id="297"/>
    </w:p>
    <w:p>
      <w:pPr>
        <w:pStyle w:val="187"/>
        <w:numPr>
          <w:ilvl w:val="0"/>
          <w:numId w:val="19"/>
        </w:numPr>
        <w:spacing w:after="0"/>
        <w:ind w:firstLineChars="0"/>
        <w:contextualSpacing/>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货物需求</w:t>
      </w:r>
    </w:p>
    <w:p>
      <w:pPr>
        <w:pStyle w:val="288"/>
        <w:spacing w:line="560" w:lineRule="exact"/>
        <w:ind w:firstLine="48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重组禽流感病毒（H5+H7）四价灭活疫苗（H5N6 H5-Re15株+H5-Re16株，H7N9 H7-Re5株+H7-Re6株</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本品系用重组禽流感病毒H5N6亚型H5-Re15株、H5-Re16株和和H7N9亚型H7-Re5株、H7-Re6株分别接种易感鸡胚培养，收获感染鸡胚液，</w:t>
      </w:r>
      <w:r>
        <w:rPr>
          <w:rFonts w:hint="eastAsia" w:ascii="宋体" w:hAnsi="宋体" w:eastAsia="宋体" w:cs="宋体"/>
          <w:color w:val="auto"/>
          <w:sz w:val="24"/>
          <w:szCs w:val="24"/>
          <w:highlight w:val="none"/>
          <w:lang w:eastAsia="hi-IN"/>
        </w:rPr>
        <w:t>经浓缩、甲醛溶液灭活后，</w:t>
      </w:r>
      <w:r>
        <w:rPr>
          <w:rFonts w:hint="eastAsia" w:ascii="宋体" w:hAnsi="宋体" w:eastAsia="宋体" w:cs="宋体"/>
          <w:color w:val="auto"/>
          <w:sz w:val="24"/>
          <w:szCs w:val="24"/>
          <w:highlight w:val="none"/>
        </w:rPr>
        <w:t>加</w:t>
      </w:r>
      <w:r>
        <w:rPr>
          <w:rFonts w:hint="eastAsia" w:ascii="宋体" w:hAnsi="宋体" w:eastAsia="宋体" w:cs="宋体"/>
          <w:color w:val="auto"/>
          <w:sz w:val="24"/>
          <w:szCs w:val="24"/>
          <w:highlight w:val="none"/>
          <w:lang w:eastAsia="hi-IN"/>
        </w:rPr>
        <w:t>矿物油佐剂混合乳化制成。</w:t>
      </w:r>
      <w:r>
        <w:rPr>
          <w:rFonts w:hint="eastAsia" w:ascii="宋体" w:hAnsi="宋体" w:eastAsia="宋体" w:cs="宋体"/>
          <w:color w:val="auto"/>
          <w:sz w:val="24"/>
          <w:szCs w:val="24"/>
          <w:highlight w:val="none"/>
        </w:rPr>
        <w:t>用于预防由H5亚型2.3.4.4h分支、2.3.4.4b分支和H7亚型A分支、B分支禽流感病毒引起的禽流感。</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【性状】 外观 乳白色均匀乳剂。</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剂型 油包水型。取一清洁吸管，吸取少量疫苗滴于冷水中，呈油滴状不扩散。</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稳定性 吸取疫苗10ml加入离心管中，以3000r/min离心15分钟</w:t>
      </w:r>
      <w:r>
        <w:rPr>
          <w:rFonts w:hint="eastAsia" w:ascii="宋体" w:hAnsi="宋体" w:eastAsia="宋体" w:cs="宋体"/>
          <w:color w:val="auto"/>
          <w:sz w:val="24"/>
          <w:szCs w:val="24"/>
          <w:highlight w:val="none"/>
          <w:lang w:eastAsia="hi-IN"/>
        </w:rPr>
        <w:t>，</w:t>
      </w:r>
      <w:r>
        <w:rPr>
          <w:rFonts w:hint="eastAsia" w:ascii="宋体" w:hAnsi="宋体" w:eastAsia="宋体" w:cs="宋体"/>
          <w:color w:val="auto"/>
          <w:sz w:val="24"/>
          <w:szCs w:val="24"/>
          <w:highlight w:val="none"/>
        </w:rPr>
        <w:t>管底析出的水相应不超过0.5ml。</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黏度 按现行《中国兽药典》三部附录进行测定</w:t>
      </w:r>
      <w:r>
        <w:rPr>
          <w:rFonts w:hint="eastAsia" w:ascii="宋体" w:hAnsi="宋体" w:eastAsia="宋体" w:cs="宋体"/>
          <w:color w:val="auto"/>
          <w:sz w:val="24"/>
          <w:szCs w:val="24"/>
          <w:highlight w:val="none"/>
          <w:lang w:eastAsia="hi-IN"/>
        </w:rPr>
        <w:t>，</w:t>
      </w:r>
      <w:r>
        <w:rPr>
          <w:rFonts w:hint="eastAsia" w:ascii="宋体" w:hAnsi="宋体" w:eastAsia="宋体" w:cs="宋体"/>
          <w:color w:val="auto"/>
          <w:sz w:val="24"/>
          <w:szCs w:val="24"/>
          <w:highlight w:val="none"/>
        </w:rPr>
        <w:t>应符合规定。</w:t>
      </w:r>
    </w:p>
    <w:p>
      <w:pPr>
        <w:pStyle w:val="288"/>
        <w:spacing w:line="560" w:lineRule="exact"/>
        <w:ind w:firstLine="480"/>
        <w:rPr>
          <w:rFonts w:hint="eastAsia" w:ascii="宋体" w:hAnsi="宋体" w:eastAsia="宋体" w:cs="宋体"/>
          <w:color w:val="auto"/>
          <w:sz w:val="24"/>
          <w:szCs w:val="24"/>
          <w:highlight w:val="none"/>
          <w:lang w:eastAsia="hi-IN"/>
        </w:rPr>
      </w:pPr>
      <w:r>
        <w:rPr>
          <w:rFonts w:hint="eastAsia" w:ascii="宋体" w:hAnsi="宋体" w:eastAsia="宋体" w:cs="宋体"/>
          <w:color w:val="auto"/>
          <w:sz w:val="24"/>
          <w:szCs w:val="24"/>
          <w:highlight w:val="none"/>
        </w:rPr>
        <w:t>【装量检查】 按现行《中国兽药典》三部附录进行检查，应</w:t>
      </w:r>
      <w:r>
        <w:rPr>
          <w:rFonts w:hint="eastAsia" w:ascii="宋体" w:hAnsi="宋体" w:eastAsia="宋体" w:cs="宋体"/>
          <w:color w:val="auto"/>
          <w:sz w:val="24"/>
          <w:szCs w:val="24"/>
          <w:highlight w:val="none"/>
          <w:lang w:eastAsia="hi-IN"/>
        </w:rPr>
        <w:t>符合规定。</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【无菌检验】 按现行《中国兽药典》三部附录进行检验，应无菌生长</w:t>
      </w:r>
      <w:r>
        <w:rPr>
          <w:rFonts w:hint="eastAsia" w:ascii="宋体" w:hAnsi="宋体" w:eastAsia="宋体" w:cs="宋体"/>
          <w:color w:val="auto"/>
          <w:sz w:val="24"/>
          <w:szCs w:val="24"/>
          <w:highlight w:val="none"/>
          <w:lang w:eastAsia="hi-IN"/>
        </w:rPr>
        <w:t>。</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【安全检验】 用3～4周龄SPF鸡10只，各颈部皮下或胸部肌肉注射疫苗2.0ml，连续观察14日，应全部健活，且不出现因疫苗引起的局部或全身不良反应。</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【效力检验】 血清学方法  用3～4周龄SPF鸡10只，每只颈部皮下或胸部肌肉注射疫苗0.3ml。21日后，连同对照鸡5只，分别采血，分离血清，分别用禽流感病毒H5亚型H5-Re15株和H5-Re16株及H7亚型H7-Re5株和H7-Re6株抗原测定HI抗体效价。对照鸡HI抗体效价均不高于1:4，免疫鸡禽流感H5亚型H5-Re15株和H5-Re16株及H7亚型H7-Re5株和H7-Re6株HI抗体效价几何平均值(GMT)均不低于1</w:t>
      </w:r>
      <w:r>
        <w:rPr>
          <w:rFonts w:hint="default" w:ascii="宋体" w:hAnsi="宋体" w:cs="宋体"/>
          <w:color w:val="auto"/>
          <w:sz w:val="24"/>
          <w:szCs w:val="24"/>
          <w:highlight w:val="none"/>
          <w:lang w:val="en"/>
        </w:rPr>
        <w:t>:</w:t>
      </w:r>
      <w:r>
        <w:rPr>
          <w:rFonts w:hint="eastAsia" w:ascii="宋体" w:hAnsi="宋体" w:eastAsia="宋体" w:cs="宋体"/>
          <w:color w:val="auto"/>
          <w:sz w:val="24"/>
          <w:szCs w:val="24"/>
          <w:highlight w:val="none"/>
        </w:rPr>
        <w:t>64。</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【甲醛残留量测定】按现行《中国兽药典》三部附录进行测定，应符合规定。</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【用法与用量】胸部肌肉或颈部皮下注射。2-5周龄鸡，每只0.3ml；5周龄以上鸡，每只0.5ml。2-5周龄鸭和鹅，每只0.5ml；5周龄以上鸭和鹅，每只1.0ml。</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【规格】100毫升/瓶。</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【贮藏与有效期】 2～8℃保存，有效期为12个月。</w:t>
      </w:r>
    </w:p>
    <w:p>
      <w:pPr>
        <w:pStyle w:val="288"/>
        <w:spacing w:line="560" w:lineRule="exact"/>
        <w:ind w:left="0" w:leftChars="0" w:firstLine="0" w:firstLineChars="0"/>
        <w:rPr>
          <w:rFonts w:hint="eastAsia" w:ascii="宋体" w:hAnsi="宋体" w:eastAsia="宋体" w:cs="宋体"/>
          <w:color w:val="auto"/>
          <w:sz w:val="24"/>
          <w:highlight w:val="none"/>
        </w:rPr>
      </w:pPr>
      <w:r>
        <w:rPr>
          <w:rFonts w:hint="eastAsia" w:ascii="宋体" w:hAnsi="宋体" w:eastAsia="宋体" w:cs="宋体"/>
          <w:b/>
          <w:color w:val="auto"/>
          <w:sz w:val="24"/>
          <w:highlight w:val="none"/>
        </w:rPr>
        <w:t>二、商务要求</w:t>
      </w:r>
      <w:r>
        <w:rPr>
          <w:rFonts w:hint="eastAsia" w:ascii="宋体" w:hAnsi="宋体" w:eastAsia="宋体" w:cs="宋体"/>
          <w:color w:val="auto"/>
          <w:sz w:val="24"/>
          <w:highlight w:val="none"/>
        </w:rPr>
        <w:t>：</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1.交付（实施）的时间（期限）和地点（范围）</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货物出库时须填写出库单（或装箱单），详细写明货物品种、数量、包装规格、批号、有效期和准确的出库时间，并将装箱单封装在某一箱内，在该箱明显标注“内有清单”字样。由物流公司送货的，应同时提供《随货单》等详细记录货物承运、运输和中转情况的单据，并确保运输过程符合疫苗储存温度(2~8</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1.2采购方根据需求情况，向</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提出供货通知，明确货物的品名、数量和交货时间、地点、方式。</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接到供货通知2日内或按要求时限，将货物运达采购方库房并将货物卸到指定位置。</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在货物出库4小时内向</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提交出货通知。货物从</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库房运达采购方库房的时间不超过24小时。</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应随货物向采购方交付产品的检验报告、质量控制验收证明或其它报告证明材料。</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2.付款条件（进度和方式）</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采购协议签署后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支付50%货款；</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提供50%货款实物后，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再付2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%货款；</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提供100%货款实物，并验收合格提供发票后，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支付剩余尾款。符合各笔支付条件时，</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0个工作日内完成支付。</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3.包装和运输</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有特殊包装要求的物品，应按照物品说明书和外包装标志执行。</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运输：本货物运输必须根据《兽用生物制品经营管理办法》等现行国家相关规定和行业规范进行。由供应商将货物运送到采购人指定地点，供应商负责办理冷链运输</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建立并实施完善的冷链运输方案</w:t>
      </w:r>
      <w:r>
        <w:rPr>
          <w:rFonts w:hint="eastAsia" w:ascii="宋体" w:hAnsi="宋体" w:eastAsia="宋体" w:cs="宋体"/>
          <w:color w:val="auto"/>
          <w:sz w:val="24"/>
          <w:szCs w:val="24"/>
          <w:highlight w:val="none"/>
        </w:rPr>
        <w:t>。有关运输的一切费用由供应商承担。所有货物运抵现场的日期为交货日期。运输途中如发生</w:t>
      </w:r>
      <w:r>
        <w:rPr>
          <w:rFonts w:hint="eastAsia" w:ascii="宋体" w:hAnsi="宋体" w:cs="宋体"/>
          <w:color w:val="auto"/>
          <w:sz w:val="24"/>
          <w:szCs w:val="24"/>
          <w:highlight w:val="none"/>
          <w:lang w:eastAsia="zh-CN"/>
        </w:rPr>
        <w:t>包装破损、疫苗分层等情况</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或在途运输时间超过</w:t>
      </w:r>
      <w:r>
        <w:rPr>
          <w:rFonts w:hint="eastAsia" w:ascii="宋体" w:hAnsi="宋体" w:cs="宋体"/>
          <w:color w:val="auto"/>
          <w:sz w:val="24"/>
          <w:szCs w:val="24"/>
          <w:highlight w:val="none"/>
          <w:lang w:val="en-US" w:eastAsia="zh-CN"/>
        </w:rPr>
        <w:t>24小时，</w:t>
      </w:r>
      <w:r>
        <w:rPr>
          <w:rFonts w:hint="eastAsia" w:ascii="宋体" w:hAnsi="宋体" w:eastAsia="宋体" w:cs="宋体"/>
          <w:color w:val="auto"/>
          <w:sz w:val="24"/>
          <w:szCs w:val="24"/>
          <w:highlight w:val="none"/>
        </w:rPr>
        <w:t>该批次货物采购方有权拒收，相关损失及责任由供货方承担。</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4.售后服务</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4.1有效期按照技术参数的要求执行。</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需建立完善的技术支持体系，如遇相关技术问题，</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须在6小时内及时响应，并提出解决方案，组织技术人员予以及时解决。</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5.技术支持</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根据采购方的需求，提供7</w:t>
      </w:r>
      <w:r>
        <w:rPr>
          <w:rFonts w:hint="eastAsia" w:ascii="汉仪细圆B5" w:hAnsi="汉仪细圆B5" w:eastAsia="汉仪细圆B5" w:cs="汉仪细圆B5"/>
          <w:color w:val="auto"/>
          <w:sz w:val="24"/>
          <w:szCs w:val="24"/>
          <w:highlight w:val="none"/>
        </w:rPr>
        <w:t>×</w:t>
      </w:r>
      <w:r>
        <w:rPr>
          <w:rFonts w:hint="eastAsia" w:ascii="宋体" w:hAnsi="宋体" w:eastAsia="宋体" w:cs="宋体"/>
          <w:color w:val="auto"/>
          <w:sz w:val="24"/>
          <w:szCs w:val="24"/>
          <w:highlight w:val="none"/>
        </w:rPr>
        <w:t>24小时技术支持热线，确保技术问题响应时间不超过2小时，解决方案提供时间不超过24小时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可提供培训方案、产品跟踪调查、入场入户技术指导、不良反应调查等技术支持。</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其它</w:t>
      </w:r>
      <w:r>
        <w:rPr>
          <w:rFonts w:hint="eastAsia" w:ascii="宋体" w:hAnsi="宋体" w:eastAsia="宋体" w:cs="宋体"/>
          <w:color w:val="auto"/>
          <w:sz w:val="24"/>
          <w:szCs w:val="24"/>
          <w:highlight w:val="none"/>
        </w:rPr>
        <w:t>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1基本要求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此次采购货物设备是采购人经过论证评审后确实所需，投标人所投设备应符合采购人的实际需求，应满足重大动物疫病应急预案和相关技术方案的要求。产品须符合国家《兽药质量标准》最新版要求。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对货物的要求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采购标的需满足的性能、材料、结构、外观、质量、安全、技术规格、物理特性等要求：在投标文件中详细说明所提供货物的技术规格和参数，并提供佐证材料。</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应保证货物是全新的、未使用过的，完全符合合同规定的质量、规格和性能要求的正品。</w:t>
      </w:r>
      <w:r>
        <w:rPr>
          <w:rFonts w:hint="eastAsia" w:ascii="宋体" w:hAnsi="宋体" w:eastAsia="宋体" w:cs="宋体"/>
          <w:color w:val="auto"/>
          <w:sz w:val="24"/>
          <w:highlight w:val="none"/>
        </w:rPr>
        <w:t>所投货物为成熟的产品，已在动物防疫中使用，并得到验证，受使用者认可。</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6.3采购标的需满足的服务标准、期限、效率等要求：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在货物最终验收后的质量保证期内，投标人应对产品的所有质量问题（包括但不限于因设计、工艺或材料的缺陷而发生的任何故障等）负全责，因质量问题所产生的故障、事故、人身损害、经济损失等责任均由投标人承担，由此产生的所有费用也均由投标人负担。</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1）对于采购方在验收、储存和基层单位在应用中发现的质量问题或疑为质量问题，投标人须配合做好分析，包括：按照甲方要求提交相关资料文件、协助开展现场调查、补充开展检测检验、退货或换货等。</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2）对货物的质量问题存在疑问或争议时，采购方可送同批次产品样品到指定的机构进行鉴定，鉴定费用由投标单位支付。</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3）经鉴定确属质量问题，或者投标人对采购方的质疑不能在3个工作日内给予回复并协助解决问题的，采购方有权中止协议，并保留追究投标人法律责任的权利。</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6.4</w:t>
      </w:r>
      <w:r>
        <w:rPr>
          <w:rFonts w:hint="eastAsia" w:asciiTheme="minorEastAsia" w:hAnsiTheme="minorEastAsia" w:eastAsiaTheme="minorEastAsia"/>
          <w:color w:val="auto"/>
          <w:sz w:val="24"/>
          <w:highlight w:val="none"/>
        </w:rPr>
        <w:t>为落实政府采购政策需满足的要求：</w:t>
      </w:r>
    </w:p>
    <w:p>
      <w:pPr>
        <w:keepNext w:val="0"/>
        <w:keepLines w:val="0"/>
        <w:pageBreakBefore w:val="0"/>
        <w:widowControl/>
        <w:kinsoku/>
        <w:wordWrap/>
        <w:overflowPunct/>
        <w:topLinePunct w:val="0"/>
        <w:autoSpaceDE/>
        <w:autoSpaceDN/>
        <w:bidi w:val="0"/>
        <w:adjustRightInd w:val="0"/>
        <w:snapToGrid w:val="0"/>
        <w:spacing w:after="233" w:afterLines="50" w:line="480" w:lineRule="auto"/>
        <w:ind w:firstLine="480" w:firstLineChars="200"/>
        <w:contextualSpacing/>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需要落实的政府采购政策如节约能源、保护环境、促进中小企业及监狱企业发展、促进残疾人就业、扶持不发达地区和少数民族地区、使用信用记录结果等，根据本项目的特点和需求，具体落实情况详见招标文件其他章节。</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6.5</w:t>
      </w:r>
      <w:r>
        <w:rPr>
          <w:rFonts w:hint="eastAsia" w:asciiTheme="minorEastAsia" w:hAnsiTheme="minorEastAsia" w:eastAsiaTheme="minorEastAsia"/>
          <w:color w:val="auto"/>
          <w:sz w:val="24"/>
          <w:highlight w:val="none"/>
        </w:rPr>
        <w:t>采购标的的其他技术、服务等要求：</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shd w:val="clear" w:color="auto" w:fill="FFFFFF"/>
        </w:rPr>
        <w:t>投标人应保证采购人在使用该货物或其任何一部分时，不受第三方提出侵犯其专利权﹑商标权﹑版权和工业设计权等知识产权的指控﹐一旦任何第三方提出侵权指控，</w:t>
      </w:r>
      <w:r>
        <w:rPr>
          <w:rFonts w:hint="eastAsia" w:cs="宋体" w:asciiTheme="minorEastAsia" w:hAnsiTheme="minorEastAsia" w:eastAsiaTheme="minorEastAsia"/>
          <w:color w:val="auto"/>
          <w:sz w:val="24"/>
          <w:highlight w:val="none"/>
          <w:shd w:val="clear" w:color="auto" w:fill="FFFFFF"/>
          <w:lang w:eastAsia="zh-CN"/>
        </w:rPr>
        <w:t>投标人</w:t>
      </w:r>
      <w:r>
        <w:rPr>
          <w:rFonts w:hint="eastAsia" w:cs="宋体" w:asciiTheme="minorEastAsia" w:hAnsiTheme="minorEastAsia" w:eastAsiaTheme="minorEastAsia"/>
          <w:color w:val="auto"/>
          <w:sz w:val="24"/>
          <w:highlight w:val="none"/>
          <w:shd w:val="clear" w:color="auto" w:fill="FFFFFF"/>
        </w:rPr>
        <w:t>必须对可能发生的后果承担全部责任。</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default" w:ascii="宋体" w:hAnsi="宋体" w:cs="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6.6</w:t>
      </w:r>
      <w:r>
        <w:rPr>
          <w:rFonts w:hint="eastAsia" w:asciiTheme="minorEastAsia" w:hAnsiTheme="minorEastAsia" w:eastAsiaTheme="minorEastAsia"/>
          <w:color w:val="auto"/>
          <w:sz w:val="24"/>
          <w:highlight w:val="none"/>
        </w:rPr>
        <w:t xml:space="preserve"> 本项目</w:t>
      </w:r>
      <w:r>
        <w:rPr>
          <w:rFonts w:hint="eastAsia" w:asciiTheme="minorEastAsia" w:hAnsiTheme="minorEastAsia" w:eastAsiaTheme="minorEastAsia"/>
          <w:color w:val="auto"/>
          <w:sz w:val="24"/>
          <w:highlight w:val="none"/>
          <w:lang w:val="en-US" w:eastAsia="zh-CN"/>
        </w:rPr>
        <w:t>整体响应</w:t>
      </w:r>
      <w:r>
        <w:rPr>
          <w:rFonts w:hint="eastAsia" w:asciiTheme="minorEastAsia" w:hAnsiTheme="minorEastAsia" w:eastAsiaTheme="minorEastAsia"/>
          <w:color w:val="auto"/>
          <w:sz w:val="24"/>
          <w:highlight w:val="none"/>
        </w:rPr>
        <w:t>国家和北京市动物强制免疫技术方案的要求。</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7、不良反应处理：</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(1)投标人应建立不良反应应急处理机制，明确专人负责。采购方通报不良反应事件后，投标人须在2小时内响应，24小时内派技术人员到达现场协助调查处理。</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(2)经鉴定确属疫苗质量问题导致的不良反应，投标人应承担全部救治费用及相关赔偿。</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(3)投标人须提供年度不良反应监测报告，作为履约评价依据。</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验收标准</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到货时，</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highlight w:val="none"/>
        </w:rPr>
        <w:t>检查包装并随机打开外包装进行感官检查。如货物不满足以下任意一条要求的，可以退货，造成的全部损失由</w:t>
      </w: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rPr>
        <w:t>承担。</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1）货物内、外包装完整，不得破损，且符合包装有关规定。包装有破损的，甲方可要求整箱退货或者整批退货。</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2）货物生产厂家、品名、数量、规格符合项目合同和《出库单》。</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3）货物的批次检验报告符合兽医药管理、动物防疫相关要求和本项目招标文件要求，满足投标文件承诺。</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4）到货时或到货后，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highlight w:val="none"/>
        </w:rPr>
        <w:t>可随时对货物随机抽验，货物应符合本合同约定的质量要求。</w:t>
      </w:r>
    </w:p>
    <w:p>
      <w:pPr>
        <w:pStyle w:val="23"/>
        <w:spacing w:line="360" w:lineRule="auto"/>
        <w:jc w:val="center"/>
        <w:rPr>
          <w:rFonts w:hint="eastAsia" w:ascii="宋体" w:hAnsi="宋体" w:eastAsia="宋体" w:cs="宋体"/>
          <w:b/>
          <w:color w:val="auto"/>
          <w:sz w:val="36"/>
          <w:szCs w:val="36"/>
          <w:highlight w:val="none"/>
        </w:rPr>
        <w:sectPr>
          <w:pgSz w:w="11907" w:h="16840"/>
          <w:pgMar w:top="1440" w:right="1797" w:bottom="1440" w:left="1797" w:header="851" w:footer="851" w:gutter="0"/>
          <w:cols w:space="720" w:num="1"/>
          <w:docGrid w:linePitch="462" w:charSpace="0"/>
        </w:sectPr>
      </w:pPr>
    </w:p>
    <w:p>
      <w:pPr>
        <w:pStyle w:val="23"/>
        <w:spacing w:line="360" w:lineRule="auto"/>
        <w:jc w:val="center"/>
        <w:outlineLvl w:val="0"/>
        <w:rPr>
          <w:rFonts w:hint="eastAsia" w:ascii="宋体" w:hAnsi="宋体" w:eastAsia="宋体" w:cs="宋体"/>
          <w:b/>
          <w:color w:val="auto"/>
          <w:sz w:val="36"/>
          <w:szCs w:val="36"/>
          <w:highlight w:val="none"/>
        </w:rPr>
      </w:pPr>
      <w:bookmarkStart w:id="298" w:name="_Toc192872480"/>
      <w:r>
        <w:rPr>
          <w:rFonts w:hint="eastAsia" w:ascii="宋体" w:hAnsi="宋体" w:eastAsia="宋体" w:cs="宋体"/>
          <w:b/>
          <w:color w:val="auto"/>
          <w:sz w:val="36"/>
          <w:szCs w:val="36"/>
          <w:highlight w:val="none"/>
        </w:rPr>
        <w:t>第六章   拟签订的合同文本</w:t>
      </w:r>
      <w:bookmarkEnd w:id="298"/>
    </w:p>
    <w:p>
      <w:pPr>
        <w:pStyle w:val="2"/>
        <w:spacing w:after="0"/>
        <w:jc w:val="center"/>
        <w:rPr>
          <w:rFonts w:hint="eastAsia" w:ascii="宋体" w:hAnsi="宋体" w:eastAsia="宋体" w:cs="宋体"/>
          <w:b/>
          <w:bCs/>
          <w:color w:val="auto"/>
          <w:spacing w:val="-20"/>
          <w:kern w:val="44"/>
          <w:sz w:val="48"/>
          <w:szCs w:val="48"/>
          <w:highlight w:val="none"/>
        </w:rPr>
      </w:pPr>
      <w:bookmarkStart w:id="299" w:name="_Toc3995"/>
    </w:p>
    <w:p>
      <w:pPr>
        <w:pStyle w:val="2"/>
        <w:spacing w:after="0"/>
        <w:jc w:val="center"/>
        <w:rPr>
          <w:rFonts w:hint="eastAsia" w:ascii="宋体" w:hAnsi="宋体" w:eastAsia="宋体" w:cs="宋体"/>
          <w:b/>
          <w:bCs/>
          <w:color w:val="auto"/>
          <w:spacing w:val="-20"/>
          <w:kern w:val="44"/>
          <w:sz w:val="48"/>
          <w:szCs w:val="48"/>
          <w:highlight w:val="none"/>
        </w:rPr>
      </w:pPr>
    </w:p>
    <w:p>
      <w:pPr>
        <w:pStyle w:val="2"/>
        <w:spacing w:after="0"/>
        <w:jc w:val="center"/>
        <w:rPr>
          <w:rFonts w:hint="eastAsia" w:ascii="宋体" w:hAnsi="宋体" w:eastAsia="宋体" w:cs="宋体"/>
          <w:b/>
          <w:bCs/>
          <w:color w:val="auto"/>
          <w:spacing w:val="-20"/>
          <w:kern w:val="44"/>
          <w:sz w:val="48"/>
          <w:szCs w:val="48"/>
          <w:highlight w:val="none"/>
        </w:rPr>
      </w:pPr>
    </w:p>
    <w:p>
      <w:pPr>
        <w:pStyle w:val="2"/>
        <w:spacing w:after="0"/>
        <w:jc w:val="center"/>
        <w:rPr>
          <w:rFonts w:hint="eastAsia" w:ascii="宋体" w:hAnsi="宋体" w:eastAsia="宋体" w:cs="宋体"/>
          <w:b/>
          <w:bCs/>
          <w:color w:val="auto"/>
          <w:spacing w:val="-20"/>
          <w:kern w:val="44"/>
          <w:sz w:val="48"/>
          <w:szCs w:val="48"/>
          <w:highlight w:val="none"/>
        </w:rPr>
      </w:pPr>
    </w:p>
    <w:p>
      <w:pPr>
        <w:pStyle w:val="2"/>
        <w:spacing w:after="0"/>
        <w:jc w:val="center"/>
        <w:rPr>
          <w:rFonts w:hint="eastAsia" w:ascii="宋体" w:hAnsi="宋体" w:eastAsia="宋体" w:cs="宋体"/>
          <w:b/>
          <w:bCs/>
          <w:color w:val="auto"/>
          <w:spacing w:val="-20"/>
          <w:kern w:val="44"/>
          <w:sz w:val="48"/>
          <w:szCs w:val="48"/>
          <w:highlight w:val="none"/>
        </w:rPr>
      </w:pPr>
    </w:p>
    <w:p>
      <w:pPr>
        <w:pStyle w:val="2"/>
        <w:spacing w:after="0"/>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政府采购货物买卖合同</w:t>
      </w:r>
    </w:p>
    <w:p>
      <w:pPr>
        <w:pStyle w:val="2"/>
        <w:spacing w:after="0"/>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（试行）</w:t>
      </w:r>
    </w:p>
    <w:p>
      <w:pPr>
        <w:rPr>
          <w:rFonts w:hint="eastAsia" w:ascii="宋体" w:hAnsi="宋体" w:eastAsia="宋体" w:cs="宋体"/>
          <w:b/>
          <w:bCs/>
          <w:color w:val="auto"/>
          <w:spacing w:val="-20"/>
          <w:kern w:val="44"/>
          <w:sz w:val="40"/>
          <w:szCs w:val="40"/>
          <w:highlight w:val="none"/>
        </w:rPr>
      </w:pPr>
    </w:p>
    <w:p>
      <w:pPr>
        <w:rPr>
          <w:rFonts w:hint="eastAsia" w:ascii="宋体" w:hAnsi="宋体" w:eastAsia="宋体" w:cs="宋体"/>
          <w:b/>
          <w:bCs/>
          <w:color w:val="auto"/>
          <w:spacing w:val="-20"/>
          <w:kern w:val="44"/>
          <w:sz w:val="40"/>
          <w:szCs w:val="40"/>
          <w:highlight w:val="none"/>
        </w:rPr>
      </w:pPr>
    </w:p>
    <w:p>
      <w:pPr>
        <w:rPr>
          <w:rFonts w:hint="eastAsia" w:ascii="宋体" w:hAnsi="宋体" w:eastAsia="宋体" w:cs="宋体"/>
          <w:b/>
          <w:bCs/>
          <w:color w:val="auto"/>
          <w:spacing w:val="-20"/>
          <w:kern w:val="44"/>
          <w:sz w:val="40"/>
          <w:szCs w:val="40"/>
          <w:highlight w:val="none"/>
        </w:rPr>
      </w:pPr>
    </w:p>
    <w:p>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p>
    <w:p>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p>
    <w:p>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pPr>
        <w:rPr>
          <w:rFonts w:hint="eastAsia" w:ascii="宋体" w:hAnsi="宋体" w:eastAsia="宋体" w:cs="宋体"/>
          <w:color w:val="auto"/>
          <w:highlight w:val="none"/>
        </w:rPr>
      </w:pPr>
    </w:p>
    <w:p>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pPr>
        <w:rPr>
          <w:rFonts w:hint="eastAsia" w:ascii="宋体" w:hAnsi="宋体" w:eastAsia="宋体" w:cs="宋体"/>
          <w:color w:val="auto"/>
          <w:sz w:val="44"/>
          <w:szCs w:val="44"/>
          <w:highlight w:val="none"/>
        </w:rPr>
      </w:pPr>
    </w:p>
    <w:p>
      <w:pPr>
        <w:rPr>
          <w:rFonts w:hint="eastAsia" w:ascii="宋体" w:hAnsi="宋体" w:eastAsia="宋体" w:cs="宋体"/>
          <w:color w:val="auto"/>
          <w:sz w:val="44"/>
          <w:szCs w:val="44"/>
          <w:highlight w:val="none"/>
        </w:rPr>
      </w:pPr>
    </w:p>
    <w:p>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使 用 说 明</w:t>
      </w:r>
    </w:p>
    <w:p>
      <w:pPr>
        <w:ind w:firstLine="640" w:firstLineChars="200"/>
        <w:rPr>
          <w:rFonts w:hint="eastAsia" w:ascii="宋体" w:hAnsi="宋体" w:eastAsia="宋体" w:cs="宋体"/>
          <w:color w:val="auto"/>
          <w:sz w:val="32"/>
          <w:szCs w:val="32"/>
          <w:highlight w:val="none"/>
        </w:rPr>
      </w:pPr>
    </w:p>
    <w:p>
      <w:pPr>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1.本合同标准文本适用于购买现成货物的采购项目，不包括需要供应商定制开发、创新研发的货物采购项目。</w:t>
      </w:r>
    </w:p>
    <w:p>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 xml:space="preserve">   </w:t>
      </w:r>
      <w:r>
        <w:rPr>
          <w:rFonts w:hint="eastAsia" w:ascii="宋体" w:hAnsi="宋体" w:eastAsia="宋体" w:cs="宋体"/>
          <w:color w:val="auto"/>
          <w:sz w:val="32"/>
          <w:szCs w:val="32"/>
          <w:highlight w:val="none"/>
        </w:rPr>
        <w:t>2.本合同标准文本为政府采购货物买卖合同编制提供参考，可以结合采购项目具体情况，对文本作必要的调整修订后使用。</w:t>
      </w:r>
    </w:p>
    <w:p>
      <w:pPr>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3.本合同标准文本各条款中，如涉及填写多家供应商、制造商，多种采购标的、分包主要内容等信息的，可根据采购项目具体情况添加信息项。</w:t>
      </w:r>
    </w:p>
    <w:p>
      <w:pPr>
        <w:ind w:firstLine="880" w:firstLineChars="200"/>
        <w:rPr>
          <w:rFonts w:hint="eastAsia" w:ascii="宋体" w:hAnsi="宋体" w:eastAsia="宋体" w:cs="宋体"/>
          <w:color w:val="auto"/>
          <w:sz w:val="44"/>
          <w:szCs w:val="44"/>
          <w:highlight w:val="none"/>
        </w:rPr>
        <w:sectPr>
          <w:pgSz w:w="11906" w:h="16838"/>
          <w:pgMar w:top="1440" w:right="1800" w:bottom="1440" w:left="1800" w:header="851" w:footer="992" w:gutter="0"/>
          <w:cols w:space="425" w:num="1"/>
          <w:docGrid w:type="lines" w:linePitch="312" w:charSpace="0"/>
        </w:sectPr>
      </w:pPr>
    </w:p>
    <w:bookmarkEnd w:id="299"/>
    <w:p>
      <w:pPr>
        <w:rPr>
          <w:rFonts w:hint="eastAsia" w:ascii="宋体" w:hAnsi="宋体" w:eastAsia="宋体" w:cs="宋体"/>
          <w:color w:val="auto"/>
          <w:sz w:val="28"/>
          <w:szCs w:val="28"/>
          <w:highlight w:val="none"/>
        </w:rPr>
      </w:pPr>
      <w:bookmarkStart w:id="300" w:name="_Toc22209"/>
    </w:p>
    <w:p>
      <w:pPr>
        <w:pStyle w:val="4"/>
        <w:snapToGrid w:val="0"/>
        <w:spacing w:line="400" w:lineRule="exact"/>
        <w:rPr>
          <w:rFonts w:hint="eastAsia" w:ascii="宋体" w:hAnsi="宋体" w:eastAsia="宋体" w:cs="宋体"/>
          <w:b w:val="0"/>
          <w:bCs/>
          <w:color w:val="auto"/>
          <w:sz w:val="28"/>
          <w:szCs w:val="28"/>
          <w:highlight w:val="none"/>
        </w:rPr>
      </w:pPr>
      <w:r>
        <w:rPr>
          <w:rFonts w:hint="eastAsia" w:ascii="宋体" w:hAnsi="宋体" w:eastAsia="宋体" w:cs="宋体"/>
          <w:b w:val="0"/>
          <w:color w:val="auto"/>
          <w:sz w:val="28"/>
          <w:szCs w:val="28"/>
          <w:highlight w:val="none"/>
        </w:rPr>
        <w:t>第一节 政府采购合同协议书</w:t>
      </w:r>
      <w:bookmarkEnd w:id="300"/>
    </w:p>
    <w:p>
      <w:pPr>
        <w:rPr>
          <w:rFonts w:hint="eastAsia" w:ascii="宋体" w:hAnsi="宋体" w:eastAsia="宋体" w:cs="宋体"/>
          <w:b/>
          <w:bCs/>
          <w:color w:val="auto"/>
          <w:sz w:val="28"/>
          <w:szCs w:val="28"/>
          <w:highlight w:val="none"/>
        </w:rPr>
      </w:pPr>
    </w:p>
    <w:p>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（采购人、受采购人委托签订合同的单位或采购</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文件约定的合同甲方）</w:t>
      </w:r>
    </w:p>
    <w:p>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乙方1（全称）：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pPr>
        <w:spacing w:line="400" w:lineRule="exact"/>
        <w:rPr>
          <w:rFonts w:hint="eastAsia" w:ascii="宋体" w:hAnsi="宋体" w:eastAsia="宋体" w:cs="宋体"/>
          <w:color w:val="auto"/>
          <w:highlight w:val="none"/>
        </w:rPr>
      </w:pPr>
    </w:p>
    <w:p>
      <w:pPr>
        <w:pStyle w:val="18"/>
        <w:adjustRightInd w:val="0"/>
        <w:snapToGrid w:val="0"/>
        <w:spacing w:after="0" w:line="400" w:lineRule="exact"/>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numPr>
          <w:ilvl w:val="0"/>
          <w:numId w:val="20"/>
        </w:numPr>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项目信息</w:t>
      </w:r>
    </w:p>
    <w:p>
      <w:pPr>
        <w:pStyle w:val="18"/>
        <w:numPr>
          <w:ilvl w:val="0"/>
          <w:numId w:val="21"/>
        </w:numPr>
        <w:adjustRightInd w:val="0"/>
        <w:snapToGrid w:val="0"/>
        <w:spacing w:after="0" w:line="400" w:lineRule="exact"/>
        <w:ind w:firstLine="48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采购项目名称：</w:t>
      </w:r>
      <w:r>
        <w:rPr>
          <w:rFonts w:hint="eastAsia" w:ascii="宋体" w:hAnsi="宋体" w:eastAsia="宋体" w:cs="宋体"/>
          <w:color w:val="auto"/>
          <w:szCs w:val="21"/>
          <w:highlight w:val="none"/>
          <w:u w:val="single"/>
        </w:rPr>
        <w:t xml:space="preserve">                                          </w:t>
      </w:r>
    </w:p>
    <w:p>
      <w:pPr>
        <w:pStyle w:val="18"/>
        <w:numPr>
          <w:ilvl w:val="255"/>
          <w:numId w:val="0"/>
        </w:numPr>
        <w:tabs>
          <w:tab w:val="left" w:pos="999"/>
        </w:tabs>
        <w:adjustRightInd w:val="0"/>
        <w:snapToGrid w:val="0"/>
        <w:spacing w:after="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采购项目编号：</w:t>
      </w:r>
      <w:r>
        <w:rPr>
          <w:rFonts w:hint="eastAsia" w:ascii="宋体" w:hAnsi="宋体" w:eastAsia="宋体" w:cs="宋体"/>
          <w:color w:val="auto"/>
          <w:szCs w:val="21"/>
          <w:highlight w:val="none"/>
          <w:u w:val="single"/>
        </w:rPr>
        <w:t xml:space="preserve">                                          </w:t>
      </w:r>
    </w:p>
    <w:p>
      <w:pPr>
        <w:pStyle w:val="18"/>
        <w:adjustRightInd w:val="0"/>
        <w:snapToGrid w:val="0"/>
        <w:spacing w:after="0" w:line="400" w:lineRule="exact"/>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（2）采购计划编号：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pPr>
        <w:adjustRightInd w:val="0"/>
        <w:snapToGrid w:val="0"/>
        <w:spacing w:line="400" w:lineRule="exact"/>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采购标的的技术要求、商务要求具体见附件。</w:t>
      </w:r>
    </w:p>
    <w:p>
      <w:pPr>
        <w:pStyle w:val="363"/>
        <w:numPr>
          <w:ilvl w:val="255"/>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4</w:t>
      </w:r>
      <w:r>
        <w:rPr>
          <w:rFonts w:hint="eastAsia" w:ascii="宋体" w:hAnsi="宋体" w:eastAsia="宋体" w:cs="宋体"/>
          <w:color w:val="auto"/>
          <w:sz w:val="24"/>
          <w:szCs w:val="24"/>
          <w:highlight w:val="none"/>
        </w:rPr>
        <w:t>）政府采购组织形式：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iCs/>
          <w:color w:val="auto"/>
          <w:sz w:val="24"/>
          <w:szCs w:val="24"/>
          <w:highlight w:val="none"/>
        </w:rPr>
        <w:t>■</w:t>
      </w:r>
      <w:r>
        <w:rPr>
          <w:rFonts w:hint="eastAsia" w:ascii="宋体" w:hAnsi="宋体" w:eastAsia="宋体" w:cs="宋体"/>
          <w:color w:val="auto"/>
          <w:sz w:val="24"/>
          <w:szCs w:val="24"/>
          <w:highlight w:val="none"/>
        </w:rPr>
        <w:t>分散采购</w:t>
      </w:r>
    </w:p>
    <w:p>
      <w:pPr>
        <w:pStyle w:val="363"/>
        <w:numPr>
          <w:ilvl w:val="255"/>
          <w:numId w:val="0"/>
        </w:numPr>
        <w:snapToGri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5</w:t>
      </w:r>
      <w:r>
        <w:rPr>
          <w:rFonts w:hint="eastAsia" w:ascii="宋体" w:hAnsi="宋体" w:eastAsia="宋体" w:cs="宋体"/>
          <w:color w:val="auto"/>
          <w:sz w:val="24"/>
          <w:szCs w:val="24"/>
          <w:highlight w:val="none"/>
        </w:rPr>
        <w:t>）政府采购方式：</w:t>
      </w:r>
      <w:r>
        <w:rPr>
          <w:rFonts w:hint="eastAsia" w:ascii="宋体" w:hAnsi="宋体" w:eastAsia="宋体" w:cs="宋体"/>
          <w:iCs/>
          <w:color w:val="auto"/>
          <w:sz w:val="24"/>
          <w:szCs w:val="24"/>
          <w:highlight w:val="none"/>
        </w:rPr>
        <w:t>■</w:t>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pPr>
        <w:pStyle w:val="363"/>
        <w:numPr>
          <w:ilvl w:val="255"/>
          <w:numId w:val="0"/>
        </w:numPr>
        <w:snapToGrid w:val="0"/>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pPr>
        <w:pStyle w:val="363"/>
        <w:numPr>
          <w:ilvl w:val="255"/>
          <w:numId w:val="0"/>
        </w:numPr>
        <w:snapToGrid w:val="0"/>
        <w:ind w:firstLine="42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6</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rPr>
        <w:t>中标（成交）采购标的制造商是否为中小企业：</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 xml:space="preserve">是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否</w:t>
      </w:r>
    </w:p>
    <w:p>
      <w:pPr>
        <w:numPr>
          <w:ilvl w:val="255"/>
          <w:numId w:val="0"/>
        </w:numPr>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本合同是否为专门面向中小企业的采购合同（中小企业预留合同）：</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是    ■否</w:t>
      </w:r>
    </w:p>
    <w:p>
      <w:pPr>
        <w:numPr>
          <w:ilvl w:val="255"/>
          <w:numId w:val="0"/>
        </w:numPr>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若本项目不专门面向中小企业采购，是否给予小微企业评审优惠：</w:t>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pPr>
        <w:numPr>
          <w:ilvl w:val="255"/>
          <w:numId w:val="0"/>
        </w:numPr>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pPr>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是       ■否</w:t>
      </w:r>
    </w:p>
    <w:p>
      <w:pPr>
        <w:numPr>
          <w:ilvl w:val="255"/>
          <w:numId w:val="0"/>
        </w:numPr>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8</w:t>
      </w:r>
      <w:r>
        <w:rPr>
          <w:rFonts w:hint="eastAsia" w:ascii="宋体" w:hAnsi="宋体" w:eastAsia="宋体" w:cs="宋体"/>
          <w:color w:val="auto"/>
          <w:sz w:val="24"/>
          <w:szCs w:val="24"/>
          <w:highlight w:val="none"/>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pPr>
        <w:pStyle w:val="363"/>
        <w:tabs>
          <w:tab w:val="left" w:pos="1340"/>
        </w:tabs>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pPr>
        <w:numPr>
          <w:ilvl w:val="255"/>
          <w:numId w:val="0"/>
        </w:num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9</w:t>
      </w:r>
      <w:r>
        <w:rPr>
          <w:rFonts w:hint="eastAsia" w:ascii="宋体" w:hAnsi="宋体" w:eastAsia="宋体" w:cs="宋体"/>
          <w:color w:val="auto"/>
          <w:sz w:val="24"/>
          <w:szCs w:val="24"/>
          <w:highlight w:val="none"/>
        </w:rPr>
        <w:t>）是否涉及进口产品：</w:t>
      </w:r>
    </w:p>
    <w:p>
      <w:pPr>
        <w:numPr>
          <w:ilvl w:val="255"/>
          <w:numId w:val="0"/>
        </w:numPr>
        <w:adjustRightInd w:val="0"/>
        <w:snapToGrid w:val="0"/>
        <w:spacing w:line="400" w:lineRule="exact"/>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是，《政府采购品目分类目录》底级品目名称：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金额：</w:t>
      </w:r>
      <w:r>
        <w:rPr>
          <w:rFonts w:hint="eastAsia" w:ascii="宋体" w:hAnsi="宋体" w:eastAsia="宋体" w:cs="宋体"/>
          <w:color w:val="auto"/>
          <w:sz w:val="24"/>
          <w:szCs w:val="24"/>
          <w:highlight w:val="none"/>
          <w:u w:val="single"/>
        </w:rPr>
        <w:t xml:space="preserve">        </w:t>
      </w:r>
    </w:p>
    <w:p>
      <w:pPr>
        <w:numPr>
          <w:ilvl w:val="255"/>
          <w:numId w:val="0"/>
        </w:numPr>
        <w:adjustRightInd w:val="0"/>
        <w:snapToGrid w:val="0"/>
        <w:spacing w:line="40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国别：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djustRightInd w:val="0"/>
        <w:snapToGrid w:val="0"/>
        <w:spacing w:line="40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■否</w:t>
      </w:r>
    </w:p>
    <w:p>
      <w:pPr>
        <w:numPr>
          <w:ilvl w:val="255"/>
          <w:numId w:val="0"/>
        </w:numPr>
        <w:tabs>
          <w:tab w:val="left" w:pos="740"/>
        </w:tabs>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
        </w:rPr>
        <w:t>0</w:t>
      </w:r>
      <w:r>
        <w:rPr>
          <w:rFonts w:hint="eastAsia" w:ascii="宋体" w:hAnsi="宋体" w:eastAsia="宋体" w:cs="宋体"/>
          <w:color w:val="auto"/>
          <w:sz w:val="24"/>
          <w:szCs w:val="24"/>
          <w:highlight w:val="none"/>
        </w:rPr>
        <w:t>）是否涉及节能产品：</w:t>
      </w:r>
    </w:p>
    <w:p>
      <w:pPr>
        <w:numPr>
          <w:ilvl w:val="255"/>
          <w:numId w:val="0"/>
        </w:numPr>
        <w:tabs>
          <w:tab w:val="left" w:pos="740"/>
        </w:tabs>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是，《节能产品政府采购品目清单》的底级品目名称：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iCs/>
          <w:color w:val="auto"/>
          <w:sz w:val="24"/>
          <w:szCs w:val="24"/>
          <w:highlight w:val="none"/>
        </w:rPr>
        <w:t xml:space="preserve">     </w:t>
      </w:r>
    </w:p>
    <w:p>
      <w:pPr>
        <w:numPr>
          <w:ilvl w:val="255"/>
          <w:numId w:val="0"/>
        </w:numPr>
        <w:tabs>
          <w:tab w:val="left" w:pos="740"/>
        </w:tabs>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pPr>
        <w:numPr>
          <w:ilvl w:val="255"/>
          <w:numId w:val="0"/>
        </w:numPr>
        <w:tabs>
          <w:tab w:val="left" w:pos="740"/>
        </w:tabs>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color w:val="auto"/>
          <w:sz w:val="24"/>
          <w:szCs w:val="24"/>
          <w:highlight w:val="none"/>
        </w:rPr>
        <w:t>■否</w:t>
      </w:r>
    </w:p>
    <w:p>
      <w:pPr>
        <w:numPr>
          <w:ilvl w:val="255"/>
          <w:numId w:val="0"/>
        </w:numPr>
        <w:tabs>
          <w:tab w:val="left" w:pos="740"/>
        </w:tabs>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是否涉及环境标志产品：</w:t>
      </w:r>
    </w:p>
    <w:p>
      <w:pPr>
        <w:numPr>
          <w:ilvl w:val="255"/>
          <w:numId w:val="0"/>
        </w:numPr>
        <w:tabs>
          <w:tab w:val="left" w:pos="740"/>
        </w:tabs>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是，《环境标志产品政府采购品目清单》的底级品目名称：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iCs/>
          <w:color w:val="auto"/>
          <w:sz w:val="24"/>
          <w:szCs w:val="24"/>
          <w:highlight w:val="none"/>
        </w:rPr>
        <w:t xml:space="preserve"> </w:t>
      </w:r>
    </w:p>
    <w:p>
      <w:pPr>
        <w:numPr>
          <w:ilvl w:val="255"/>
          <w:numId w:val="0"/>
        </w:numPr>
        <w:tabs>
          <w:tab w:val="left" w:pos="740"/>
        </w:tabs>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pPr>
        <w:numPr>
          <w:ilvl w:val="255"/>
          <w:numId w:val="0"/>
        </w:numPr>
        <w:tabs>
          <w:tab w:val="left" w:pos="740"/>
        </w:tabs>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color w:val="auto"/>
          <w:sz w:val="24"/>
          <w:szCs w:val="24"/>
          <w:highlight w:val="none"/>
        </w:rPr>
        <w:t>■否</w:t>
      </w:r>
    </w:p>
    <w:p>
      <w:pPr>
        <w:pStyle w:val="363"/>
        <w:numPr>
          <w:ilvl w:val="255"/>
          <w:numId w:val="0"/>
        </w:numPr>
        <w:snapToGrid w:val="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 xml:space="preserve">是否涉及绿色产品： </w:t>
      </w:r>
    </w:p>
    <w:p>
      <w:pPr>
        <w:pStyle w:val="363"/>
        <w:ind w:firstLine="42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是，绿色产品政府采购相关政策确定的底级品目名称：</w:t>
      </w:r>
      <w:r>
        <w:rPr>
          <w:rFonts w:hint="eastAsia" w:ascii="宋体" w:hAnsi="宋体" w:eastAsia="宋体" w:cs="宋体"/>
          <w:color w:val="auto"/>
          <w:sz w:val="24"/>
          <w:szCs w:val="24"/>
          <w:highlight w:val="none"/>
          <w:u w:val="single"/>
        </w:rPr>
        <w:t xml:space="preserve">         </w:t>
      </w:r>
    </w:p>
    <w:p>
      <w:pPr>
        <w:numPr>
          <w:ilvl w:val="255"/>
          <w:numId w:val="0"/>
        </w:numPr>
        <w:tabs>
          <w:tab w:val="left" w:pos="740"/>
        </w:tabs>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pPr>
        <w:pStyle w:val="363"/>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iCs/>
          <w:color w:val="auto"/>
          <w:sz w:val="24"/>
          <w:szCs w:val="24"/>
          <w:highlight w:val="none"/>
        </w:rPr>
        <w:t>■</w:t>
      </w:r>
      <w:r>
        <w:rPr>
          <w:rFonts w:hint="eastAsia" w:ascii="宋体" w:hAnsi="宋体" w:eastAsia="宋体" w:cs="宋体"/>
          <w:color w:val="auto"/>
          <w:kern w:val="2"/>
          <w:sz w:val="24"/>
          <w:szCs w:val="24"/>
          <w:highlight w:val="none"/>
        </w:rPr>
        <w:t>否</w:t>
      </w:r>
    </w:p>
    <w:p>
      <w:pPr>
        <w:numPr>
          <w:ilvl w:val="255"/>
          <w:numId w:val="0"/>
        </w:num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
        </w:rPr>
        <w:t>1</w:t>
      </w:r>
      <w:r>
        <w:rPr>
          <w:rFonts w:hint="eastAsia" w:ascii="宋体" w:hAnsi="宋体" w:eastAsia="宋体" w:cs="宋体"/>
          <w:color w:val="auto"/>
          <w:sz w:val="24"/>
          <w:szCs w:val="24"/>
          <w:highlight w:val="none"/>
        </w:rPr>
        <w:t>）涉及商品包装和快递包装的，是否参考《商品包装政府采购需求标准（试行）》、《快递包装政府采购需求标准（试行）》明确产品及相关快递服务的具体包装要求：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line="40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w:t>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否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不涉及</w:t>
      </w:r>
    </w:p>
    <w:p>
      <w:pPr>
        <w:numPr>
          <w:ilvl w:val="0"/>
          <w:numId w:val="20"/>
        </w:numPr>
        <w:adjustRightInd w:val="0"/>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pPr>
        <w:adjustRightInd w:val="0"/>
        <w:snapToGrid w:val="0"/>
        <w:spacing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pPr>
        <w:numPr>
          <w:ilvl w:val="255"/>
          <w:numId w:val="0"/>
        </w:num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w:t>
      </w:r>
    </w:p>
    <w:p>
      <w:pPr>
        <w:pStyle w:val="187"/>
        <w:spacing w:line="400" w:lineRule="exact"/>
        <w:ind w:firstLine="42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（3）付款方式（按项目实际勾选填写）：</w:t>
      </w:r>
    </w:p>
    <w:p>
      <w:pPr>
        <w:adjustRightInd w:val="0"/>
        <w:snapToGrid w:val="0"/>
        <w:spacing w:line="400" w:lineRule="exact"/>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（应明确一次性支付合同款项的条件）                    </w:t>
      </w:r>
    </w:p>
    <w:p>
      <w:pPr>
        <w:snapToGrid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w:t>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采购协议签署后采购人向投标人支付50%货款；投标人提供50%货款实物后，采购人再付25%货款；投标人提供100%货款实物，并验收合格提供发票后，采购人支付剩余尾款。 </w:t>
      </w:r>
    </w:p>
    <w:p>
      <w:pPr>
        <w:adjustRightInd w:val="0"/>
        <w:snapToGrid w:val="0"/>
        <w:spacing w:line="400" w:lineRule="exact"/>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pPr>
        <w:adjustRightInd w:val="0"/>
        <w:snapToGrid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pPr>
        <w:numPr>
          <w:ilvl w:val="0"/>
          <w:numId w:val="20"/>
        </w:numPr>
        <w:adjustRightInd w:val="0"/>
        <w:snapToGrid w:val="0"/>
        <w:spacing w:line="400" w:lineRule="exact"/>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iCs/>
          <w:color w:val="auto"/>
          <w:sz w:val="24"/>
          <w:szCs w:val="24"/>
          <w:highlight w:val="none"/>
        </w:rPr>
        <w:t>■</w:t>
      </w:r>
      <w:r>
        <w:rPr>
          <w:rFonts w:hint="eastAsia" w:ascii="宋体" w:hAnsi="宋体" w:eastAsia="宋体" w:cs="宋体"/>
          <w:color w:val="auto"/>
          <w:sz w:val="24"/>
          <w:szCs w:val="24"/>
          <w:highlight w:val="none"/>
        </w:rPr>
        <w:t>否</w:t>
      </w:r>
    </w:p>
    <w:p>
      <w:pPr>
        <w:adjustRightInd w:val="0"/>
        <w:snapToGri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w:t>
      </w:r>
    </w:p>
    <w:p>
      <w:pPr>
        <w:numPr>
          <w:ilvl w:val="0"/>
          <w:numId w:val="20"/>
        </w:numPr>
        <w:adjustRightInd w:val="0"/>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pPr>
        <w:numPr>
          <w:ilvl w:val="0"/>
          <w:numId w:val="22"/>
        </w:numPr>
        <w:adjustRightInd w:val="0"/>
        <w:snapToGri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pPr>
        <w:adjustRightInd w:val="0"/>
        <w:snapToGrid w:val="0"/>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w:t>
      </w:r>
    </w:p>
    <w:p>
      <w:pPr>
        <w:adjustRightInd w:val="0"/>
        <w:snapToGrid w:val="0"/>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pPr>
        <w:adjustRightInd w:val="0"/>
        <w:snapToGrid w:val="0"/>
        <w:spacing w:line="40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（计划于何时验收/供应商提出验收申请之日起   日内组织验收） </w:t>
      </w:r>
    </w:p>
    <w:p>
      <w:pPr>
        <w:adjustRightInd w:val="0"/>
        <w:snapToGri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pPr>
        <w:adjustRightInd w:val="0"/>
        <w:snapToGrid w:val="0"/>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（应明确分期</w:t>
      </w:r>
      <w:r>
        <w:rPr>
          <w:rFonts w:hint="eastAsia" w:ascii="宋体" w:hAnsi="宋体" w:eastAsia="宋体" w:cs="宋体"/>
          <w:bCs/>
          <w:color w:val="auto"/>
          <w:sz w:val="24"/>
          <w:szCs w:val="24"/>
          <w:highlight w:val="none"/>
          <w:u w:val="single"/>
          <w:lang w:val="en"/>
        </w:rPr>
        <w:t>/分项验收的工作安排</w:t>
      </w:r>
      <w:r>
        <w:rPr>
          <w:rFonts w:hint="eastAsia" w:ascii="宋体" w:hAnsi="宋体" w:eastAsia="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pPr>
        <w:adjustRightInd w:val="0"/>
        <w:snapToGrid w:val="0"/>
        <w:spacing w:line="4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pPr>
        <w:pStyle w:val="363"/>
        <w:ind w:firstLine="42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（产权过户登记等）          </w:t>
      </w:r>
    </w:p>
    <w:p>
      <w:pPr>
        <w:numPr>
          <w:ilvl w:val="0"/>
          <w:numId w:val="20"/>
        </w:numPr>
        <w:adjustRightInd w:val="0"/>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pPr>
        <w:pStyle w:val="363"/>
        <w:ind w:firstLine="42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pPr>
        <w:numPr>
          <w:ilvl w:val="0"/>
          <w:numId w:val="20"/>
        </w:numPr>
        <w:adjustRightInd w:val="0"/>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pPr>
        <w:numPr>
          <w:ilvl w:val="0"/>
          <w:numId w:val="20"/>
        </w:numPr>
        <w:adjustRightInd w:val="0"/>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附件：具体标的及其技术要求和商务要求、联合协议、分包意向协议等。</w:t>
      </w:r>
    </w:p>
    <w:p>
      <w:pPr>
        <w:pStyle w:val="187"/>
        <w:spacing w:line="400" w:lineRule="exact"/>
        <w:rPr>
          <w:rFonts w:hint="eastAsia" w:ascii="宋体" w:hAnsi="宋体" w:eastAsia="宋体" w:cs="宋体"/>
          <w:color w:val="auto"/>
          <w:sz w:val="32"/>
          <w:szCs w:val="32"/>
          <w:highlight w:val="none"/>
        </w:rPr>
      </w:pPr>
    </w:p>
    <w:p>
      <w:pPr>
        <w:rPr>
          <w:rFonts w:hint="eastAsia" w:ascii="宋体" w:hAnsi="宋体" w:eastAsia="宋体" w:cs="宋体"/>
          <w:b/>
          <w:bCs/>
          <w:color w:val="auto"/>
          <w:sz w:val="22"/>
          <w:szCs w:val="22"/>
          <w:highlight w:val="none"/>
        </w:rPr>
      </w:pPr>
      <w:r>
        <w:rPr>
          <w:rFonts w:hint="eastAsia" w:ascii="宋体" w:hAnsi="宋体" w:eastAsia="宋体" w:cs="宋体"/>
          <w:color w:val="auto"/>
          <w:sz w:val="22"/>
          <w:szCs w:val="28"/>
          <w:highlight w:val="none"/>
          <w:lang w:val="en"/>
        </w:rPr>
        <w:t xml:space="preserve">   </w:t>
      </w:r>
    </w:p>
    <w:p>
      <w:pP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br w:type="page"/>
      </w:r>
    </w:p>
    <w:tbl>
      <w:tblPr>
        <w:tblStyle w:val="47"/>
        <w:tblW w:w="8182"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42"/>
        <w:gridCol w:w="2350"/>
        <w:gridCol w:w="1928"/>
        <w:gridCol w:w="2062"/>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90" w:hRule="atLeast"/>
        </w:trPr>
        <w:tc>
          <w:tcPr>
            <w:tcW w:w="4192" w:type="dxa"/>
            <w:gridSpan w:val="2"/>
            <w:tcBorders>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甲方（采购人、受采购人委托签订合同的单位或采购文件约定的合同甲方）</w:t>
            </w:r>
          </w:p>
        </w:tc>
        <w:tc>
          <w:tcPr>
            <w:tcW w:w="3990" w:type="dxa"/>
            <w:gridSpan w:val="2"/>
            <w:tcBorders>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917"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单位名称（公章或合同章）</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单位名称（公章或合同章）</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171" w:hRule="atLeast"/>
        </w:trPr>
        <w:tc>
          <w:tcPr>
            <w:tcW w:w="1842" w:type="dxa"/>
            <w:vMerge w:val="restart"/>
            <w:tcBorders>
              <w:top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p>
          <w:p>
            <w:pPr>
              <w:adjustRightInd w:val="0"/>
              <w:snapToGrid w:val="0"/>
              <w:spacing w:line="300" w:lineRule="exact"/>
              <w:ind w:firstLine="105" w:firstLineChars="48"/>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或其委托代理人（签章）</w:t>
            </w:r>
          </w:p>
        </w:tc>
        <w:tc>
          <w:tcPr>
            <w:tcW w:w="2350"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p>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或其委托代理人（签章）</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vMerge w:val="continue"/>
            <w:tcBorders>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2350"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拥有者性别</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住  所</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住  所</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 系 人</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 系 人</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通信地址</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通信地址</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邮政编码</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邮政编码</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电子邮箱</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电子邮箱</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统一社会信用代码</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统一社会信用代码</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开户名称</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银行账号</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86" w:hRule="atLeast"/>
        </w:trPr>
        <w:tc>
          <w:tcPr>
            <w:tcW w:w="8182" w:type="dxa"/>
            <w:gridSpan w:val="4"/>
            <w:tcBorders>
              <w:top w:val="single" w:color="auto" w:sz="2" w:space="0"/>
            </w:tcBorders>
            <w:vAlign w:val="center"/>
          </w:tcPr>
          <w:p>
            <w:pPr>
              <w:pStyle w:val="18"/>
              <w:adjustRightInd w:val="0"/>
              <w:snapToGrid w:val="0"/>
              <w:spacing w:before="120" w:beforeLines="50" w:after="0"/>
              <w:jc w:val="left"/>
              <w:rPr>
                <w:rFonts w:hint="eastAsia" w:ascii="宋体" w:hAnsi="宋体" w:eastAsia="宋体" w:cs="宋体"/>
                <w:color w:val="auto"/>
                <w:spacing w:val="20"/>
                <w:sz w:val="28"/>
                <w:szCs w:val="22"/>
                <w:highlight w:val="none"/>
              </w:rPr>
            </w:pPr>
            <w:r>
              <w:rPr>
                <w:rFonts w:hint="eastAsia" w:ascii="宋体" w:hAnsi="宋体" w:eastAsia="宋体" w:cs="宋体"/>
                <w:color w:val="auto"/>
                <w:sz w:val="28"/>
                <w:szCs w:val="22"/>
                <w:highlight w:val="none"/>
              </w:rPr>
              <w:t>注：涉及联合体或其他合同主体的信息应按上表格式加列。</w:t>
            </w:r>
          </w:p>
        </w:tc>
      </w:tr>
    </w:tbl>
    <w:p>
      <w:pPr>
        <w:pStyle w:val="4"/>
        <w:snapToGrid w:val="0"/>
        <w:spacing w:beforeLines="50"/>
        <w:rPr>
          <w:rFonts w:hint="eastAsia" w:ascii="宋体" w:hAnsi="宋体" w:eastAsia="宋体" w:cs="宋体"/>
          <w:color w:val="auto"/>
          <w:sz w:val="32"/>
          <w:szCs w:val="32"/>
          <w:highlight w:val="none"/>
        </w:rPr>
      </w:pPr>
      <w:r>
        <w:rPr>
          <w:rFonts w:hint="eastAsia" w:ascii="宋体" w:hAnsi="宋体" w:eastAsia="宋体" w:cs="宋体"/>
          <w:color w:val="auto"/>
          <w:sz w:val="22"/>
          <w:szCs w:val="22"/>
          <w:highlight w:val="none"/>
          <w:u w:val="single"/>
        </w:rPr>
        <w:br w:type="page"/>
      </w:r>
      <w:bookmarkStart w:id="301" w:name="_Toc27624"/>
      <w:r>
        <w:rPr>
          <w:rFonts w:hint="eastAsia" w:ascii="宋体" w:hAnsi="宋体" w:eastAsia="宋体" w:cs="宋体"/>
          <w:b w:val="0"/>
          <w:color w:val="auto"/>
          <w:sz w:val="32"/>
          <w:szCs w:val="32"/>
          <w:highlight w:val="none"/>
        </w:rPr>
        <w:t>第二节 政府采购合同通用条款</w:t>
      </w:r>
      <w:bookmarkEnd w:id="301"/>
    </w:p>
    <w:p>
      <w:pPr>
        <w:tabs>
          <w:tab w:val="left" w:pos="8820"/>
          <w:tab w:val="left" w:pos="9345"/>
          <w:tab w:val="left" w:pos="9765"/>
        </w:tabs>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 xml:space="preserve">1. </w:t>
      </w:r>
      <w:r>
        <w:rPr>
          <w:rFonts w:hint="eastAsia" w:ascii="宋体" w:hAnsi="宋体" w:eastAsia="宋体" w:cs="宋体"/>
          <w:b/>
          <w:bCs/>
          <w:color w:val="auto"/>
          <w:sz w:val="28"/>
          <w:szCs w:val="28"/>
          <w:highlight w:val="none"/>
        </w:rPr>
        <w:t>定义</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1.1合同当事人</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（1）采购人（以下称甲方）是指使用财政性资金，通过政府采购方式向供应商购买货物及其相关服务的国家机关、事业单位、团体组织。</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（3）其他合同主体是指除采购人和供应商以外，</w:t>
      </w:r>
      <w:r>
        <w:rPr>
          <w:rFonts w:hint="eastAsia" w:ascii="宋体" w:hAnsi="宋体" w:eastAsia="宋体" w:cs="宋体"/>
          <w:bCs/>
          <w:color w:val="auto"/>
          <w:sz w:val="22"/>
          <w:szCs w:val="22"/>
          <w:highlight w:val="none"/>
        </w:rPr>
        <w:t>依法参与合同缔结或履行，享有权利、承担义务的合同当事人</w:t>
      </w:r>
      <w:r>
        <w:rPr>
          <w:rFonts w:hint="eastAsia" w:ascii="宋体" w:hAnsi="宋体" w:eastAsia="宋体" w:cs="宋体"/>
          <w:color w:val="auto"/>
          <w:sz w:val="22"/>
          <w:szCs w:val="22"/>
          <w:highlight w:val="none"/>
        </w:rPr>
        <w:t>。</w:t>
      </w:r>
    </w:p>
    <w:p>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1.2本合同下列术语应解释为：</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（1）“合同”系指</w:t>
      </w:r>
      <w:r>
        <w:rPr>
          <w:rFonts w:hint="eastAsia" w:ascii="宋体" w:hAnsi="宋体" w:eastAsia="宋体" w:cs="宋体"/>
          <w:bCs/>
          <w:color w:val="auto"/>
          <w:sz w:val="22"/>
          <w:szCs w:val="22"/>
          <w:highlight w:val="none"/>
        </w:rPr>
        <w:t>合同当事人意思表示达成一致的任何协议，包括签署的</w:t>
      </w:r>
      <w:r>
        <w:rPr>
          <w:rFonts w:hint="eastAsia" w:ascii="宋体" w:hAnsi="宋体" w:eastAsia="宋体" w:cs="宋体"/>
          <w:color w:val="auto"/>
          <w:sz w:val="22"/>
          <w:szCs w:val="22"/>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2"/>
          <w:szCs w:val="22"/>
          <w:highlight w:val="none"/>
          <w:lang w:val="en"/>
        </w:rPr>
        <w:t>其他</w:t>
      </w:r>
      <w:r>
        <w:rPr>
          <w:rFonts w:hint="eastAsia" w:ascii="宋体" w:hAnsi="宋体" w:eastAsia="宋体" w:cs="宋体"/>
          <w:color w:val="auto"/>
          <w:sz w:val="22"/>
          <w:szCs w:val="22"/>
          <w:highlight w:val="none"/>
        </w:rPr>
        <w:t>技术资料和材料等。</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（4）“相关服务”系指根据合同规定，乙方应提供的与货物有关的技术、管理和</w:t>
      </w:r>
      <w:r>
        <w:rPr>
          <w:rFonts w:hint="eastAsia" w:ascii="宋体" w:hAnsi="宋体" w:eastAsia="宋体" w:cs="宋体"/>
          <w:color w:val="auto"/>
          <w:sz w:val="22"/>
          <w:szCs w:val="22"/>
          <w:highlight w:val="none"/>
          <w:lang w:val="en"/>
        </w:rPr>
        <w:t>其他</w:t>
      </w:r>
      <w:r>
        <w:rPr>
          <w:rFonts w:hint="eastAsia" w:ascii="宋体" w:hAnsi="宋体" w:eastAsia="宋体" w:cs="宋体"/>
          <w:color w:val="auto"/>
          <w:sz w:val="22"/>
          <w:szCs w:val="22"/>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color w:val="auto"/>
          <w:sz w:val="22"/>
          <w:szCs w:val="22"/>
          <w:highlight w:val="none"/>
          <w:lang w:val="en"/>
        </w:rPr>
        <w:t>其他</w:t>
      </w:r>
      <w:r>
        <w:rPr>
          <w:rFonts w:hint="eastAsia" w:ascii="宋体" w:hAnsi="宋体" w:eastAsia="宋体" w:cs="宋体"/>
          <w:color w:val="auto"/>
          <w:sz w:val="22"/>
          <w:szCs w:val="22"/>
          <w:highlight w:val="none"/>
        </w:rPr>
        <w:t>义务。</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w:t>
      </w:r>
    </w:p>
    <w:p>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（7）其他术语解释，见【</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w:t>
      </w:r>
    </w:p>
    <w:p>
      <w:pPr>
        <w:numPr>
          <w:ilvl w:val="0"/>
          <w:numId w:val="23"/>
        </w:num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合同标的及金额</w:t>
      </w:r>
    </w:p>
    <w:p>
      <w:pPr>
        <w:autoSpaceDE w:val="0"/>
        <w:autoSpaceDN w:val="0"/>
        <w:adjustRightInd w:val="0"/>
        <w:snapToGrid w:val="0"/>
        <w:spacing w:line="400" w:lineRule="exact"/>
        <w:ind w:firstLine="440" w:firstLineChars="200"/>
        <w:jc w:val="left"/>
        <w:rPr>
          <w:rFonts w:hint="eastAsia" w:ascii="宋体" w:hAnsi="宋体" w:eastAsia="宋体" w:cs="宋体"/>
          <w:b/>
          <w:bCs/>
          <w:i/>
          <w:iCs/>
          <w:color w:val="auto"/>
          <w:sz w:val="22"/>
          <w:szCs w:val="22"/>
          <w:highlight w:val="none"/>
        </w:rPr>
      </w:pPr>
      <w:r>
        <w:rPr>
          <w:rFonts w:hint="eastAsia" w:ascii="宋体" w:hAnsi="宋体" w:eastAsia="宋体" w:cs="宋体"/>
          <w:color w:val="auto"/>
          <w:sz w:val="22"/>
          <w:szCs w:val="22"/>
          <w:highlight w:val="none"/>
        </w:rPr>
        <w:t>2.1 合同标的及金额应与中标（成交）结果一致。乙方为履行本合同而发生的所有费用均应包含在合同价款中，甲方不再另行支付</w:t>
      </w:r>
      <w:r>
        <w:rPr>
          <w:rFonts w:hint="eastAsia" w:ascii="宋体" w:hAnsi="宋体" w:eastAsia="宋体" w:cs="宋体"/>
          <w:color w:val="auto"/>
          <w:sz w:val="22"/>
          <w:szCs w:val="22"/>
          <w:highlight w:val="none"/>
          <w:lang w:val="en"/>
        </w:rPr>
        <w:t>其他</w:t>
      </w:r>
      <w:r>
        <w:rPr>
          <w:rFonts w:hint="eastAsia" w:ascii="宋体" w:hAnsi="宋体" w:eastAsia="宋体" w:cs="宋体"/>
          <w:color w:val="auto"/>
          <w:sz w:val="22"/>
          <w:szCs w:val="22"/>
          <w:highlight w:val="none"/>
        </w:rPr>
        <w:t>任何费用。</w:t>
      </w:r>
    </w:p>
    <w:p>
      <w:pPr>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 履行合同的时间、地点和方式</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乙方应当在约定的时间、地点，按照约定方式履行合同。</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 甲方的权利和义务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 签署合同后，甲方应确定项目负责人（或项目联系人），负责与本合同有关的事务。甲方有权对乙方的履约行为进行检查，并及时确认乙方提交的事项。甲方应当配合乙方完成相关项目实施工作。</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 甲方有权要求乙方按时提交各阶段有关安排计划，并有权定期核对乙方提供货物数量、规格、质量等内容。甲方有权督促乙方工作并要求乙方更换不符合要求的货物。</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甲方有权要求乙方对缺陷部分予以修复，并按合同约定享有货物保修及其他合同约定的权利。</w:t>
      </w:r>
    </w:p>
    <w:p>
      <w:pPr>
        <w:snapToGrid w:val="0"/>
        <w:spacing w:line="400" w:lineRule="exact"/>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4.4 甲方应当按照合同约定及时对交付的货物进行验收，未在</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约定的期限内对乙方履约提出任何异议或者向乙方作出任何说明的，视为验收通过。</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 甲方应当根据合同约定及时向乙方支付合同价款，不得以内部人员变更、履行内部付款流程等为由，拒绝或迟延支付。</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4.6 国家法律法规规定及</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约定应由甲方承担的其他义务和责任。</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 乙方的权利和义务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 签署合同后，乙方应确定项目负责人（或项目联系人），负责与本合同有关的事务。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2"/>
        <w:spacing w:after="0" w:line="400" w:lineRule="exact"/>
        <w:ind w:firstLine="387" w:firstLineChars="17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5.3乙方有权根据合同约定向甲方收取合同价款。</w:t>
      </w:r>
    </w:p>
    <w:p>
      <w:pPr>
        <w:pStyle w:val="2"/>
        <w:spacing w:after="0" w:line="400" w:lineRule="exact"/>
        <w:ind w:firstLine="387" w:firstLineChars="17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5.4国家法律法规规定及</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约定应由乙方承担的其他义务和责任。</w:t>
      </w:r>
    </w:p>
    <w:p>
      <w:pPr>
        <w:numPr>
          <w:ilvl w:val="0"/>
          <w:numId w:val="24"/>
        </w:num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合同履行</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 甲乙双方应当按照</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约定顺序履行合同义务；如果没有先后顺序的，应当同时履行。</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7. 货物包装、运输、保险和交付要求</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 本合同</w:t>
      </w:r>
      <w:r>
        <w:rPr>
          <w:rFonts w:hint="eastAsia" w:ascii="宋体" w:hAnsi="宋体" w:eastAsia="宋体" w:cs="宋体"/>
          <w:bCs/>
          <w:color w:val="auto"/>
          <w:sz w:val="22"/>
          <w:szCs w:val="22"/>
          <w:highlight w:val="none"/>
        </w:rPr>
        <w:t>涉及商品包装、快递包装的，</w:t>
      </w:r>
      <w:r>
        <w:rPr>
          <w:rFonts w:hint="eastAsia" w:ascii="宋体" w:hAnsi="宋体" w:eastAsia="宋体" w:cs="宋体"/>
          <w:color w:val="auto"/>
          <w:sz w:val="22"/>
          <w:szCs w:val="22"/>
          <w:highlight w:val="none"/>
        </w:rPr>
        <w:t>除</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另有约定外，</w:t>
      </w:r>
      <w:r>
        <w:rPr>
          <w:rFonts w:hint="eastAsia" w:ascii="宋体" w:hAnsi="宋体" w:eastAsia="宋体" w:cs="宋体"/>
          <w:color w:val="auto"/>
          <w:sz w:val="22"/>
          <w:szCs w:val="22"/>
          <w:highlight w:val="none"/>
        </w:rPr>
        <w:t>包装应适应远距离运输、防潮、防震、防锈和防野蛮装卸等要求，确保货物安全无损地运抵</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约定的</w:t>
      </w:r>
      <w:r>
        <w:rPr>
          <w:rFonts w:hint="eastAsia" w:ascii="宋体" w:hAnsi="宋体" w:eastAsia="宋体" w:cs="宋体"/>
          <w:color w:val="auto"/>
          <w:sz w:val="22"/>
          <w:szCs w:val="22"/>
          <w:highlight w:val="none"/>
        </w:rPr>
        <w:t>指定现场。</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 除</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另有约定外，</w:t>
      </w:r>
      <w:r>
        <w:rPr>
          <w:rFonts w:hint="eastAsia" w:ascii="宋体" w:hAnsi="宋体" w:eastAsia="宋体" w:cs="宋体"/>
          <w:color w:val="auto"/>
          <w:sz w:val="22"/>
          <w:szCs w:val="22"/>
          <w:highlight w:val="none"/>
        </w:rPr>
        <w:t>乙方负责办理将货物运抵本合同规定的交货地点，并装卸、交付至甲方的一切运输事项，相关费用应包含在合同价款中。</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7.3 货物保险要求按</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规定执行</w:t>
      </w:r>
      <w:r>
        <w:rPr>
          <w:rFonts w:hint="eastAsia" w:ascii="宋体" w:hAnsi="宋体" w:eastAsia="宋体" w:cs="宋体"/>
          <w:color w:val="auto"/>
          <w:sz w:val="22"/>
          <w:szCs w:val="22"/>
          <w:highlight w:val="none"/>
        </w:rPr>
        <w:t>。</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 乙方在运输到达之前应提前通知甲方，并提示货物运输装卸的注意事项，甲方配合乙方做好货物的接收工作。</w:t>
      </w:r>
    </w:p>
    <w:p>
      <w:pPr>
        <w:pStyle w:val="363"/>
        <w:ind w:firstLine="42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8. 质量标准和保证</w:t>
      </w:r>
    </w:p>
    <w:p>
      <w:pPr>
        <w:pStyle w:val="23"/>
        <w:adjustRightInd w:val="0"/>
        <w:snapToGrid w:val="0"/>
        <w:spacing w:line="400" w:lineRule="exact"/>
        <w:ind w:firstLine="440" w:firstLineChars="200"/>
        <w:jc w:val="left"/>
        <w:rPr>
          <w:rFonts w:hint="eastAsia" w:ascii="宋体" w:hAnsi="宋体" w:eastAsia="宋体" w:cs="宋体"/>
          <w:b/>
          <w:color w:val="auto"/>
          <w:sz w:val="22"/>
          <w:szCs w:val="21"/>
          <w:highlight w:val="none"/>
        </w:rPr>
      </w:pPr>
      <w:r>
        <w:rPr>
          <w:rFonts w:hint="eastAsia" w:ascii="宋体" w:hAnsi="宋体" w:eastAsia="宋体" w:cs="宋体"/>
          <w:color w:val="auto"/>
          <w:sz w:val="22"/>
          <w:szCs w:val="21"/>
          <w:highlight w:val="none"/>
        </w:rPr>
        <w:t>8.1 质量标准</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23"/>
        <w:adjustRightInd w:val="0"/>
        <w:snapToGrid w:val="0"/>
        <w:spacing w:line="400" w:lineRule="exact"/>
        <w:ind w:firstLine="440" w:firstLineChars="20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（2）采用中华人民共和国法定计量单位。</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（3）乙方所提供的货物应符合国家有关安全、环保、卫生的规定。</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8.2 保证</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规定或乙方书面承诺（两者以较长的为准）的质量保证期内，本保证保持有效。</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（2）在质量保证期内所发现的缺陷，甲方应尽快以书面形式通知乙方。</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（3）乙方收到通知后，应在</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规定的响应时间内以合理的速度免费维修或更换有缺陷的货物或部件。</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（4）在质量保证期内，如果货物的质量或规格与合同不符，或证实货物是有缺陷的，包括潜在的缺陷或使用不符合要求的材料等，甲方可以根据本合同第15.1条规定以书面形式追究乙方的违约责任。</w:t>
      </w:r>
    </w:p>
    <w:p>
      <w:pPr>
        <w:adjustRightInd w:val="0"/>
        <w:snapToGrid w:val="0"/>
        <w:spacing w:line="400" w:lineRule="exact"/>
        <w:ind w:firstLine="440" w:firstLineChars="200"/>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9. 权利瑕疵担保</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9.1 乙方保证对其出售的货物享有合法的权利。</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9.2 </w:t>
      </w:r>
      <w:r>
        <w:rPr>
          <w:rFonts w:hint="eastAsia" w:ascii="宋体" w:hAnsi="宋体" w:eastAsia="宋体" w:cs="宋体"/>
          <w:color w:val="auto"/>
          <w:sz w:val="22"/>
          <w:szCs w:val="16"/>
          <w:highlight w:val="none"/>
        </w:rPr>
        <w:t>乙方保证在交付的货物上不存在抵押权等担保物权。</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9.3 如甲方使用上述货物构成对第三人侵权的，则由乙方承担全部责任。</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10. 知识产权保护</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10.1 乙方对其所销售的货物应当享有知识产权或经权利人合法授权，保证没有侵犯任何第三人的知识产权等权利。</w:t>
      </w:r>
      <w:bookmarkStart w:id="302" w:name="_Hlk163047038"/>
      <w:r>
        <w:rPr>
          <w:rFonts w:hint="eastAsia" w:ascii="宋体" w:hAnsi="宋体" w:eastAsia="宋体" w:cs="宋体"/>
          <w:color w:val="auto"/>
          <w:sz w:val="22"/>
          <w:szCs w:val="16"/>
          <w:highlight w:val="none"/>
        </w:rPr>
        <w:t>因违反前述约定对第三人构成侵权的，应当由乙方向第三人承担法律责任；甲方依法向第三人赔偿后，有权向乙方追偿。甲方有其他损失的，乙方应当赔偿</w:t>
      </w:r>
      <w:bookmarkEnd w:id="302"/>
      <w:r>
        <w:rPr>
          <w:rFonts w:hint="eastAsia" w:ascii="宋体" w:hAnsi="宋体" w:eastAsia="宋体" w:cs="宋体"/>
          <w:color w:val="auto"/>
          <w:sz w:val="22"/>
          <w:szCs w:val="22"/>
          <w:highlight w:val="none"/>
        </w:rPr>
        <w:t>。</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 保密义务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16"/>
          <w:highlight w:val="none"/>
        </w:rPr>
      </w:pPr>
      <w:r>
        <w:rPr>
          <w:rFonts w:hint="eastAsia" w:ascii="宋体" w:hAnsi="宋体" w:eastAsia="宋体" w:cs="宋体"/>
          <w:color w:val="auto"/>
          <w:sz w:val="22"/>
          <w:szCs w:val="16"/>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2"/>
          <w:szCs w:val="16"/>
          <w:highlight w:val="none"/>
        </w:rPr>
        <w:t>【政府采购合同专用条款】</w:t>
      </w:r>
      <w:r>
        <w:rPr>
          <w:rFonts w:hint="eastAsia" w:ascii="宋体" w:hAnsi="宋体" w:eastAsia="宋体" w:cs="宋体"/>
          <w:color w:val="auto"/>
          <w:sz w:val="22"/>
          <w:szCs w:val="16"/>
          <w:highlight w:val="none"/>
        </w:rPr>
        <w:t>中约定。</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12. 合同价款支付</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 合同价款支付按照国库集中支付制度及财政管理相关规定执行。</w:t>
      </w:r>
    </w:p>
    <w:p>
      <w:pPr>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Cs/>
          <w:color w:val="auto"/>
          <w:sz w:val="22"/>
          <w:szCs w:val="22"/>
          <w:highlight w:val="none"/>
        </w:rPr>
        <w:t>政府采购合同专用条款</w:t>
      </w:r>
      <w:r>
        <w:rPr>
          <w:rFonts w:hint="eastAsia" w:ascii="宋体" w:hAnsi="宋体" w:eastAsia="宋体" w:cs="宋体"/>
          <w:color w:val="auto"/>
          <w:sz w:val="22"/>
          <w:szCs w:val="22"/>
          <w:highlight w:val="none"/>
        </w:rPr>
        <w:t>】中约定。</w:t>
      </w:r>
    </w:p>
    <w:p>
      <w:pPr>
        <w:pStyle w:val="2"/>
        <w:spacing w:after="0" w:line="40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13. 履约保证金</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13.1 </w:t>
      </w:r>
      <w:r>
        <w:rPr>
          <w:rFonts w:hint="eastAsia" w:ascii="宋体" w:hAnsi="宋体" w:eastAsia="宋体" w:cs="宋体"/>
          <w:color w:val="auto"/>
          <w:sz w:val="22"/>
          <w:szCs w:val="16"/>
          <w:highlight w:val="none"/>
        </w:rPr>
        <w:t>乙方应当以支票、汇票、本票或者金融机构、担保机构出具的保函等非现金形式提交。</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 如果乙方出现</w:t>
      </w:r>
      <w:r>
        <w:rPr>
          <w:rFonts w:hint="eastAsia" w:ascii="宋体" w:hAnsi="宋体" w:eastAsia="宋体" w:cs="宋体"/>
          <w:b/>
          <w:bCs/>
          <w:color w:val="auto"/>
          <w:sz w:val="22"/>
          <w:szCs w:val="16"/>
          <w:highlight w:val="none"/>
        </w:rPr>
        <w:t>【政府采购合同专用条款】</w:t>
      </w:r>
      <w:r>
        <w:rPr>
          <w:rFonts w:hint="eastAsia" w:ascii="宋体" w:hAnsi="宋体" w:eastAsia="宋体" w:cs="宋体"/>
          <w:color w:val="auto"/>
          <w:sz w:val="22"/>
          <w:szCs w:val="16"/>
          <w:highlight w:val="none"/>
        </w:rPr>
        <w:t>约定情形的</w:t>
      </w:r>
      <w:r>
        <w:rPr>
          <w:rFonts w:hint="eastAsia" w:ascii="宋体" w:hAnsi="宋体" w:eastAsia="宋体" w:cs="宋体"/>
          <w:color w:val="auto"/>
          <w:sz w:val="22"/>
          <w:szCs w:val="22"/>
          <w:highlight w:val="none"/>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13.3 甲方在项目通过验收后按照</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规定的时间内将履约保证金退还乙方；逾期退还的，乙方可要求甲方支付违约金，违约金按照</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规定支付。</w:t>
      </w:r>
    </w:p>
    <w:p>
      <w:pPr>
        <w:autoSpaceDE w:val="0"/>
        <w:autoSpaceDN w:val="0"/>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 xml:space="preserve">14. </w:t>
      </w:r>
      <w:r>
        <w:rPr>
          <w:rFonts w:hint="eastAsia" w:ascii="宋体" w:hAnsi="宋体" w:eastAsia="宋体" w:cs="宋体"/>
          <w:b/>
          <w:color w:val="auto"/>
          <w:sz w:val="28"/>
          <w:szCs w:val="28"/>
          <w:highlight w:val="none"/>
        </w:rPr>
        <w:t>售后服务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14.1 除项目不涉及或采购活动中明确约定无须承担外，乙方还应提供下列服务：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（1）货物的现场移动、安装、调试、启动监督及技术支持；</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（2）提供货物组装和维修所需的专用工具和辅助材料；</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w:t>
      </w:r>
      <w:r>
        <w:rPr>
          <w:rFonts w:hint="eastAsia" w:ascii="宋体" w:hAnsi="宋体" w:eastAsia="宋体" w:cs="宋体"/>
          <w:b/>
          <w:bCs/>
          <w:color w:val="auto"/>
          <w:sz w:val="22"/>
          <w:szCs w:val="16"/>
          <w:highlight w:val="none"/>
        </w:rPr>
        <w:t>【政府采购合同专用条款】</w:t>
      </w:r>
      <w:r>
        <w:rPr>
          <w:rFonts w:hint="eastAsia" w:ascii="宋体" w:hAnsi="宋体" w:eastAsia="宋体" w:cs="宋体"/>
          <w:color w:val="auto"/>
          <w:sz w:val="22"/>
          <w:szCs w:val="22"/>
          <w:highlight w:val="none"/>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（4）在制造商所在地或指定现场就货物的安装、启动、运营、维护、废弃处置等对甲方操作人员进行培训</w:t>
      </w:r>
      <w:r>
        <w:rPr>
          <w:rFonts w:hint="eastAsia" w:ascii="宋体" w:hAnsi="宋体" w:eastAsia="宋体" w:cs="宋体"/>
          <w:color w:val="auto"/>
          <w:sz w:val="22"/>
          <w:szCs w:val="16"/>
          <w:highlight w:val="none"/>
        </w:rPr>
        <w:t>；</w:t>
      </w:r>
    </w:p>
    <w:p>
      <w:pPr>
        <w:pStyle w:val="363"/>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（5）依照法律、行政法规的规定或者按照</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约定，货物在有效使用年限届满后应予回收的，乙方负有自行或者委托第三人对货物予以回收的义务；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规定由乙方提供的其他服务。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14.2 乙方提供的售后服务的费用已包含在合同价款中，甲方不再另行支付。</w:t>
      </w:r>
    </w:p>
    <w:p>
      <w:pPr>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15. 违约责任</w:t>
      </w:r>
    </w:p>
    <w:p>
      <w:pPr>
        <w:adjustRightInd w:val="0"/>
        <w:snapToGrid w:val="0"/>
        <w:spacing w:line="400" w:lineRule="exac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15.1质量瑕疵的违约责任</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乙方提供的产品不符合合同约定的质量标准或存在产品质量缺陷，甲方有权要求乙方根据</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要求</w:t>
      </w:r>
      <w:r>
        <w:rPr>
          <w:rFonts w:hint="eastAsia" w:ascii="宋体" w:hAnsi="宋体" w:eastAsia="宋体" w:cs="宋体"/>
          <w:color w:val="auto"/>
          <w:sz w:val="22"/>
          <w:szCs w:val="22"/>
          <w:highlight w:val="none"/>
        </w:rPr>
        <w:t>及时修理、重作、更换，并承担由此给甲方造成的损失。</w:t>
      </w:r>
    </w:p>
    <w:p>
      <w:pPr>
        <w:autoSpaceDE w:val="0"/>
        <w:autoSpaceDN w:val="0"/>
        <w:adjustRightInd w:val="0"/>
        <w:snapToGrid w:val="0"/>
        <w:spacing w:line="400" w:lineRule="exac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15.2 迟延交货的违约责任</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15.3 迟延支付的违约责任</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甲方存在迟延支付乙方合同款项的，应当承担</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规定的逾期付款利息。</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15.4其他违约责任根据项目实际需要按</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规定执行。</w:t>
      </w:r>
    </w:p>
    <w:p>
      <w:pPr>
        <w:numPr>
          <w:ilvl w:val="0"/>
          <w:numId w:val="25"/>
        </w:numPr>
        <w:autoSpaceDE w:val="0"/>
        <w:autoSpaceDN w:val="0"/>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合同变更、中止与终止</w:t>
      </w:r>
    </w:p>
    <w:p>
      <w:pPr>
        <w:adjustRightInd w:val="0"/>
        <w:snapToGrid w:val="0"/>
        <w:spacing w:line="4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16.1合同的变更</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政府采购合同履行中，在不改变合同其他条款的前提下，甲方可以在合同价款10%的范围内追加与合同标的相同的货物，并就此与乙方协商一致后签订补充协议。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16.2合同的中止</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40" w:firstLineChars="200"/>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（4）甲方不得以行政区划调整、政府换届、机构或者职能调整以及相关责任人更替为由中止合同。</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16.3合同的终止</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（1）合同因有效期限届满而终止；</w:t>
      </w:r>
    </w:p>
    <w:p>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（2）乙方未按合同约定履行，构成根本性违约的，甲方有权终止合同，并追究乙方的违约责任。</w:t>
      </w:r>
    </w:p>
    <w:p>
      <w:pPr>
        <w:pStyle w:val="363"/>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16.4 </w:t>
      </w:r>
      <w:r>
        <w:rPr>
          <w:rFonts w:hint="eastAsia" w:ascii="宋体" w:hAnsi="宋体" w:eastAsia="宋体" w:cs="宋体"/>
          <w:color w:val="auto"/>
          <w:kern w:val="2"/>
          <w:sz w:val="22"/>
          <w:szCs w:val="22"/>
          <w:highlight w:val="none"/>
        </w:rPr>
        <w:t>涉及国家利益、社会公共利益的情形</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 合同分包</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18. 不可抗力</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18.1 不可抗力是指合同双方不能预见、不能避免且不能克服的客观情况。</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19. 解决争议的方法</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19.1 因本合同及合同有关事项发生的争议，由甲乙双方友好协商解决。协商不成时，可以向有关组织申请调解。合同一方或双方不愿调解或调解不成的，可以通过仲裁或诉讼的方式解决争议。</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19.2 选择仲裁的，应在</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中明确仲裁机构及仲裁地；通过诉讼方式解决的，可以在</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中进一步约定选择与争议有实际联系的地点的人民法院管辖，但管辖法院的约定不得违反级别管辖和专属管辖的规定。</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20. 政府采购政策</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20.1 </w:t>
      </w:r>
      <w:r>
        <w:rPr>
          <w:rFonts w:hint="eastAsia" w:ascii="宋体" w:hAnsi="宋体" w:eastAsia="宋体" w:cs="宋体"/>
          <w:color w:val="auto"/>
          <w:sz w:val="22"/>
          <w:szCs w:val="28"/>
          <w:highlight w:val="none"/>
          <w:lang w:val="en-GB"/>
        </w:rPr>
        <w:t>本合同应当按照规定执行政府采购政策。</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20.2 本合同依法执行政府采购政策的方式和内容，属于合同履约验收的范围。</w:t>
      </w:r>
      <w:r>
        <w:rPr>
          <w:rFonts w:hint="eastAsia" w:ascii="宋体" w:hAnsi="宋体" w:eastAsia="宋体" w:cs="宋体"/>
          <w:color w:val="auto"/>
          <w:sz w:val="22"/>
          <w:szCs w:val="28"/>
          <w:highlight w:val="none"/>
        </w:rPr>
        <w:t>甲乙双方</w:t>
      </w:r>
      <w:r>
        <w:rPr>
          <w:rFonts w:hint="eastAsia" w:ascii="宋体" w:hAnsi="宋体" w:eastAsia="宋体" w:cs="宋体"/>
          <w:color w:val="auto"/>
          <w:sz w:val="22"/>
          <w:szCs w:val="28"/>
          <w:highlight w:val="none"/>
          <w:lang w:val="en-GB"/>
        </w:rPr>
        <w:t>未按规定要求执行政府采购政策造成损失的</w:t>
      </w:r>
      <w:r>
        <w:rPr>
          <w:rFonts w:hint="eastAsia" w:ascii="宋体" w:hAnsi="宋体" w:eastAsia="宋体" w:cs="宋体"/>
          <w:color w:val="auto"/>
          <w:sz w:val="22"/>
          <w:szCs w:val="22"/>
          <w:highlight w:val="none"/>
        </w:rPr>
        <w:t>，有过错的一方应当承担赔偿责任，双方都有过错的，各自承担相应的责任。</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21. 法律适用</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21.1 本合同的订立、生效、解释、履行及与本合同有关的争议解决，均适用法律、行政法规。</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22. 通知</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22.1 本合同任何一方向对方发出的通知、信件、数据电文等，应当发送至本合同第一部分《政府采购合同协议书》所约定的通讯地址、联系人、联系电话或电子邮箱。</w:t>
      </w:r>
    </w:p>
    <w:p>
      <w:pPr>
        <w:pStyle w:val="363"/>
        <w:ind w:firstLine="0" w:firstLineChars="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22.3本合同一方给另一方的通知均应采用书面形式，传真或快递送到本合同中规定的对方的地址和办理签收手续。</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22.4通知以送达之日或通知书中规定的生效之日起生效，两者中以较迟之日为准。</w:t>
      </w:r>
    </w:p>
    <w:p>
      <w:pPr>
        <w:numPr>
          <w:ilvl w:val="0"/>
          <w:numId w:val="26"/>
        </w:numPr>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合同未尽事项</w:t>
      </w:r>
    </w:p>
    <w:p>
      <w:pPr>
        <w:adjustRightInd w:val="0"/>
        <w:snapToGrid w:val="0"/>
        <w:spacing w:line="400" w:lineRule="exac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23.1合同未尽事项见</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w:t>
      </w:r>
    </w:p>
    <w:p>
      <w:pPr>
        <w:adjustRightInd w:val="0"/>
        <w:snapToGrid w:val="0"/>
        <w:spacing w:line="400" w:lineRule="exact"/>
        <w:jc w:val="left"/>
        <w:rPr>
          <w:rFonts w:hint="eastAsia" w:ascii="宋体" w:hAnsi="宋体" w:eastAsia="宋体" w:cs="宋体"/>
          <w:color w:val="auto"/>
          <w:sz w:val="32"/>
          <w:szCs w:val="32"/>
          <w:highlight w:val="none"/>
        </w:rPr>
      </w:pPr>
      <w:r>
        <w:rPr>
          <w:rFonts w:hint="eastAsia" w:ascii="宋体" w:hAnsi="宋体" w:eastAsia="宋体" w:cs="宋体"/>
          <w:bCs/>
          <w:color w:val="auto"/>
          <w:sz w:val="22"/>
          <w:szCs w:val="22"/>
          <w:highlight w:val="none"/>
        </w:rPr>
        <w:t xml:space="preserve">    23.2 合同附件与合同正文具有同等的法律效力。</w:t>
      </w:r>
      <w:bookmarkStart w:id="303" w:name="_Toc20313"/>
    </w:p>
    <w:p>
      <w:pPr>
        <w:adjustRightInd w:val="0"/>
        <w:snapToGrid w:val="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pStyle w:val="4"/>
        <w:snapToGrid w:val="0"/>
        <w:rPr>
          <w:rFonts w:hint="eastAsia" w:ascii="宋体" w:hAnsi="宋体" w:eastAsia="宋体" w:cs="宋体"/>
          <w:b w:val="0"/>
          <w:bCs/>
          <w:color w:val="auto"/>
          <w:sz w:val="32"/>
          <w:szCs w:val="32"/>
          <w:highlight w:val="none"/>
        </w:rPr>
      </w:pPr>
      <w:r>
        <w:rPr>
          <w:rFonts w:hint="eastAsia" w:ascii="宋体" w:hAnsi="宋体" w:eastAsia="宋体" w:cs="宋体"/>
          <w:b w:val="0"/>
          <w:color w:val="auto"/>
          <w:sz w:val="32"/>
          <w:szCs w:val="32"/>
          <w:highlight w:val="none"/>
        </w:rPr>
        <w:t>第三节 政府采购合同专用条款</w:t>
      </w:r>
      <w:bookmarkEnd w:id="303"/>
    </w:p>
    <w:tbl>
      <w:tblPr>
        <w:tblStyle w:val="4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第1.2（6）项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联合体具体要求</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第1.2（7）项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其他术语解释</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第4.4款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履约验收中甲方提出异议或作出说明的期限</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第4.6款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约定甲方承担的其他义务和责任</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第5.4款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约定乙方承担的其他义务和责任</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第6.1款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履行合同义务的顺序</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第7.1款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包装特殊要求</w:t>
            </w:r>
          </w:p>
        </w:tc>
        <w:tc>
          <w:tcPr>
            <w:tcW w:w="5170" w:type="dxa"/>
            <w:vAlign w:val="center"/>
          </w:tcPr>
          <w:p>
            <w:pPr>
              <w:adjustRightInd w:val="0"/>
              <w:snapToGrid w:val="0"/>
              <w:spacing w:after="0" w:line="240" w:lineRule="atLeast"/>
              <w:rPr>
                <w:rFonts w:hint="eastAsia" w:ascii="宋体" w:hAnsi="宋体" w:eastAsia="宋体" w:cs="宋体"/>
                <w:color w:val="auto"/>
                <w:sz w:val="22"/>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指定现场</w:t>
            </w:r>
          </w:p>
        </w:tc>
        <w:tc>
          <w:tcPr>
            <w:tcW w:w="5170" w:type="dxa"/>
            <w:vAlign w:val="center"/>
          </w:tcPr>
          <w:p>
            <w:pPr>
              <w:adjustRightInd w:val="0"/>
              <w:snapToGrid w:val="0"/>
              <w:spacing w:after="0" w:line="240" w:lineRule="atLeast"/>
              <w:rPr>
                <w:rFonts w:hint="eastAsia" w:ascii="宋体" w:hAnsi="宋体" w:eastAsia="宋体" w:cs="宋体"/>
                <w:color w:val="auto"/>
                <w:sz w:val="22"/>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2"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第7.2款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运输特殊要求</w:t>
            </w:r>
          </w:p>
        </w:tc>
        <w:tc>
          <w:tcPr>
            <w:tcW w:w="5170" w:type="dxa"/>
            <w:vAlign w:val="center"/>
          </w:tcPr>
          <w:p>
            <w:pPr>
              <w:adjustRightInd w:val="0"/>
              <w:snapToGrid w:val="0"/>
              <w:spacing w:after="0" w:line="240" w:lineRule="atLeast"/>
              <w:rPr>
                <w:rFonts w:hint="eastAsia" w:ascii="宋体" w:hAnsi="宋体" w:eastAsia="宋体" w:cs="宋体"/>
                <w:color w:val="auto"/>
                <w:sz w:val="22"/>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第7.3款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保险要求</w:t>
            </w:r>
          </w:p>
        </w:tc>
        <w:tc>
          <w:tcPr>
            <w:tcW w:w="5170" w:type="dxa"/>
            <w:vAlign w:val="center"/>
          </w:tcPr>
          <w:p>
            <w:pPr>
              <w:adjustRightInd w:val="0"/>
              <w:snapToGrid w:val="0"/>
              <w:spacing w:after="0" w:line="240" w:lineRule="atLeast"/>
              <w:rPr>
                <w:rFonts w:hint="eastAsia" w:ascii="宋体" w:hAnsi="宋体" w:eastAsia="宋体" w:cs="宋体"/>
                <w:color w:val="auto"/>
                <w:sz w:val="22"/>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第8.2（1）项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质量保证期</w:t>
            </w:r>
          </w:p>
        </w:tc>
        <w:tc>
          <w:tcPr>
            <w:tcW w:w="5170" w:type="dxa"/>
            <w:vAlign w:val="center"/>
          </w:tcPr>
          <w:p>
            <w:pPr>
              <w:autoSpaceDE w:val="0"/>
              <w:autoSpaceDN w:val="0"/>
              <w:adjustRightInd w:val="0"/>
              <w:snapToGrid w:val="0"/>
              <w:spacing w:after="0" w:line="240" w:lineRule="atLeast"/>
              <w:ind w:firstLine="440" w:firstLineChars="200"/>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第8.2（3）项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货物质量缺陷</w:t>
            </w:r>
          </w:p>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响应时间</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pStyle w:val="363"/>
              <w:snapToGrid w:val="0"/>
              <w:spacing w:after="0" w:line="240" w:lineRule="atLeast"/>
              <w:ind w:firstLine="0" w:firstLineChars="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第11.1款</w:t>
            </w:r>
          </w:p>
        </w:tc>
        <w:tc>
          <w:tcPr>
            <w:tcW w:w="1742" w:type="dxa"/>
            <w:vAlign w:val="center"/>
          </w:tcPr>
          <w:p>
            <w:pPr>
              <w:adjustRightInd w:val="0"/>
              <w:snapToGrid w:val="0"/>
              <w:spacing w:after="0" w:line="2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其他应当保密的信息</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第12.2款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合同价款支付时间</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第13.2款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履约保证金不予退还的情形</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第13.3款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履约保证金退还时间及逾期退还的违约金</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第14.1（3）项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运行监督、维修期限</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第14.1（5）项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货物回收的约定</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82"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第14.1（6）项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乙方提供的其他服务</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第15.1款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修理、重作、更换相关具体规定</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第15.2（2）项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迟延交货赔偿费</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第15.3款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逾期付款利息</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其他违约责任</w:t>
            </w:r>
          </w:p>
        </w:tc>
        <w:tc>
          <w:tcPr>
            <w:tcW w:w="5170" w:type="dxa"/>
            <w:tcBorders>
              <w:left w:val="single" w:color="auto" w:sz="2" w:space="0"/>
              <w:bottom w:val="single" w:color="auto" w:sz="2" w:space="0"/>
            </w:tcBorders>
            <w:vAlign w:val="center"/>
          </w:tcPr>
          <w:p>
            <w:pPr>
              <w:adjustRightInd w:val="0"/>
              <w:snapToGrid w:val="0"/>
              <w:spacing w:after="0" w:line="240" w:lineRule="atLeast"/>
              <w:jc w:val="left"/>
              <w:rPr>
                <w:rFonts w:hint="eastAsia" w:ascii="宋体" w:hAnsi="宋体" w:eastAsia="宋体" w:cs="宋体"/>
                <w:color w:val="auto"/>
                <w:sz w:val="22"/>
                <w:szCs w:val="2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after="0" w:line="240" w:lineRule="atLeast"/>
              <w:jc w:val="left"/>
              <w:rPr>
                <w:rFonts w:hint="eastAsia" w:ascii="宋体" w:hAnsi="宋体" w:eastAsia="宋体" w:cs="宋体"/>
                <w:iCs/>
                <w:color w:val="auto"/>
                <w:sz w:val="22"/>
                <w:szCs w:val="22"/>
                <w:highlight w:val="none"/>
              </w:rPr>
            </w:pPr>
            <w:r>
              <w:rPr>
                <w:rFonts w:hint="eastAsia" w:ascii="宋体" w:hAnsi="宋体" w:eastAsia="宋体" w:cs="宋体"/>
                <w:iCs/>
                <w:color w:val="auto"/>
                <w:sz w:val="22"/>
                <w:szCs w:val="22"/>
                <w:highlight w:val="none"/>
              </w:rPr>
              <w:t>因本合同及合同有关事项发生的争议，按下列第</w:t>
            </w:r>
            <w:r>
              <w:rPr>
                <w:rFonts w:hint="eastAsia" w:ascii="宋体" w:hAnsi="宋体" w:eastAsia="宋体" w:cs="宋体"/>
                <w:iCs/>
                <w:color w:val="auto"/>
                <w:sz w:val="22"/>
                <w:szCs w:val="22"/>
                <w:highlight w:val="none"/>
                <w:u w:val="single"/>
              </w:rPr>
              <w:t xml:space="preserve">   </w:t>
            </w:r>
            <w:r>
              <w:rPr>
                <w:rFonts w:hint="eastAsia" w:ascii="宋体" w:hAnsi="宋体" w:eastAsia="宋体" w:cs="宋体"/>
                <w:iCs/>
                <w:color w:val="auto"/>
                <w:sz w:val="22"/>
                <w:szCs w:val="22"/>
                <w:highlight w:val="none"/>
              </w:rPr>
              <w:t>种方式解决：</w:t>
            </w:r>
          </w:p>
          <w:p>
            <w:pPr>
              <w:autoSpaceDE w:val="0"/>
              <w:autoSpaceDN w:val="0"/>
              <w:adjustRightInd w:val="0"/>
              <w:snapToGrid w:val="0"/>
              <w:spacing w:after="0" w:line="240" w:lineRule="atLeast"/>
              <w:jc w:val="left"/>
              <w:rPr>
                <w:rFonts w:hint="eastAsia" w:ascii="宋体" w:hAnsi="宋体" w:eastAsia="宋体" w:cs="宋体"/>
                <w:iCs/>
                <w:color w:val="auto"/>
                <w:sz w:val="22"/>
                <w:szCs w:val="22"/>
                <w:highlight w:val="none"/>
              </w:rPr>
            </w:pPr>
            <w:r>
              <w:rPr>
                <w:rFonts w:hint="eastAsia" w:ascii="宋体" w:hAnsi="宋体" w:eastAsia="宋体" w:cs="宋体"/>
                <w:iCs/>
                <w:color w:val="auto"/>
                <w:sz w:val="22"/>
                <w:szCs w:val="22"/>
                <w:highlight w:val="none"/>
              </w:rPr>
              <w:t>（1）向</w:t>
            </w:r>
            <w:r>
              <w:rPr>
                <w:rFonts w:hint="eastAsia" w:ascii="宋体" w:hAnsi="宋体" w:eastAsia="宋体" w:cs="宋体"/>
                <w:iCs/>
                <w:color w:val="auto"/>
                <w:sz w:val="22"/>
                <w:szCs w:val="22"/>
                <w:highlight w:val="none"/>
                <w:u w:val="single"/>
              </w:rPr>
              <w:t xml:space="preserve">                    </w:t>
            </w:r>
            <w:r>
              <w:rPr>
                <w:rFonts w:hint="eastAsia" w:ascii="宋体" w:hAnsi="宋体" w:eastAsia="宋体" w:cs="宋体"/>
                <w:iCs/>
                <w:color w:val="auto"/>
                <w:sz w:val="22"/>
                <w:szCs w:val="22"/>
                <w:highlight w:val="none"/>
              </w:rPr>
              <w:t>仲裁委员会申请仲裁，仲裁地点为</w:t>
            </w:r>
            <w:r>
              <w:rPr>
                <w:rFonts w:hint="eastAsia" w:ascii="宋体" w:hAnsi="宋体" w:eastAsia="宋体" w:cs="宋体"/>
                <w:iCs/>
                <w:color w:val="auto"/>
                <w:sz w:val="22"/>
                <w:szCs w:val="22"/>
                <w:highlight w:val="none"/>
                <w:u w:val="single"/>
              </w:rPr>
              <w:t xml:space="preserve">           </w:t>
            </w:r>
            <w:r>
              <w:rPr>
                <w:rFonts w:hint="eastAsia" w:ascii="宋体" w:hAnsi="宋体" w:eastAsia="宋体" w:cs="宋体"/>
                <w:iCs/>
                <w:color w:val="auto"/>
                <w:sz w:val="22"/>
                <w:szCs w:val="22"/>
                <w:highlight w:val="none"/>
              </w:rPr>
              <w:t>；</w:t>
            </w:r>
          </w:p>
          <w:p>
            <w:pPr>
              <w:adjustRightInd w:val="0"/>
              <w:snapToGrid w:val="0"/>
              <w:spacing w:after="0" w:line="240" w:lineRule="atLeast"/>
              <w:jc w:val="left"/>
              <w:rPr>
                <w:rFonts w:hint="eastAsia" w:ascii="宋体" w:hAnsi="宋体" w:eastAsia="宋体" w:cs="宋体"/>
                <w:color w:val="auto"/>
                <w:sz w:val="22"/>
                <w:szCs w:val="22"/>
                <w:highlight w:val="none"/>
                <w:u w:val="single"/>
              </w:rPr>
            </w:pPr>
            <w:r>
              <w:rPr>
                <w:rFonts w:hint="eastAsia" w:ascii="宋体" w:hAnsi="宋体" w:eastAsia="宋体" w:cs="宋体"/>
                <w:iCs/>
                <w:color w:val="auto"/>
                <w:sz w:val="22"/>
                <w:szCs w:val="22"/>
                <w:highlight w:val="none"/>
              </w:rPr>
              <w:t>（2）向</w:t>
            </w:r>
            <w:r>
              <w:rPr>
                <w:rFonts w:hint="eastAsia" w:ascii="宋体" w:hAnsi="宋体" w:eastAsia="宋体" w:cs="宋体"/>
                <w:iCs/>
                <w:color w:val="auto"/>
                <w:sz w:val="22"/>
                <w:szCs w:val="22"/>
                <w:highlight w:val="none"/>
                <w:u w:val="single"/>
              </w:rPr>
              <w:t xml:space="preserve">                    </w:t>
            </w:r>
            <w:r>
              <w:rPr>
                <w:rFonts w:hint="eastAsia" w:ascii="宋体" w:hAnsi="宋体" w:eastAsia="宋体" w:cs="宋体"/>
                <w:iCs/>
                <w:color w:val="auto"/>
                <w:sz w:val="22"/>
                <w:szCs w:val="22"/>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0"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第23.1款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其他专用条款</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bl>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tabs>
          <w:tab w:val="left" w:pos="360"/>
          <w:tab w:val="left" w:pos="540"/>
        </w:tabs>
        <w:rPr>
          <w:rFonts w:hint="eastAsia" w:ascii="宋体" w:hAnsi="宋体" w:eastAsia="宋体" w:cs="宋体"/>
          <w:color w:val="auto"/>
          <w:sz w:val="24"/>
          <w:highlight w:val="none"/>
          <w:lang w:val="en-GB"/>
        </w:rPr>
      </w:pPr>
      <w:r>
        <w:rPr>
          <w:rFonts w:hint="eastAsia" w:ascii="宋体" w:hAnsi="宋体" w:eastAsia="宋体" w:cs="宋体"/>
          <w:color w:val="auto"/>
          <w:sz w:val="24"/>
          <w:highlight w:val="none"/>
          <w:lang w:val="en-GB"/>
        </w:rPr>
        <w:t xml:space="preserve">           </w:t>
      </w:r>
    </w:p>
    <w:p>
      <w:pPr>
        <w:widowControl/>
        <w:jc w:val="left"/>
        <w:rPr>
          <w:rFonts w:hint="eastAsia" w:ascii="宋体" w:hAnsi="宋体" w:eastAsia="宋体" w:cs="宋体"/>
          <w:color w:val="auto"/>
          <w:sz w:val="24"/>
          <w:highlight w:val="none"/>
          <w:u w:val="single"/>
          <w:lang w:val="en-GB"/>
        </w:rPr>
        <w:sectPr>
          <w:pgSz w:w="11907" w:h="16840"/>
          <w:pgMar w:top="1440" w:right="1797" w:bottom="1440" w:left="1797" w:header="851" w:footer="851" w:gutter="0"/>
          <w:cols w:space="720" w:num="1"/>
          <w:docGrid w:linePitch="462" w:charSpace="0"/>
        </w:sectPr>
      </w:pPr>
    </w:p>
    <w:p>
      <w:pPr>
        <w:pStyle w:val="23"/>
        <w:spacing w:line="360" w:lineRule="auto"/>
        <w:jc w:val="center"/>
        <w:outlineLvl w:val="0"/>
        <w:rPr>
          <w:rFonts w:hint="eastAsia" w:ascii="宋体" w:hAnsi="宋体" w:eastAsia="宋体" w:cs="宋体"/>
          <w:b/>
          <w:color w:val="auto"/>
          <w:sz w:val="36"/>
          <w:szCs w:val="36"/>
          <w:highlight w:val="none"/>
        </w:rPr>
      </w:pPr>
      <w:bookmarkStart w:id="304" w:name="_Toc192872481"/>
      <w:r>
        <w:rPr>
          <w:rFonts w:hint="eastAsia" w:ascii="宋体" w:hAnsi="宋体" w:eastAsia="宋体" w:cs="宋体"/>
          <w:b/>
          <w:color w:val="auto"/>
          <w:sz w:val="36"/>
          <w:szCs w:val="36"/>
          <w:highlight w:val="none"/>
        </w:rPr>
        <w:t>第七章   投标文件格式</w:t>
      </w:r>
      <w:bookmarkEnd w:id="304"/>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b/>
          <w:color w:val="auto"/>
          <w:sz w:val="24"/>
          <w:highlight w:val="none"/>
        </w:rPr>
        <w:t>投标人编制文件须知</w:t>
      </w:r>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kern w:val="0"/>
          <w:sz w:val="24"/>
          <w:highlight w:val="none"/>
        </w:rPr>
        <w:t>对于招标文件中标记了“实质性格式”文件的，</w:t>
      </w:r>
      <w:r>
        <w:rPr>
          <w:rFonts w:hint="eastAsia" w:ascii="宋体" w:hAnsi="宋体" w:eastAsia="宋体" w:cs="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color w:val="auto"/>
          <w:kern w:val="0"/>
          <w:sz w:val="24"/>
          <w:highlight w:val="none"/>
        </w:rPr>
        <w:t>否则</w:t>
      </w:r>
      <w:r>
        <w:rPr>
          <w:rFonts w:hint="eastAsia" w:ascii="宋体" w:hAnsi="宋体" w:eastAsia="宋体" w:cs="宋体"/>
          <w:b/>
          <w:color w:val="auto"/>
          <w:kern w:val="0"/>
          <w:sz w:val="24"/>
          <w:highlight w:val="none"/>
        </w:rPr>
        <w:t>投标无效</w:t>
      </w:r>
      <w:r>
        <w:rPr>
          <w:rFonts w:hint="eastAsia" w:ascii="宋体" w:hAnsi="宋体" w:eastAsia="宋体" w:cs="宋体"/>
          <w:color w:val="auto"/>
          <w:kern w:val="0"/>
          <w:sz w:val="24"/>
          <w:highlight w:val="none"/>
        </w:rPr>
        <w:t>。未标记“实质性格式”的文件和招标文件未提供格式的内容，可由投标人自行编写。</w:t>
      </w:r>
    </w:p>
    <w:p>
      <w:pPr>
        <w:tabs>
          <w:tab w:val="left" w:pos="900"/>
          <w:tab w:val="left" w:pos="1980"/>
        </w:tabs>
        <w:snapToGrid w:val="0"/>
        <w:spacing w:line="360" w:lineRule="auto"/>
        <w:ind w:left="142"/>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3、投标文件格式中以空格和下划横线“__”形式标记的部分，为投标单位需要填写的内容。投标单位应根据实际进行具体化填写，确实没有需要填写的，在空格或下划横线“__”中用“ / ”标记。</w:t>
      </w:r>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color w:val="auto"/>
          <w:sz w:val="24"/>
          <w:highlight w:val="none"/>
        </w:rPr>
        <w:t>4、全部声明和问题的回答及所附材料必须是真实的、准确的和完整的。</w:t>
      </w:r>
    </w:p>
    <w:p>
      <w:pPr>
        <w:tabs>
          <w:tab w:val="left" w:pos="900"/>
          <w:tab w:val="left" w:pos="1980"/>
        </w:tabs>
        <w:snapToGrid w:val="0"/>
        <w:spacing w:line="360" w:lineRule="auto"/>
        <w:ind w:left="142"/>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b/>
          <w:bCs/>
          <w:color w:val="auto"/>
          <w:sz w:val="24"/>
          <w:highlight w:val="none"/>
        </w:rPr>
        <w:t>为方便电子标评审，建议投标人编制详细的目录及正确的页码。</w:t>
      </w:r>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bCs/>
          <w:color w:val="auto"/>
          <w:sz w:val="36"/>
          <w:szCs w:val="36"/>
          <w:highlight w:val="none"/>
        </w:rPr>
        <w:t xml:space="preserve"> </w:t>
      </w:r>
      <w:r>
        <w:rPr>
          <w:rFonts w:hint="eastAsia" w:ascii="宋体" w:hAnsi="宋体" w:eastAsia="宋体" w:cs="宋体"/>
          <w:color w:val="auto"/>
          <w:sz w:val="24"/>
          <w:highlight w:val="none"/>
        </w:rPr>
        <w:br w:type="page"/>
      </w:r>
    </w:p>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Pr>
        <w:keepNext/>
        <w:keepLines/>
        <w:autoSpaceDE w:val="0"/>
        <w:autoSpaceDN w:val="0"/>
        <w:adjustRightInd w:val="0"/>
        <w:spacing w:before="120" w:line="300" w:lineRule="auto"/>
        <w:jc w:val="left"/>
        <w:outlineLvl w:val="1"/>
        <w:rPr>
          <w:rFonts w:hint="eastAsia" w:ascii="宋体" w:hAnsi="宋体" w:eastAsia="宋体" w:cs="宋体"/>
          <w:b/>
          <w:color w:val="auto"/>
          <w:kern w:val="0"/>
          <w:sz w:val="30"/>
          <w:szCs w:val="20"/>
          <w:highlight w:val="none"/>
        </w:rPr>
      </w:pPr>
      <w:r>
        <w:rPr>
          <w:rFonts w:hint="eastAsia" w:ascii="宋体" w:hAnsi="宋体" w:eastAsia="宋体" w:cs="宋体"/>
          <w:b/>
          <w:color w:val="auto"/>
          <w:spacing w:val="20"/>
          <w:sz w:val="24"/>
          <w:highlight w:val="none"/>
        </w:rPr>
        <w:t>一、资格证明文件格式</w:t>
      </w:r>
    </w:p>
    <w:p>
      <w:pPr>
        <w:rPr>
          <w:rFonts w:hint="eastAsia" w:ascii="宋体" w:hAnsi="宋体" w:eastAsia="宋体" w:cs="宋体"/>
          <w:b/>
          <w:color w:val="auto"/>
          <w:spacing w:val="20"/>
          <w:szCs w:val="21"/>
          <w:highlight w:val="none"/>
        </w:rPr>
      </w:pPr>
    </w:p>
    <w:p>
      <w:pPr>
        <w:rPr>
          <w:rFonts w:hint="eastAsia" w:ascii="宋体" w:hAnsi="宋体" w:eastAsia="宋体" w:cs="宋体"/>
          <w:b/>
          <w:color w:val="auto"/>
          <w:sz w:val="24"/>
          <w:highlight w:val="none"/>
        </w:rPr>
      </w:pPr>
      <w:r>
        <w:rPr>
          <w:rFonts w:hint="eastAsia" w:ascii="宋体" w:hAnsi="宋体" w:eastAsia="宋体" w:cs="宋体"/>
          <w:b/>
          <w:color w:val="auto"/>
          <w:spacing w:val="20"/>
          <w:sz w:val="24"/>
          <w:highlight w:val="none"/>
        </w:rPr>
        <w:t>投标文件（资格证明文件）</w:t>
      </w:r>
      <w:r>
        <w:rPr>
          <w:rFonts w:hint="eastAsia" w:ascii="宋体" w:hAnsi="宋体" w:eastAsia="宋体" w:cs="宋体"/>
          <w:b/>
          <w:color w:val="auto"/>
          <w:sz w:val="24"/>
          <w:highlight w:val="none"/>
        </w:rPr>
        <w:t>封面（非实质性格式）</w:t>
      </w:r>
    </w:p>
    <w:p>
      <w:pPr>
        <w:rPr>
          <w:rFonts w:hint="eastAsia" w:ascii="宋体" w:hAnsi="宋体" w:eastAsia="宋体" w:cs="宋体"/>
          <w:b/>
          <w:color w:val="auto"/>
          <w:spacing w:val="60"/>
          <w:sz w:val="84"/>
          <w:szCs w:val="84"/>
          <w:highlight w:val="none"/>
        </w:rPr>
      </w:pPr>
    </w:p>
    <w:p>
      <w:pPr>
        <w:jc w:val="center"/>
        <w:rPr>
          <w:rFonts w:hint="eastAsia" w:ascii="宋体" w:hAnsi="宋体" w:eastAsia="宋体" w:cs="宋体"/>
          <w:b/>
          <w:color w:val="auto"/>
          <w:spacing w:val="60"/>
          <w:sz w:val="84"/>
          <w:szCs w:val="84"/>
          <w:highlight w:val="none"/>
        </w:rPr>
      </w:pPr>
      <w:r>
        <w:rPr>
          <w:rFonts w:hint="eastAsia" w:ascii="宋体" w:hAnsi="宋体" w:eastAsia="宋体" w:cs="宋体"/>
          <w:b/>
          <w:color w:val="auto"/>
          <w:spacing w:val="60"/>
          <w:sz w:val="84"/>
          <w:szCs w:val="84"/>
          <w:highlight w:val="none"/>
        </w:rPr>
        <w:t>投 标 文 件</w:t>
      </w:r>
    </w:p>
    <w:p>
      <w:pPr>
        <w:jc w:val="center"/>
        <w:rPr>
          <w:rFonts w:hint="eastAsia" w:ascii="宋体" w:hAnsi="宋体" w:eastAsia="宋体" w:cs="宋体"/>
          <w:b/>
          <w:color w:val="auto"/>
          <w:spacing w:val="60"/>
          <w:sz w:val="52"/>
          <w:szCs w:val="52"/>
          <w:highlight w:val="none"/>
        </w:rPr>
      </w:pPr>
      <w:r>
        <w:rPr>
          <w:rFonts w:hint="eastAsia" w:ascii="宋体" w:hAnsi="宋体" w:eastAsia="宋体" w:cs="宋体"/>
          <w:b/>
          <w:color w:val="auto"/>
          <w:spacing w:val="60"/>
          <w:sz w:val="52"/>
          <w:szCs w:val="52"/>
          <w:highlight w:val="none"/>
        </w:rPr>
        <w:t>（资格证明文件）</w:t>
      </w: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项目名称:</w:t>
      </w:r>
    </w:p>
    <w:p>
      <w:pPr>
        <w:ind w:firstLine="542" w:firstLineChars="150"/>
        <w:rPr>
          <w:rFonts w:hint="eastAsia" w:ascii="宋体" w:hAnsi="宋体" w:eastAsia="宋体" w:cs="宋体"/>
          <w:b/>
          <w:color w:val="auto"/>
          <w:spacing w:val="20"/>
          <w:sz w:val="32"/>
          <w:szCs w:val="32"/>
          <w:highlight w:val="none"/>
          <w:lang w:val="en-US" w:eastAsia="zh-CN"/>
        </w:rPr>
      </w:pPr>
      <w:r>
        <w:rPr>
          <w:rFonts w:hint="eastAsia" w:ascii="宋体" w:hAnsi="宋体" w:cs="宋体"/>
          <w:b/>
          <w:color w:val="auto"/>
          <w:spacing w:val="20"/>
          <w:sz w:val="32"/>
          <w:szCs w:val="32"/>
          <w:highlight w:val="none"/>
          <w:lang w:val="en-US" w:eastAsia="zh-CN"/>
        </w:rPr>
        <w:t>分包</w:t>
      </w:r>
      <w:r>
        <w:rPr>
          <w:rFonts w:hint="eastAsia" w:ascii="宋体" w:hAnsi="宋体" w:eastAsia="宋体" w:cs="宋体"/>
          <w:b/>
          <w:color w:val="auto"/>
          <w:spacing w:val="20"/>
          <w:sz w:val="32"/>
          <w:szCs w:val="32"/>
          <w:highlight w:val="none"/>
          <w:lang w:val="en-US" w:eastAsia="zh-CN"/>
        </w:rPr>
        <w:t>名称：</w:t>
      </w: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项目编号：</w:t>
      </w:r>
    </w:p>
    <w:p>
      <w:pPr>
        <w:ind w:firstLine="542" w:firstLineChars="150"/>
        <w:rPr>
          <w:rFonts w:hint="eastAsia" w:ascii="宋体" w:hAnsi="宋体" w:eastAsia="宋体" w:cs="宋体"/>
          <w:b/>
          <w:color w:val="auto"/>
          <w:spacing w:val="20"/>
          <w:sz w:val="32"/>
          <w:szCs w:val="32"/>
          <w:highlight w:val="none"/>
          <w:lang w:val="en-US" w:eastAsia="zh-CN"/>
        </w:rPr>
      </w:pPr>
      <w:r>
        <w:rPr>
          <w:rFonts w:hint="eastAsia" w:ascii="宋体" w:hAnsi="宋体" w:eastAsia="宋体" w:cs="宋体"/>
          <w:b/>
          <w:color w:val="auto"/>
          <w:spacing w:val="20"/>
          <w:sz w:val="32"/>
          <w:szCs w:val="32"/>
          <w:highlight w:val="none"/>
          <w:lang w:val="en-US" w:eastAsia="zh-CN"/>
        </w:rPr>
        <w:t>包号：</w:t>
      </w: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 xml:space="preserve"> </w:t>
      </w:r>
    </w:p>
    <w:p>
      <w:pPr>
        <w:jc w:val="center"/>
        <w:rPr>
          <w:rFonts w:hint="eastAsia" w:ascii="宋体" w:hAnsi="宋体" w:eastAsia="宋体" w:cs="宋体"/>
          <w:b/>
          <w:color w:val="auto"/>
          <w:spacing w:val="20"/>
          <w:sz w:val="32"/>
          <w:szCs w:val="32"/>
          <w:highlight w:val="none"/>
        </w:rPr>
      </w:pPr>
    </w:p>
    <w:p>
      <w:pPr>
        <w:jc w:val="center"/>
        <w:rPr>
          <w:rFonts w:hint="eastAsia" w:ascii="宋体" w:hAnsi="宋体" w:eastAsia="宋体" w:cs="宋体"/>
          <w:b/>
          <w:color w:val="auto"/>
          <w:spacing w:val="20"/>
          <w:sz w:val="32"/>
          <w:szCs w:val="32"/>
          <w:highlight w:val="none"/>
        </w:rPr>
      </w:pPr>
    </w:p>
    <w:p>
      <w:pPr>
        <w:spacing w:line="360" w:lineRule="auto"/>
        <w:ind w:firstLine="1445" w:firstLineChars="400"/>
        <w:jc w:val="left"/>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投标人名称：</w:t>
      </w:r>
    </w:p>
    <w:p>
      <w:pPr>
        <w:spacing w:line="360" w:lineRule="auto"/>
        <w:ind w:firstLine="1445" w:firstLineChars="400"/>
        <w:jc w:val="left"/>
        <w:rPr>
          <w:rFonts w:hint="eastAsia" w:ascii="宋体" w:hAnsi="宋体" w:eastAsia="宋体" w:cs="宋体"/>
          <w:b/>
          <w:color w:val="auto"/>
          <w:spacing w:val="20"/>
          <w:sz w:val="32"/>
          <w:szCs w:val="32"/>
          <w:highlight w:val="none"/>
        </w:rPr>
      </w:pPr>
    </w:p>
    <w:p>
      <w:pPr>
        <w:rPr>
          <w:rFonts w:hint="eastAsia" w:ascii="宋体" w:hAnsi="宋体" w:eastAsia="宋体" w:cs="宋体"/>
          <w:color w:val="auto"/>
          <w:sz w:val="24"/>
          <w:szCs w:val="20"/>
          <w:highlight w:val="none"/>
        </w:rPr>
        <w:sectPr>
          <w:pgSz w:w="11907" w:h="16840"/>
          <w:pgMar w:top="1440" w:right="1797" w:bottom="1440" w:left="1797" w:header="851" w:footer="851" w:gutter="0"/>
          <w:cols w:space="720" w:num="1"/>
          <w:docGrid w:linePitch="462" w:charSpace="0"/>
        </w:sectPr>
      </w:pPr>
    </w:p>
    <w:p>
      <w:pPr>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1 </w:t>
      </w:r>
      <w:r>
        <w:rPr>
          <w:rFonts w:hint="eastAsia" w:ascii="宋体" w:hAnsi="宋体" w:eastAsia="宋体" w:cs="宋体"/>
          <w:color w:val="auto"/>
          <w:sz w:val="24"/>
          <w:highlight w:val="none"/>
        </w:rPr>
        <w:t>满足《中华人民共和国政府采购法》第二十二条规定及法律法规的其他规定</w:t>
      </w:r>
    </w:p>
    <w:p>
      <w:pPr>
        <w:spacing w:line="360" w:lineRule="auto"/>
        <w:outlineLvl w:val="2"/>
        <w:rPr>
          <w:rFonts w:hint="eastAsia" w:ascii="宋体" w:hAnsi="宋体" w:eastAsia="宋体" w:cs="宋体"/>
          <w:b/>
          <w:bCs/>
          <w:color w:val="auto"/>
          <w:sz w:val="24"/>
          <w:szCs w:val="20"/>
          <w:highlight w:val="none"/>
        </w:rPr>
      </w:pPr>
      <w:r>
        <w:rPr>
          <w:rFonts w:hint="eastAsia" w:ascii="宋体" w:hAnsi="宋体" w:eastAsia="宋体" w:cs="宋体"/>
          <w:b/>
          <w:color w:val="auto"/>
          <w:sz w:val="24"/>
          <w:szCs w:val="20"/>
          <w:highlight w:val="none"/>
        </w:rPr>
        <w:t>1-1</w:t>
      </w:r>
      <w:r>
        <w:rPr>
          <w:rFonts w:hint="eastAsia" w:ascii="宋体" w:hAnsi="宋体" w:eastAsia="宋体" w:cs="宋体"/>
          <w:b/>
          <w:bCs/>
          <w:color w:val="auto"/>
          <w:sz w:val="24"/>
          <w:szCs w:val="20"/>
          <w:highlight w:val="none"/>
        </w:rPr>
        <w:t>营业执照等证明文件（实质性格式）</w:t>
      </w:r>
    </w:p>
    <w:p>
      <w:pPr>
        <w:rPr>
          <w:rFonts w:hint="eastAsia" w:ascii="宋体" w:hAnsi="宋体" w:eastAsia="宋体" w:cs="宋体"/>
          <w:b/>
          <w:bCs/>
          <w:color w:val="auto"/>
          <w:sz w:val="44"/>
          <w:szCs w:val="44"/>
          <w:highlight w:val="none"/>
        </w:rPr>
        <w:sectPr>
          <w:pgSz w:w="11907" w:h="16840"/>
          <w:pgMar w:top="1440" w:right="1797" w:bottom="1440" w:left="1797" w:header="851" w:footer="851" w:gutter="0"/>
          <w:cols w:space="720" w:num="1"/>
          <w:docGrid w:linePitch="462" w:charSpace="0"/>
        </w:sectPr>
      </w:pPr>
      <w:r>
        <w:rPr>
          <w:rFonts w:hint="eastAsia" w:ascii="宋体" w:hAnsi="宋体" w:eastAsia="宋体" w:cs="宋体"/>
          <w:b/>
          <w:bCs/>
          <w:color w:val="auto"/>
          <w:sz w:val="44"/>
          <w:szCs w:val="44"/>
          <w:highlight w:val="none"/>
        </w:rPr>
        <w:t>附营业执照电子件</w:t>
      </w:r>
    </w:p>
    <w:p>
      <w:pPr>
        <w:pStyle w:val="5"/>
        <w:rPr>
          <w:rFonts w:hint="eastAsia" w:ascii="宋体" w:hAnsi="宋体" w:eastAsia="宋体" w:cs="宋体"/>
          <w:bCs/>
          <w:color w:val="auto"/>
          <w:highlight w:val="none"/>
          <w:u w:val="none"/>
        </w:rPr>
      </w:pPr>
      <w:r>
        <w:rPr>
          <w:rFonts w:hint="eastAsia" w:ascii="宋体" w:hAnsi="宋体" w:eastAsia="宋体" w:cs="宋体"/>
          <w:color w:val="auto"/>
          <w:highlight w:val="none"/>
          <w:u w:val="none"/>
        </w:rPr>
        <w:t>1-2 投标人资格声明书（实质性格式）</w:t>
      </w: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投标人资格声明书</w:t>
      </w:r>
    </w:p>
    <w:p>
      <w:pPr>
        <w:tabs>
          <w:tab w:val="left" w:pos="5580"/>
        </w:tabs>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致：采购人或采购代理机构</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在参与本次项目投标中，我单位承诺：</w:t>
      </w:r>
    </w:p>
    <w:p>
      <w:pPr>
        <w:keepNext w:val="0"/>
        <w:keepLines w:val="0"/>
        <w:pageBreakBefore w:val="0"/>
        <w:widowControl w:val="0"/>
        <w:numPr>
          <w:ilvl w:val="0"/>
          <w:numId w:val="27"/>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具有良好的商业信誉和健全的财务会计制度；</w:t>
      </w:r>
    </w:p>
    <w:p>
      <w:pPr>
        <w:keepNext w:val="0"/>
        <w:keepLines w:val="0"/>
        <w:pageBreakBefore w:val="0"/>
        <w:widowControl w:val="0"/>
        <w:numPr>
          <w:ilvl w:val="0"/>
          <w:numId w:val="27"/>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具有履行合同所必需的设备和专业技术能力；</w:t>
      </w:r>
    </w:p>
    <w:p>
      <w:pPr>
        <w:keepNext w:val="0"/>
        <w:keepLines w:val="0"/>
        <w:pageBreakBefore w:val="0"/>
        <w:widowControl w:val="0"/>
        <w:numPr>
          <w:ilvl w:val="0"/>
          <w:numId w:val="27"/>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有依法缴纳税收和社会保障资金的良好记录；</w:t>
      </w:r>
    </w:p>
    <w:p>
      <w:pPr>
        <w:keepNext w:val="0"/>
        <w:keepLines w:val="0"/>
        <w:pageBreakBefore w:val="0"/>
        <w:widowControl w:val="0"/>
        <w:numPr>
          <w:ilvl w:val="0"/>
          <w:numId w:val="27"/>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keepNext w:val="0"/>
        <w:keepLines w:val="0"/>
        <w:pageBreakBefore w:val="0"/>
        <w:widowControl w:val="0"/>
        <w:numPr>
          <w:ilvl w:val="0"/>
          <w:numId w:val="27"/>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我单位不属于政府采购法律、行政法规规定的公益一类事业单位、或使用事业编制且由财政拨款保障的群团组织（仅适用于政府购买服务项目）；</w:t>
      </w:r>
    </w:p>
    <w:p>
      <w:pPr>
        <w:keepNext w:val="0"/>
        <w:keepLines w:val="0"/>
        <w:pageBreakBefore w:val="0"/>
        <w:widowControl w:val="0"/>
        <w:numPr>
          <w:ilvl w:val="0"/>
          <w:numId w:val="27"/>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我单位不存在为采购项目提供整体设计、规范编制或者项目管理、监理、检测等服务后，再参加该采购项目的其他采购活动的情形（单一来源采购项目除外）；</w:t>
      </w:r>
    </w:p>
    <w:p>
      <w:pPr>
        <w:keepNext w:val="0"/>
        <w:keepLines w:val="0"/>
        <w:pageBreakBefore w:val="0"/>
        <w:widowControl w:val="0"/>
        <w:numPr>
          <w:ilvl w:val="0"/>
          <w:numId w:val="27"/>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7"/>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4574"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2976"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574" w:type="dxa"/>
            <w:vAlign w:val="center"/>
          </w:tcPr>
          <w:p>
            <w:pPr>
              <w:jc w:val="center"/>
              <w:rPr>
                <w:rFonts w:hint="eastAsia" w:ascii="宋体" w:hAnsi="宋体" w:eastAsia="宋体" w:cs="宋体"/>
                <w:color w:val="auto"/>
                <w:sz w:val="24"/>
                <w:highlight w:val="none"/>
              </w:rPr>
            </w:pPr>
          </w:p>
        </w:tc>
        <w:tc>
          <w:tcPr>
            <w:tcW w:w="2976" w:type="dxa"/>
            <w:vAlign w:val="center"/>
          </w:tcPr>
          <w:p>
            <w:pPr>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4574" w:type="dxa"/>
            <w:vAlign w:val="center"/>
          </w:tcPr>
          <w:p>
            <w:pPr>
              <w:jc w:val="center"/>
              <w:rPr>
                <w:rFonts w:hint="eastAsia" w:ascii="宋体" w:hAnsi="宋体" w:eastAsia="宋体" w:cs="宋体"/>
                <w:color w:val="auto"/>
                <w:sz w:val="24"/>
                <w:highlight w:val="none"/>
              </w:rPr>
            </w:pPr>
          </w:p>
        </w:tc>
        <w:tc>
          <w:tcPr>
            <w:tcW w:w="2976" w:type="dxa"/>
            <w:vAlign w:val="center"/>
          </w:tcPr>
          <w:p>
            <w:pPr>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4574" w:type="dxa"/>
            <w:vAlign w:val="center"/>
          </w:tcPr>
          <w:p>
            <w:pPr>
              <w:jc w:val="center"/>
              <w:rPr>
                <w:rFonts w:hint="eastAsia" w:ascii="宋体" w:hAnsi="宋体" w:eastAsia="宋体" w:cs="宋体"/>
                <w:color w:val="auto"/>
                <w:sz w:val="24"/>
                <w:highlight w:val="none"/>
              </w:rPr>
            </w:pPr>
          </w:p>
        </w:tc>
        <w:tc>
          <w:tcPr>
            <w:tcW w:w="2976" w:type="dxa"/>
            <w:vAlign w:val="center"/>
          </w:tcPr>
          <w:p>
            <w:pPr>
              <w:jc w:val="center"/>
              <w:rPr>
                <w:rFonts w:hint="eastAsia" w:ascii="宋体" w:hAnsi="宋体" w:eastAsia="宋体" w:cs="宋体"/>
                <w:color w:val="auto"/>
                <w:sz w:val="24"/>
                <w:highlight w:val="none"/>
              </w:rPr>
            </w:pPr>
          </w:p>
        </w:tc>
      </w:tr>
    </w:tbl>
    <w:p>
      <w:pPr>
        <w:keepNext w:val="0"/>
        <w:keepLines w:val="0"/>
        <w:pageBreakBefore w:val="0"/>
        <w:widowControl w:val="0"/>
        <w:kinsoku/>
        <w:wordWrap/>
        <w:overflowPunct/>
        <w:topLinePunct w:val="0"/>
        <w:bidi w:val="0"/>
        <w:adjustRightInd w:val="0"/>
        <w:snapToGrid w:val="0"/>
        <w:spacing w:after="0"/>
        <w:textAlignment w:val="auto"/>
        <w:rPr>
          <w:rFonts w:hint="eastAsia" w:ascii="宋体" w:hAnsi="宋体" w:eastAsia="宋体" w:cs="宋体"/>
          <w:color w:val="auto"/>
          <w:highlight w:val="none"/>
        </w:rPr>
      </w:pPr>
    </w:p>
    <w:p>
      <w:pPr>
        <w:keepNext w:val="0"/>
        <w:keepLines w:val="0"/>
        <w:pageBreakBefore w:val="0"/>
        <w:widowControl w:val="0"/>
        <w:kinsoku/>
        <w:wordWrap/>
        <w:overflowPunct/>
        <w:topLinePunct w:val="0"/>
        <w:bidi w:val="0"/>
        <w:adjustRightInd w:val="0"/>
        <w:snapToGrid w:val="0"/>
        <w:spacing w:after="0"/>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上述声明真实有效，否则我方负全部责任。</w:t>
      </w:r>
    </w:p>
    <w:p>
      <w:pPr>
        <w:keepNext w:val="0"/>
        <w:keepLines w:val="0"/>
        <w:pageBreakBefore w:val="0"/>
        <w:widowControl w:val="0"/>
        <w:kinsoku/>
        <w:wordWrap/>
        <w:overflowPunct/>
        <w:topLinePunct w:val="0"/>
        <w:autoSpaceDE w:val="0"/>
        <w:autoSpaceDN w:val="0"/>
        <w:bidi w:val="0"/>
        <w:adjustRightInd w:val="0"/>
        <w:snapToGrid w:val="0"/>
        <w:spacing w:after="0" w:line="360" w:lineRule="auto"/>
        <w:jc w:val="righ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____________</w:t>
      </w:r>
    </w:p>
    <w:p>
      <w:pPr>
        <w:keepNext w:val="0"/>
        <w:keepLines w:val="0"/>
        <w:pageBreakBefore w:val="0"/>
        <w:widowControl w:val="0"/>
        <w:kinsoku/>
        <w:wordWrap/>
        <w:overflowPunct/>
        <w:topLinePunct w:val="0"/>
        <w:bidi w:val="0"/>
        <w:adjustRightInd w:val="0"/>
        <w:snapToGrid w:val="0"/>
        <w:spacing w:after="0" w:line="360" w:lineRule="auto"/>
        <w:ind w:right="360" w:firstLine="48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 xml:space="preserve">日期：_____年______月______日   </w:t>
      </w:r>
    </w:p>
    <w:p>
      <w:pPr>
        <w:keepNext w:val="0"/>
        <w:keepLines w:val="0"/>
        <w:pageBreakBefore w:val="0"/>
        <w:widowControl w:val="0"/>
        <w:kinsoku/>
        <w:wordWrap/>
        <w:overflowPunct/>
        <w:topLinePunct w:val="0"/>
        <w:bidi w:val="0"/>
        <w:adjustRightInd w:val="0"/>
        <w:snapToGrid w:val="0"/>
        <w:spacing w:after="0" w:line="360" w:lineRule="auto"/>
        <w:textAlignment w:val="auto"/>
        <w:rPr>
          <w:rFonts w:hint="eastAsia" w:ascii="宋体" w:hAnsi="宋体" w:eastAsia="宋体" w:cs="宋体"/>
          <w:color w:val="auto"/>
          <w:highlight w:val="non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color w:val="auto"/>
          <w:sz w:val="24"/>
          <w:highlight w:val="none"/>
        </w:rPr>
        <w:t>说明：投标人承诺不实的，依据《政府采购法》第七十七条“提供虚假材料谋取中标、成交的”有关规定予以处理。</w:t>
      </w:r>
    </w:p>
    <w:p>
      <w:pPr>
        <w:pStyle w:val="5"/>
        <w:rPr>
          <w:rFonts w:hint="eastAsia" w:ascii="宋体" w:hAnsi="宋体" w:eastAsia="宋体" w:cs="宋体"/>
          <w:color w:val="auto"/>
          <w:highlight w:val="none"/>
        </w:rPr>
      </w:pPr>
      <w:r>
        <w:rPr>
          <w:rFonts w:hint="eastAsia" w:hAnsi="宋体" w:cs="宋体"/>
          <w:color w:val="auto"/>
          <w:highlight w:val="none"/>
          <w:lang w:val="en-US" w:eastAsia="zh-CN"/>
        </w:rPr>
        <w:t>2</w:t>
      </w:r>
      <w:r>
        <w:rPr>
          <w:rFonts w:hint="eastAsia" w:ascii="宋体" w:hAnsi="宋体" w:eastAsia="宋体" w:cs="宋体"/>
          <w:color w:val="auto"/>
          <w:highlight w:val="none"/>
        </w:rPr>
        <w:t>本项目特定资格要求：</w:t>
      </w:r>
    </w:p>
    <w:p>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ab/>
      </w:r>
    </w:p>
    <w:p>
      <w:pPr>
        <w:pStyle w:val="288"/>
        <w:widowControl/>
        <w:numPr>
          <w:ilvl w:val="0"/>
          <w:numId w:val="28"/>
        </w:numPr>
        <w:ind w:firstLineChars="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投标人需具有农业农村部门颁发的兽药生产许可证。</w:t>
      </w:r>
    </w:p>
    <w:p>
      <w:pPr>
        <w:pStyle w:val="288"/>
        <w:widowControl/>
        <w:ind w:left="922" w:firstLine="0" w:firstLineChars="0"/>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提供证书电子件并加盖投标单位公章</w:t>
      </w:r>
    </w:p>
    <w:p>
      <w:pPr>
        <w:pStyle w:val="288"/>
        <w:widowControl/>
        <w:ind w:left="922" w:firstLine="0" w:firstLineChars="0"/>
        <w:rPr>
          <w:rFonts w:hint="eastAsia" w:ascii="宋体" w:hAnsi="宋体" w:eastAsia="宋体" w:cs="宋体"/>
          <w:b/>
          <w:color w:val="auto"/>
          <w:sz w:val="44"/>
          <w:szCs w:val="44"/>
          <w:highlight w:val="none"/>
        </w:rPr>
      </w:pPr>
    </w:p>
    <w:p>
      <w:pPr>
        <w:pStyle w:val="288"/>
        <w:widowControl/>
        <w:numPr>
          <w:ilvl w:val="0"/>
          <w:numId w:val="28"/>
        </w:numPr>
        <w:ind w:firstLineChars="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投标人须具备所投各疫苗品种(毒株)的有效兽药产品批准文号（涉及农业农村部统一变更某产品名称和毒株的，变更后的产品批准文号文件同样有效）</w:t>
      </w:r>
    </w:p>
    <w:p>
      <w:pPr>
        <w:pStyle w:val="288"/>
        <w:widowControl/>
        <w:numPr>
          <w:ilvl w:val="0"/>
          <w:numId w:val="0"/>
        </w:numPr>
        <w:ind w:left="562" w:leftChars="0"/>
        <w:jc w:val="left"/>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提供证书电子件并加盖投标单位公章</w:t>
      </w:r>
    </w:p>
    <w:p>
      <w:pPr>
        <w:pStyle w:val="288"/>
        <w:widowControl/>
        <w:numPr>
          <w:ilvl w:val="0"/>
          <w:numId w:val="0"/>
        </w:numPr>
        <w:ind w:left="562" w:leftChars="0"/>
        <w:jc w:val="left"/>
        <w:rPr>
          <w:rFonts w:hint="eastAsia" w:ascii="宋体" w:hAnsi="宋体" w:eastAsia="宋体" w:cs="宋体"/>
          <w:b/>
          <w:color w:val="auto"/>
          <w:sz w:val="44"/>
          <w:szCs w:val="44"/>
          <w:highlight w:val="none"/>
        </w:rPr>
      </w:pPr>
    </w:p>
    <w:p>
      <w:pPr>
        <w:pStyle w:val="288"/>
        <w:widowControl/>
        <w:numPr>
          <w:ilvl w:val="0"/>
          <w:numId w:val="28"/>
        </w:numPr>
        <w:ind w:firstLineChars="0"/>
        <w:jc w:val="left"/>
        <w:rPr>
          <w:rFonts w:hint="eastAsia" w:ascii="宋体" w:hAnsi="宋体" w:eastAsia="宋体" w:cs="宋体"/>
          <w:color w:val="auto"/>
          <w:sz w:val="24"/>
          <w:szCs w:val="20"/>
          <w:highlight w:val="none"/>
        </w:rPr>
      </w:pPr>
      <w:r>
        <w:rPr>
          <w:rFonts w:hint="eastAsia" w:ascii="宋体" w:hAnsi="宋体" w:eastAsia="宋体" w:cs="宋体"/>
          <w:b/>
          <w:bCs/>
          <w:color w:val="auto"/>
          <w:sz w:val="28"/>
          <w:szCs w:val="28"/>
          <w:highlight w:val="none"/>
        </w:rPr>
        <w:t>投标人需具有农业农村部门颁发的中华人民共和国兽药GMP证书。</w:t>
      </w:r>
    </w:p>
    <w:p>
      <w:pPr>
        <w:widowControl/>
        <w:ind w:firstLine="480" w:firstLineChars="200"/>
        <w:jc w:val="left"/>
        <w:rPr>
          <w:rFonts w:hint="eastAsia" w:ascii="宋体" w:hAnsi="宋体" w:eastAsia="宋体" w:cs="宋体"/>
          <w:color w:val="auto"/>
          <w:sz w:val="24"/>
          <w:szCs w:val="20"/>
          <w:highlight w:val="none"/>
        </w:rPr>
      </w:pPr>
    </w:p>
    <w:p>
      <w:pPr>
        <w:widowControl/>
        <w:jc w:val="center"/>
        <w:rPr>
          <w:rFonts w:hint="eastAsia" w:ascii="宋体" w:hAnsi="宋体" w:eastAsia="宋体" w:cs="宋体"/>
          <w:b/>
          <w:color w:val="auto"/>
          <w:sz w:val="44"/>
          <w:szCs w:val="44"/>
          <w:highlight w:val="non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color w:val="auto"/>
          <w:sz w:val="44"/>
          <w:szCs w:val="44"/>
          <w:highlight w:val="none"/>
        </w:rPr>
        <w:t xml:space="preserve">提供证书电子件并加盖投标单位公章. </w:t>
      </w:r>
    </w:p>
    <w:p>
      <w:pPr>
        <w:keepNext/>
        <w:keepLines/>
        <w:autoSpaceDE w:val="0"/>
        <w:autoSpaceDN w:val="0"/>
        <w:adjustRightInd w:val="0"/>
        <w:spacing w:before="120" w:line="300" w:lineRule="auto"/>
        <w:jc w:val="left"/>
        <w:outlineLvl w:val="1"/>
        <w:rPr>
          <w:rFonts w:hint="eastAsia" w:ascii="宋体" w:hAnsi="宋体" w:eastAsia="宋体" w:cs="宋体"/>
          <w:b/>
          <w:color w:val="auto"/>
          <w:spacing w:val="20"/>
          <w:sz w:val="24"/>
          <w:highlight w:val="none"/>
        </w:rPr>
      </w:pPr>
      <w:bookmarkStart w:id="305" w:name="_Hlk178254376"/>
      <w:r>
        <w:rPr>
          <w:rFonts w:hint="eastAsia" w:ascii="宋体" w:hAnsi="宋体" w:eastAsia="宋体" w:cs="宋体"/>
          <w:b/>
          <w:color w:val="auto"/>
          <w:spacing w:val="20"/>
          <w:sz w:val="24"/>
          <w:highlight w:val="none"/>
        </w:rPr>
        <w:t>二、商务技术文件格式</w:t>
      </w:r>
    </w:p>
    <w:p>
      <w:pPr>
        <w:rPr>
          <w:rFonts w:hint="eastAsia" w:ascii="宋体" w:hAnsi="宋体" w:eastAsia="宋体" w:cs="宋体"/>
          <w:b/>
          <w:color w:val="auto"/>
          <w:spacing w:val="20"/>
          <w:szCs w:val="21"/>
          <w:highlight w:val="none"/>
        </w:rPr>
      </w:pPr>
    </w:p>
    <w:p>
      <w:pPr>
        <w:rPr>
          <w:rFonts w:hint="eastAsia" w:ascii="宋体" w:hAnsi="宋体" w:eastAsia="宋体" w:cs="宋体"/>
          <w:b/>
          <w:color w:val="auto"/>
          <w:sz w:val="24"/>
          <w:highlight w:val="none"/>
        </w:rPr>
      </w:pPr>
      <w:r>
        <w:rPr>
          <w:rFonts w:hint="eastAsia" w:ascii="宋体" w:hAnsi="宋体" w:eastAsia="宋体" w:cs="宋体"/>
          <w:b/>
          <w:color w:val="auto"/>
          <w:spacing w:val="20"/>
          <w:sz w:val="24"/>
          <w:highlight w:val="none"/>
        </w:rPr>
        <w:t>投标文件（商务技术文件）</w:t>
      </w:r>
      <w:r>
        <w:rPr>
          <w:rFonts w:hint="eastAsia" w:ascii="宋体" w:hAnsi="宋体" w:eastAsia="宋体" w:cs="宋体"/>
          <w:b/>
          <w:color w:val="auto"/>
          <w:sz w:val="24"/>
          <w:highlight w:val="none"/>
        </w:rPr>
        <w:t>封面（非实质性格式）</w:t>
      </w:r>
    </w:p>
    <w:p>
      <w:pPr>
        <w:jc w:val="center"/>
        <w:rPr>
          <w:rFonts w:hint="eastAsia" w:ascii="宋体" w:hAnsi="宋体" w:eastAsia="宋体" w:cs="宋体"/>
          <w:color w:val="auto"/>
          <w:szCs w:val="21"/>
          <w:highlight w:val="none"/>
        </w:rPr>
      </w:pPr>
    </w:p>
    <w:p>
      <w:pPr>
        <w:jc w:val="center"/>
        <w:rPr>
          <w:rFonts w:hint="eastAsia" w:ascii="宋体" w:hAnsi="宋体" w:eastAsia="宋体" w:cs="宋体"/>
          <w:b/>
          <w:color w:val="auto"/>
          <w:spacing w:val="60"/>
          <w:sz w:val="84"/>
          <w:szCs w:val="84"/>
          <w:highlight w:val="none"/>
        </w:rPr>
      </w:pPr>
    </w:p>
    <w:p>
      <w:pPr>
        <w:jc w:val="center"/>
        <w:rPr>
          <w:rFonts w:hint="eastAsia" w:ascii="宋体" w:hAnsi="宋体" w:eastAsia="宋体" w:cs="宋体"/>
          <w:b/>
          <w:color w:val="auto"/>
          <w:spacing w:val="60"/>
          <w:sz w:val="84"/>
          <w:szCs w:val="84"/>
          <w:highlight w:val="none"/>
        </w:rPr>
      </w:pPr>
      <w:r>
        <w:rPr>
          <w:rFonts w:hint="eastAsia" w:ascii="宋体" w:hAnsi="宋体" w:eastAsia="宋体" w:cs="宋体"/>
          <w:b/>
          <w:color w:val="auto"/>
          <w:spacing w:val="60"/>
          <w:sz w:val="84"/>
          <w:szCs w:val="84"/>
          <w:highlight w:val="none"/>
        </w:rPr>
        <w:t>投 标 文 件</w:t>
      </w:r>
    </w:p>
    <w:p>
      <w:pPr>
        <w:jc w:val="center"/>
        <w:rPr>
          <w:rFonts w:hint="eastAsia" w:ascii="宋体" w:hAnsi="宋体" w:eastAsia="宋体" w:cs="宋体"/>
          <w:b/>
          <w:color w:val="auto"/>
          <w:spacing w:val="60"/>
          <w:sz w:val="52"/>
          <w:szCs w:val="52"/>
          <w:highlight w:val="none"/>
        </w:rPr>
      </w:pPr>
      <w:r>
        <w:rPr>
          <w:rFonts w:hint="eastAsia" w:ascii="宋体" w:hAnsi="宋体" w:eastAsia="宋体" w:cs="宋体"/>
          <w:b/>
          <w:color w:val="auto"/>
          <w:spacing w:val="60"/>
          <w:sz w:val="52"/>
          <w:szCs w:val="52"/>
          <w:highlight w:val="none"/>
        </w:rPr>
        <w:t>（商务技术文件）</w:t>
      </w: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项目名称:</w:t>
      </w:r>
    </w:p>
    <w:p>
      <w:pPr>
        <w:ind w:firstLine="542" w:firstLineChars="150"/>
        <w:rPr>
          <w:rFonts w:hint="eastAsia" w:ascii="宋体" w:hAnsi="宋体" w:eastAsia="宋体" w:cs="宋体"/>
          <w:b/>
          <w:color w:val="auto"/>
          <w:spacing w:val="20"/>
          <w:sz w:val="32"/>
          <w:szCs w:val="32"/>
          <w:highlight w:val="none"/>
          <w:lang w:val="en-US" w:eastAsia="zh-CN"/>
        </w:rPr>
      </w:pPr>
      <w:r>
        <w:rPr>
          <w:rFonts w:hint="eastAsia" w:ascii="宋体" w:hAnsi="宋体" w:cs="宋体"/>
          <w:b/>
          <w:color w:val="auto"/>
          <w:spacing w:val="20"/>
          <w:sz w:val="32"/>
          <w:szCs w:val="32"/>
          <w:highlight w:val="none"/>
          <w:lang w:val="en-US" w:eastAsia="zh-CN"/>
        </w:rPr>
        <w:t>分包</w:t>
      </w:r>
      <w:r>
        <w:rPr>
          <w:rFonts w:hint="eastAsia" w:ascii="宋体" w:hAnsi="宋体" w:eastAsia="宋体" w:cs="宋体"/>
          <w:b/>
          <w:color w:val="auto"/>
          <w:spacing w:val="20"/>
          <w:sz w:val="32"/>
          <w:szCs w:val="32"/>
          <w:highlight w:val="none"/>
          <w:lang w:val="en-US" w:eastAsia="zh-CN"/>
        </w:rPr>
        <w:t>名称：</w:t>
      </w: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项目编号：</w:t>
      </w:r>
    </w:p>
    <w:p>
      <w:pPr>
        <w:ind w:firstLine="542" w:firstLineChars="150"/>
        <w:rPr>
          <w:rFonts w:hint="eastAsia" w:ascii="宋体" w:hAnsi="宋体" w:eastAsia="宋体" w:cs="宋体"/>
          <w:b/>
          <w:color w:val="auto"/>
          <w:spacing w:val="20"/>
          <w:sz w:val="32"/>
          <w:szCs w:val="32"/>
          <w:highlight w:val="none"/>
          <w:lang w:val="en-US" w:eastAsia="zh-CN"/>
        </w:rPr>
      </w:pPr>
      <w:r>
        <w:rPr>
          <w:rFonts w:hint="eastAsia" w:ascii="宋体" w:hAnsi="宋体" w:eastAsia="宋体" w:cs="宋体"/>
          <w:b/>
          <w:color w:val="auto"/>
          <w:spacing w:val="20"/>
          <w:sz w:val="32"/>
          <w:szCs w:val="32"/>
          <w:highlight w:val="none"/>
          <w:lang w:val="en-US" w:eastAsia="zh-CN"/>
        </w:rPr>
        <w:t>包号：</w:t>
      </w: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 xml:space="preserve"> </w:t>
      </w:r>
    </w:p>
    <w:p>
      <w:pPr>
        <w:ind w:firstLine="542" w:firstLineChars="150"/>
        <w:rPr>
          <w:rFonts w:hint="eastAsia" w:ascii="宋体" w:hAnsi="宋体" w:eastAsia="宋体" w:cs="宋体"/>
          <w:b/>
          <w:color w:val="auto"/>
          <w:spacing w:val="20"/>
          <w:sz w:val="32"/>
          <w:szCs w:val="32"/>
          <w:highlight w:val="none"/>
        </w:rPr>
      </w:pPr>
    </w:p>
    <w:p>
      <w:pPr>
        <w:jc w:val="center"/>
        <w:rPr>
          <w:rFonts w:hint="eastAsia" w:ascii="宋体" w:hAnsi="宋体" w:eastAsia="宋体" w:cs="宋体"/>
          <w:b/>
          <w:color w:val="auto"/>
          <w:spacing w:val="20"/>
          <w:sz w:val="32"/>
          <w:szCs w:val="32"/>
          <w:highlight w:val="none"/>
        </w:rPr>
      </w:pPr>
    </w:p>
    <w:p>
      <w:pPr>
        <w:spacing w:line="360" w:lineRule="auto"/>
        <w:ind w:firstLine="1445" w:firstLineChars="400"/>
        <w:jc w:val="left"/>
        <w:rPr>
          <w:rFonts w:hint="eastAsia" w:ascii="宋体" w:hAnsi="宋体" w:eastAsia="宋体" w:cs="宋体"/>
          <w:b/>
          <w:color w:val="auto"/>
          <w:sz w:val="24"/>
          <w:highlight w:val="none"/>
        </w:rPr>
      </w:pPr>
      <w:r>
        <w:rPr>
          <w:rFonts w:hint="eastAsia" w:ascii="宋体" w:hAnsi="宋体" w:eastAsia="宋体" w:cs="宋体"/>
          <w:b/>
          <w:color w:val="auto"/>
          <w:spacing w:val="20"/>
          <w:sz w:val="32"/>
          <w:szCs w:val="32"/>
          <w:highlight w:val="none"/>
        </w:rPr>
        <w:t>投标人名称：</w:t>
      </w:r>
      <w:r>
        <w:rPr>
          <w:rFonts w:hint="eastAsia" w:ascii="宋体" w:hAnsi="宋体" w:eastAsia="宋体" w:cs="宋体"/>
          <w:b/>
          <w:color w:val="auto"/>
          <w:sz w:val="24"/>
          <w:highlight w:val="none"/>
        </w:rPr>
        <w:br w:type="page"/>
      </w:r>
    </w:p>
    <w:p>
      <w:pPr>
        <w:spacing w:line="360" w:lineRule="auto"/>
        <w:outlineLvl w:val="2"/>
        <w:rPr>
          <w:rFonts w:hint="eastAsia" w:ascii="宋体" w:hAnsi="宋体" w:eastAsia="宋体" w:cs="宋体"/>
          <w:b/>
          <w:color w:val="auto"/>
          <w:sz w:val="24"/>
          <w:szCs w:val="20"/>
          <w:highlight w:val="none"/>
        </w:rPr>
      </w:pPr>
      <w:bookmarkStart w:id="306" w:name="_Hlt520274065"/>
      <w:bookmarkEnd w:id="306"/>
      <w:bookmarkStart w:id="307" w:name="_Hlt520273711"/>
      <w:bookmarkEnd w:id="307"/>
      <w:bookmarkStart w:id="308" w:name="_Hlt520274393"/>
      <w:bookmarkEnd w:id="308"/>
      <w:bookmarkStart w:id="309" w:name="_Hlt520355504"/>
      <w:bookmarkEnd w:id="309"/>
      <w:bookmarkStart w:id="310" w:name="_Hlt520343000"/>
      <w:bookmarkEnd w:id="310"/>
      <w:bookmarkStart w:id="311" w:name="_Hlt520271212"/>
      <w:bookmarkEnd w:id="311"/>
      <w:bookmarkStart w:id="312" w:name="_Hlt520350918"/>
      <w:bookmarkEnd w:id="312"/>
      <w:bookmarkStart w:id="313" w:name="_Hlt520274121"/>
      <w:bookmarkEnd w:id="313"/>
      <w:bookmarkStart w:id="314" w:name="_Hlt520274407"/>
      <w:bookmarkEnd w:id="314"/>
      <w:bookmarkStart w:id="315" w:name="_Hlt520343392"/>
      <w:bookmarkEnd w:id="315"/>
      <w:bookmarkStart w:id="316" w:name="_Ref467988698"/>
      <w:bookmarkStart w:id="317" w:name="_Toc480942349"/>
      <w:bookmarkStart w:id="318" w:name="_Toc226309800"/>
      <w:bookmarkStart w:id="319" w:name="_Toc226965829"/>
      <w:bookmarkStart w:id="320" w:name="_Toc226337252"/>
      <w:bookmarkStart w:id="321" w:name="_Toc150774761"/>
      <w:bookmarkStart w:id="322" w:name="_Toc142311058"/>
      <w:bookmarkStart w:id="323" w:name="_Toc520356217"/>
      <w:bookmarkStart w:id="324" w:name="_Toc195842921"/>
      <w:bookmarkStart w:id="325" w:name="_Toc127151556"/>
      <w:bookmarkStart w:id="326" w:name="_Toc226965746"/>
      <w:bookmarkStart w:id="327" w:name="_Toc150480794"/>
      <w:r>
        <w:rPr>
          <w:rFonts w:hint="eastAsia" w:ascii="宋体" w:hAnsi="宋体" w:eastAsia="宋体" w:cs="宋体"/>
          <w:b/>
          <w:color w:val="auto"/>
          <w:sz w:val="24"/>
          <w:highlight w:val="none"/>
        </w:rPr>
        <w:t>1投标</w:t>
      </w:r>
      <w:bookmarkEnd w:id="316"/>
      <w:bookmarkEnd w:id="317"/>
      <w:r>
        <w:rPr>
          <w:rFonts w:hint="eastAsia" w:ascii="宋体" w:hAnsi="宋体" w:eastAsia="宋体" w:cs="宋体"/>
          <w:b/>
          <w:color w:val="auto"/>
          <w:sz w:val="24"/>
          <w:highlight w:val="none"/>
        </w:rPr>
        <w:t>书</w:t>
      </w:r>
      <w:bookmarkEnd w:id="318"/>
      <w:bookmarkEnd w:id="319"/>
      <w:bookmarkEnd w:id="320"/>
      <w:bookmarkEnd w:id="321"/>
      <w:bookmarkEnd w:id="322"/>
      <w:bookmarkEnd w:id="323"/>
      <w:bookmarkEnd w:id="324"/>
      <w:bookmarkEnd w:id="325"/>
      <w:bookmarkEnd w:id="326"/>
      <w:bookmarkEnd w:id="327"/>
      <w:r>
        <w:rPr>
          <w:rFonts w:hint="eastAsia" w:ascii="宋体" w:hAnsi="宋体" w:eastAsia="宋体" w:cs="宋体"/>
          <w:b/>
          <w:color w:val="auto"/>
          <w:sz w:val="24"/>
          <w:szCs w:val="20"/>
          <w:highlight w:val="none"/>
        </w:rPr>
        <w:t>（实质性格式）</w:t>
      </w:r>
    </w:p>
    <w:p>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投标书</w:t>
      </w:r>
    </w:p>
    <w:p>
      <w:pPr>
        <w:tabs>
          <w:tab w:val="left" w:pos="5580"/>
        </w:tabs>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致：采购人或采购代理机构</w:t>
      </w:r>
    </w:p>
    <w:p>
      <w:pPr>
        <w:tabs>
          <w:tab w:val="left" w:pos="5580"/>
        </w:tabs>
        <w:spacing w:line="360" w:lineRule="auto"/>
        <w:ind w:firstLine="408"/>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我方参加你方就</w:t>
      </w:r>
      <w:r>
        <w:rPr>
          <w:rFonts w:hint="eastAsia" w:ascii="宋体" w:hAnsi="宋体" w:eastAsia="宋体" w:cs="宋体"/>
          <w:color w:val="auto"/>
          <w:sz w:val="24"/>
          <w:highlight w:val="none"/>
          <w:lang w:val="zh-CN"/>
        </w:rPr>
        <w:t>___________</w:t>
      </w:r>
      <w:r>
        <w:rPr>
          <w:rFonts w:hint="eastAsia" w:ascii="宋体" w:hAnsi="宋体" w:eastAsia="宋体" w:cs="宋体"/>
          <w:color w:val="auto"/>
          <w:sz w:val="24"/>
          <w:szCs w:val="20"/>
          <w:highlight w:val="none"/>
        </w:rPr>
        <w:t>（项目名称</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lang w:eastAsia="zh-CN"/>
        </w:rPr>
        <w:t>（</w:t>
      </w:r>
      <w:r>
        <w:rPr>
          <w:rFonts w:hint="eastAsia" w:ascii="宋体" w:hAnsi="宋体" w:cs="宋体"/>
          <w:color w:val="auto"/>
          <w:sz w:val="24"/>
          <w:szCs w:val="20"/>
          <w:highlight w:val="none"/>
          <w:lang w:val="en-US" w:eastAsia="zh-CN"/>
        </w:rPr>
        <w:t>分包名称</w:t>
      </w:r>
      <w:r>
        <w:rPr>
          <w:rFonts w:hint="eastAsia" w:ascii="宋体" w:hAnsi="宋体" w:eastAsia="宋体" w:cs="宋体"/>
          <w:color w:val="auto"/>
          <w:sz w:val="24"/>
          <w:szCs w:val="20"/>
          <w:highlight w:val="none"/>
        </w:rPr>
        <w:t>）组织的招标活动，并对此项目进行投标。</w:t>
      </w:r>
    </w:p>
    <w:p>
      <w:pPr>
        <w:tabs>
          <w:tab w:val="left" w:pos="5580"/>
        </w:tabs>
        <w:spacing w:line="360" w:lineRule="auto"/>
        <w:ind w:firstLine="408"/>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 我方</w:t>
      </w:r>
      <w:r>
        <w:rPr>
          <w:rFonts w:hint="eastAsia" w:ascii="宋体" w:hAnsi="宋体" w:eastAsia="宋体" w:cs="宋体"/>
          <w:color w:val="auto"/>
          <w:sz w:val="24"/>
          <w:highlight w:val="none"/>
        </w:rPr>
        <w:t>已详细审查全部招标文件</w:t>
      </w:r>
      <w:r>
        <w:rPr>
          <w:rFonts w:hint="eastAsia" w:ascii="宋体" w:hAnsi="宋体" w:eastAsia="宋体" w:cs="宋体"/>
          <w:color w:val="auto"/>
          <w:sz w:val="24"/>
          <w:szCs w:val="20"/>
          <w:highlight w:val="none"/>
        </w:rPr>
        <w:t>，自愿参与投标并承诺如下：</w:t>
      </w:r>
    </w:p>
    <w:p>
      <w:pPr>
        <w:tabs>
          <w:tab w:val="left" w:pos="720"/>
          <w:tab w:val="left" w:pos="900"/>
        </w:tabs>
        <w:spacing w:line="360" w:lineRule="auto"/>
        <w:ind w:left="360" w:firstLine="72" w:firstLineChars="3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（1）本投标有效期为自提交投标文件的截止之日起</w:t>
      </w:r>
      <w:r>
        <w:rPr>
          <w:rFonts w:hint="eastAsia" w:ascii="宋体" w:hAnsi="宋体" w:eastAsia="宋体" w:cs="宋体"/>
          <w:color w:val="auto"/>
          <w:sz w:val="24"/>
          <w:highlight w:val="none"/>
          <w:u w:val="single"/>
        </w:rPr>
        <w:t>_90_</w:t>
      </w:r>
      <w:r>
        <w:rPr>
          <w:rFonts w:hint="eastAsia" w:ascii="宋体" w:hAnsi="宋体" w:eastAsia="宋体" w:cs="宋体"/>
          <w:color w:val="auto"/>
          <w:sz w:val="24"/>
          <w:szCs w:val="20"/>
          <w:highlight w:val="none"/>
        </w:rPr>
        <w:t>个日历日。</w:t>
      </w:r>
    </w:p>
    <w:p>
      <w:pPr>
        <w:tabs>
          <w:tab w:val="left" w:pos="720"/>
          <w:tab w:val="left" w:pos="900"/>
        </w:tabs>
        <w:spacing w:line="360" w:lineRule="auto"/>
        <w:ind w:left="360" w:firstLine="72" w:firstLineChars="3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（2）除合同条款及采购需求偏离表列出的偏离外，我方响应招标文件的全部要求。</w:t>
      </w:r>
    </w:p>
    <w:p>
      <w:pPr>
        <w:tabs>
          <w:tab w:val="left" w:pos="5580"/>
        </w:tabs>
        <w:spacing w:line="360" w:lineRule="auto"/>
        <w:ind w:firstLine="420" w:firstLineChars="175"/>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（3）我方已提供的全部文件资料是真实、准确的，并对此承担一切法律后果。</w:t>
      </w:r>
    </w:p>
    <w:p>
      <w:pPr>
        <w:tabs>
          <w:tab w:val="left" w:pos="5580"/>
        </w:tabs>
        <w:spacing w:line="360" w:lineRule="auto"/>
        <w:ind w:firstLine="420" w:firstLineChars="175"/>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（4）如我方中标，我方将在法律规定的期限内与你方签订合同，按照招标文件要求提交履约保证金，并在合同约定的期限内完成合同规定的全部义务。</w:t>
      </w:r>
    </w:p>
    <w:p>
      <w:pPr>
        <w:tabs>
          <w:tab w:val="left" w:pos="5580"/>
        </w:tabs>
        <w:spacing w:line="360" w:lineRule="auto"/>
        <w:ind w:firstLine="420" w:firstLineChars="175"/>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（5）我方本次投标过程中不存在违背公平竞争原则、串通投标、含有采购人不能接受的附加条件以及其他造成投标无效的行为。</w:t>
      </w:r>
    </w:p>
    <w:p>
      <w:pPr>
        <w:spacing w:line="360" w:lineRule="auto"/>
        <w:ind w:left="420"/>
        <w:rPr>
          <w:rFonts w:hint="eastAsia" w:ascii="宋体" w:hAnsi="宋体" w:eastAsia="宋体" w:cs="宋体"/>
          <w:color w:val="auto"/>
          <w:sz w:val="24"/>
          <w:highlight w:val="none"/>
        </w:rPr>
      </w:pPr>
      <w:r>
        <w:rPr>
          <w:rFonts w:hint="eastAsia" w:ascii="宋体" w:hAnsi="宋体" w:eastAsia="宋体" w:cs="宋体"/>
          <w:color w:val="auto"/>
          <w:sz w:val="24"/>
          <w:highlight w:val="none"/>
        </w:rPr>
        <w:t>2. 其他补充条款（如有）：</w:t>
      </w:r>
      <w:r>
        <w:rPr>
          <w:rFonts w:hint="eastAsia" w:ascii="宋体" w:hAnsi="宋体" w:eastAsia="宋体" w:cs="宋体"/>
          <w:color w:val="auto"/>
          <w:sz w:val="24"/>
          <w:szCs w:val="20"/>
          <w:highlight w:val="none"/>
        </w:rPr>
        <w:t>___________</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与本投标有关的一切正式往来信函请寄：</w:t>
      </w:r>
    </w:p>
    <w:p>
      <w:pPr>
        <w:tabs>
          <w:tab w:val="left" w:pos="5580"/>
        </w:tabs>
        <w:spacing w:line="360" w:lineRule="auto"/>
        <w:ind w:left="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地址_________________________   传真____________________________</w:t>
      </w:r>
    </w:p>
    <w:p>
      <w:pPr>
        <w:tabs>
          <w:tab w:val="left" w:pos="5580"/>
        </w:tabs>
        <w:spacing w:line="360" w:lineRule="auto"/>
        <w:ind w:left="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电话_________________________  电子函件________________________</w:t>
      </w:r>
    </w:p>
    <w:p>
      <w:pPr>
        <w:tabs>
          <w:tab w:val="left" w:pos="5580"/>
        </w:tabs>
        <w:spacing w:line="360" w:lineRule="auto"/>
        <w:ind w:left="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投标人名称（加盖公章） ___________</w:t>
      </w:r>
    </w:p>
    <w:p>
      <w:pPr>
        <w:tabs>
          <w:tab w:val="left" w:pos="5580"/>
        </w:tabs>
        <w:spacing w:line="360" w:lineRule="auto"/>
        <w:ind w:left="420"/>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 xml:space="preserve">日期：_____年______月______日    </w:t>
      </w:r>
      <w:bookmarkStart w:id="328" w:name="_Hlt520355938"/>
      <w:bookmarkEnd w:id="328"/>
      <w:bookmarkStart w:id="329" w:name="_Hlt520356243"/>
      <w:bookmarkEnd w:id="329"/>
      <w:bookmarkStart w:id="330" w:name="_Toc142311059"/>
      <w:bookmarkStart w:id="331" w:name="_Toc226965830"/>
      <w:bookmarkStart w:id="332" w:name="_Toc226965747"/>
      <w:bookmarkStart w:id="333" w:name="_Toc264969247"/>
      <w:bookmarkStart w:id="334" w:name="_Toc195842922"/>
      <w:bookmarkStart w:id="335" w:name="_Toc150774762"/>
      <w:bookmarkStart w:id="336" w:name="_Toc226337253"/>
      <w:bookmarkStart w:id="337" w:name="_Toc305158899"/>
      <w:bookmarkStart w:id="338" w:name="_Toc480942350"/>
      <w:bookmarkStart w:id="339" w:name="_Toc150480795"/>
      <w:bookmarkStart w:id="340" w:name="_Ref467988705"/>
      <w:bookmarkStart w:id="341" w:name="_Toc265228395"/>
      <w:bookmarkStart w:id="342" w:name="_Toc127151557"/>
      <w:bookmarkStart w:id="343" w:name="_Toc520356218"/>
      <w:bookmarkStart w:id="344" w:name="_Toc305158825"/>
      <w:bookmarkStart w:id="345" w:name="_Toc226309801"/>
      <w:r>
        <w:rPr>
          <w:rFonts w:hint="eastAsia" w:ascii="宋体" w:hAnsi="宋体" w:eastAsia="宋体" w:cs="宋体"/>
          <w:color w:val="auto"/>
          <w:sz w:val="24"/>
          <w:highlight w:val="none"/>
        </w:rPr>
        <w:br w:type="page"/>
      </w:r>
    </w:p>
    <w:p>
      <w:pPr>
        <w:spacing w:line="360" w:lineRule="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  授权委托书（实质性格式）</w:t>
      </w:r>
    </w:p>
    <w:p>
      <w:pPr>
        <w:spacing w:line="3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授权委托书</w:t>
      </w:r>
    </w:p>
    <w:p>
      <w:pPr>
        <w:spacing w:line="360" w:lineRule="auto"/>
        <w:ind w:firstLine="420"/>
        <w:rPr>
          <w:rFonts w:hint="eastAsia" w:ascii="宋体" w:hAnsi="宋体" w:eastAsia="宋体" w:cs="宋体"/>
          <w:color w:val="auto"/>
          <w:sz w:val="24"/>
          <w:szCs w:val="20"/>
          <w:highlight w:val="none"/>
        </w:rPr>
      </w:pP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本人</w:t>
      </w:r>
      <w:r>
        <w:rPr>
          <w:rFonts w:hint="eastAsia" w:ascii="宋体" w:hAnsi="宋体" w:eastAsia="宋体" w:cs="宋体"/>
          <w:color w:val="auto"/>
          <w:sz w:val="24"/>
          <w:highlight w:val="none"/>
          <w:lang w:val="zh-CN"/>
        </w:rPr>
        <w:t>_______</w:t>
      </w:r>
      <w:r>
        <w:rPr>
          <w:rFonts w:hint="eastAsia" w:ascii="宋体" w:hAnsi="宋体" w:eastAsia="宋体" w:cs="宋体"/>
          <w:color w:val="auto"/>
          <w:sz w:val="24"/>
          <w:szCs w:val="20"/>
          <w:highlight w:val="none"/>
        </w:rPr>
        <w:t>（姓名）系</w:t>
      </w:r>
      <w:r>
        <w:rPr>
          <w:rFonts w:hint="eastAsia" w:ascii="宋体" w:hAnsi="宋体" w:eastAsia="宋体" w:cs="宋体"/>
          <w:color w:val="auto"/>
          <w:sz w:val="24"/>
          <w:highlight w:val="none"/>
          <w:lang w:val="zh-CN"/>
        </w:rPr>
        <w:t>________________</w:t>
      </w:r>
      <w:r>
        <w:rPr>
          <w:rFonts w:hint="eastAsia" w:ascii="宋体" w:hAnsi="宋体" w:eastAsia="宋体" w:cs="宋体"/>
          <w:color w:val="auto"/>
          <w:sz w:val="24"/>
          <w:szCs w:val="20"/>
          <w:highlight w:val="none"/>
        </w:rPr>
        <w:t>（投标人名称）的法定代表人（单位负责人），现委托</w:t>
      </w:r>
      <w:r>
        <w:rPr>
          <w:rFonts w:hint="eastAsia" w:ascii="宋体" w:hAnsi="宋体" w:eastAsia="宋体" w:cs="宋体"/>
          <w:color w:val="auto"/>
          <w:sz w:val="24"/>
          <w:highlight w:val="none"/>
          <w:lang w:val="zh-CN"/>
        </w:rPr>
        <w:t>_______</w:t>
      </w:r>
      <w:r>
        <w:rPr>
          <w:rFonts w:hint="eastAsia" w:ascii="宋体" w:hAnsi="宋体" w:eastAsia="宋体" w:cs="宋体"/>
          <w:color w:val="auto"/>
          <w:sz w:val="24"/>
          <w:szCs w:val="20"/>
          <w:highlight w:val="none"/>
        </w:rPr>
        <w:t>（姓名）为我方代理人。代理人根据授权，以我方名义签署、澄清确认、递交、撤回、修改</w:t>
      </w:r>
      <w:r>
        <w:rPr>
          <w:rFonts w:hint="eastAsia" w:ascii="宋体" w:hAnsi="宋体" w:eastAsia="宋体" w:cs="宋体"/>
          <w:color w:val="auto"/>
          <w:sz w:val="24"/>
          <w:highlight w:val="none"/>
          <w:lang w:val="zh-CN"/>
        </w:rPr>
        <w:t>___________</w:t>
      </w:r>
      <w:r>
        <w:rPr>
          <w:rFonts w:hint="eastAsia" w:ascii="宋体" w:hAnsi="宋体" w:eastAsia="宋体" w:cs="宋体"/>
          <w:color w:val="auto"/>
          <w:sz w:val="24"/>
          <w:szCs w:val="20"/>
          <w:highlight w:val="none"/>
        </w:rPr>
        <w:t>（项目名称</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lang w:eastAsia="zh-CN"/>
        </w:rPr>
        <w:t>（</w:t>
      </w:r>
      <w:r>
        <w:rPr>
          <w:rFonts w:hint="eastAsia" w:ascii="宋体" w:hAnsi="宋体" w:cs="宋体"/>
          <w:color w:val="auto"/>
          <w:sz w:val="24"/>
          <w:szCs w:val="20"/>
          <w:highlight w:val="none"/>
          <w:lang w:val="en-US" w:eastAsia="zh-CN"/>
        </w:rPr>
        <w:t>分包名称</w:t>
      </w:r>
      <w:r>
        <w:rPr>
          <w:rFonts w:hint="eastAsia" w:ascii="宋体" w:hAnsi="宋体" w:eastAsia="宋体" w:cs="宋体"/>
          <w:color w:val="auto"/>
          <w:sz w:val="24"/>
          <w:szCs w:val="20"/>
          <w:highlight w:val="none"/>
        </w:rPr>
        <w:t>）投标文件和处理有关事宜，其法律后果由我方承担。</w:t>
      </w: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委托期限：自本授权委托书签署之日起至投标有效期届满之日止。</w:t>
      </w: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代理人无转委托权。</w:t>
      </w:r>
      <w:r>
        <w:rPr>
          <w:rFonts w:hint="eastAsia" w:ascii="宋体" w:hAnsi="宋体" w:eastAsia="宋体" w:cs="宋体"/>
          <w:color w:val="auto"/>
          <w:sz w:val="24"/>
          <w:szCs w:val="20"/>
          <w:highlight w:val="none"/>
        </w:rPr>
        <w:cr/>
      </w:r>
    </w:p>
    <w:p>
      <w:p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：________________</w:t>
      </w:r>
    </w:p>
    <w:p>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法定代表人（单位负责人）（签字或签章或印鉴）：</w:t>
      </w:r>
      <w:r>
        <w:rPr>
          <w:rFonts w:hint="eastAsia" w:ascii="宋体" w:hAnsi="宋体" w:eastAsia="宋体" w:cs="宋体"/>
          <w:color w:val="auto"/>
          <w:sz w:val="24"/>
          <w:highlight w:val="none"/>
          <w:lang w:val="zh-CN"/>
        </w:rPr>
        <w:t>________________</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委托代理人（签字或签章）：</w:t>
      </w:r>
      <w:r>
        <w:rPr>
          <w:rFonts w:hint="eastAsia" w:ascii="宋体" w:hAnsi="宋体" w:eastAsia="宋体" w:cs="宋体"/>
          <w:color w:val="auto"/>
          <w:sz w:val="24"/>
          <w:highlight w:val="none"/>
          <w:lang w:val="zh-CN"/>
        </w:rPr>
        <w:t>________________</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日期：_____年______月______日</w:t>
      </w:r>
    </w:p>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法定代表人（单位负责人）及委托代理人身份证明文件电子件：</w:t>
      </w:r>
    </w:p>
    <w:tbl>
      <w:tblPr>
        <w:tblStyle w:val="4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c>
          <w:tcPr>
            <w:tcW w:w="3657"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r>
    </w:tbl>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法定代表人（单位负责人）及委托代理人身份证明文件电子件：</w:t>
      </w:r>
    </w:p>
    <w:tbl>
      <w:tblPr>
        <w:tblStyle w:val="4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c>
          <w:tcPr>
            <w:tcW w:w="3657"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r>
    </w:tbl>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1.若供应商为事业单位或其他组织或分支机构，则法定代表人（单位负责人）处的签署人可为单位负责人。</w:t>
      </w:r>
    </w:p>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3.供应商为自然人的情形，可不提供本《授权委托书》。</w:t>
      </w:r>
    </w:p>
    <w:p>
      <w:pPr>
        <w:tabs>
          <w:tab w:val="left" w:pos="5580"/>
        </w:tabs>
        <w:spacing w:line="360" w:lineRule="auto"/>
        <w:jc w:val="left"/>
        <w:rPr>
          <w:rFonts w:hint="eastAsia" w:ascii="宋体" w:hAnsi="宋体" w:eastAsia="宋体" w:cs="宋体"/>
          <w:color w:val="auto"/>
          <w:sz w:val="30"/>
          <w:szCs w:val="30"/>
          <w:highlight w:val="none"/>
        </w:rPr>
      </w:pPr>
      <w:r>
        <w:rPr>
          <w:rFonts w:hint="eastAsia" w:ascii="宋体" w:hAnsi="宋体" w:eastAsia="宋体" w:cs="宋体"/>
          <w:color w:val="auto"/>
          <w:sz w:val="24"/>
          <w:szCs w:val="20"/>
          <w:highlight w:val="none"/>
        </w:rPr>
        <w:t>4.供应商应随本《授权委托书》同时提供法定代表人（单位负责人）及委托代理人的有效的身份证或护照等身份证明文件电子件。提供身份证的，应同时提供身份证</w:t>
      </w:r>
      <w:r>
        <w:rPr>
          <w:rFonts w:hint="eastAsia" w:ascii="宋体" w:hAnsi="宋体" w:eastAsia="宋体" w:cs="宋体"/>
          <w:b/>
          <w:color w:val="auto"/>
          <w:sz w:val="24"/>
          <w:szCs w:val="20"/>
          <w:highlight w:val="none"/>
        </w:rPr>
        <w:t>双面</w:t>
      </w:r>
      <w:r>
        <w:rPr>
          <w:rFonts w:hint="eastAsia" w:ascii="宋体" w:hAnsi="宋体" w:eastAsia="宋体" w:cs="宋体"/>
          <w:color w:val="auto"/>
          <w:sz w:val="24"/>
          <w:szCs w:val="20"/>
          <w:highlight w:val="none"/>
        </w:rPr>
        <w:t xml:space="preserve">电子件。 </w:t>
      </w:r>
      <w:r>
        <w:rPr>
          <w:rFonts w:hint="eastAsia" w:ascii="宋体" w:hAnsi="宋体" w:eastAsia="宋体" w:cs="宋体"/>
          <w:color w:val="auto"/>
          <w:sz w:val="30"/>
          <w:szCs w:val="30"/>
          <w:highlight w:val="none"/>
        </w:rPr>
        <w:br w:type="page"/>
      </w:r>
    </w:p>
    <w:p>
      <w:pPr>
        <w:spacing w:line="3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附：法定代表人（单位负责人）身份证明</w:t>
      </w:r>
    </w:p>
    <w:p>
      <w:pPr>
        <w:kinsoku w:val="0"/>
        <w:overflowPunct w:val="0"/>
        <w:spacing w:line="200" w:lineRule="exact"/>
        <w:rPr>
          <w:rFonts w:hint="eastAsia" w:ascii="宋体" w:hAnsi="宋体" w:eastAsia="宋体" w:cs="宋体"/>
          <w:color w:val="auto"/>
          <w:sz w:val="20"/>
          <w:szCs w:val="20"/>
          <w:highlight w:val="none"/>
        </w:rPr>
      </w:pPr>
    </w:p>
    <w:p>
      <w:pPr>
        <w:tabs>
          <w:tab w:val="left" w:pos="5580"/>
        </w:tabs>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致：采购人或采购代理机构</w:t>
      </w:r>
    </w:p>
    <w:p>
      <w:pPr>
        <w:tabs>
          <w:tab w:val="left" w:pos="5580"/>
        </w:tabs>
        <w:spacing w:line="360" w:lineRule="auto"/>
        <w:rPr>
          <w:rFonts w:hint="eastAsia" w:ascii="宋体" w:hAnsi="宋体" w:eastAsia="宋体" w:cs="宋体"/>
          <w:color w:val="auto"/>
          <w:sz w:val="24"/>
          <w:highlight w:val="none"/>
          <w:u w:val="single"/>
        </w:rPr>
      </w:pPr>
    </w:p>
    <w:p>
      <w:pPr>
        <w:pStyle w:val="2"/>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兹证明，</w:t>
      </w:r>
    </w:p>
    <w:p>
      <w:pPr>
        <w:pStyle w:val="2"/>
        <w:tabs>
          <w:tab w:val="left" w:pos="1690"/>
          <w:tab w:val="left" w:pos="3400"/>
          <w:tab w:val="left" w:pos="5110"/>
          <w:tab w:val="left" w:pos="6821"/>
        </w:tabs>
        <w:kinsoku w:val="0"/>
        <w:overflowPunct w:val="0"/>
        <w:spacing w:line="335" w:lineRule="exact"/>
        <w:rPr>
          <w:rFonts w:hint="eastAsia" w:ascii="宋体" w:hAnsi="宋体" w:eastAsia="宋体" w:cs="宋体"/>
          <w:color w:val="auto"/>
          <w:highlight w:val="none"/>
        </w:rPr>
      </w:pPr>
      <w:r>
        <w:rPr>
          <w:rFonts w:hint="eastAsia" w:ascii="宋体" w:hAnsi="宋体" w:eastAsia="宋体" w:cs="宋体"/>
          <w:color w:val="auto"/>
          <w:highlight w:val="none"/>
        </w:rPr>
        <w:t>姓名：____性别：____年龄：____职务：____</w:t>
      </w: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color w:val="auto"/>
          <w:highlight w:val="none"/>
        </w:rPr>
      </w:pPr>
      <w:r>
        <w:rPr>
          <w:rFonts w:hint="eastAsia" w:ascii="宋体" w:hAnsi="宋体" w:eastAsia="宋体" w:cs="宋体"/>
          <w:color w:val="auto"/>
          <w:highlight w:val="none"/>
        </w:rPr>
        <w:t>系</w:t>
      </w:r>
      <w:r>
        <w:rPr>
          <w:rFonts w:hint="eastAsia" w:ascii="宋体" w:hAnsi="宋体" w:eastAsia="宋体" w:cs="宋体"/>
          <w:color w:val="auto"/>
          <w:highlight w:val="none"/>
          <w:u w:val="single"/>
        </w:rPr>
        <w:tab/>
      </w:r>
      <w:r>
        <w:rPr>
          <w:rFonts w:hint="eastAsia" w:ascii="宋体" w:hAnsi="宋体" w:eastAsia="宋体" w:cs="宋体"/>
          <w:color w:val="auto"/>
          <w:highlight w:val="none"/>
        </w:rPr>
        <w:t>（投标人名称）的法定代表人（单位负责人）。</w:t>
      </w: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kinsoku w:val="0"/>
        <w:overflowPunct w:val="0"/>
        <w:spacing w:line="583" w:lineRule="auto"/>
        <w:ind w:right="-46"/>
        <w:rPr>
          <w:rFonts w:hint="eastAsia" w:ascii="宋体" w:hAnsi="宋体" w:eastAsia="宋体" w:cs="宋体"/>
          <w:color w:val="auto"/>
          <w:spacing w:val="-3"/>
          <w:highlight w:val="none"/>
        </w:rPr>
      </w:pPr>
      <w:r>
        <w:rPr>
          <w:rFonts w:hint="eastAsia" w:ascii="宋体" w:hAnsi="宋体" w:eastAsia="宋体" w:cs="宋体"/>
          <w:color w:val="auto"/>
          <w:highlight w:val="none"/>
        </w:rPr>
        <w:t>附：</w:t>
      </w:r>
      <w:r>
        <w:rPr>
          <w:rFonts w:hint="eastAsia" w:ascii="宋体" w:hAnsi="宋体" w:eastAsia="宋体" w:cs="宋体"/>
          <w:color w:val="auto"/>
          <w:szCs w:val="20"/>
          <w:highlight w:val="none"/>
        </w:rPr>
        <w:t>法定代表人（单位负责人）身份证或护照等身份证明文件电子件：</w:t>
      </w:r>
    </w:p>
    <w:tbl>
      <w:tblPr>
        <w:tblStyle w:val="4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c>
          <w:tcPr>
            <w:tcW w:w="3657"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r>
    </w:tbl>
    <w:p>
      <w:pPr>
        <w:pStyle w:val="2"/>
        <w:kinsoku w:val="0"/>
        <w:overflowPunct w:val="0"/>
        <w:spacing w:line="583" w:lineRule="auto"/>
        <w:ind w:right="4305"/>
        <w:rPr>
          <w:rFonts w:hint="eastAsia" w:ascii="宋体" w:hAnsi="宋体" w:eastAsia="宋体" w:cs="宋体"/>
          <w:color w:val="auto"/>
          <w:spacing w:val="-3"/>
          <w:highlight w:val="none"/>
        </w:rPr>
      </w:pPr>
    </w:p>
    <w:p>
      <w:pPr>
        <w:pStyle w:val="2"/>
        <w:kinsoku w:val="0"/>
        <w:overflowPunct w:val="0"/>
        <w:spacing w:line="583" w:lineRule="auto"/>
        <w:ind w:right="4305"/>
        <w:rPr>
          <w:rFonts w:hint="eastAsia" w:ascii="宋体" w:hAnsi="宋体" w:eastAsia="宋体" w:cs="宋体"/>
          <w:color w:val="auto"/>
          <w:spacing w:val="-3"/>
          <w:highlight w:val="none"/>
        </w:rPr>
      </w:pP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：________________</w:t>
      </w:r>
    </w:p>
    <w:p>
      <w:pPr>
        <w:pStyle w:val="2"/>
        <w:kinsoku w:val="0"/>
        <w:overflowPunct w:val="0"/>
        <w:spacing w:line="583" w:lineRule="auto"/>
        <w:ind w:right="9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法定代表人（</w:t>
      </w:r>
      <w:r>
        <w:rPr>
          <w:rFonts w:hint="eastAsia" w:ascii="宋体" w:hAnsi="宋体" w:eastAsia="宋体" w:cs="宋体"/>
          <w:color w:val="auto"/>
          <w:highlight w:val="none"/>
        </w:rPr>
        <w:t>单位负责人</w:t>
      </w:r>
      <w:r>
        <w:rPr>
          <w:rFonts w:hint="eastAsia" w:ascii="宋体" w:hAnsi="宋体" w:eastAsia="宋体" w:cs="宋体"/>
          <w:color w:val="auto"/>
          <w:spacing w:val="-3"/>
          <w:highlight w:val="none"/>
        </w:rPr>
        <w:t>）（签字或签章或印鉴）：_______</w:t>
      </w:r>
    </w:p>
    <w:p>
      <w:pPr>
        <w:autoSpaceDE w:val="0"/>
        <w:autoSpaceDN w:val="0"/>
        <w:adjustRightInd w:val="0"/>
        <w:snapToGrid w:val="0"/>
        <w:spacing w:line="360" w:lineRule="auto"/>
        <w:rPr>
          <w:rFonts w:hint="eastAsia" w:ascii="宋体" w:hAnsi="宋体" w:eastAsia="宋体" w:cs="宋体"/>
          <w:color w:val="auto"/>
          <w:sz w:val="24"/>
          <w:highlight w:val="none"/>
        </w:rPr>
      </w:pPr>
    </w:p>
    <w:p>
      <w:pPr>
        <w:autoSpaceDE w:val="0"/>
        <w:autoSpaceDN w:val="0"/>
        <w:adjustRightInd w:val="0"/>
        <w:snapToGrid w:val="0"/>
        <w:spacing w:line="360" w:lineRule="auto"/>
        <w:rPr>
          <w:rFonts w:hint="eastAsia" w:ascii="宋体" w:hAnsi="宋体" w:eastAsia="宋体" w:cs="宋体"/>
          <w:i/>
          <w:color w:val="auto"/>
          <w:sz w:val="24"/>
          <w:szCs w:val="20"/>
          <w:highlight w:val="none"/>
          <w:u w:val="single"/>
        </w:rPr>
      </w:pPr>
      <w:r>
        <w:rPr>
          <w:rFonts w:hint="eastAsia" w:ascii="宋体" w:hAnsi="宋体" w:eastAsia="宋体" w:cs="宋体"/>
          <w:color w:val="auto"/>
          <w:sz w:val="24"/>
          <w:highlight w:val="none"/>
        </w:rPr>
        <w:t>日期：_____年______月______日</w:t>
      </w:r>
    </w:p>
    <w:p>
      <w:pPr>
        <w:pStyle w:val="5"/>
        <w:widowControl/>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3  </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Start w:id="346" w:name="_Toc226965752"/>
      <w:bookmarkStart w:id="347" w:name="_Toc305158904"/>
      <w:bookmarkStart w:id="348" w:name="_Toc265228400"/>
      <w:bookmarkStart w:id="349" w:name="_Toc150480798"/>
      <w:bookmarkStart w:id="350" w:name="_Toc150774765"/>
      <w:bookmarkStart w:id="351" w:name="_Toc226309806"/>
      <w:bookmarkStart w:id="352" w:name="_Toc305158830"/>
      <w:bookmarkStart w:id="353" w:name="_Toc264969252"/>
      <w:bookmarkStart w:id="354" w:name="_Toc226965835"/>
      <w:bookmarkStart w:id="355" w:name="_Toc226337258"/>
      <w:bookmarkStart w:id="356" w:name="_Toc142311062"/>
      <w:bookmarkStart w:id="357" w:name="_Toc195842927"/>
      <w:bookmarkStart w:id="358" w:name="_Toc127151562"/>
      <w:bookmarkStart w:id="359" w:name="_Toc127151561"/>
      <w:bookmarkStart w:id="360" w:name="_Toc226965834"/>
      <w:bookmarkStart w:id="361" w:name="_Toc265228399"/>
      <w:bookmarkStart w:id="362" w:name="_Toc150774764"/>
      <w:bookmarkStart w:id="363" w:name="_Toc226337257"/>
      <w:bookmarkStart w:id="364" w:name="_Toc305158903"/>
      <w:bookmarkStart w:id="365" w:name="_Toc195842926"/>
      <w:bookmarkStart w:id="366" w:name="_Toc142311061"/>
      <w:bookmarkStart w:id="367" w:name="_Toc264969251"/>
      <w:bookmarkStart w:id="368" w:name="_Toc305158829"/>
      <w:bookmarkStart w:id="369" w:name="_Toc226309805"/>
      <w:bookmarkStart w:id="370" w:name="_Toc150480797"/>
      <w:bookmarkStart w:id="371" w:name="_Toc226965751"/>
      <w:r>
        <w:rPr>
          <w:rFonts w:hint="eastAsia" w:ascii="宋体" w:hAnsi="宋体" w:eastAsia="宋体" w:cs="宋体"/>
          <w:color w:val="auto"/>
          <w:highlight w:val="none"/>
        </w:rPr>
        <w:t>开标一览表（实质性格式）</w:t>
      </w:r>
    </w:p>
    <w:p>
      <w:pPr>
        <w:spacing w:line="360" w:lineRule="exact"/>
        <w:jc w:val="center"/>
        <w:rPr>
          <w:rFonts w:hint="eastAsia" w:ascii="宋体" w:hAnsi="宋体" w:eastAsia="宋体" w:cs="宋体"/>
          <w:b/>
          <w:color w:val="auto"/>
          <w:sz w:val="36"/>
          <w:szCs w:val="36"/>
          <w:highlight w:val="none"/>
        </w:rPr>
      </w:pPr>
      <w:bookmarkStart w:id="372" w:name="_Toc226965831"/>
      <w:bookmarkStart w:id="373" w:name="_Toc195842923"/>
      <w:bookmarkStart w:id="374" w:name="_Toc226309802"/>
      <w:bookmarkStart w:id="375" w:name="_Toc305158826"/>
      <w:bookmarkStart w:id="376" w:name="_Toc226337254"/>
      <w:bookmarkStart w:id="377" w:name="_Toc264969248"/>
      <w:bookmarkStart w:id="378" w:name="_Toc226965748"/>
      <w:bookmarkStart w:id="379" w:name="_Toc265228396"/>
      <w:bookmarkStart w:id="380" w:name="_Toc305158900"/>
      <w:bookmarkStart w:id="381" w:name="_Toc164608827"/>
      <w:bookmarkStart w:id="382" w:name="_Toc164608672"/>
    </w:p>
    <w:p>
      <w:pPr>
        <w:spacing w:line="3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开标一览表</w:t>
      </w:r>
      <w:bookmarkEnd w:id="372"/>
      <w:bookmarkEnd w:id="373"/>
      <w:bookmarkEnd w:id="374"/>
      <w:bookmarkEnd w:id="375"/>
      <w:bookmarkEnd w:id="376"/>
      <w:bookmarkEnd w:id="377"/>
      <w:bookmarkEnd w:id="378"/>
      <w:bookmarkEnd w:id="379"/>
      <w:bookmarkEnd w:id="380"/>
      <w:bookmarkEnd w:id="381"/>
      <w:bookmarkEnd w:id="382"/>
    </w:p>
    <w:p>
      <w:pPr>
        <w:pStyle w:val="2"/>
        <w:rPr>
          <w:rFonts w:hint="eastAsia" w:ascii="宋体" w:hAnsi="宋体" w:eastAsia="宋体" w:cs="宋体"/>
          <w:color w:val="auto"/>
          <w:sz w:val="24"/>
          <w:highlight w:val="none"/>
          <w:u w:val="singl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w:t>
      </w:r>
      <w:r>
        <w:rPr>
          <w:rFonts w:hint="eastAsia" w:ascii="宋体" w:hAnsi="宋体" w:eastAsia="宋体" w:cs="宋体"/>
          <w:color w:val="auto"/>
          <w:sz w:val="24"/>
          <w:highlight w:val="none"/>
        </w:rPr>
        <w:t>_</w:t>
      </w:r>
    </w:p>
    <w:tbl>
      <w:tblPr>
        <w:tblStyle w:val="47"/>
        <w:tblW w:w="7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51"/>
        <w:gridCol w:w="2119"/>
        <w:gridCol w:w="1838"/>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2651" w:type="dxa"/>
            <w:vMerge w:val="restart"/>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投标人名称</w:t>
            </w:r>
          </w:p>
        </w:tc>
        <w:tc>
          <w:tcPr>
            <w:tcW w:w="3957" w:type="dxa"/>
            <w:gridSpan w:val="2"/>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投标报价（元）</w:t>
            </w:r>
          </w:p>
        </w:tc>
        <w:tc>
          <w:tcPr>
            <w:tcW w:w="669" w:type="dxa"/>
            <w:vMerge w:val="restart"/>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2" w:hRule="atLeast"/>
          <w:jc w:val="center"/>
        </w:trPr>
        <w:tc>
          <w:tcPr>
            <w:tcW w:w="2651" w:type="dxa"/>
            <w:vMerge w:val="continue"/>
            <w:vAlign w:val="center"/>
          </w:tcPr>
          <w:p>
            <w:pPr>
              <w:tabs>
                <w:tab w:val="left" w:pos="5580"/>
              </w:tabs>
              <w:jc w:val="center"/>
              <w:rPr>
                <w:rFonts w:hint="eastAsia" w:ascii="宋体" w:hAnsi="宋体" w:eastAsia="宋体" w:cs="宋体"/>
                <w:color w:val="auto"/>
                <w:sz w:val="24"/>
                <w:highlight w:val="none"/>
              </w:rPr>
            </w:pPr>
          </w:p>
        </w:tc>
        <w:tc>
          <w:tcPr>
            <w:tcW w:w="2119" w:type="dxa"/>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大写</w:t>
            </w:r>
          </w:p>
        </w:tc>
        <w:tc>
          <w:tcPr>
            <w:tcW w:w="1838" w:type="dxa"/>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小写</w:t>
            </w:r>
          </w:p>
        </w:tc>
        <w:tc>
          <w:tcPr>
            <w:tcW w:w="669" w:type="dxa"/>
            <w:vMerge w:val="continue"/>
            <w:vAlign w:val="center"/>
          </w:tcPr>
          <w:p>
            <w:pPr>
              <w:tabs>
                <w:tab w:val="left" w:pos="5580"/>
              </w:tabs>
              <w:jc w:val="center"/>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03" w:hRule="atLeast"/>
          <w:jc w:val="center"/>
        </w:trPr>
        <w:tc>
          <w:tcPr>
            <w:tcW w:w="2651" w:type="dxa"/>
            <w:vAlign w:val="center"/>
          </w:tcPr>
          <w:p>
            <w:pPr>
              <w:tabs>
                <w:tab w:val="left" w:pos="5580"/>
              </w:tabs>
              <w:jc w:val="center"/>
              <w:rPr>
                <w:rFonts w:hint="eastAsia" w:ascii="宋体" w:hAnsi="宋体" w:eastAsia="宋体" w:cs="宋体"/>
                <w:color w:val="auto"/>
                <w:sz w:val="24"/>
                <w:highlight w:val="none"/>
              </w:rPr>
            </w:pPr>
          </w:p>
        </w:tc>
        <w:tc>
          <w:tcPr>
            <w:tcW w:w="2119" w:type="dxa"/>
            <w:vAlign w:val="center"/>
          </w:tcPr>
          <w:p>
            <w:pPr>
              <w:tabs>
                <w:tab w:val="left" w:pos="5580"/>
              </w:tabs>
              <w:jc w:val="center"/>
              <w:rPr>
                <w:rFonts w:hint="eastAsia" w:ascii="宋体" w:hAnsi="宋体" w:eastAsia="宋体" w:cs="宋体"/>
                <w:color w:val="auto"/>
                <w:sz w:val="24"/>
                <w:highlight w:val="none"/>
              </w:rPr>
            </w:pPr>
          </w:p>
        </w:tc>
        <w:tc>
          <w:tcPr>
            <w:tcW w:w="1838" w:type="dxa"/>
            <w:vAlign w:val="center"/>
          </w:tcPr>
          <w:p>
            <w:pPr>
              <w:tabs>
                <w:tab w:val="left" w:pos="5580"/>
              </w:tabs>
              <w:jc w:val="center"/>
              <w:rPr>
                <w:rFonts w:hint="eastAsia" w:ascii="宋体" w:hAnsi="宋体" w:eastAsia="宋体" w:cs="宋体"/>
                <w:color w:val="auto"/>
                <w:sz w:val="24"/>
                <w:highlight w:val="none"/>
              </w:rPr>
            </w:pPr>
          </w:p>
        </w:tc>
        <w:tc>
          <w:tcPr>
            <w:tcW w:w="669" w:type="dxa"/>
            <w:vAlign w:val="center"/>
          </w:tcPr>
          <w:p>
            <w:pPr>
              <w:tabs>
                <w:tab w:val="left" w:pos="5580"/>
              </w:tabs>
              <w:jc w:val="center"/>
              <w:rPr>
                <w:rFonts w:hint="eastAsia" w:ascii="宋体" w:hAnsi="宋体" w:eastAsia="宋体" w:cs="宋体"/>
                <w:color w:val="auto"/>
                <w:sz w:val="24"/>
                <w:highlight w:val="none"/>
              </w:rPr>
            </w:pPr>
          </w:p>
        </w:tc>
      </w:tr>
    </w:tbl>
    <w:p>
      <w:pPr>
        <w:autoSpaceDE w:val="0"/>
        <w:autoSpaceDN w:val="0"/>
        <w:adjustRightInd w:val="0"/>
        <w:jc w:val="left"/>
        <w:rPr>
          <w:rFonts w:hint="eastAsia" w:ascii="宋体" w:hAnsi="宋体" w:eastAsia="宋体" w:cs="宋体"/>
          <w:color w:val="auto"/>
          <w:kern w:val="0"/>
          <w:sz w:val="24"/>
          <w:highlight w:val="none"/>
        </w:rPr>
      </w:pPr>
    </w:p>
    <w:p>
      <w:pPr>
        <w:autoSpaceDE w:val="0"/>
        <w:autoSpaceDN w:val="0"/>
        <w:adjustRightInd w:val="0"/>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kern w:val="0"/>
          <w:sz w:val="24"/>
          <w:highlight w:val="none"/>
        </w:rPr>
        <w:t>注：</w:t>
      </w:r>
      <w:r>
        <w:rPr>
          <w:rFonts w:hint="eastAsia" w:ascii="宋体" w:hAnsi="宋体" w:eastAsia="宋体" w:cs="宋体"/>
          <w:color w:val="auto"/>
          <w:sz w:val="24"/>
          <w:szCs w:val="20"/>
          <w:highlight w:val="none"/>
        </w:rPr>
        <w:t>此表中的投标报价应和《投标分项报价表》中的总价相一致。</w:t>
      </w:r>
    </w:p>
    <w:p>
      <w:pPr>
        <w:autoSpaceDE w:val="0"/>
        <w:autoSpaceDN w:val="0"/>
        <w:adjustRightInd w:val="0"/>
        <w:spacing w:line="360" w:lineRule="auto"/>
        <w:jc w:val="left"/>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：____________</w:t>
      </w:r>
    </w:p>
    <w:p>
      <w:pPr>
        <w:autoSpaceDE w:val="0"/>
        <w:autoSpaceDN w:val="0"/>
        <w:adjustRightInd w:val="0"/>
        <w:snapToGrid w:val="0"/>
        <w:spacing w:before="25" w:after="25"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日期：_____年______月______日   </w:t>
      </w:r>
      <w:bookmarkStart w:id="383" w:name="_Toc226965832"/>
      <w:bookmarkStart w:id="384" w:name="_Toc305158901"/>
      <w:bookmarkStart w:id="385" w:name="_Toc150480796"/>
      <w:bookmarkStart w:id="386" w:name="_Toc127151558"/>
      <w:bookmarkStart w:id="387" w:name="_Toc226337255"/>
      <w:bookmarkStart w:id="388" w:name="_Toc305158827"/>
      <w:bookmarkStart w:id="389" w:name="_Toc226965749"/>
      <w:bookmarkStart w:id="390" w:name="_Toc195842924"/>
      <w:bookmarkStart w:id="391" w:name="_Toc150774763"/>
      <w:bookmarkStart w:id="392" w:name="_Toc264969249"/>
      <w:bookmarkStart w:id="393" w:name="_Toc226309803"/>
      <w:bookmarkStart w:id="394" w:name="_Toc265228397"/>
      <w:bookmarkStart w:id="395" w:name="_Toc142311060"/>
    </w:p>
    <w:bookmarkEnd w:id="383"/>
    <w:bookmarkEnd w:id="384"/>
    <w:bookmarkEnd w:id="385"/>
    <w:bookmarkEnd w:id="386"/>
    <w:bookmarkEnd w:id="387"/>
    <w:bookmarkEnd w:id="388"/>
    <w:bookmarkEnd w:id="389"/>
    <w:bookmarkEnd w:id="390"/>
    <w:bookmarkEnd w:id="391"/>
    <w:bookmarkEnd w:id="392"/>
    <w:bookmarkEnd w:id="393"/>
    <w:bookmarkEnd w:id="394"/>
    <w:bookmarkEnd w:id="395"/>
    <w:p>
      <w:pPr>
        <w:autoSpaceDE w:val="0"/>
        <w:autoSpaceDN w:val="0"/>
        <w:adjustRightInd w:val="0"/>
        <w:snapToGrid w:val="0"/>
        <w:spacing w:before="25" w:after="25" w:line="360" w:lineRule="auto"/>
        <w:rPr>
          <w:rFonts w:hint="eastAsia" w:ascii="宋体" w:hAnsi="宋体" w:eastAsia="宋体" w:cs="宋体"/>
          <w:color w:val="auto"/>
          <w:sz w:val="24"/>
          <w:szCs w:val="20"/>
          <w:highlight w:val="none"/>
        </w:rPr>
        <w:sectPr>
          <w:pgSz w:w="11906" w:h="16838"/>
          <w:pgMar w:top="1440" w:right="1800" w:bottom="1440" w:left="1800" w:header="851" w:footer="992" w:gutter="0"/>
          <w:cols w:space="720" w:num="1"/>
          <w:docGrid w:type="lines" w:linePitch="312" w:charSpace="0"/>
        </w:sectPr>
      </w:pPr>
    </w:p>
    <w:p>
      <w:pPr>
        <w:spacing w:line="360" w:lineRule="auto"/>
        <w:outlineLvl w:val="2"/>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4  投标分项报价表（实质性格式）</w:t>
      </w:r>
    </w:p>
    <w:p>
      <w:pPr>
        <w:spacing w:line="3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投标分项报价表</w:t>
      </w:r>
    </w:p>
    <w:p>
      <w:pPr>
        <w:pStyle w:val="2"/>
        <w:rPr>
          <w:rFonts w:hint="eastAsia" w:ascii="宋体" w:hAnsi="宋体" w:eastAsia="宋体" w:cs="宋体"/>
          <w:color w:val="auto"/>
          <w:sz w:val="24"/>
          <w:highlight w:val="non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eastAsia="宋体" w:cs="宋体"/>
          <w:color w:val="auto"/>
          <w:sz w:val="24"/>
          <w:highlight w:val="none"/>
        </w:rPr>
        <w:t>报价单位：人民币元</w:t>
      </w:r>
    </w:p>
    <w:tbl>
      <w:tblPr>
        <w:tblStyle w:val="47"/>
        <w:tblW w:w="13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033"/>
        <w:gridCol w:w="1300"/>
        <w:gridCol w:w="926"/>
        <w:gridCol w:w="1230"/>
        <w:gridCol w:w="1230"/>
        <w:gridCol w:w="1230"/>
        <w:gridCol w:w="1230"/>
        <w:gridCol w:w="1230"/>
        <w:gridCol w:w="1230"/>
        <w:gridCol w:w="1004"/>
        <w:gridCol w:w="815"/>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489"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033"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标的名称</w:t>
            </w:r>
          </w:p>
        </w:tc>
        <w:tc>
          <w:tcPr>
            <w:tcW w:w="1300"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w:t>
            </w:r>
          </w:p>
        </w:tc>
        <w:tc>
          <w:tcPr>
            <w:tcW w:w="926"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品牌</w:t>
            </w:r>
          </w:p>
        </w:tc>
        <w:tc>
          <w:tcPr>
            <w:tcW w:w="1230" w:type="dxa"/>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w:t>
            </w:r>
          </w:p>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统一信用代码</w:t>
            </w:r>
          </w:p>
        </w:tc>
        <w:tc>
          <w:tcPr>
            <w:tcW w:w="1230" w:type="dxa"/>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w:t>
            </w:r>
          </w:p>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规模</w:t>
            </w:r>
          </w:p>
        </w:tc>
        <w:tc>
          <w:tcPr>
            <w:tcW w:w="1230"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制造商所属性别</w:t>
            </w:r>
          </w:p>
        </w:tc>
        <w:tc>
          <w:tcPr>
            <w:tcW w:w="1230"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外商投资类型</w:t>
            </w:r>
          </w:p>
        </w:tc>
        <w:tc>
          <w:tcPr>
            <w:tcW w:w="1230"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产品产地</w:t>
            </w:r>
          </w:p>
        </w:tc>
        <w:tc>
          <w:tcPr>
            <w:tcW w:w="1230"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规格、型号</w:t>
            </w:r>
          </w:p>
        </w:tc>
        <w:tc>
          <w:tcPr>
            <w:tcW w:w="1004"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单价（元）</w:t>
            </w:r>
          </w:p>
        </w:tc>
        <w:tc>
          <w:tcPr>
            <w:tcW w:w="815"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1001"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947" w:type="dxa"/>
            <w:gridSpan w:val="12"/>
          </w:tcPr>
          <w:p>
            <w:pPr>
              <w:jc w:val="righ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总价（元）</w:t>
            </w:r>
          </w:p>
        </w:tc>
        <w:tc>
          <w:tcPr>
            <w:tcW w:w="1001" w:type="dxa"/>
            <w:vAlign w:val="center"/>
          </w:tcPr>
          <w:p>
            <w:pPr>
              <w:adjustRightInd w:val="0"/>
              <w:snapToGrid w:val="0"/>
              <w:jc w:val="left"/>
              <w:rPr>
                <w:rFonts w:hint="eastAsia" w:ascii="宋体" w:hAnsi="宋体" w:eastAsia="宋体" w:cs="宋体"/>
                <w:color w:val="auto"/>
                <w:sz w:val="24"/>
                <w:highlight w:val="none"/>
              </w:rPr>
            </w:pPr>
          </w:p>
        </w:tc>
      </w:tr>
    </w:tbl>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注：1.本表应按包分别填写。</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2.如果不提供分项报价将视为没有实质性响应招标文件。</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3.上述各项的详细规格（如有），可另页描述。</w:t>
      </w:r>
    </w:p>
    <w:p>
      <w:pPr>
        <w:tabs>
          <w:tab w:val="left" w:pos="1800"/>
          <w:tab w:val="left" w:pos="5580"/>
        </w:tabs>
        <w:spacing w:line="360" w:lineRule="auto"/>
        <w:ind w:left="660" w:leftChars="200" w:hanging="240" w:hangingChars="10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r>
        <w:rPr>
          <w:rFonts w:hint="eastAsia" w:ascii="宋体" w:hAnsi="宋体" w:eastAsia="宋体" w:cs="宋体"/>
          <w:b/>
          <w:bCs/>
          <w:color w:val="auto"/>
          <w:sz w:val="24"/>
          <w:szCs w:val="20"/>
          <w:highlight w:val="none"/>
        </w:rPr>
        <w:t>制造商规模列</w:t>
      </w:r>
      <w:r>
        <w:rPr>
          <w:rFonts w:hint="eastAsia" w:ascii="宋体" w:hAnsi="宋体" w:eastAsia="宋体" w:cs="宋体"/>
          <w:color w:val="auto"/>
          <w:sz w:val="24"/>
          <w:szCs w:val="20"/>
          <w:highlight w:val="none"/>
        </w:rPr>
        <w:t>应填写“大型”、“中型”、“小型”、“微型”或“其他”，且不应与《中小企业声明函》或《拟分包情况说明》中内容矛盾。</w:t>
      </w:r>
      <w:r>
        <w:rPr>
          <w:rFonts w:hint="eastAsia" w:ascii="宋体" w:hAnsi="宋体" w:eastAsia="宋体" w:cs="宋体"/>
          <w:b/>
          <w:bCs/>
          <w:color w:val="auto"/>
          <w:sz w:val="24"/>
          <w:szCs w:val="20"/>
          <w:highlight w:val="none"/>
        </w:rPr>
        <w:t>制造商所属性别</w:t>
      </w:r>
      <w:r>
        <w:rPr>
          <w:rFonts w:hint="eastAsia" w:ascii="宋体" w:hAnsi="宋体" w:eastAsia="宋体" w:cs="宋体"/>
          <w:color w:val="auto"/>
          <w:sz w:val="24"/>
          <w:szCs w:val="20"/>
          <w:highlight w:val="none"/>
        </w:rPr>
        <w:t>请填写“男”或“女”，</w:t>
      </w:r>
      <w:r>
        <w:rPr>
          <w:rFonts w:hint="eastAsia" w:ascii="宋体" w:hAnsi="宋体" w:eastAsia="宋体" w:cs="宋体"/>
          <w:color w:val="auto"/>
          <w:sz w:val="24"/>
          <w:highlight w:val="none"/>
        </w:rPr>
        <w:t>指拥有制造商51%以上绝对所有权的性别</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绝对所有权拥有者可以是一个人，也可以是多人合计计算</w:t>
      </w:r>
      <w:r>
        <w:rPr>
          <w:rFonts w:hint="eastAsia" w:ascii="宋体" w:hAnsi="宋体" w:eastAsia="宋体" w:cs="宋体"/>
          <w:color w:val="auto"/>
          <w:sz w:val="24"/>
          <w:szCs w:val="20"/>
          <w:highlight w:val="none"/>
        </w:rPr>
        <w:t>。</w:t>
      </w:r>
      <w:r>
        <w:rPr>
          <w:rFonts w:hint="eastAsia" w:ascii="宋体" w:hAnsi="宋体" w:eastAsia="宋体" w:cs="宋体"/>
          <w:b/>
          <w:bCs/>
          <w:color w:val="auto"/>
          <w:sz w:val="24"/>
          <w:szCs w:val="20"/>
          <w:highlight w:val="none"/>
        </w:rPr>
        <w:t>外商投资类型</w:t>
      </w:r>
      <w:r>
        <w:rPr>
          <w:rFonts w:hint="eastAsia" w:ascii="宋体" w:hAnsi="宋体" w:eastAsia="宋体" w:cs="宋体"/>
          <w:color w:val="auto"/>
          <w:sz w:val="24"/>
          <w:szCs w:val="20"/>
          <w:highlight w:val="none"/>
        </w:rPr>
        <w:t>请填写“外商单独投资”、“外商部分投资”或“内资”。</w:t>
      </w:r>
      <w:r>
        <w:rPr>
          <w:rFonts w:hint="eastAsia" w:ascii="宋体" w:hAnsi="宋体" w:eastAsia="宋体" w:cs="宋体"/>
          <w:b/>
          <w:bCs/>
          <w:color w:val="auto"/>
          <w:sz w:val="24"/>
          <w:szCs w:val="20"/>
          <w:highlight w:val="none"/>
        </w:rPr>
        <w:t>产品产地列</w:t>
      </w:r>
      <w:r>
        <w:rPr>
          <w:rFonts w:hint="eastAsia" w:ascii="宋体" w:hAnsi="宋体" w:eastAsia="宋体" w:cs="宋体"/>
          <w:color w:val="auto"/>
          <w:sz w:val="24"/>
          <w:szCs w:val="20"/>
          <w:highlight w:val="none"/>
        </w:rPr>
        <w:t>请填写所投产品的生产地或生产地所属的国别。</w:t>
      </w:r>
    </w:p>
    <w:p>
      <w:pPr>
        <w:tabs>
          <w:tab w:val="left" w:pos="1800"/>
          <w:tab w:val="left" w:pos="5580"/>
        </w:tabs>
        <w:spacing w:line="360" w:lineRule="auto"/>
        <w:ind w:left="660" w:leftChars="200" w:hanging="240" w:hangingChars="100"/>
        <w:jc w:val="left"/>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ind w:firstLine="240" w:firstLineChars="100"/>
        <w:rPr>
          <w:rFonts w:hint="eastAsia" w:ascii="宋体" w:hAnsi="宋体" w:eastAsia="宋体" w:cs="宋体"/>
          <w:color w:val="auto"/>
          <w:sz w:val="24"/>
          <w:szCs w:val="20"/>
          <w:highlight w:val="none"/>
        </w:rPr>
        <w:sectPr>
          <w:pgSz w:w="16838" w:h="11906" w:orient="landscape"/>
          <w:pgMar w:top="1800" w:right="1440" w:bottom="1800" w:left="1440" w:header="851" w:footer="992" w:gutter="0"/>
          <w:cols w:space="720" w:num="1"/>
          <w:docGrid w:type="lines" w:linePitch="312" w:charSpace="0"/>
        </w:sect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xml:space="preserve">：____________                                                </w:t>
      </w:r>
      <w:r>
        <w:rPr>
          <w:rFonts w:hint="eastAsia" w:ascii="宋体" w:hAnsi="宋体" w:eastAsia="宋体" w:cs="宋体"/>
          <w:color w:val="auto"/>
          <w:sz w:val="24"/>
          <w:szCs w:val="20"/>
          <w:highlight w:val="none"/>
        </w:rPr>
        <w:t>日期：_____年______月______日</w:t>
      </w:r>
    </w:p>
    <w:p>
      <w:pPr>
        <w:pStyle w:val="5"/>
        <w:snapToGrid w:val="0"/>
        <w:spacing w:before="25" w:after="25" w:line="360" w:lineRule="auto"/>
        <w:rPr>
          <w:rFonts w:hint="eastAsia" w:ascii="宋体" w:hAnsi="宋体" w:eastAsia="宋体" w:cs="宋体"/>
          <w:color w:val="auto"/>
          <w:highlight w:val="none"/>
        </w:rPr>
      </w:pPr>
      <w:r>
        <w:rPr>
          <w:rFonts w:hint="eastAsia" w:ascii="宋体" w:hAnsi="宋体" w:eastAsia="宋体" w:cs="宋体"/>
          <w:color w:val="auto"/>
          <w:highlight w:val="none"/>
        </w:rPr>
        <w:t>5  合同条款偏离表</w:t>
      </w:r>
      <w:bookmarkEnd w:id="346"/>
      <w:bookmarkEnd w:id="347"/>
      <w:bookmarkEnd w:id="348"/>
      <w:bookmarkEnd w:id="349"/>
      <w:bookmarkEnd w:id="350"/>
      <w:bookmarkEnd w:id="351"/>
      <w:bookmarkEnd w:id="352"/>
      <w:bookmarkEnd w:id="353"/>
      <w:bookmarkEnd w:id="354"/>
      <w:bookmarkEnd w:id="355"/>
      <w:bookmarkEnd w:id="356"/>
      <w:bookmarkEnd w:id="357"/>
      <w:bookmarkEnd w:id="358"/>
      <w:r>
        <w:rPr>
          <w:rFonts w:hint="eastAsia" w:ascii="宋体" w:hAnsi="宋体" w:eastAsia="宋体" w:cs="宋体"/>
          <w:color w:val="auto"/>
          <w:highlight w:val="none"/>
        </w:rPr>
        <w:t>（实质性格式）</w:t>
      </w:r>
    </w:p>
    <w:p>
      <w:pPr>
        <w:tabs>
          <w:tab w:val="left" w:pos="2775"/>
          <w:tab w:val="center" w:pos="4153"/>
        </w:tabs>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合同条款偏离表</w:t>
      </w:r>
    </w:p>
    <w:p>
      <w:pPr>
        <w:pStyle w:val="2"/>
        <w:rPr>
          <w:rFonts w:hint="eastAsia" w:ascii="宋体" w:hAnsi="宋体" w:eastAsia="宋体" w:cs="宋体"/>
          <w:color w:val="auto"/>
          <w:sz w:val="24"/>
          <w:highlight w:val="non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w:t>
      </w:r>
      <w:r>
        <w:rPr>
          <w:rFonts w:hint="eastAsia" w:ascii="宋体" w:hAnsi="宋体" w:eastAsia="宋体" w:cs="宋体"/>
          <w:color w:val="auto"/>
          <w:sz w:val="24"/>
          <w:highlight w:val="none"/>
        </w:rPr>
        <w:t>_</w:t>
      </w:r>
    </w:p>
    <w:tbl>
      <w:tblPr>
        <w:tblStyle w:val="47"/>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354"/>
        <w:gridCol w:w="1643"/>
        <w:gridCol w:w="1643"/>
        <w:gridCol w:w="1937"/>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96" w:type="dxa"/>
            <w:gridSpan w:val="6"/>
            <w:vAlign w:val="center"/>
          </w:tcPr>
          <w:p>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对本项目合同条款的偏离情况（应进行选择，未选择投标无效）：</w:t>
            </w:r>
          </w:p>
          <w:p>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□无偏离</w:t>
            </w:r>
            <w:r>
              <w:rPr>
                <w:rFonts w:hint="eastAsia" w:ascii="宋体" w:hAnsi="宋体" w:eastAsia="宋体" w:cs="宋体"/>
                <w:color w:val="auto"/>
                <w:sz w:val="24"/>
                <w:highlight w:val="none"/>
              </w:rPr>
              <w:t>（</w:t>
            </w:r>
            <w:r>
              <w:rPr>
                <w:rFonts w:hint="eastAsia" w:ascii="宋体" w:hAnsi="宋体" w:eastAsia="宋体" w:cs="宋体"/>
                <w:color w:val="auto"/>
                <w:sz w:val="24"/>
                <w:szCs w:val="21"/>
                <w:highlight w:val="none"/>
              </w:rPr>
              <w:t>如无偏离，仅选择无偏离即可；无偏离即为对合同条款中的所有要求，均视作投标人已对之理解和响应。</w:t>
            </w:r>
            <w:r>
              <w:rPr>
                <w:rFonts w:hint="eastAsia" w:ascii="宋体" w:hAnsi="宋体" w:eastAsia="宋体" w:cs="宋体"/>
                <w:color w:val="auto"/>
                <w:sz w:val="24"/>
                <w:highlight w:val="none"/>
              </w:rPr>
              <w:t>）</w:t>
            </w:r>
          </w:p>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□有偏离</w:t>
            </w:r>
            <w:r>
              <w:rPr>
                <w:rFonts w:hint="eastAsia" w:ascii="宋体" w:hAnsi="宋体" w:eastAsia="宋体" w:cs="宋体"/>
                <w:color w:val="auto"/>
                <w:sz w:val="24"/>
                <w:highlight w:val="none"/>
              </w:rPr>
              <w:t>（</w:t>
            </w:r>
            <w:r>
              <w:rPr>
                <w:rFonts w:hint="eastAsia" w:ascii="宋体" w:hAnsi="宋体" w:eastAsia="宋体" w:cs="宋体"/>
                <w:color w:val="auto"/>
                <w:sz w:val="24"/>
                <w:szCs w:val="21"/>
                <w:highlight w:val="none"/>
              </w:rPr>
              <w:t>如有偏离，</w:t>
            </w:r>
            <w:r>
              <w:rPr>
                <w:rFonts w:hint="eastAsia" w:ascii="宋体" w:hAnsi="宋体" w:eastAsia="宋体" w:cs="宋体"/>
                <w:color w:val="auto"/>
                <w:sz w:val="24"/>
                <w:highlight w:val="none"/>
              </w:rPr>
              <w:t>则应在本表中对偏离项逐一列明，否则投标无效；对合同条款中的所有要求，除本表列明的偏离外，均视作投标人已对之理解和响应。）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354"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招标文件</w:t>
            </w:r>
            <w:r>
              <w:rPr>
                <w:rFonts w:hint="eastAsia" w:ascii="宋体" w:hAnsi="宋体" w:eastAsia="宋体" w:cs="宋体"/>
                <w:color w:val="auto"/>
                <w:sz w:val="24"/>
                <w:highlight w:val="none"/>
              </w:rPr>
              <w:t>条目号（页码）</w:t>
            </w:r>
          </w:p>
        </w:tc>
        <w:tc>
          <w:tcPr>
            <w:tcW w:w="1643"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招标文件</w:t>
            </w:r>
            <w:r>
              <w:rPr>
                <w:rFonts w:hint="eastAsia" w:ascii="宋体" w:hAnsi="宋体" w:eastAsia="宋体" w:cs="宋体"/>
                <w:color w:val="auto"/>
                <w:sz w:val="24"/>
                <w:highlight w:val="none"/>
              </w:rPr>
              <w:t>要求</w:t>
            </w:r>
          </w:p>
        </w:tc>
        <w:tc>
          <w:tcPr>
            <w:tcW w:w="1643"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投标文件内容</w:t>
            </w:r>
          </w:p>
        </w:tc>
        <w:tc>
          <w:tcPr>
            <w:tcW w:w="1937"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tc>
        <w:tc>
          <w:tcPr>
            <w:tcW w:w="845"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bl>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对合同条款中的所有要求，除本表所列明的所有偏离外，均视作投标人已对之理解和响应。</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 “偏离情况”列应据实填写“正偏离”或“负偏离”或“无偏离”。</w:t>
      </w:r>
    </w:p>
    <w:p>
      <w:pPr>
        <w:spacing w:line="360" w:lineRule="auto"/>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____________</w:t>
      </w: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szCs w:val="20"/>
          <w:highlight w:val="none"/>
        </w:rPr>
        <w:t xml:space="preserve">日期：_____年______月______日   </w:t>
      </w:r>
    </w:p>
    <w:p>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r>
        <w:rPr>
          <w:rFonts w:hint="eastAsia" w:ascii="宋体" w:hAnsi="宋体" w:eastAsia="宋体" w:cs="宋体"/>
          <w:b/>
          <w:color w:val="auto"/>
          <w:sz w:val="24"/>
          <w:szCs w:val="20"/>
          <w:highlight w:val="none"/>
        </w:rPr>
        <w:t xml:space="preserve">6  </w:t>
      </w:r>
      <w:bookmarkEnd w:id="359"/>
      <w:bookmarkEnd w:id="360"/>
      <w:bookmarkEnd w:id="361"/>
      <w:bookmarkEnd w:id="362"/>
      <w:bookmarkEnd w:id="363"/>
      <w:bookmarkEnd w:id="364"/>
      <w:bookmarkEnd w:id="365"/>
      <w:bookmarkEnd w:id="366"/>
      <w:bookmarkEnd w:id="367"/>
      <w:bookmarkEnd w:id="368"/>
      <w:bookmarkEnd w:id="369"/>
      <w:bookmarkEnd w:id="370"/>
      <w:bookmarkEnd w:id="371"/>
      <w:r>
        <w:rPr>
          <w:rFonts w:hint="eastAsia" w:ascii="宋体" w:hAnsi="宋体" w:eastAsia="宋体" w:cs="宋体"/>
          <w:b/>
          <w:color w:val="auto"/>
          <w:sz w:val="24"/>
          <w:szCs w:val="20"/>
          <w:highlight w:val="none"/>
        </w:rPr>
        <w:t>采购需求偏离表 （实质性格式）</w:t>
      </w:r>
    </w:p>
    <w:p>
      <w:pPr>
        <w:autoSpaceDE w:val="0"/>
        <w:autoSpaceDN w:val="0"/>
        <w:adjustRightInd w:val="0"/>
        <w:spacing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rPr>
        <w:t>采购需求偏离表</w:t>
      </w:r>
    </w:p>
    <w:p>
      <w:pPr>
        <w:pStyle w:val="2"/>
        <w:rPr>
          <w:rFonts w:hint="eastAsia" w:ascii="宋体" w:hAnsi="宋体"/>
          <w:color w:val="auto"/>
          <w:sz w:val="24"/>
          <w:highlight w:val="none"/>
          <w:u w:val="singl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p>
    <w:tbl>
      <w:tblPr>
        <w:tblStyle w:val="47"/>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354"/>
        <w:gridCol w:w="1643"/>
        <w:gridCol w:w="1643"/>
        <w:gridCol w:w="1937"/>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96" w:type="dxa"/>
            <w:gridSpan w:val="6"/>
            <w:vAlign w:val="center"/>
          </w:tcPr>
          <w:p>
            <w:pPr>
              <w:adjustRightInd w:val="0"/>
              <w:snapToGrid w:val="0"/>
              <w:jc w:val="left"/>
              <w:rPr>
                <w:rFonts w:hint="eastAsia" w:ascii="宋体" w:hAnsi="宋体"/>
                <w:b/>
                <w:color w:val="auto"/>
                <w:sz w:val="24"/>
                <w:highlight w:val="none"/>
              </w:rPr>
            </w:pPr>
            <w:r>
              <w:rPr>
                <w:rFonts w:ascii="宋体" w:hAnsi="宋体"/>
                <w:b/>
                <w:color w:val="auto"/>
                <w:sz w:val="24"/>
                <w:highlight w:val="none"/>
              </w:rPr>
              <w:t>对本</w:t>
            </w:r>
            <w:r>
              <w:rPr>
                <w:rFonts w:hint="eastAsia" w:ascii="宋体" w:hAnsi="宋体"/>
                <w:b/>
                <w:color w:val="auto"/>
                <w:sz w:val="24"/>
                <w:highlight w:val="none"/>
              </w:rPr>
              <w:t>项目采购需求</w:t>
            </w:r>
            <w:r>
              <w:rPr>
                <w:rFonts w:ascii="宋体" w:hAnsi="宋体"/>
                <w:b/>
                <w:color w:val="auto"/>
                <w:sz w:val="24"/>
                <w:highlight w:val="none"/>
              </w:rPr>
              <w:t>的偏离情况（</w:t>
            </w:r>
            <w:r>
              <w:rPr>
                <w:rFonts w:hint="eastAsia" w:ascii="宋体" w:hAnsi="宋体"/>
                <w:b/>
                <w:color w:val="auto"/>
                <w:sz w:val="24"/>
                <w:highlight w:val="none"/>
              </w:rPr>
              <w:t>应进行选择，未选择投标无效</w:t>
            </w:r>
            <w:r>
              <w:rPr>
                <w:rFonts w:ascii="宋体" w:hAnsi="宋体"/>
                <w:b/>
                <w:color w:val="auto"/>
                <w:sz w:val="24"/>
                <w:highlight w:val="none"/>
              </w:rPr>
              <w:t>）：</w:t>
            </w:r>
          </w:p>
          <w:p>
            <w:pPr>
              <w:adjustRightInd w:val="0"/>
              <w:snapToGrid w:val="0"/>
              <w:jc w:val="left"/>
              <w:rPr>
                <w:rFonts w:hint="eastAsia" w:ascii="宋体" w:hAnsi="宋体"/>
                <w:b/>
                <w:color w:val="auto"/>
                <w:sz w:val="24"/>
                <w:highlight w:val="none"/>
              </w:rPr>
            </w:pPr>
            <w:r>
              <w:rPr>
                <w:rFonts w:ascii="宋体" w:hAnsi="宋体"/>
                <w:b/>
                <w:color w:val="auto"/>
                <w:sz w:val="24"/>
                <w:highlight w:val="none"/>
              </w:rPr>
              <w:t>□无偏离</w:t>
            </w:r>
            <w:r>
              <w:rPr>
                <w:rFonts w:ascii="宋体" w:hAnsi="宋体"/>
                <w:color w:val="auto"/>
                <w:sz w:val="24"/>
                <w:highlight w:val="none"/>
              </w:rPr>
              <w:t>（</w:t>
            </w:r>
            <w:r>
              <w:rPr>
                <w:rFonts w:ascii="宋体" w:hAnsi="宋体"/>
                <w:color w:val="auto"/>
                <w:sz w:val="24"/>
                <w:szCs w:val="21"/>
                <w:highlight w:val="none"/>
              </w:rPr>
              <w:t>如无偏离，仅选择无偏离即可；</w:t>
            </w:r>
            <w:r>
              <w:rPr>
                <w:rFonts w:hint="eastAsia" w:ascii="宋体" w:hAnsi="宋体"/>
                <w:color w:val="auto"/>
                <w:sz w:val="24"/>
                <w:szCs w:val="21"/>
                <w:highlight w:val="none"/>
              </w:rPr>
              <w:t>无偏离即为对采购需求中的所有要求，均视作供应商已对之理解和响应。</w:t>
            </w:r>
            <w:r>
              <w:rPr>
                <w:rFonts w:ascii="宋体" w:hAnsi="宋体"/>
                <w:color w:val="auto"/>
                <w:sz w:val="24"/>
                <w:highlight w:val="none"/>
              </w:rPr>
              <w:t>）</w:t>
            </w:r>
          </w:p>
          <w:p>
            <w:pPr>
              <w:adjustRightInd w:val="0"/>
              <w:snapToGrid w:val="0"/>
              <w:jc w:val="left"/>
              <w:rPr>
                <w:rFonts w:hint="eastAsia" w:ascii="宋体" w:hAnsi="宋体"/>
                <w:color w:val="auto"/>
                <w:sz w:val="24"/>
                <w:highlight w:val="none"/>
              </w:rPr>
            </w:pPr>
            <w:r>
              <w:rPr>
                <w:rFonts w:ascii="宋体" w:hAnsi="宋体"/>
                <w:b/>
                <w:color w:val="auto"/>
                <w:sz w:val="24"/>
                <w:highlight w:val="none"/>
              </w:rPr>
              <w:t>□有偏离</w:t>
            </w:r>
            <w:r>
              <w:rPr>
                <w:rFonts w:ascii="宋体" w:hAnsi="宋体"/>
                <w:color w:val="auto"/>
                <w:sz w:val="24"/>
                <w:highlight w:val="none"/>
              </w:rPr>
              <w:t>（</w:t>
            </w:r>
            <w:r>
              <w:rPr>
                <w:rFonts w:ascii="宋体" w:hAnsi="宋体"/>
                <w:color w:val="auto"/>
                <w:sz w:val="24"/>
                <w:szCs w:val="21"/>
                <w:highlight w:val="none"/>
              </w:rPr>
              <w:t>如有偏离，</w:t>
            </w:r>
            <w:r>
              <w:rPr>
                <w:rFonts w:ascii="宋体" w:hAnsi="宋体"/>
                <w:color w:val="auto"/>
                <w:sz w:val="24"/>
                <w:highlight w:val="none"/>
              </w:rPr>
              <w:t>则</w:t>
            </w:r>
            <w:r>
              <w:rPr>
                <w:rFonts w:hint="eastAsia" w:ascii="宋体" w:hAnsi="宋体"/>
                <w:color w:val="auto"/>
                <w:sz w:val="24"/>
                <w:highlight w:val="none"/>
              </w:rPr>
              <w:t>应</w:t>
            </w:r>
            <w:r>
              <w:rPr>
                <w:rFonts w:ascii="宋体" w:hAnsi="宋体"/>
                <w:color w:val="auto"/>
                <w:sz w:val="24"/>
                <w:highlight w:val="none"/>
              </w:rPr>
              <w:t>在本表中对偏离项逐一列明，</w:t>
            </w:r>
            <w:r>
              <w:rPr>
                <w:rFonts w:hint="eastAsia" w:ascii="宋体" w:hAnsi="宋体"/>
                <w:color w:val="auto"/>
                <w:sz w:val="24"/>
                <w:highlight w:val="none"/>
              </w:rPr>
              <w:t>否则投标无效；对</w:t>
            </w:r>
            <w:r>
              <w:rPr>
                <w:rFonts w:hint="eastAsia" w:ascii="宋体" w:hAnsi="宋体"/>
                <w:color w:val="auto"/>
                <w:sz w:val="24"/>
                <w:szCs w:val="21"/>
                <w:highlight w:val="none"/>
              </w:rPr>
              <w:t>采购需求</w:t>
            </w:r>
            <w:r>
              <w:rPr>
                <w:rFonts w:hint="eastAsia" w:ascii="宋体" w:hAnsi="宋体"/>
                <w:color w:val="auto"/>
                <w:sz w:val="24"/>
                <w:highlight w:val="none"/>
              </w:rPr>
              <w:t>中的所有要求，除本表列明的偏离外，均视作供应商已对之理解和响应。</w:t>
            </w:r>
            <w:r>
              <w:rPr>
                <w:rFonts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color w:val="auto"/>
                <w:sz w:val="24"/>
                <w:highlight w:val="none"/>
              </w:rPr>
            </w:pPr>
            <w:r>
              <w:rPr>
                <w:rFonts w:ascii="宋体" w:hAnsi="宋体"/>
                <w:color w:val="auto"/>
                <w:sz w:val="24"/>
                <w:highlight w:val="none"/>
              </w:rPr>
              <w:t>序号</w:t>
            </w:r>
          </w:p>
        </w:tc>
        <w:tc>
          <w:tcPr>
            <w:tcW w:w="1354" w:type="dxa"/>
            <w:vAlign w:val="center"/>
          </w:tcPr>
          <w:p>
            <w:pPr>
              <w:adjustRightInd w:val="0"/>
              <w:snapToGrid w:val="0"/>
              <w:jc w:val="center"/>
              <w:rPr>
                <w:rFonts w:hint="eastAsia" w:ascii="宋体" w:hAnsi="宋体"/>
                <w:color w:val="auto"/>
                <w:sz w:val="24"/>
                <w:highlight w:val="none"/>
              </w:rPr>
            </w:pPr>
            <w:r>
              <w:rPr>
                <w:rFonts w:ascii="宋体" w:hAnsi="宋体"/>
                <w:color w:val="auto"/>
                <w:sz w:val="24"/>
                <w:szCs w:val="21"/>
                <w:highlight w:val="none"/>
              </w:rPr>
              <w:t>招标文件</w:t>
            </w:r>
            <w:r>
              <w:rPr>
                <w:rFonts w:ascii="宋体" w:hAnsi="宋体"/>
                <w:color w:val="auto"/>
                <w:sz w:val="24"/>
                <w:highlight w:val="none"/>
              </w:rPr>
              <w:t>条目号（页码）</w:t>
            </w:r>
          </w:p>
        </w:tc>
        <w:tc>
          <w:tcPr>
            <w:tcW w:w="1643" w:type="dxa"/>
            <w:vAlign w:val="center"/>
          </w:tcPr>
          <w:p>
            <w:pPr>
              <w:adjustRightInd w:val="0"/>
              <w:snapToGrid w:val="0"/>
              <w:jc w:val="center"/>
              <w:rPr>
                <w:rFonts w:hint="eastAsia" w:ascii="宋体" w:hAnsi="宋体"/>
                <w:color w:val="auto"/>
                <w:sz w:val="24"/>
                <w:highlight w:val="none"/>
              </w:rPr>
            </w:pPr>
            <w:r>
              <w:rPr>
                <w:rFonts w:ascii="宋体" w:hAnsi="宋体"/>
                <w:color w:val="auto"/>
                <w:sz w:val="24"/>
                <w:szCs w:val="21"/>
                <w:highlight w:val="none"/>
              </w:rPr>
              <w:t>招标文件</w:t>
            </w:r>
            <w:r>
              <w:rPr>
                <w:rFonts w:ascii="宋体" w:hAnsi="宋体"/>
                <w:color w:val="auto"/>
                <w:sz w:val="24"/>
                <w:highlight w:val="none"/>
              </w:rPr>
              <w:t>要求</w:t>
            </w:r>
          </w:p>
        </w:tc>
        <w:tc>
          <w:tcPr>
            <w:tcW w:w="1643" w:type="dxa"/>
            <w:vAlign w:val="center"/>
          </w:tcPr>
          <w:p>
            <w:pPr>
              <w:adjustRightInd w:val="0"/>
              <w:snapToGrid w:val="0"/>
              <w:jc w:val="center"/>
              <w:rPr>
                <w:rFonts w:hint="eastAsia" w:ascii="宋体" w:hAnsi="宋体"/>
                <w:color w:val="auto"/>
                <w:sz w:val="24"/>
                <w:highlight w:val="none"/>
              </w:rPr>
            </w:pPr>
            <w:r>
              <w:rPr>
                <w:rFonts w:ascii="宋体" w:hAnsi="宋体"/>
                <w:color w:val="auto"/>
                <w:sz w:val="24"/>
                <w:highlight w:val="none"/>
              </w:rPr>
              <w:t>投标文件内容</w:t>
            </w:r>
          </w:p>
        </w:tc>
        <w:tc>
          <w:tcPr>
            <w:tcW w:w="1937" w:type="dxa"/>
            <w:vAlign w:val="center"/>
          </w:tcPr>
          <w:p>
            <w:pPr>
              <w:adjustRightInd w:val="0"/>
              <w:snapToGrid w:val="0"/>
              <w:jc w:val="center"/>
              <w:rPr>
                <w:rFonts w:hint="eastAsia" w:ascii="宋体" w:hAnsi="宋体"/>
                <w:color w:val="auto"/>
                <w:sz w:val="24"/>
                <w:highlight w:val="none"/>
              </w:rPr>
            </w:pPr>
            <w:r>
              <w:rPr>
                <w:rFonts w:ascii="宋体" w:hAnsi="宋体"/>
                <w:color w:val="auto"/>
                <w:sz w:val="24"/>
                <w:highlight w:val="none"/>
              </w:rPr>
              <w:t>偏离情况</w:t>
            </w:r>
          </w:p>
        </w:tc>
        <w:tc>
          <w:tcPr>
            <w:tcW w:w="845" w:type="dxa"/>
            <w:vAlign w:val="center"/>
          </w:tcPr>
          <w:p>
            <w:pPr>
              <w:adjustRightInd w:val="0"/>
              <w:snapToGrid w:val="0"/>
              <w:jc w:val="center"/>
              <w:rPr>
                <w:rFonts w:hint="eastAsia" w:ascii="宋体" w:hAnsi="宋体"/>
                <w:color w:val="auto"/>
                <w:sz w:val="24"/>
                <w:highlight w:val="none"/>
              </w:rPr>
            </w:pPr>
            <w:r>
              <w:rPr>
                <w:rFonts w:ascii="宋体" w:hAnsi="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color w:val="auto"/>
                <w:sz w:val="24"/>
                <w:highlight w:val="none"/>
              </w:rPr>
            </w:pPr>
          </w:p>
        </w:tc>
        <w:tc>
          <w:tcPr>
            <w:tcW w:w="1354"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937" w:type="dxa"/>
            <w:vAlign w:val="center"/>
          </w:tcPr>
          <w:p>
            <w:pPr>
              <w:adjustRightInd w:val="0"/>
              <w:snapToGrid w:val="0"/>
              <w:jc w:val="center"/>
              <w:rPr>
                <w:rFonts w:hint="eastAsia" w:ascii="宋体" w:hAnsi="宋体"/>
                <w:color w:val="auto"/>
                <w:sz w:val="24"/>
                <w:highlight w:val="none"/>
              </w:rPr>
            </w:pPr>
          </w:p>
        </w:tc>
        <w:tc>
          <w:tcPr>
            <w:tcW w:w="845" w:type="dxa"/>
            <w:vAlign w:val="center"/>
          </w:tcPr>
          <w:p>
            <w:pPr>
              <w:adjustRightInd w:val="0"/>
              <w:snapToGrid w:val="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color w:val="auto"/>
                <w:sz w:val="24"/>
                <w:highlight w:val="none"/>
              </w:rPr>
            </w:pPr>
          </w:p>
        </w:tc>
        <w:tc>
          <w:tcPr>
            <w:tcW w:w="1354"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937" w:type="dxa"/>
            <w:vAlign w:val="center"/>
          </w:tcPr>
          <w:p>
            <w:pPr>
              <w:adjustRightInd w:val="0"/>
              <w:snapToGrid w:val="0"/>
              <w:jc w:val="center"/>
              <w:rPr>
                <w:rFonts w:hint="eastAsia" w:ascii="宋体" w:hAnsi="宋体"/>
                <w:color w:val="auto"/>
                <w:sz w:val="24"/>
                <w:highlight w:val="none"/>
              </w:rPr>
            </w:pPr>
          </w:p>
        </w:tc>
        <w:tc>
          <w:tcPr>
            <w:tcW w:w="845" w:type="dxa"/>
            <w:vAlign w:val="center"/>
          </w:tcPr>
          <w:p>
            <w:pPr>
              <w:adjustRightInd w:val="0"/>
              <w:snapToGrid w:val="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color w:val="auto"/>
                <w:sz w:val="24"/>
                <w:highlight w:val="none"/>
              </w:rPr>
            </w:pPr>
          </w:p>
        </w:tc>
        <w:tc>
          <w:tcPr>
            <w:tcW w:w="1354"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937" w:type="dxa"/>
            <w:vAlign w:val="center"/>
          </w:tcPr>
          <w:p>
            <w:pPr>
              <w:adjustRightInd w:val="0"/>
              <w:snapToGrid w:val="0"/>
              <w:jc w:val="center"/>
              <w:rPr>
                <w:rFonts w:hint="eastAsia" w:ascii="宋体" w:hAnsi="宋体"/>
                <w:color w:val="auto"/>
                <w:sz w:val="24"/>
                <w:highlight w:val="none"/>
              </w:rPr>
            </w:pPr>
          </w:p>
        </w:tc>
        <w:tc>
          <w:tcPr>
            <w:tcW w:w="845" w:type="dxa"/>
            <w:vAlign w:val="center"/>
          </w:tcPr>
          <w:p>
            <w:pPr>
              <w:adjustRightInd w:val="0"/>
              <w:snapToGrid w:val="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color w:val="auto"/>
                <w:sz w:val="24"/>
                <w:highlight w:val="none"/>
              </w:rPr>
            </w:pPr>
          </w:p>
        </w:tc>
        <w:tc>
          <w:tcPr>
            <w:tcW w:w="1354"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937" w:type="dxa"/>
            <w:vAlign w:val="center"/>
          </w:tcPr>
          <w:p>
            <w:pPr>
              <w:adjustRightInd w:val="0"/>
              <w:snapToGrid w:val="0"/>
              <w:jc w:val="center"/>
              <w:rPr>
                <w:rFonts w:hint="eastAsia" w:ascii="宋体" w:hAnsi="宋体"/>
                <w:color w:val="auto"/>
                <w:sz w:val="24"/>
                <w:highlight w:val="none"/>
              </w:rPr>
            </w:pPr>
          </w:p>
        </w:tc>
        <w:tc>
          <w:tcPr>
            <w:tcW w:w="845" w:type="dxa"/>
            <w:vAlign w:val="center"/>
          </w:tcPr>
          <w:p>
            <w:pPr>
              <w:adjustRightInd w:val="0"/>
              <w:snapToGrid w:val="0"/>
              <w:jc w:val="center"/>
              <w:rPr>
                <w:rFonts w:hint="eastAsia" w:ascii="宋体" w:hAnsi="宋体"/>
                <w:color w:val="auto"/>
                <w:sz w:val="24"/>
                <w:highlight w:val="none"/>
              </w:rPr>
            </w:pPr>
          </w:p>
        </w:tc>
      </w:tr>
    </w:tbl>
    <w:p>
      <w:pPr>
        <w:tabs>
          <w:tab w:val="left" w:pos="1800"/>
          <w:tab w:val="left" w:pos="5580"/>
        </w:tabs>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注：</w:t>
      </w:r>
    </w:p>
    <w:p>
      <w:pPr>
        <w:tabs>
          <w:tab w:val="left" w:pos="1800"/>
          <w:tab w:val="left" w:pos="5580"/>
        </w:tabs>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 对招标文件中的所有商务、技术要求，除本表所列明的所有偏离外，均视作供应商已对之理解和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w:t>
      </w:r>
    </w:p>
    <w:p>
      <w:pPr>
        <w:tabs>
          <w:tab w:val="left" w:pos="1800"/>
          <w:tab w:val="left" w:pos="5580"/>
        </w:tabs>
        <w:jc w:val="left"/>
        <w:rPr>
          <w:rFonts w:hint="eastAsia" w:ascii="宋体" w:hAnsi="宋体"/>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“偏离情况”列应</w:t>
      </w:r>
      <w:r>
        <w:rPr>
          <w:rFonts w:asciiTheme="minorEastAsia" w:hAnsiTheme="minorEastAsia" w:eastAsiaTheme="minorEastAsia"/>
          <w:color w:val="auto"/>
          <w:sz w:val="24"/>
          <w:highlight w:val="none"/>
        </w:rPr>
        <w:t>据实</w:t>
      </w:r>
      <w:r>
        <w:rPr>
          <w:rFonts w:hint="eastAsia" w:asciiTheme="minorEastAsia" w:hAnsiTheme="minorEastAsia" w:eastAsiaTheme="minorEastAsia"/>
          <w:color w:val="auto"/>
          <w:sz w:val="24"/>
          <w:highlight w:val="none"/>
        </w:rPr>
        <w:t>填写“正偏离”或“负偏离”或“无偏离”。</w:t>
      </w:r>
    </w:p>
    <w:p>
      <w:pPr>
        <w:autoSpaceDE w:val="0"/>
        <w:autoSpaceDN w:val="0"/>
        <w:adjustRightInd w:val="0"/>
        <w:snapToGrid w:val="0"/>
        <w:spacing w:before="25" w:after="25" w:line="360" w:lineRule="auto"/>
        <w:rPr>
          <w:rFonts w:hint="eastAsia" w:ascii="宋体" w:hAnsi="宋体"/>
          <w:color w:val="auto"/>
          <w:sz w:val="24"/>
          <w:highlight w:val="none"/>
          <w:lang w:val="zh-CN"/>
        </w:rPr>
      </w:pPr>
    </w:p>
    <w:p>
      <w:pPr>
        <w:autoSpaceDE w:val="0"/>
        <w:autoSpaceDN w:val="0"/>
        <w:adjustRightInd w:val="0"/>
        <w:snapToGrid w:val="0"/>
        <w:spacing w:before="25" w:after="25" w:line="360" w:lineRule="auto"/>
        <w:rPr>
          <w:rFonts w:hint="eastAsia" w:ascii="宋体" w:hAnsi="宋体"/>
          <w:color w:val="auto"/>
          <w:sz w:val="24"/>
          <w:highlight w:val="none"/>
          <w:lang w:val="zh-CN"/>
        </w:rPr>
      </w:pPr>
      <w:r>
        <w:rPr>
          <w:rFonts w:ascii="宋体" w:hAnsi="宋体"/>
          <w:color w:val="auto"/>
          <w:sz w:val="24"/>
          <w:highlight w:val="none"/>
        </w:rPr>
        <w:t>投标人名称（加盖公章）</w:t>
      </w:r>
      <w:r>
        <w:rPr>
          <w:rFonts w:ascii="宋体" w:hAnsi="宋体"/>
          <w:color w:val="auto"/>
          <w:sz w:val="24"/>
          <w:highlight w:val="none"/>
          <w:lang w:val="zh-CN"/>
        </w:rPr>
        <w:t>：    ____________</w:t>
      </w:r>
    </w:p>
    <w:p>
      <w:pPr>
        <w:autoSpaceDE w:val="0"/>
        <w:autoSpaceDN w:val="0"/>
        <w:adjustRightInd w:val="0"/>
        <w:snapToGrid w:val="0"/>
        <w:spacing w:before="25" w:after="25" w:line="360" w:lineRule="auto"/>
        <w:rPr>
          <w:rFonts w:ascii="宋体" w:hAnsi="宋体"/>
          <w:color w:val="auto"/>
          <w:sz w:val="24"/>
          <w:szCs w:val="20"/>
          <w:highlight w:val="none"/>
        </w:rPr>
      </w:pPr>
      <w:r>
        <w:rPr>
          <w:rFonts w:ascii="宋体" w:hAnsi="宋体"/>
          <w:color w:val="auto"/>
          <w:sz w:val="24"/>
          <w:szCs w:val="20"/>
          <w:highlight w:val="none"/>
        </w:rPr>
        <w:t xml:space="preserve">日期：_____年______月______日   </w:t>
      </w:r>
    </w:p>
    <w:p>
      <w:pPr>
        <w:pStyle w:val="2"/>
        <w:rPr>
          <w:rFonts w:ascii="宋体" w:hAnsi="宋体"/>
          <w:color w:val="auto"/>
          <w:sz w:val="24"/>
          <w:szCs w:val="20"/>
          <w:highlight w:val="none"/>
        </w:rPr>
      </w:pPr>
    </w:p>
    <w:p>
      <w:pPr>
        <w:keepNext w:val="0"/>
        <w:keepLines w:val="0"/>
        <w:pageBreakBefore w:val="0"/>
        <w:widowControl w:val="0"/>
        <w:numPr>
          <w:ilvl w:val="0"/>
          <w:numId w:val="29"/>
        </w:numPr>
        <w:tabs>
          <w:tab w:val="left" w:pos="360"/>
        </w:tabs>
        <w:kinsoku/>
        <w:wordWrap/>
        <w:overflowPunct/>
        <w:topLinePunct w:val="0"/>
        <w:autoSpaceDE/>
        <w:autoSpaceDN/>
        <w:bidi w:val="0"/>
        <w:adjustRightInd/>
        <w:snapToGrid w:val="0"/>
        <w:spacing w:after="0" w:line="240" w:lineRule="atLeast"/>
        <w:ind w:left="901" w:hanging="901"/>
        <w:textAlignment w:val="auto"/>
        <w:outlineLvl w:val="1"/>
        <w:rPr>
          <w:rFonts w:hint="eastAsia" w:ascii="宋体" w:hAnsi="宋体" w:eastAsia="宋体" w:cs="宋体"/>
          <w:color w:val="auto"/>
          <w:sz w:val="24"/>
          <w:szCs w:val="20"/>
          <w:highlight w:val="none"/>
        </w:rPr>
      </w:pPr>
      <w:r>
        <w:rPr>
          <w:rFonts w:hint="eastAsia" w:ascii="宋体" w:hAnsi="宋体" w:cs="宋体"/>
          <w:b/>
          <w:color w:val="auto"/>
          <w:sz w:val="24"/>
          <w:szCs w:val="20"/>
          <w:highlight w:val="none"/>
          <w:lang w:val="en-US" w:eastAsia="zh-CN"/>
        </w:rPr>
        <w:t>检测结果汇总表</w:t>
      </w:r>
      <w:r>
        <w:rPr>
          <w:rFonts w:hint="eastAsia" w:ascii="宋体" w:hAnsi="宋体" w:eastAsia="宋体" w:cs="宋体"/>
          <w:color w:val="auto"/>
          <w:sz w:val="24"/>
          <w:szCs w:val="20"/>
          <w:highlight w:val="none"/>
        </w:rPr>
        <w:t xml:space="preserve"> </w:t>
      </w:r>
    </w:p>
    <w:tbl>
      <w:tblPr>
        <w:tblStyle w:val="47"/>
        <w:tblW w:w="85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3466"/>
        <w:gridCol w:w="25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118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346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效价</w:t>
            </w:r>
          </w:p>
        </w:tc>
        <w:tc>
          <w:tcPr>
            <w:tcW w:w="250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粘度</w:t>
            </w:r>
          </w:p>
        </w:tc>
        <w:tc>
          <w:tcPr>
            <w:tcW w:w="140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甲醛含量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118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第一批</w:t>
            </w:r>
          </w:p>
        </w:tc>
        <w:tc>
          <w:tcPr>
            <w:tcW w:w="346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H5-Re15：</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H5-Re16：</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H7-Re5：</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H7-Re6：</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宋体" w:hAnsi="宋体" w:eastAsia="方正仿宋_GB2312"/>
                <w:color w:val="auto"/>
                <w:sz w:val="24"/>
                <w:highlight w:val="none"/>
                <w:lang w:val="en-US" w:eastAsia="zh-CN"/>
              </w:rPr>
            </w:pPr>
          </w:p>
        </w:tc>
        <w:tc>
          <w:tcPr>
            <w:tcW w:w="250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140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118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第二批</w:t>
            </w:r>
          </w:p>
        </w:tc>
        <w:tc>
          <w:tcPr>
            <w:tcW w:w="346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H5-Re15：</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H5-Re16：</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H7-Re5：</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r>
              <w:rPr>
                <w:rFonts w:hint="eastAsia" w:ascii="宋体" w:hAnsi="宋体"/>
                <w:color w:val="auto"/>
                <w:sz w:val="24"/>
                <w:highlight w:val="none"/>
                <w:lang w:val="en-US" w:eastAsia="zh-CN"/>
              </w:rPr>
              <w:t>H7-Re6：</w:t>
            </w:r>
          </w:p>
        </w:tc>
        <w:tc>
          <w:tcPr>
            <w:tcW w:w="250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140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118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第三批</w:t>
            </w:r>
          </w:p>
        </w:tc>
        <w:tc>
          <w:tcPr>
            <w:tcW w:w="346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H5-Re15：</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H5-Re16：</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H7-Re5：</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r>
              <w:rPr>
                <w:rFonts w:hint="eastAsia" w:ascii="宋体" w:hAnsi="宋体"/>
                <w:color w:val="auto"/>
                <w:sz w:val="24"/>
                <w:highlight w:val="none"/>
                <w:lang w:val="en-US" w:eastAsia="zh-CN"/>
              </w:rPr>
              <w:t>H7-Re6：</w:t>
            </w:r>
          </w:p>
        </w:tc>
        <w:tc>
          <w:tcPr>
            <w:tcW w:w="250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140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118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第四批</w:t>
            </w:r>
          </w:p>
        </w:tc>
        <w:tc>
          <w:tcPr>
            <w:tcW w:w="346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H5-Re15：</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H5-Re16：</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H7-Re5：</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r>
              <w:rPr>
                <w:rFonts w:hint="eastAsia" w:ascii="宋体" w:hAnsi="宋体"/>
                <w:color w:val="auto"/>
                <w:sz w:val="24"/>
                <w:highlight w:val="none"/>
                <w:lang w:val="en-US" w:eastAsia="zh-CN"/>
              </w:rPr>
              <w:t>H7-Re6：</w:t>
            </w:r>
          </w:p>
        </w:tc>
        <w:tc>
          <w:tcPr>
            <w:tcW w:w="250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140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118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第五批</w:t>
            </w:r>
          </w:p>
        </w:tc>
        <w:tc>
          <w:tcPr>
            <w:tcW w:w="346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H5-Re15：</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H5-Re16：</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H7-Re5：</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r>
              <w:rPr>
                <w:rFonts w:hint="eastAsia" w:ascii="宋体" w:hAnsi="宋体"/>
                <w:color w:val="auto"/>
                <w:sz w:val="24"/>
                <w:highlight w:val="none"/>
                <w:lang w:val="en-US" w:eastAsia="zh-CN"/>
              </w:rPr>
              <w:t>H7-Re6：</w:t>
            </w:r>
          </w:p>
        </w:tc>
        <w:tc>
          <w:tcPr>
            <w:tcW w:w="250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140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atLeast"/>
        </w:trPr>
        <w:tc>
          <w:tcPr>
            <w:tcW w:w="118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总体情况</w:t>
            </w:r>
          </w:p>
        </w:tc>
        <w:tc>
          <w:tcPr>
            <w:tcW w:w="346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对每批的4个效价取最小值，再计算:</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平均值:</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标准差:</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p>
        </w:tc>
        <w:tc>
          <w:tcPr>
            <w:tcW w:w="250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5个数值的</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最高值:</w:t>
            </w:r>
          </w:p>
        </w:tc>
        <w:tc>
          <w:tcPr>
            <w:tcW w:w="140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最高值:</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最低值:</w:t>
            </w:r>
          </w:p>
        </w:tc>
      </w:tr>
    </w:tbl>
    <w:p>
      <w:pPr>
        <w:rPr>
          <w:rFonts w:hint="eastAsia"/>
          <w:color w:val="auto"/>
          <w:highlight w:val="none"/>
        </w:rPr>
      </w:pPr>
      <w:r>
        <w:rPr>
          <w:rFonts w:hint="eastAsia"/>
          <w:color w:val="auto"/>
          <w:highlight w:val="none"/>
        </w:rPr>
        <w:br w:type="page"/>
      </w:r>
    </w:p>
    <w:p>
      <w:pPr>
        <w:numPr>
          <w:ilvl w:val="0"/>
          <w:numId w:val="29"/>
        </w:numPr>
        <w:tabs>
          <w:tab w:val="left" w:pos="360"/>
        </w:tabs>
        <w:snapToGrid w:val="0"/>
        <w:spacing w:after="0" w:line="240" w:lineRule="atLeast"/>
        <w:ind w:left="901" w:hanging="901"/>
        <w:outlineLvl w:val="1"/>
        <w:rPr>
          <w:rFonts w:hint="eastAsia" w:ascii="宋体" w:hAnsi="宋体" w:eastAsia="宋体" w:cs="宋体"/>
          <w:b/>
          <w:color w:val="auto"/>
          <w:sz w:val="24"/>
          <w:szCs w:val="20"/>
          <w:highlight w:val="none"/>
        </w:rPr>
        <w:sectPr>
          <w:pgSz w:w="11901" w:h="16817"/>
          <w:pgMar w:top="1418" w:right="1701" w:bottom="1418" w:left="1701" w:header="851" w:footer="851" w:gutter="0"/>
          <w:cols w:space="720" w:num="1"/>
          <w:docGrid w:linePitch="462" w:charSpace="0"/>
        </w:sectPr>
      </w:pPr>
      <w:r>
        <w:rPr>
          <w:rFonts w:hint="eastAsia" w:ascii="宋体" w:hAnsi="宋体" w:eastAsia="宋体" w:cs="宋体"/>
          <w:b/>
          <w:color w:val="auto"/>
          <w:sz w:val="24"/>
          <w:szCs w:val="20"/>
          <w:highlight w:val="none"/>
          <w:lang w:val="en-US" w:eastAsia="zh-CN"/>
        </w:rPr>
        <w:t>批次签发情况汇总表：每批一行，与</w:t>
      </w:r>
      <w:r>
        <w:rPr>
          <w:rFonts w:hint="eastAsia" w:ascii="宋体" w:hAnsi="宋体" w:eastAsia="宋体" w:cs="宋体"/>
          <w:b/>
          <w:color w:val="auto"/>
          <w:sz w:val="24"/>
          <w:szCs w:val="20"/>
          <w:highlight w:val="none"/>
        </w:rPr>
        <w:t>中国兽医药品监察所网站查询结果截图</w:t>
      </w:r>
      <w:r>
        <w:rPr>
          <w:rFonts w:hint="eastAsia" w:ascii="宋体" w:hAnsi="宋体" w:eastAsia="宋体" w:cs="宋体"/>
          <w:b/>
          <w:color w:val="auto"/>
          <w:sz w:val="24"/>
          <w:szCs w:val="20"/>
          <w:highlight w:val="none"/>
          <w:lang w:eastAsia="zh-CN"/>
        </w:rPr>
        <w:t>对应</w:t>
      </w:r>
      <w:r>
        <w:rPr>
          <w:rFonts w:hint="eastAsia" w:ascii="宋体" w:hAnsi="宋体" w:eastAsia="宋体" w:cs="宋体"/>
          <w:b/>
          <w:color w:val="auto"/>
          <w:sz w:val="24"/>
          <w:szCs w:val="20"/>
          <w:highlight w:val="none"/>
          <w:lang w:val="en-US" w:eastAsia="zh-CN"/>
        </w:rPr>
        <w:t>，具体格式由投标人自行设计。</w:t>
      </w:r>
    </w:p>
    <w:p>
      <w:pPr>
        <w:numPr>
          <w:ilvl w:val="0"/>
          <w:numId w:val="0"/>
        </w:numPr>
        <w:tabs>
          <w:tab w:val="left" w:pos="360"/>
        </w:tabs>
        <w:snapToGrid w:val="0"/>
        <w:spacing w:line="360" w:lineRule="auto"/>
        <w:ind w:leftChars="0"/>
        <w:outlineLvl w:val="1"/>
        <w:rPr>
          <w:rFonts w:hint="default" w:ascii="宋体" w:hAnsi="宋体" w:eastAsia="宋体" w:cs="宋体"/>
          <w:color w:val="auto"/>
          <w:sz w:val="24"/>
          <w:szCs w:val="20"/>
          <w:highlight w:val="none"/>
          <w:lang w:val="en-US" w:eastAsia="zh-CN"/>
        </w:rPr>
      </w:pPr>
      <w:r>
        <w:rPr>
          <w:rFonts w:hint="eastAsia" w:ascii="宋体" w:hAnsi="宋体" w:cs="宋体"/>
          <w:color w:val="auto"/>
          <w:sz w:val="24"/>
          <w:szCs w:val="20"/>
          <w:highlight w:val="none"/>
          <w:lang w:val="en-US" w:eastAsia="zh-CN"/>
        </w:rPr>
        <w:t>9</w:t>
      </w:r>
      <w:r>
        <w:rPr>
          <w:rFonts w:hint="eastAsia" w:ascii="宋体" w:hAnsi="宋体" w:eastAsia="宋体" w:cs="宋体"/>
          <w:color w:val="auto"/>
          <w:sz w:val="24"/>
          <w:szCs w:val="20"/>
          <w:highlight w:val="none"/>
        </w:rPr>
        <w:t>本国产品标准证明文件</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lang w:val="en-US" w:eastAsia="zh-CN"/>
        </w:rPr>
        <w:t>实质性格式）</w:t>
      </w:r>
    </w:p>
    <w:p>
      <w:pPr>
        <w:pStyle w:val="41"/>
        <w:shd w:val="clear" w:color="auto" w:fill="FFFFFF"/>
        <w:spacing w:before="30" w:beforeAutospacing="0" w:after="30" w:afterAutospacing="0"/>
        <w:jc w:val="center"/>
        <w:rPr>
          <w:rFonts w:hint="eastAsia" w:ascii="宋体" w:hAnsi="宋体" w:eastAsia="宋体" w:cs="宋体"/>
          <w:color w:val="auto"/>
          <w:sz w:val="36"/>
          <w:szCs w:val="36"/>
          <w:highlight w:val="none"/>
        </w:rPr>
      </w:pPr>
      <w:r>
        <w:rPr>
          <w:rStyle w:val="51"/>
          <w:rFonts w:hint="eastAsia" w:ascii="宋体" w:hAnsi="宋体" w:eastAsia="宋体" w:cs="宋体"/>
          <w:color w:val="auto"/>
          <w:sz w:val="36"/>
          <w:szCs w:val="36"/>
          <w:highlight w:val="none"/>
          <w:shd w:val="clear" w:color="auto" w:fill="FFFFFF"/>
        </w:rPr>
        <w:t>关于符合本国产品标准的声明函</w:t>
      </w:r>
    </w:p>
    <w:p>
      <w:pPr>
        <w:pStyle w:val="41"/>
        <w:shd w:val="clear" w:color="auto" w:fill="FFFFFF"/>
        <w:spacing w:before="30" w:beforeAutospacing="0" w:after="30" w:afterAutospacing="0"/>
        <w:ind w:firstLine="420"/>
        <w:rPr>
          <w:rFonts w:hint="eastAsia" w:ascii="宋体" w:hAnsi="宋体" w:eastAsia="宋体" w:cs="宋体"/>
          <w:color w:val="auto"/>
          <w:highlight w:val="none"/>
        </w:rPr>
      </w:pPr>
    </w:p>
    <w:p>
      <w:pPr>
        <w:pStyle w:val="41"/>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41"/>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w:t>
      </w:r>
      <w:r>
        <w:rPr>
          <w:rStyle w:val="54"/>
          <w:rFonts w:hint="eastAsia" w:ascii="宋体" w:hAnsi="宋体" w:eastAsia="宋体" w:cs="宋体"/>
          <w:color w:val="auto"/>
          <w:highlight w:val="none"/>
          <w:u w:val="single"/>
          <w:shd w:val="clear" w:color="auto" w:fill="FFFFFF"/>
        </w:rPr>
        <w:t>（产品名称1）</w:t>
      </w:r>
      <w:r>
        <w:rPr>
          <w:rStyle w:val="54"/>
          <w:rFonts w:hint="eastAsia" w:ascii="宋体" w:hAnsi="宋体" w:eastAsia="宋体" w:cs="宋体"/>
          <w:color w:val="auto"/>
          <w:highlight w:val="none"/>
          <w:shd w:val="clear" w:color="auto" w:fill="FFFFFF"/>
          <w:vertAlign w:val="superscript"/>
        </w:rPr>
        <w:t>1</w:t>
      </w:r>
      <w:r>
        <w:rPr>
          <w:rFonts w:hint="eastAsia" w:ascii="宋体" w:hAnsi="宋体" w:eastAsia="宋体" w:cs="宋体"/>
          <w:color w:val="auto"/>
          <w:highlight w:val="none"/>
          <w:shd w:val="clear" w:color="auto" w:fill="FFFFFF"/>
        </w:rPr>
        <w:t>，生产厂为</w:t>
      </w:r>
      <w:r>
        <w:rPr>
          <w:rStyle w:val="54"/>
          <w:rFonts w:hint="eastAsia" w:ascii="宋体" w:hAnsi="宋体" w:eastAsia="宋体" w:cs="宋体"/>
          <w:color w:val="auto"/>
          <w:highlight w:val="none"/>
          <w:u w:val="single"/>
          <w:shd w:val="clear" w:color="auto" w:fill="FFFFFF"/>
        </w:rPr>
        <w:t>（厂名）</w:t>
      </w:r>
      <w:r>
        <w:rPr>
          <w:rStyle w:val="54"/>
          <w:rFonts w:hint="eastAsia" w:ascii="宋体" w:hAnsi="宋体" w:eastAsia="宋体" w:cs="宋体"/>
          <w:color w:val="auto"/>
          <w:highlight w:val="none"/>
          <w:shd w:val="clear" w:color="auto" w:fill="FFFFFF"/>
          <w:vertAlign w:val="superscript"/>
        </w:rPr>
        <w:t>2</w:t>
      </w:r>
      <w:r>
        <w:rPr>
          <w:rFonts w:hint="eastAsia" w:ascii="宋体" w:hAnsi="宋体" w:eastAsia="宋体" w:cs="宋体"/>
          <w:color w:val="auto"/>
          <w:highlight w:val="none"/>
          <w:shd w:val="clear" w:color="auto" w:fill="FFFFFF"/>
        </w:rPr>
        <w:t>，厂址为</w:t>
      </w:r>
      <w:r>
        <w:rPr>
          <w:rStyle w:val="54"/>
          <w:rFonts w:hint="eastAsia" w:ascii="宋体" w:hAnsi="宋体" w:eastAsia="宋体" w:cs="宋体"/>
          <w:color w:val="auto"/>
          <w:highlight w:val="none"/>
          <w:u w:val="single"/>
          <w:shd w:val="clear" w:color="auto" w:fill="FFFFFF"/>
        </w:rPr>
        <w:t>（生产厂址）</w:t>
      </w:r>
      <w:r>
        <w:rPr>
          <w:rFonts w:hint="eastAsia" w:ascii="宋体" w:hAnsi="宋体" w:eastAsia="宋体" w:cs="宋体"/>
          <w:color w:val="auto"/>
          <w:highlight w:val="none"/>
          <w:shd w:val="clear" w:color="auto" w:fill="FFFFFF"/>
        </w:rPr>
        <w:t>。</w:t>
      </w:r>
      <w:r>
        <w:rPr>
          <w:rStyle w:val="54"/>
          <w:rFonts w:hint="eastAsia" w:ascii="宋体" w:hAnsi="宋体" w:eastAsia="宋体" w:cs="宋体"/>
          <w:color w:val="auto"/>
          <w:highlight w:val="none"/>
          <w:u w:val="single"/>
          <w:shd w:val="clear" w:color="auto" w:fill="FFFFFF"/>
        </w:rPr>
        <w:t>（产品名称1）</w:t>
      </w:r>
      <w:r>
        <w:rPr>
          <w:rFonts w:hint="eastAsia" w:ascii="宋体" w:hAnsi="宋体" w:eastAsia="宋体" w:cs="宋体"/>
          <w:color w:val="auto"/>
          <w:highlight w:val="none"/>
          <w:shd w:val="clear" w:color="auto" w:fill="FFFFFF"/>
        </w:rPr>
        <w:t>的中国境内生产的组件成本占比≥</w:t>
      </w:r>
      <w:r>
        <w:rPr>
          <w:rStyle w:val="54"/>
          <w:rFonts w:hint="eastAsia" w:ascii="宋体" w:hAnsi="宋体" w:eastAsia="宋体" w:cs="宋体"/>
          <w:color w:val="auto"/>
          <w:highlight w:val="none"/>
          <w:u w:val="single"/>
          <w:shd w:val="clear" w:color="auto" w:fill="FFFFFF"/>
        </w:rPr>
        <w:t>（规定比例）</w:t>
      </w:r>
      <w:r>
        <w:rPr>
          <w:rStyle w:val="54"/>
          <w:rFonts w:hint="eastAsia" w:ascii="宋体" w:hAnsi="宋体" w:eastAsia="宋体" w:cs="宋体"/>
          <w:color w:val="auto"/>
          <w:highlight w:val="none"/>
          <w:shd w:val="clear" w:color="auto" w:fill="FFFFFF"/>
          <w:vertAlign w:val="superscript"/>
        </w:rPr>
        <w:t>3</w:t>
      </w:r>
      <w:r>
        <w:rPr>
          <w:rFonts w:hint="eastAsia" w:ascii="宋体" w:hAnsi="宋体" w:eastAsia="宋体" w:cs="宋体"/>
          <w:color w:val="auto"/>
          <w:highlight w:val="none"/>
          <w:shd w:val="clear" w:color="auto" w:fill="FFFFFF"/>
        </w:rPr>
        <w:t>。</w:t>
      </w:r>
      <w:r>
        <w:rPr>
          <w:rStyle w:val="54"/>
          <w:rFonts w:hint="eastAsia" w:ascii="宋体" w:hAnsi="宋体" w:eastAsia="宋体" w:cs="宋体"/>
          <w:color w:val="auto"/>
          <w:highlight w:val="none"/>
          <w:u w:val="single"/>
          <w:shd w:val="clear" w:color="auto" w:fill="FFFFFF"/>
        </w:rPr>
        <w:t>（产品名称1）</w:t>
      </w:r>
      <w:r>
        <w:rPr>
          <w:rFonts w:hint="eastAsia" w:ascii="宋体" w:hAnsi="宋体" w:eastAsia="宋体" w:cs="宋体"/>
          <w:color w:val="auto"/>
          <w:highlight w:val="none"/>
          <w:shd w:val="clear" w:color="auto" w:fill="FFFFFF"/>
        </w:rPr>
        <w:t>的</w:t>
      </w:r>
      <w:r>
        <w:rPr>
          <w:rStyle w:val="54"/>
          <w:rFonts w:hint="eastAsia" w:ascii="宋体" w:hAnsi="宋体" w:eastAsia="宋体" w:cs="宋体"/>
          <w:color w:val="auto"/>
          <w:highlight w:val="none"/>
          <w:u w:val="single"/>
          <w:shd w:val="clear" w:color="auto" w:fill="FFFFFF"/>
        </w:rPr>
        <w:t>（关键组件）</w:t>
      </w:r>
      <w:r>
        <w:rPr>
          <w:rStyle w:val="54"/>
          <w:rFonts w:hint="eastAsia" w:ascii="宋体" w:hAnsi="宋体" w:eastAsia="宋体" w:cs="宋体"/>
          <w:color w:val="auto"/>
          <w:highlight w:val="none"/>
          <w:shd w:val="clear" w:color="auto" w:fill="FFFFFF"/>
          <w:vertAlign w:val="superscript"/>
        </w:rPr>
        <w:t>4</w:t>
      </w:r>
      <w:r>
        <w:rPr>
          <w:rFonts w:hint="eastAsia" w:ascii="宋体" w:hAnsi="宋体" w:eastAsia="宋体" w:cs="宋体"/>
          <w:color w:val="auto"/>
          <w:highlight w:val="none"/>
          <w:shd w:val="clear" w:color="auto" w:fill="FFFFFF"/>
        </w:rPr>
        <w:t>在中国境内生产。</w:t>
      </w:r>
      <w:r>
        <w:rPr>
          <w:rStyle w:val="54"/>
          <w:rFonts w:hint="eastAsia" w:ascii="宋体" w:hAnsi="宋体" w:eastAsia="宋体" w:cs="宋体"/>
          <w:color w:val="auto"/>
          <w:highlight w:val="none"/>
          <w:u w:val="single"/>
          <w:shd w:val="clear" w:color="auto" w:fill="FFFFFF"/>
        </w:rPr>
        <w:t>（产品名称1）</w:t>
      </w:r>
      <w:r>
        <w:rPr>
          <w:rFonts w:hint="eastAsia" w:ascii="宋体" w:hAnsi="宋体" w:eastAsia="宋体" w:cs="宋体"/>
          <w:color w:val="auto"/>
          <w:highlight w:val="none"/>
          <w:shd w:val="clear" w:color="auto" w:fill="FFFFFF"/>
        </w:rPr>
        <w:t>的</w:t>
      </w:r>
      <w:r>
        <w:rPr>
          <w:rStyle w:val="54"/>
          <w:rFonts w:hint="eastAsia" w:ascii="宋体" w:hAnsi="宋体" w:eastAsia="宋体" w:cs="宋体"/>
          <w:color w:val="auto"/>
          <w:highlight w:val="none"/>
          <w:u w:val="single"/>
          <w:shd w:val="clear" w:color="auto" w:fill="FFFFFF"/>
        </w:rPr>
        <w:t>（关键工序）</w:t>
      </w:r>
      <w:r>
        <w:rPr>
          <w:rStyle w:val="54"/>
          <w:rFonts w:hint="eastAsia" w:ascii="宋体" w:hAnsi="宋体" w:eastAsia="宋体" w:cs="宋体"/>
          <w:color w:val="auto"/>
          <w:highlight w:val="none"/>
          <w:shd w:val="clear" w:color="auto" w:fill="FFFFFF"/>
          <w:vertAlign w:val="superscript"/>
        </w:rPr>
        <w:t>5</w:t>
      </w:r>
      <w:r>
        <w:rPr>
          <w:rFonts w:hint="eastAsia" w:ascii="宋体" w:hAnsi="宋体" w:eastAsia="宋体" w:cs="宋体"/>
          <w:color w:val="auto"/>
          <w:highlight w:val="none"/>
          <w:shd w:val="clear" w:color="auto" w:fill="FFFFFF"/>
        </w:rPr>
        <w:t>在中国境内完成。</w:t>
      </w:r>
    </w:p>
    <w:p>
      <w:pPr>
        <w:pStyle w:val="41"/>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2.</w:t>
      </w:r>
      <w:r>
        <w:rPr>
          <w:rStyle w:val="54"/>
          <w:rFonts w:hint="eastAsia" w:ascii="宋体" w:hAnsi="宋体" w:eastAsia="宋体" w:cs="宋体"/>
          <w:color w:val="auto"/>
          <w:highlight w:val="none"/>
          <w:u w:val="single"/>
          <w:shd w:val="clear" w:color="auto" w:fill="FFFFFF"/>
        </w:rPr>
        <w:t>（产品名称2）</w:t>
      </w:r>
      <w:r>
        <w:rPr>
          <w:rFonts w:hint="eastAsia" w:ascii="宋体" w:hAnsi="宋体" w:eastAsia="宋体" w:cs="宋体"/>
          <w:color w:val="auto"/>
          <w:highlight w:val="none"/>
          <w:shd w:val="clear" w:color="auto" w:fill="FFFFFF"/>
        </w:rPr>
        <w:t>，生产厂为</w:t>
      </w:r>
      <w:r>
        <w:rPr>
          <w:rStyle w:val="54"/>
          <w:rFonts w:hint="eastAsia" w:ascii="宋体" w:hAnsi="宋体" w:eastAsia="宋体" w:cs="宋体"/>
          <w:color w:val="auto"/>
          <w:highlight w:val="none"/>
          <w:u w:val="single"/>
          <w:shd w:val="clear" w:color="auto" w:fill="FFFFFF"/>
        </w:rPr>
        <w:t>（厂名）</w:t>
      </w:r>
      <w:r>
        <w:rPr>
          <w:rFonts w:hint="eastAsia" w:ascii="宋体" w:hAnsi="宋体" w:eastAsia="宋体" w:cs="宋体"/>
          <w:color w:val="auto"/>
          <w:highlight w:val="none"/>
          <w:shd w:val="clear" w:color="auto" w:fill="FFFFFF"/>
        </w:rPr>
        <w:t>，厂址为</w:t>
      </w:r>
      <w:r>
        <w:rPr>
          <w:rStyle w:val="54"/>
          <w:rFonts w:hint="eastAsia" w:ascii="宋体" w:hAnsi="宋体" w:eastAsia="宋体" w:cs="宋体"/>
          <w:color w:val="auto"/>
          <w:highlight w:val="none"/>
          <w:u w:val="single"/>
          <w:shd w:val="clear" w:color="auto" w:fill="FFFFFF"/>
        </w:rPr>
        <w:t>（生产厂址）</w:t>
      </w:r>
      <w:r>
        <w:rPr>
          <w:rFonts w:hint="eastAsia" w:ascii="宋体" w:hAnsi="宋体" w:eastAsia="宋体" w:cs="宋体"/>
          <w:color w:val="auto"/>
          <w:highlight w:val="none"/>
          <w:shd w:val="clear" w:color="auto" w:fill="FFFFFF"/>
        </w:rPr>
        <w:t>。</w:t>
      </w:r>
      <w:r>
        <w:rPr>
          <w:rStyle w:val="54"/>
          <w:rFonts w:hint="eastAsia" w:ascii="宋体" w:hAnsi="宋体" w:eastAsia="宋体" w:cs="宋体"/>
          <w:color w:val="auto"/>
          <w:highlight w:val="none"/>
          <w:u w:val="single"/>
          <w:shd w:val="clear" w:color="auto" w:fill="FFFFFF"/>
        </w:rPr>
        <w:t>（产品名称2）</w:t>
      </w:r>
      <w:r>
        <w:rPr>
          <w:rFonts w:hint="eastAsia" w:ascii="宋体" w:hAnsi="宋体" w:eastAsia="宋体" w:cs="宋体"/>
          <w:color w:val="auto"/>
          <w:highlight w:val="none"/>
          <w:shd w:val="clear" w:color="auto" w:fill="FFFFFF"/>
        </w:rPr>
        <w:t>的中国境内生产的组件成本占比≥</w:t>
      </w:r>
      <w:r>
        <w:rPr>
          <w:rStyle w:val="54"/>
          <w:rFonts w:hint="eastAsia" w:ascii="宋体" w:hAnsi="宋体" w:eastAsia="宋体" w:cs="宋体"/>
          <w:color w:val="auto"/>
          <w:highlight w:val="none"/>
          <w:u w:val="single"/>
          <w:shd w:val="clear" w:color="auto" w:fill="FFFFFF"/>
        </w:rPr>
        <w:t>（规定比例）</w:t>
      </w:r>
      <w:r>
        <w:rPr>
          <w:rFonts w:hint="eastAsia" w:ascii="宋体" w:hAnsi="宋体" w:eastAsia="宋体" w:cs="宋体"/>
          <w:color w:val="auto"/>
          <w:highlight w:val="none"/>
          <w:shd w:val="clear" w:color="auto" w:fill="FFFFFF"/>
        </w:rPr>
        <w:t>。</w:t>
      </w:r>
      <w:r>
        <w:rPr>
          <w:rStyle w:val="54"/>
          <w:rFonts w:hint="eastAsia" w:ascii="宋体" w:hAnsi="宋体" w:eastAsia="宋体" w:cs="宋体"/>
          <w:color w:val="auto"/>
          <w:highlight w:val="none"/>
          <w:u w:val="single"/>
          <w:shd w:val="clear" w:color="auto" w:fill="FFFFFF"/>
        </w:rPr>
        <w:t>（产品名称2）</w:t>
      </w:r>
      <w:r>
        <w:rPr>
          <w:rFonts w:hint="eastAsia" w:ascii="宋体" w:hAnsi="宋体" w:eastAsia="宋体" w:cs="宋体"/>
          <w:color w:val="auto"/>
          <w:highlight w:val="none"/>
          <w:shd w:val="clear" w:color="auto" w:fill="FFFFFF"/>
        </w:rPr>
        <w:t>的</w:t>
      </w:r>
      <w:r>
        <w:rPr>
          <w:rStyle w:val="54"/>
          <w:rFonts w:hint="eastAsia" w:ascii="宋体" w:hAnsi="宋体" w:eastAsia="宋体" w:cs="宋体"/>
          <w:color w:val="auto"/>
          <w:highlight w:val="none"/>
          <w:u w:val="single"/>
          <w:shd w:val="clear" w:color="auto" w:fill="FFFFFF"/>
        </w:rPr>
        <w:t>（关键组件）</w:t>
      </w:r>
      <w:r>
        <w:rPr>
          <w:rFonts w:hint="eastAsia" w:ascii="宋体" w:hAnsi="宋体" w:eastAsia="宋体" w:cs="宋体"/>
          <w:color w:val="auto"/>
          <w:highlight w:val="none"/>
          <w:shd w:val="clear" w:color="auto" w:fill="FFFFFF"/>
        </w:rPr>
        <w:t>在中国境内生产。</w:t>
      </w:r>
      <w:r>
        <w:rPr>
          <w:rStyle w:val="54"/>
          <w:rFonts w:hint="eastAsia" w:ascii="宋体" w:hAnsi="宋体" w:eastAsia="宋体" w:cs="宋体"/>
          <w:color w:val="auto"/>
          <w:highlight w:val="none"/>
          <w:u w:val="single"/>
          <w:shd w:val="clear" w:color="auto" w:fill="FFFFFF"/>
        </w:rPr>
        <w:t>（产品名称2）</w:t>
      </w:r>
      <w:r>
        <w:rPr>
          <w:rFonts w:hint="eastAsia" w:ascii="宋体" w:hAnsi="宋体" w:eastAsia="宋体" w:cs="宋体"/>
          <w:color w:val="auto"/>
          <w:highlight w:val="none"/>
          <w:shd w:val="clear" w:color="auto" w:fill="FFFFFF"/>
        </w:rPr>
        <w:t>的</w:t>
      </w:r>
      <w:r>
        <w:rPr>
          <w:rStyle w:val="54"/>
          <w:rFonts w:hint="eastAsia" w:ascii="宋体" w:hAnsi="宋体" w:eastAsia="宋体" w:cs="宋体"/>
          <w:color w:val="auto"/>
          <w:highlight w:val="none"/>
          <w:u w:val="single"/>
          <w:shd w:val="clear" w:color="auto" w:fill="FFFFFF"/>
        </w:rPr>
        <w:t>（关键工序）</w:t>
      </w:r>
      <w:r>
        <w:rPr>
          <w:rFonts w:hint="eastAsia" w:ascii="宋体" w:hAnsi="宋体" w:eastAsia="宋体" w:cs="宋体"/>
          <w:color w:val="auto"/>
          <w:highlight w:val="none"/>
          <w:shd w:val="clear" w:color="auto" w:fill="FFFFFF"/>
        </w:rPr>
        <w:t>在中国境内完成。</w:t>
      </w:r>
    </w:p>
    <w:p>
      <w:pPr>
        <w:pStyle w:val="41"/>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w:t>
      </w:r>
    </w:p>
    <w:p>
      <w:pPr>
        <w:pStyle w:val="41"/>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本公司（单位）对上述声明内容的真实性负责。如有虚假，愿承担相应法律责任。</w:t>
      </w:r>
    </w:p>
    <w:p>
      <w:pPr>
        <w:pStyle w:val="41"/>
        <w:shd w:val="clear" w:color="auto" w:fill="FFFFFF"/>
        <w:spacing w:before="0" w:beforeAutospacing="0" w:after="0" w:afterAutospacing="0" w:line="360" w:lineRule="auto"/>
        <w:rPr>
          <w:rFonts w:hint="eastAsia" w:ascii="宋体" w:hAnsi="宋体" w:eastAsia="宋体" w:cs="宋体"/>
          <w:color w:val="auto"/>
          <w:highlight w:val="none"/>
        </w:rPr>
      </w:pPr>
    </w:p>
    <w:p>
      <w:pPr>
        <w:pStyle w:val="41"/>
        <w:shd w:val="clear" w:color="auto" w:fill="FFFFFF"/>
        <w:spacing w:before="0" w:beforeAutospacing="0" w:after="0" w:afterAutospacing="0" w:line="360" w:lineRule="auto"/>
        <w:jc w:val="right"/>
        <w:rPr>
          <w:rFonts w:hint="eastAsia" w:ascii="宋体" w:hAnsi="宋体" w:eastAsia="宋体" w:cs="宋体"/>
          <w:color w:val="auto"/>
          <w:highlight w:val="none"/>
          <w:shd w:val="clear" w:color="auto" w:fill="FFFFFF"/>
        </w:rPr>
      </w:pPr>
    </w:p>
    <w:p>
      <w:pPr>
        <w:pStyle w:val="41"/>
        <w:shd w:val="clear" w:color="auto" w:fill="FFFFFF"/>
        <w:spacing w:before="0" w:beforeAutospacing="0" w:after="0" w:afterAutospacing="0"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公司（单位）名称（盖章）：　        </w:t>
      </w:r>
    </w:p>
    <w:p>
      <w:pPr>
        <w:pStyle w:val="41"/>
        <w:shd w:val="clear" w:color="auto" w:fill="FFFFFF"/>
        <w:spacing w:before="0" w:beforeAutospacing="0" w:after="0" w:afterAutospacing="0"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日期：　     年　  月　  日         </w:t>
      </w:r>
    </w:p>
    <w:p>
      <w:pPr>
        <w:pStyle w:val="41"/>
        <w:shd w:val="clear" w:color="auto" w:fill="FFFFFF"/>
        <w:spacing w:before="0" w:beforeAutospacing="0" w:after="0" w:afterAutospacing="0" w:line="360" w:lineRule="auto"/>
        <w:rPr>
          <w:rFonts w:hint="eastAsia" w:ascii="宋体" w:hAnsi="宋体" w:eastAsia="宋体" w:cs="宋体"/>
          <w:color w:val="auto"/>
          <w:highlight w:val="none"/>
          <w:shd w:val="clear" w:color="auto" w:fill="FFFFFF"/>
        </w:rPr>
      </w:pPr>
    </w:p>
    <w:p>
      <w:pPr>
        <w:pStyle w:val="41"/>
        <w:shd w:val="clear" w:color="auto" w:fill="FFFFFF"/>
        <w:spacing w:before="0" w:beforeAutospacing="0" w:after="0" w:afterAutospacing="0" w:line="360" w:lineRule="auto"/>
        <w:rPr>
          <w:rFonts w:hint="eastAsia" w:ascii="宋体" w:hAnsi="宋体" w:eastAsia="宋体" w:cs="宋体"/>
          <w:color w:val="auto"/>
          <w:highlight w:val="none"/>
          <w:shd w:val="clear" w:color="auto" w:fill="FFFFFF"/>
        </w:rPr>
      </w:pPr>
    </w:p>
    <w:p>
      <w:pPr>
        <w:spacing w:line="360" w:lineRule="auto"/>
        <w:ind w:left="424" w:leftChars="1" w:hanging="422" w:hangingChars="201"/>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注：1.产品如有型号，请在“产品名称”栏一并填写。</w:t>
      </w:r>
    </w:p>
    <w:p>
      <w:pPr>
        <w:spacing w:line="360" w:lineRule="auto"/>
        <w:ind w:left="420" w:left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2.生产厂名与厂址应与生产厂营业执照载明的相关信息保持一致。</w:t>
      </w:r>
    </w:p>
    <w:p>
      <w:pPr>
        <w:spacing w:line="360" w:lineRule="auto"/>
        <w:ind w:left="420" w:left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3.该产品的中国境内生产的组件成本占比相关要求实施前，“规定比例”栏可不填。</w:t>
      </w:r>
    </w:p>
    <w:p>
      <w:pPr>
        <w:spacing w:line="360" w:lineRule="auto"/>
        <w:ind w:left="420" w:left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4.该产品的关键组件要求实施前，“关键组件”栏可不填。</w:t>
      </w:r>
    </w:p>
    <w:p>
      <w:pPr>
        <w:spacing w:line="360" w:lineRule="auto"/>
        <w:ind w:left="420" w:left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5.该产品的关键工序要求实施前，“关键工序”栏可不填。</w:t>
      </w:r>
    </w:p>
    <w:p>
      <w:pPr>
        <w:widowControl/>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br w:type="page"/>
      </w:r>
    </w:p>
    <w:p>
      <w:pPr>
        <w:pStyle w:val="41"/>
        <w:shd w:val="clear" w:color="auto" w:fill="FFFFFF"/>
        <w:spacing w:before="30" w:beforeAutospacing="0" w:after="30" w:afterAutospacing="0"/>
        <w:jc w:val="center"/>
        <w:rPr>
          <w:rStyle w:val="51"/>
          <w:rFonts w:hint="eastAsia" w:ascii="宋体" w:hAnsi="宋体" w:eastAsia="宋体" w:cs="宋体"/>
          <w:color w:val="auto"/>
          <w:sz w:val="36"/>
          <w:szCs w:val="36"/>
          <w:highlight w:val="none"/>
        </w:rPr>
      </w:pPr>
      <w:r>
        <w:rPr>
          <w:rStyle w:val="51"/>
          <w:rFonts w:hint="eastAsia" w:ascii="宋体" w:hAnsi="宋体" w:eastAsia="宋体" w:cs="宋体"/>
          <w:color w:val="auto"/>
          <w:sz w:val="36"/>
          <w:szCs w:val="36"/>
          <w:highlight w:val="none"/>
        </w:rPr>
        <w:t>产品成本占比承诺函</w:t>
      </w:r>
    </w:p>
    <w:p>
      <w:pPr>
        <w:pStyle w:val="41"/>
        <w:shd w:val="clear" w:color="auto" w:fill="FFFFFF"/>
        <w:spacing w:before="30" w:beforeAutospacing="0" w:after="30" w:afterAutospacing="0"/>
        <w:rPr>
          <w:rStyle w:val="51"/>
          <w:rFonts w:hint="eastAsia" w:ascii="宋体" w:hAnsi="宋体" w:eastAsia="宋体" w:cs="宋体"/>
          <w:color w:val="auto"/>
          <w:sz w:val="36"/>
          <w:szCs w:val="36"/>
          <w:highlight w:val="none"/>
        </w:rPr>
      </w:pPr>
    </w:p>
    <w:p>
      <w:pPr>
        <w:widowControl/>
        <w:spacing w:line="360" w:lineRule="auto"/>
        <w:ind w:firstLine="480" w:firstLineChars="200"/>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我公司（单位）郑重承诺，我公司已阅读并理解《国务院办公厅关于在政府采购中实施本国产品标准及相关政策的通知》（国办发〔2025〕34号）的规定。据此承诺如下：</w:t>
      </w:r>
    </w:p>
    <w:p>
      <w:pPr>
        <w:widowControl/>
        <w:spacing w:line="360" w:lineRule="auto"/>
        <w:ind w:firstLine="480" w:firstLineChars="200"/>
        <w:jc w:val="left"/>
        <w:rPr>
          <w:rFonts w:hint="eastAsia" w:ascii="宋体" w:hAnsi="宋体" w:eastAsia="宋体" w:cs="宋体"/>
          <w:color w:val="auto"/>
          <w:spacing w:val="6"/>
          <w:sz w:val="24"/>
          <w:highlight w:val="none"/>
        </w:rPr>
      </w:pPr>
      <w:r>
        <w:rPr>
          <w:rFonts w:hint="eastAsia" w:ascii="宋体" w:hAnsi="宋体" w:eastAsia="宋体" w:cs="宋体"/>
          <w:color w:val="auto"/>
          <w:sz w:val="24"/>
          <w:highlight w:val="none"/>
          <w:shd w:val="clear" w:color="auto" w:fill="FFFFFF"/>
        </w:rPr>
        <w:t>为本采购项目或者采购包提供的符合本国产品标准的产品成本之和占提供的全部产品成本之和的比例为</w:t>
      </w:r>
      <w:r>
        <w:rPr>
          <w:rFonts w:hint="eastAsia" w:ascii="宋体" w:hAnsi="宋体" w:eastAsia="宋体" w:cs="宋体"/>
          <w:color w:val="auto"/>
          <w:spacing w:val="6"/>
          <w:sz w:val="24"/>
          <w:highlight w:val="none"/>
        </w:rPr>
        <w:t>______%。</w:t>
      </w:r>
    </w:p>
    <w:p>
      <w:pPr>
        <w:widowControl/>
        <w:spacing w:line="360" w:lineRule="auto"/>
        <w:ind w:firstLine="480" w:firstLineChars="200"/>
        <w:jc w:val="left"/>
        <w:rPr>
          <w:rFonts w:hint="eastAsia" w:ascii="宋体" w:hAnsi="宋体" w:eastAsia="宋体" w:cs="宋体"/>
          <w:color w:val="auto"/>
          <w:sz w:val="24"/>
          <w:highlight w:val="none"/>
        </w:rPr>
      </w:pPr>
    </w:p>
    <w:p>
      <w:pPr>
        <w:pStyle w:val="41"/>
        <w:shd w:val="clear" w:color="auto" w:fill="FFFFFF"/>
        <w:spacing w:before="0" w:beforeAutospacing="0" w:after="0" w:afterAutospacing="0"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公司（单位）名称（盖章）：　        </w:t>
      </w:r>
    </w:p>
    <w:p>
      <w:pPr>
        <w:widowControl/>
        <w:spacing w:line="360" w:lineRule="auto"/>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rPr>
        <w:t>日期：　     年　  月　  日     </w:t>
      </w:r>
    </w:p>
    <w:p>
      <w:pPr>
        <w:widowControl/>
        <w:spacing w:line="360" w:lineRule="auto"/>
        <w:jc w:val="left"/>
        <w:rPr>
          <w:rFonts w:hint="eastAsia" w:ascii="宋体" w:hAnsi="宋体" w:eastAsia="宋体" w:cs="宋体"/>
          <w:color w:val="auto"/>
          <w:sz w:val="24"/>
          <w:highlight w:val="none"/>
        </w:rPr>
      </w:pPr>
    </w:p>
    <w:p>
      <w:pPr>
        <w:widowControl/>
        <w:spacing w:line="360" w:lineRule="auto"/>
        <w:jc w:val="left"/>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pPr>
        <w:spacing w:line="360" w:lineRule="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 本承诺函应按包分别提供。</w:t>
      </w:r>
    </w:p>
    <w:p>
      <w:pPr>
        <w:spacing w:line="360" w:lineRule="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2. 单一产品采购无须提供本承诺函；供应商提供产品全部为本国产品，且提供了《关于符合本国产品标准的声明函》时，无须提供本承诺函。</w:t>
      </w:r>
    </w:p>
    <w:p>
      <w:pPr>
        <w:spacing w:line="360" w:lineRule="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hint="eastAsia" w:ascii="宋体" w:hAnsi="宋体" w:eastAsia="宋体" w:cs="宋体"/>
          <w:color w:val="auto"/>
          <w:highlight w:val="none"/>
        </w:rPr>
        <w:t>价格评审优惠</w:t>
      </w:r>
      <w:r>
        <w:rPr>
          <w:rFonts w:hint="eastAsia" w:ascii="宋体" w:hAnsi="宋体" w:eastAsia="宋体" w:cs="宋体"/>
          <w:color w:val="auto"/>
          <w:szCs w:val="21"/>
          <w:highlight w:val="none"/>
          <w:shd w:val="clear" w:color="auto" w:fill="FFFFFF"/>
        </w:rPr>
        <w:t>。</w:t>
      </w:r>
    </w:p>
    <w:p>
      <w:pPr>
        <w:spacing w:line="360" w:lineRule="auto"/>
        <w:outlineLvl w:val="2"/>
        <w:rPr>
          <w:rFonts w:hint="eastAsia" w:ascii="宋体" w:hAnsi="宋体" w:eastAsia="宋体" w:cs="宋体"/>
          <w:b/>
          <w:bCs/>
          <w:color w:val="auto"/>
          <w:sz w:val="24"/>
          <w:szCs w:val="20"/>
          <w:highlight w:val="none"/>
        </w:rPr>
        <w:sectPr>
          <w:pgSz w:w="11901" w:h="16817"/>
          <w:pgMar w:top="1418" w:right="1701" w:bottom="1418" w:left="1701" w:header="851" w:footer="851" w:gutter="0"/>
          <w:cols w:space="720" w:num="1"/>
          <w:docGrid w:linePitch="462" w:charSpace="0"/>
        </w:sectPr>
      </w:pPr>
    </w:p>
    <w:p>
      <w:pPr>
        <w:spacing w:line="360" w:lineRule="auto"/>
        <w:outlineLvl w:val="2"/>
        <w:rPr>
          <w:rFonts w:hint="eastAsia" w:ascii="宋体" w:hAnsi="宋体" w:eastAsia="宋体" w:cs="宋体"/>
          <w:b/>
          <w:bCs/>
          <w:color w:val="auto"/>
          <w:sz w:val="24"/>
          <w:szCs w:val="20"/>
          <w:highlight w:val="none"/>
        </w:rPr>
      </w:pPr>
      <w:r>
        <w:rPr>
          <w:rFonts w:hint="eastAsia" w:ascii="宋体" w:hAnsi="宋体" w:cs="宋体"/>
          <w:b/>
          <w:bCs/>
          <w:color w:val="auto"/>
          <w:sz w:val="24"/>
          <w:szCs w:val="20"/>
          <w:highlight w:val="none"/>
          <w:lang w:val="en-US" w:eastAsia="zh-CN"/>
        </w:rPr>
        <w:t>10</w:t>
      </w:r>
      <w:r>
        <w:rPr>
          <w:rFonts w:hint="eastAsia" w:ascii="宋体" w:hAnsi="宋体" w:eastAsia="宋体" w:cs="宋体"/>
          <w:b/>
          <w:bCs/>
          <w:color w:val="auto"/>
          <w:sz w:val="24"/>
          <w:szCs w:val="20"/>
          <w:highlight w:val="none"/>
        </w:rPr>
        <w:t xml:space="preserve"> 招标文件要求提供或投标人认为应附的其他材料</w:t>
      </w:r>
    </w:p>
    <w:p>
      <w:pPr>
        <w:tabs>
          <w:tab w:val="left" w:pos="5580"/>
        </w:tabs>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附件1、类似项目业绩</w:t>
      </w:r>
    </w:p>
    <w:p>
      <w:pPr>
        <w:adjustRightInd w:val="0"/>
        <w:snapToGrid w:val="0"/>
        <w:spacing w:line="360" w:lineRule="auto"/>
        <w:rPr>
          <w:rFonts w:hint="eastAsia" w:ascii="宋体" w:hAnsi="宋体" w:eastAsia="宋体" w:cs="宋体"/>
          <w:color w:val="auto"/>
          <w:sz w:val="24"/>
          <w:szCs w:val="20"/>
          <w:highlight w:val="none"/>
        </w:rPr>
      </w:pPr>
    </w:p>
    <w:p>
      <w:pPr>
        <w:tabs>
          <w:tab w:val="left" w:pos="1800"/>
          <w:tab w:val="left" w:pos="5580"/>
        </w:tabs>
        <w:spacing w:line="360" w:lineRule="auto"/>
        <w:ind w:firstLine="360" w:firstLineChars="150"/>
        <w:jc w:val="left"/>
        <w:rPr>
          <w:rFonts w:hint="eastAsia" w:ascii="宋体" w:hAnsi="宋体" w:eastAsia="宋体" w:cs="宋体"/>
          <w:color w:val="auto"/>
          <w:sz w:val="24"/>
          <w:highlight w:val="non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eastAsia="宋体" w:cs="宋体"/>
          <w:color w:val="auto"/>
          <w:sz w:val="24"/>
          <w:highlight w:val="none"/>
        </w:rPr>
        <w:t>_</w:t>
      </w:r>
    </w:p>
    <w:p>
      <w:pPr>
        <w:adjustRightInd w:val="0"/>
        <w:snapToGrid w:val="0"/>
        <w:spacing w:line="360" w:lineRule="auto"/>
        <w:rPr>
          <w:rFonts w:hint="eastAsia" w:ascii="宋体" w:hAnsi="宋体" w:eastAsia="宋体" w:cs="宋体"/>
          <w:b/>
          <w:color w:val="auto"/>
          <w:szCs w:val="21"/>
          <w:highlight w:val="none"/>
        </w:rPr>
      </w:pPr>
    </w:p>
    <w:tbl>
      <w:tblPr>
        <w:tblStyle w:val="47"/>
        <w:tblW w:w="793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3"/>
        <w:gridCol w:w="1966"/>
        <w:gridCol w:w="1559"/>
        <w:gridCol w:w="1843"/>
        <w:gridCol w:w="14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85"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业主名称</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项目内容</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r>
    </w:tbl>
    <w:p>
      <w:pPr>
        <w:adjustRightInd w:val="0"/>
        <w:snapToGrid w:val="0"/>
        <w:spacing w:line="360" w:lineRule="auto"/>
        <w:ind w:firstLine="620" w:firstLineChars="294"/>
        <w:jc w:val="left"/>
        <w:rPr>
          <w:rFonts w:hint="eastAsia" w:ascii="宋体" w:hAnsi="宋体" w:eastAsia="宋体" w:cs="宋体"/>
          <w:b/>
          <w:color w:val="auto"/>
          <w:szCs w:val="21"/>
          <w:highlight w:val="none"/>
        </w:rPr>
      </w:pPr>
    </w:p>
    <w:p>
      <w:pPr>
        <w:autoSpaceDE w:val="0"/>
        <w:autoSpaceDN w:val="0"/>
        <w:adjustRightInd w:val="0"/>
        <w:snapToGrid w:val="0"/>
        <w:spacing w:before="25" w:after="25"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____________</w:t>
      </w:r>
    </w:p>
    <w:p>
      <w:pPr>
        <w:pStyle w:val="42"/>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highlight w:val="none"/>
        </w:rPr>
        <w:t>日期：_____年______月______日</w:t>
      </w:r>
    </w:p>
    <w:p>
      <w:pPr>
        <w:pStyle w:val="23"/>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p>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tabs>
          <w:tab w:val="left" w:pos="5580"/>
        </w:tabs>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附件2、招标服务费缴费承诺书</w:t>
      </w:r>
    </w:p>
    <w:p>
      <w:pPr>
        <w:tabs>
          <w:tab w:val="left" w:pos="5580"/>
        </w:tabs>
        <w:spacing w:line="360" w:lineRule="auto"/>
        <w:jc w:val="center"/>
        <w:rPr>
          <w:rFonts w:hint="eastAsia" w:ascii="宋体" w:hAnsi="宋体" w:eastAsia="宋体" w:cs="宋体"/>
          <w:b/>
          <w:bCs/>
          <w:color w:val="auto"/>
          <w:sz w:val="24"/>
          <w:highlight w:val="none"/>
        </w:rPr>
      </w:pPr>
    </w:p>
    <w:p>
      <w:pPr>
        <w:tabs>
          <w:tab w:val="left" w:pos="5580"/>
        </w:tabs>
        <w:spacing w:line="360" w:lineRule="auto"/>
        <w:jc w:val="center"/>
        <w:rPr>
          <w:rFonts w:hint="eastAsia" w:ascii="宋体" w:hAnsi="宋体" w:eastAsia="宋体" w:cs="宋体"/>
          <w:b/>
          <w:bCs/>
          <w:color w:val="auto"/>
          <w:sz w:val="24"/>
          <w:highlight w:val="none"/>
        </w:rPr>
      </w:pPr>
    </w:p>
    <w:p>
      <w:pPr>
        <w:tabs>
          <w:tab w:val="left" w:pos="5580"/>
        </w:tabs>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《招标服务费缴费承诺书》</w:t>
      </w:r>
    </w:p>
    <w:p>
      <w:pPr>
        <w:pStyle w:val="23"/>
        <w:spacing w:line="360" w:lineRule="auto"/>
        <w:rPr>
          <w:rFonts w:hint="eastAsia" w:ascii="宋体" w:hAnsi="宋体" w:eastAsia="宋体" w:cs="宋体"/>
          <w:color w:val="auto"/>
          <w:sz w:val="24"/>
          <w:szCs w:val="24"/>
          <w:highlight w:val="none"/>
        </w:rPr>
      </w:pPr>
    </w:p>
    <w:p>
      <w:pPr>
        <w:pStyle w:val="2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致北京国泰建中管理咨询有限公司：   </w:t>
      </w:r>
    </w:p>
    <w:p>
      <w:pPr>
        <w:pStyle w:val="2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我们在贵公司组织的</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（项目名称）</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eastAsia="zh-CN"/>
        </w:rPr>
        <w:t>（</w:t>
      </w:r>
      <w:r>
        <w:rPr>
          <w:rFonts w:hint="eastAsia" w:hAnsi="宋体" w:cs="宋体"/>
          <w:color w:val="auto"/>
          <w:sz w:val="24"/>
          <w:szCs w:val="24"/>
          <w:highlight w:val="none"/>
          <w:u w:val="single"/>
          <w:lang w:val="en-US" w:eastAsia="zh-CN"/>
        </w:rPr>
        <w:t>分包名称）</w:t>
      </w:r>
      <w:r>
        <w:rPr>
          <w:rFonts w:hint="eastAsia" w:ascii="宋体" w:hAnsi="宋体" w:eastAsia="宋体" w:cs="宋体"/>
          <w:color w:val="auto"/>
          <w:sz w:val="24"/>
          <w:szCs w:val="24"/>
          <w:highlight w:val="none"/>
        </w:rPr>
        <w:t>招标中若获中标资格，保证在领取中标通知书的同时按招标文件的规定，以支票、电汇形式，向贵公司即北京国泰建中管理咨询有限公司（地址：</w:t>
      </w:r>
      <w:r>
        <w:rPr>
          <w:rFonts w:hint="eastAsia" w:ascii="宋体" w:hAnsi="宋体" w:eastAsia="宋体" w:cs="宋体"/>
          <w:color w:val="auto"/>
          <w:sz w:val="24"/>
          <w:szCs w:val="24"/>
          <w:highlight w:val="none"/>
          <w:u w:val="single"/>
        </w:rPr>
        <w:t>北京市海淀区成府路中科科仪院内6号楼3层</w:t>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招商银行股份有限公司北京分行甘家口支行</w:t>
      </w: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u w:val="single"/>
        </w:rPr>
        <w:t>531902429310101</w:t>
      </w:r>
      <w:r>
        <w:rPr>
          <w:rFonts w:hint="eastAsia" w:ascii="宋体" w:hAnsi="宋体" w:eastAsia="宋体" w:cs="宋体"/>
          <w:color w:val="auto"/>
          <w:sz w:val="24"/>
          <w:szCs w:val="24"/>
          <w:highlight w:val="none"/>
        </w:rPr>
        <w:t>），一次性支付应缴费用。代理收费标准参考原国家计委印发的计价格[2002]1980号关于《招标代理机构服务费管理暂行办法》、发改办价格[2003]857号文《国家发展改革委办公厅关于招标代理服务收费有关问题的通知》及发改价格【2011】534号文等。根据工商税务部门的有关要求，凡中标人支付代理服务费的项目需要代理机构与中标人补签相关费用支付协议。因此，我单位理解并同意如果中标将按贵方规定支付相关费用</w:t>
      </w:r>
      <w:r>
        <w:rPr>
          <w:rFonts w:hint="eastAsia" w:ascii="宋体" w:hAnsi="宋体" w:eastAsia="宋体" w:cs="宋体"/>
          <w:color w:val="auto"/>
          <w:sz w:val="24"/>
          <w:szCs w:val="24"/>
          <w:highlight w:val="none"/>
          <w:lang w:val="en-US" w:eastAsia="zh-CN"/>
        </w:rPr>
        <w:t>并签署支付协议</w:t>
      </w:r>
      <w:r>
        <w:rPr>
          <w:rFonts w:hint="eastAsia" w:ascii="宋体" w:hAnsi="宋体" w:eastAsia="宋体" w:cs="宋体"/>
          <w:color w:val="auto"/>
          <w:sz w:val="24"/>
          <w:szCs w:val="24"/>
          <w:highlight w:val="none"/>
        </w:rPr>
        <w:t>。</w:t>
      </w:r>
    </w:p>
    <w:p>
      <w:pPr>
        <w:pStyle w:val="2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特此承诺！</w:t>
      </w:r>
    </w:p>
    <w:p>
      <w:pPr>
        <w:autoSpaceDE w:val="0"/>
        <w:autoSpaceDN w:val="0"/>
        <w:adjustRightInd w:val="0"/>
        <w:snapToGrid w:val="0"/>
        <w:spacing w:before="25" w:after="2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p>
    <w:p>
      <w:pPr>
        <w:autoSpaceDE w:val="0"/>
        <w:autoSpaceDN w:val="0"/>
        <w:adjustRightInd w:val="0"/>
        <w:snapToGrid w:val="0"/>
        <w:spacing w:before="25" w:after="25"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____________</w:t>
      </w:r>
    </w:p>
    <w:p>
      <w:pPr>
        <w:pStyle w:val="42"/>
        <w:spacing w:line="360" w:lineRule="auto"/>
        <w:ind w:firstLine="480" w:firstLineChars="200"/>
        <w:jc w:val="left"/>
        <w:rPr>
          <w:rFonts w:hint="eastAsia" w:ascii="宋体" w:hAnsi="宋体" w:eastAsia="宋体" w:cs="宋体"/>
          <w:color w:val="auto"/>
          <w:sz w:val="24"/>
          <w:highlight w:val="none"/>
        </w:rPr>
        <w:sectPr>
          <w:pgSz w:w="11901" w:h="16817"/>
          <w:pgMar w:top="1418" w:right="1701" w:bottom="1418" w:left="1701" w:header="851" w:footer="851" w:gutter="0"/>
          <w:cols w:space="720" w:num="1"/>
          <w:docGrid w:linePitch="462" w:charSpace="0"/>
        </w:sectPr>
      </w:pPr>
      <w:r>
        <w:rPr>
          <w:rFonts w:hint="eastAsia" w:ascii="宋体" w:hAnsi="宋体" w:eastAsia="宋体" w:cs="宋体"/>
          <w:color w:val="auto"/>
          <w:sz w:val="24"/>
          <w:highlight w:val="none"/>
        </w:rPr>
        <w:t>日期：_____年______月______日</w:t>
      </w:r>
    </w:p>
    <w:p>
      <w:pP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 xml:space="preserve">附件3 </w:t>
      </w:r>
    </w:p>
    <w:p>
      <w:pPr>
        <w:widowControl/>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投标人信息采集表</w:t>
      </w:r>
    </w:p>
    <w:tbl>
      <w:tblPr>
        <w:tblStyle w:val="48"/>
        <w:tblW w:w="84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3"/>
        <w:gridCol w:w="2122"/>
        <w:gridCol w:w="2122"/>
        <w:gridCol w:w="21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2123" w:type="dxa"/>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2122" w:type="dxa"/>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投标人所属性别</w:t>
            </w:r>
          </w:p>
        </w:tc>
        <w:tc>
          <w:tcPr>
            <w:tcW w:w="2122" w:type="dxa"/>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外商投资类型</w:t>
            </w:r>
          </w:p>
        </w:tc>
        <w:tc>
          <w:tcPr>
            <w:tcW w:w="2122" w:type="dxa"/>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trPr>
        <w:tc>
          <w:tcPr>
            <w:tcW w:w="2123"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trPr>
        <w:tc>
          <w:tcPr>
            <w:tcW w:w="2123"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1" w:hRule="atLeast"/>
        </w:trPr>
        <w:tc>
          <w:tcPr>
            <w:tcW w:w="2123"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2123"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r>
    </w:tbl>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注：1.供应商如为联合体，则应填写联合体各成员信息。</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供应商所属性别请填写“男”或“女”，指拥有供应商51%以上绝对所有权的性别;绝对所有权拥有者可以是一个人，也可以是多人合计计算。</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3.外商投资类型请填写“外商单独投资”、“外商部分投资”或“内资”。</w:t>
      </w:r>
    </w:p>
    <w:p>
      <w:pPr>
        <w:pStyle w:val="42"/>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4.规模请填写“大型企业”、“中型企业”、“小微企业”、“其他”</w:t>
      </w:r>
    </w:p>
    <w:p>
      <w:pPr>
        <w:tabs>
          <w:tab w:val="left" w:pos="5580"/>
        </w:tabs>
        <w:spacing w:line="480" w:lineRule="auto"/>
        <w:ind w:firstLine="482" w:firstLineChars="200"/>
        <w:rPr>
          <w:rFonts w:hint="eastAsia" w:ascii="宋体" w:hAnsi="宋体" w:eastAsia="宋体" w:cs="宋体"/>
          <w:b/>
          <w:bCs/>
          <w:color w:val="auto"/>
          <w:sz w:val="24"/>
          <w:highlight w:val="none"/>
        </w:rPr>
        <w:sectPr>
          <w:pgSz w:w="11901" w:h="16817"/>
          <w:pgMar w:top="1418" w:right="1701" w:bottom="1418" w:left="1701" w:header="851" w:footer="851" w:gutter="0"/>
          <w:cols w:space="720" w:num="1"/>
          <w:docGrid w:linePitch="462" w:charSpace="0"/>
        </w:sectPr>
      </w:pPr>
    </w:p>
    <w:p>
      <w:pPr>
        <w:rPr>
          <w:rFonts w:hint="eastAsia" w:ascii="宋体" w:hAnsi="宋体" w:eastAsia="宋体" w:cs="宋体"/>
          <w:color w:val="auto"/>
          <w:sz w:val="24"/>
          <w:szCs w:val="20"/>
          <w:highlight w:val="none"/>
        </w:rPr>
      </w:pPr>
      <w:r>
        <w:rPr>
          <w:rFonts w:hint="eastAsia" w:ascii="宋体" w:hAnsi="宋体" w:eastAsia="宋体" w:cs="宋体"/>
          <w:b/>
          <w:bCs/>
          <w:color w:val="auto"/>
          <w:sz w:val="24"/>
          <w:szCs w:val="20"/>
          <w:highlight w:val="none"/>
        </w:rPr>
        <w:t>附件4中小企业声明函</w:t>
      </w:r>
    </w:p>
    <w:p>
      <w:pPr>
        <w:tabs>
          <w:tab w:val="left" w:pos="5580"/>
        </w:tabs>
        <w:spacing w:line="360" w:lineRule="auto"/>
        <w:rPr>
          <w:rFonts w:hint="eastAsia" w:ascii="宋体" w:hAnsi="宋体" w:eastAsia="宋体" w:cs="宋体"/>
          <w:color w:val="auto"/>
          <w:sz w:val="24"/>
          <w:highlight w:val="none"/>
        </w:rPr>
      </w:pP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并</w:t>
      </w:r>
      <w:r>
        <w:rPr>
          <w:rFonts w:hint="eastAsia" w:ascii="宋体" w:hAnsi="宋体" w:eastAsia="宋体" w:cs="宋体"/>
          <w:color w:val="auto"/>
          <w:sz w:val="24"/>
          <w:highlight w:val="none"/>
        </w:rPr>
        <w:t>参与价格评审扣除。</w:t>
      </w: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（2）中小企业声明函填写注意事项：</w:t>
      </w:r>
    </w:p>
    <w:p>
      <w:pPr>
        <w:tabs>
          <w:tab w:val="left" w:pos="55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1）《中小企业声明函》由参加政府采购活动的投标人出具。</w:t>
      </w:r>
    </w:p>
    <w:p>
      <w:pPr>
        <w:tabs>
          <w:tab w:val="left" w:pos="55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对于联合体中由中小企业承担的部分，或者分包给中小企业的部分，必须全部由中小企业制造、承建或者承接。投标人应当在声明函“项目名称”部分标明联合体中中小企业承担的具体内容或者中小企业的具体分包内容。</w:t>
      </w:r>
    </w:p>
    <w:p>
      <w:pPr>
        <w:tabs>
          <w:tab w:val="left" w:pos="5580"/>
        </w:tabs>
        <w:spacing w:line="360" w:lineRule="auto"/>
        <w:ind w:firstLine="482" w:firstLineChars="200"/>
        <w:rPr>
          <w:rFonts w:hint="eastAsia" w:ascii="宋体" w:hAnsi="宋体" w:eastAsia="宋体" w:cs="宋体"/>
          <w:b/>
          <w:bCs/>
          <w:color w:val="auto"/>
          <w:sz w:val="24"/>
          <w:highlight w:val="none"/>
        </w:rPr>
      </w:pPr>
      <w:bookmarkStart w:id="396" w:name="_Hlk176865208"/>
      <w:r>
        <w:rPr>
          <w:rFonts w:hint="eastAsia" w:ascii="宋体" w:hAnsi="宋体" w:eastAsia="宋体" w:cs="宋体"/>
          <w:b/>
          <w:bCs/>
          <w:color w:val="auto"/>
          <w:sz w:val="24"/>
          <w:highlight w:val="none"/>
        </w:rPr>
        <w:t>3）对于多标的采购项目，投标人应充分、准确地了解所提供货物的制造企业信息。对相关情况了解不清楚的，不建议填报本声明函。</w:t>
      </w:r>
      <w:bookmarkEnd w:id="396"/>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 2011 ﹞300号)》及本项目文件规定的中小企业划分标准所属行业执行。</w:t>
      </w:r>
    </w:p>
    <w:p>
      <w:pPr>
        <w:spacing w:before="240" w:beforeLines="100" w:after="240" w:afterLines="100" w:line="360" w:lineRule="auto"/>
        <w:jc w:val="center"/>
        <w:rPr>
          <w:rFonts w:hint="eastAsia" w:ascii="宋体" w:hAnsi="宋体" w:eastAsia="宋体" w:cs="宋体"/>
          <w:b/>
          <w:color w:val="auto"/>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6"/>
          <w:szCs w:val="36"/>
          <w:highlight w:val="none"/>
        </w:rPr>
        <w:t>中小企业声明函（货物）格式</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（采购人名称）的</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（项目名称）</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lang w:eastAsia="zh-CN"/>
        </w:rPr>
        <w:t>（</w:t>
      </w:r>
      <w:r>
        <w:rPr>
          <w:rFonts w:hint="eastAsia" w:ascii="宋体" w:hAnsi="宋体" w:cs="宋体"/>
          <w:color w:val="auto"/>
          <w:spacing w:val="6"/>
          <w:sz w:val="24"/>
          <w:highlight w:val="none"/>
          <w:lang w:val="en-US" w:eastAsia="zh-CN"/>
        </w:rPr>
        <w:t>分包名称）</w:t>
      </w:r>
      <w:r>
        <w:rPr>
          <w:rFonts w:hint="eastAsia" w:ascii="宋体" w:hAnsi="宋体" w:eastAsia="宋体" w:cs="宋体"/>
          <w:color w:val="auto"/>
          <w:spacing w:val="6"/>
          <w:sz w:val="24"/>
          <w:highlight w:val="none"/>
        </w:rPr>
        <w:t>采购活动，提供的货物全部由符合政策要求的中小企业制造。相关企业（含联合体中的中小企业、签订分包意向协议的中小企业）的具体情况如下：</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（招标文件中明确的所属行业）</w:t>
      </w:r>
      <w:r>
        <w:rPr>
          <w:rFonts w:hint="eastAsia" w:ascii="宋体" w:hAnsi="宋体" w:eastAsia="宋体" w:cs="宋体"/>
          <w:color w:val="auto"/>
          <w:spacing w:val="6"/>
          <w:sz w:val="24"/>
          <w:highlight w:val="none"/>
        </w:rPr>
        <w:t>行业；制造商为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，从业人员______人，营业收入为______万元，资产总额为______万元</w:t>
      </w:r>
      <w:r>
        <w:rPr>
          <w:rFonts w:hint="eastAsia" w:ascii="宋体" w:hAnsi="宋体" w:eastAsia="宋体" w:cs="宋体"/>
          <w:color w:val="auto"/>
          <w:spacing w:val="6"/>
          <w:sz w:val="24"/>
          <w:highlight w:val="none"/>
          <w:vertAlign w:val="superscript"/>
        </w:rPr>
        <w:t>1</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（招标文件中明确的所属行业）</w:t>
      </w:r>
      <w:r>
        <w:rPr>
          <w:rFonts w:hint="eastAsia" w:ascii="宋体" w:hAnsi="宋体" w:eastAsia="宋体" w:cs="宋体"/>
          <w:color w:val="auto"/>
          <w:spacing w:val="6"/>
          <w:sz w:val="24"/>
          <w:highlight w:val="none"/>
        </w:rPr>
        <w:t>行业；制造商为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，从业人员______人，营业收入为______万元，资产总额为______万元，属于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本企业对上述声明内容的真实性负责。如有虚假，将依法承担相应责任。</w:t>
      </w:r>
    </w:p>
    <w:p>
      <w:pPr>
        <w:spacing w:line="360" w:lineRule="auto"/>
        <w:ind w:firstLine="504"/>
        <w:rPr>
          <w:rFonts w:hint="eastAsia" w:ascii="宋体" w:hAnsi="宋体" w:eastAsia="宋体" w:cs="宋体"/>
          <w:color w:val="auto"/>
          <w:spacing w:val="6"/>
          <w:sz w:val="24"/>
          <w:highlight w:val="none"/>
        </w:rPr>
      </w:pP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企业名称（盖章）：________</w:t>
      </w: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期：________</w:t>
      </w:r>
    </w:p>
    <w:p>
      <w:pPr>
        <w:spacing w:line="360" w:lineRule="auto"/>
        <w:ind w:right="360" w:firstLine="480"/>
        <w:jc w:val="right"/>
        <w:rPr>
          <w:rFonts w:hint="eastAsia" w:ascii="宋体" w:hAnsi="宋体" w:eastAsia="宋体" w:cs="宋体"/>
          <w:color w:val="auto"/>
          <w:sz w:val="24"/>
          <w:highlight w:val="none"/>
        </w:rPr>
      </w:pPr>
    </w:p>
    <w:p>
      <w:pPr>
        <w:spacing w:line="360" w:lineRule="auto"/>
        <w:ind w:right="360" w:firstLine="480"/>
        <w:jc w:val="right"/>
        <w:rPr>
          <w:rFonts w:hint="eastAsia" w:ascii="宋体" w:hAnsi="宋体" w:eastAsia="宋体" w:cs="宋体"/>
          <w:color w:val="auto"/>
          <w:sz w:val="24"/>
          <w:highlight w:val="none"/>
        </w:rPr>
      </w:pPr>
    </w:p>
    <w:tbl>
      <w:tblPr>
        <w:tblStyle w:val="47"/>
        <w:tblW w:w="8499"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9"/>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99" w:type="dxa"/>
          </w:tcPr>
          <w:p>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从业人员、营业收入、资产总额填报上一年度数据，无上一年度数据的新成立企业可不填报。</w:t>
            </w:r>
          </w:p>
        </w:tc>
      </w:tr>
    </w:tbl>
    <w:p>
      <w:pPr>
        <w:widowControl/>
        <w:jc w:val="center"/>
        <w:rPr>
          <w:rFonts w:hint="eastAsia" w:ascii="宋体" w:hAnsi="宋体" w:eastAsia="宋体" w:cs="宋体"/>
          <w:color w:val="auto"/>
          <w:szCs w:val="21"/>
          <w:highlight w:val="none"/>
          <w:vertAlign w:val="superscript"/>
        </w:rPr>
      </w:pPr>
    </w:p>
    <w:p>
      <w:pPr>
        <w:rPr>
          <w:rFonts w:hint="eastAsia" w:ascii="宋体" w:hAnsi="宋体" w:eastAsia="宋体" w:cs="宋体"/>
          <w:color w:val="auto"/>
          <w:sz w:val="24"/>
          <w:szCs w:val="20"/>
          <w:highlight w:val="none"/>
        </w:rPr>
      </w:pPr>
    </w:p>
    <w:p>
      <w:pPr>
        <w:spacing w:before="240" w:beforeLines="100" w:after="240" w:afterLines="100" w:line="360" w:lineRule="auto"/>
        <w:jc w:val="center"/>
        <w:rPr>
          <w:rFonts w:hint="eastAsia" w:ascii="宋体" w:hAnsi="宋体" w:eastAsia="宋体" w:cs="宋体"/>
          <w:b/>
          <w:color w:val="auto"/>
          <w:sz w:val="36"/>
          <w:szCs w:val="36"/>
          <w:highlight w:val="none"/>
        </w:rPr>
      </w:pPr>
      <w:r>
        <w:rPr>
          <w:rFonts w:hint="eastAsia" w:ascii="宋体" w:hAnsi="宋体" w:eastAsia="宋体" w:cs="宋体"/>
          <w:b/>
          <w:bCs/>
          <w:color w:val="auto"/>
          <w:sz w:val="36"/>
          <w:szCs w:val="36"/>
          <w:highlight w:val="none"/>
        </w:rPr>
        <w:t>残疾人福利性单位声明函格式</w:t>
      </w:r>
    </w:p>
    <w:p>
      <w:pPr>
        <w:spacing w:line="588" w:lineRule="exact"/>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 141</w:t>
      </w:r>
      <w:r>
        <w:rPr>
          <w:rFonts w:hint="eastAsia" w:ascii="宋体" w:hAnsi="宋体" w:eastAsia="宋体" w:cs="宋体"/>
          <w:color w:val="auto"/>
          <w:spacing w:val="6"/>
          <w:sz w:val="24"/>
          <w:highlight w:val="none"/>
        </w:rPr>
        <w:t>号）的规定，本单位</w:t>
      </w:r>
      <w:r>
        <w:rPr>
          <w:rFonts w:hint="eastAsia" w:ascii="宋体" w:hAnsi="宋体" w:eastAsia="宋体" w:cs="宋体"/>
          <w:b/>
          <w:color w:val="auto"/>
          <w:sz w:val="24"/>
          <w:highlight w:val="none"/>
        </w:rPr>
        <w:t>（请进行勾选）</w:t>
      </w:r>
      <w:r>
        <w:rPr>
          <w:rFonts w:hint="eastAsia" w:ascii="宋体" w:hAnsi="宋体" w:eastAsia="宋体" w:cs="宋体"/>
          <w:color w:val="auto"/>
          <w:spacing w:val="6"/>
          <w:sz w:val="24"/>
          <w:highlight w:val="none"/>
        </w:rPr>
        <w:t>：</w:t>
      </w:r>
    </w:p>
    <w:p>
      <w:pPr>
        <w:spacing w:line="588" w:lineRule="exact"/>
        <w:ind w:firstLine="482"/>
        <w:rPr>
          <w:rFonts w:hint="eastAsia" w:ascii="宋体" w:hAnsi="宋体" w:eastAsia="宋体" w:cs="宋体"/>
          <w:b/>
          <w:color w:val="auto"/>
          <w:spacing w:val="6"/>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pacing w:val="6"/>
          <w:sz w:val="24"/>
          <w:highlight w:val="none"/>
        </w:rPr>
        <w:t>不属于符合条件的残疾人福利性单位。</w:t>
      </w:r>
    </w:p>
    <w:p>
      <w:pPr>
        <w:spacing w:line="588" w:lineRule="exact"/>
        <w:ind w:firstLine="482"/>
        <w:rPr>
          <w:rFonts w:hint="eastAsia" w:ascii="宋体" w:hAnsi="宋体" w:eastAsia="宋体" w:cs="宋体"/>
          <w:color w:val="auto"/>
          <w:spacing w:val="6"/>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pacing w:val="6"/>
          <w:sz w:val="24"/>
          <w:highlight w:val="none"/>
        </w:rPr>
        <w:t>属于符合条件的残疾人福利性单位，</w:t>
      </w:r>
      <w:r>
        <w:rPr>
          <w:rFonts w:hint="eastAsia" w:ascii="宋体" w:hAnsi="宋体" w:eastAsia="宋体" w:cs="宋体"/>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hint="eastAsia" w:ascii="宋体" w:hAnsi="宋体" w:eastAsia="宋体" w:cs="宋体"/>
          <w:color w:val="auto"/>
          <w:spacing w:val="6"/>
          <w:sz w:val="24"/>
          <w:highlight w:val="none"/>
        </w:rPr>
      </w:pPr>
      <w:r>
        <w:rPr>
          <w:rFonts w:hint="eastAsia" w:ascii="宋体" w:hAnsi="宋体" w:eastAsia="宋体" w:cs="宋体"/>
          <w:b/>
          <w:color w:val="auto"/>
          <w:spacing w:val="6"/>
          <w:sz w:val="24"/>
          <w:highlight w:val="none"/>
        </w:rPr>
        <w:t>本单位对上述声明的真实性负责。如有虚假，将依法承担相应责任。</w:t>
      </w:r>
    </w:p>
    <w:p>
      <w:pPr>
        <w:spacing w:line="588" w:lineRule="exact"/>
        <w:ind w:firstLine="504" w:firstLineChars="200"/>
        <w:rPr>
          <w:rFonts w:hint="eastAsia" w:ascii="宋体" w:hAnsi="宋体" w:eastAsia="宋体" w:cs="宋体"/>
          <w:color w:val="auto"/>
          <w:spacing w:val="6"/>
          <w:sz w:val="24"/>
          <w:highlight w:val="none"/>
        </w:rPr>
      </w:pPr>
    </w:p>
    <w:p>
      <w:pPr>
        <w:spacing w:line="588" w:lineRule="exact"/>
        <w:ind w:firstLine="504" w:firstLineChars="200"/>
        <w:rPr>
          <w:rFonts w:hint="eastAsia" w:ascii="宋体" w:hAnsi="宋体" w:eastAsia="宋体" w:cs="宋体"/>
          <w:color w:val="auto"/>
          <w:spacing w:val="6"/>
          <w:sz w:val="24"/>
          <w:highlight w:val="none"/>
        </w:rPr>
      </w:pPr>
    </w:p>
    <w:p>
      <w:pPr>
        <w:tabs>
          <w:tab w:val="left" w:pos="4860"/>
        </w:tabs>
        <w:spacing w:line="588" w:lineRule="exact"/>
        <w:ind w:right="1560" w:firstLine="50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单位名称（盖章）：</w:t>
      </w:r>
    </w:p>
    <w:p>
      <w:pPr>
        <w:tabs>
          <w:tab w:val="left" w:pos="4860"/>
        </w:tabs>
        <w:spacing w:line="588" w:lineRule="exact"/>
        <w:ind w:right="1560" w:firstLine="50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日  期：</w:t>
      </w:r>
    </w:p>
    <w:p>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pPr>
        <w:pStyle w:val="41"/>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附件：《中小企业划型标准规定》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一、根据《中华人民共和国中小企业促进法》和《国务院关于进一步促进中小企业发展的若干意见》(国发〔2009〕36号)，制定本规定。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二、中小企业划分为中型、小型、微型三种类型，具体标准根据企业从业人员、营业收入、资产总额等指标，结合行业特点制定。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四、各行业划型标准为：</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五、企业类型的划分以统计部门的统计数据为依据。</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六、本规定适用于在中华人民共和国境内依法设立的各类所有制和各种组织形式的企业。个体工商户和本规定以外的行业，参照本规定进行划型。</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八、本规定由工业和信息化部、国家统计局会同有关部门根据《国民经济行业分类》修订情况和企业发展变化情况适时修订。</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九、本规定由工业和信息化部、国家统计局会同有关部门负责解释。</w:t>
      </w:r>
    </w:p>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十、本规定自发布之日起执行，原国家经贸委、原国家计委、财政部和国家统计局2003年颁布的《中小企业标准暂行规定》同时废止。</w:t>
      </w:r>
    </w:p>
    <w:p>
      <w:pPr>
        <w:tabs>
          <w:tab w:val="left" w:pos="5580"/>
        </w:tabs>
        <w:spacing w:line="480" w:lineRule="auto"/>
        <w:ind w:firstLine="482" w:firstLineChars="200"/>
        <w:rPr>
          <w:rFonts w:hint="eastAsia" w:ascii="宋体" w:hAnsi="宋体" w:eastAsia="宋体" w:cs="宋体"/>
          <w:b/>
          <w:bCs/>
          <w:color w:val="auto"/>
          <w:sz w:val="24"/>
          <w:highlight w:val="none"/>
        </w:rPr>
        <w:sectPr>
          <w:pgSz w:w="11901" w:h="16817"/>
          <w:pgMar w:top="1418" w:right="1701" w:bottom="1418" w:left="1701" w:header="851" w:footer="851" w:gutter="0"/>
          <w:cols w:space="720" w:num="1"/>
          <w:docGrid w:linePitch="462" w:charSpace="0"/>
        </w:sectPr>
      </w:pPr>
    </w:p>
    <w:p>
      <w:pPr>
        <w:pStyle w:val="5"/>
        <w:spacing w:line="480" w:lineRule="auto"/>
        <w:rPr>
          <w:rFonts w:hint="eastAsia" w:ascii="宋体" w:hAnsi="宋体" w:eastAsia="宋体" w:cs="宋体"/>
          <w:color w:val="auto"/>
          <w:highlight w:val="none"/>
        </w:rPr>
      </w:pPr>
      <w:r>
        <w:rPr>
          <w:rFonts w:hint="eastAsia" w:hAnsi="宋体" w:cs="宋体"/>
          <w:bCs/>
          <w:color w:val="auto"/>
          <w:highlight w:val="none"/>
          <w:lang w:val="en-US" w:eastAsia="zh-CN"/>
        </w:rPr>
        <w:t>11</w:t>
      </w:r>
      <w:r>
        <w:rPr>
          <w:rFonts w:hint="eastAsia" w:ascii="宋体" w:hAnsi="宋体" w:eastAsia="宋体" w:cs="宋体"/>
          <w:bCs/>
          <w:color w:val="auto"/>
          <w:highlight w:val="none"/>
        </w:rPr>
        <w:t>技术部分</w:t>
      </w:r>
    </w:p>
    <w:p>
      <w:pPr>
        <w:tabs>
          <w:tab w:val="left" w:pos="5580"/>
        </w:tabs>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pPr>
        <w:tabs>
          <w:tab w:val="left" w:pos="5580"/>
        </w:tabs>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1.请根据本项目的需求，自行编写技术部分的实施（服务）方案</w:t>
      </w:r>
    </w:p>
    <w:p>
      <w:pPr>
        <w:widowControl/>
        <w:spacing w:line="48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2.另外投标人可以自行提供其他对本项目有关的证明材料。</w:t>
      </w:r>
      <w:bookmarkEnd w:id="305"/>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C663DD3-8124-4264-83A3-8D1C5EA23D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ˎ̥">
    <w:altName w:val="yyb"/>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entury Gothic">
    <w:altName w:val="ksdb"/>
    <w:panose1 w:val="020B050202020202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汉仪细圆B5">
    <w:altName w:val="ksdb"/>
    <w:panose1 w:val="00000000000000000000"/>
    <w:charset w:val="00"/>
    <w:family w:val="auto"/>
    <w:pitch w:val="default"/>
    <w:sig w:usb0="00000000" w:usb1="00000000" w:usb2="00000000" w:usb3="00000000" w:csb0="00000000" w:csb1="00000000"/>
  </w:font>
  <w:font w:name="方正仿宋_GB2312">
    <w:altName w:val="仿宋"/>
    <w:panose1 w:val="00000000000000000000"/>
    <w:charset w:val="86"/>
    <w:family w:val="auto"/>
    <w:pitch w:val="default"/>
    <w:sig w:usb0="00000000" w:usb1="00000000" w:usb2="00000012" w:usb3="00000000" w:csb0="00040001" w:csb1="00000000"/>
    <w:embedRegular r:id="rId2" w:fontKey="{F0713FED-EA6C-4CB1-9467-27352A046790}"/>
  </w:font>
  <w:font w:name="ksdb">
    <w:panose1 w:val="02000500000000000000"/>
    <w:charset w:val="00"/>
    <w:family w:val="auto"/>
    <w:pitch w:val="default"/>
    <w:sig w:usb0="00000001" w:usb1="00000000" w:usb2="00000000" w:usb3="00000000" w:csb0="00000001" w:csb1="00000000"/>
  </w:font>
  <w:font w:name="yyb">
    <w:panose1 w:val="020B0200000000000000"/>
    <w:charset w:val="86"/>
    <w:family w:val="auto"/>
    <w:pitch w:val="default"/>
    <w:sig w:usb0="20000083" w:usb1="10000000" w:usb2="00000016" w:usb3="00000000" w:csb0="60060107" w:csb1="00000000"/>
  </w:font>
  <w:font w:name="楷体">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1271424"/>
    </w:sdtPr>
    <w:sdtContent>
      <w:p>
        <w:pPr>
          <w:pStyle w:val="28"/>
          <w:jc w:val="center"/>
        </w:pPr>
        <w:r>
          <w:fldChar w:fldCharType="begin"/>
        </w:r>
        <w:r>
          <w:instrText xml:space="preserve">PAGE   \* MERGEFORMAT</w:instrText>
        </w:r>
        <w:r>
          <w:fldChar w:fldCharType="separate"/>
        </w:r>
        <w:r>
          <w:rPr>
            <w:lang w:val="zh-CN"/>
          </w:rPr>
          <w:t>50</w:t>
        </w:r>
        <w:r>
          <w:fldChar w:fldCharType="end"/>
        </w:r>
      </w:p>
    </w:sdtContent>
  </w:sdt>
  <w:p>
    <w:pPr>
      <w:pStyle w:val="22"/>
      <w:wordWrap w:val="0"/>
      <w:ind w:right="54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E58C84"/>
    <w:multiLevelType w:val="singleLevel"/>
    <w:tmpl w:val="92E58C84"/>
    <w:lvl w:ilvl="0" w:tentative="0">
      <w:start w:val="5"/>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8">
    <w:nsid w:val="0000000A"/>
    <w:multiLevelType w:val="multilevel"/>
    <w:tmpl w:val="0000000A"/>
    <w:lvl w:ilvl="0" w:tentative="0">
      <w:start w:val="1"/>
      <w:numFmt w:val="decimal"/>
      <w:pStyle w:val="11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D"/>
    <w:multiLevelType w:val="multilevel"/>
    <w:tmpl w:val="0000000D"/>
    <w:lvl w:ilvl="0" w:tentative="0">
      <w:start w:val="1"/>
      <w:numFmt w:val="lowerLetter"/>
      <w:pStyle w:val="1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00000011"/>
    <w:multiLevelType w:val="multilevel"/>
    <w:tmpl w:val="00000011"/>
    <w:lvl w:ilvl="0" w:tentative="0">
      <w:start w:val="1"/>
      <w:numFmt w:val="bullet"/>
      <w:pStyle w:val="256"/>
      <w:lvlText w:val=""/>
      <w:lvlJc w:val="left"/>
      <w:pPr>
        <w:ind w:left="860" w:hanging="420"/>
      </w:pPr>
      <w:rPr>
        <w:rFonts w:hint="default" w:ascii="Wingdings" w:hAnsi="Wingdings"/>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11">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12">
    <w:nsid w:val="00000026"/>
    <w:multiLevelType w:val="multilevel"/>
    <w:tmpl w:val="00000026"/>
    <w:lvl w:ilvl="0" w:tentative="0">
      <w:start w:val="1"/>
      <w:numFmt w:val="decimal"/>
      <w:pStyle w:val="11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0"/>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3">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4">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2580"/>
        </w:tabs>
        <w:ind w:left="2459"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0000002F"/>
    <w:multiLevelType w:val="multilevel"/>
    <w:tmpl w:val="0000002F"/>
    <w:lvl w:ilvl="0" w:tentative="0">
      <w:start w:val="1"/>
      <w:numFmt w:val="decimal"/>
      <w:pStyle w:val="11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E230849"/>
    <w:multiLevelType w:val="multilevel"/>
    <w:tmpl w:val="0E230849"/>
    <w:lvl w:ilvl="0" w:tentative="0">
      <w:start w:val="1"/>
      <w:numFmt w:val="decimal"/>
      <w:pStyle w:val="215"/>
      <w:lvlText w:val="%1"/>
      <w:lvlJc w:val="left"/>
      <w:pPr>
        <w:ind w:left="680" w:hanging="680"/>
      </w:pPr>
      <w:rPr>
        <w:rFonts w:hint="eastAsia" w:ascii="宋体" w:hAnsi="宋体" w:eastAsia="宋体"/>
      </w:rPr>
    </w:lvl>
    <w:lvl w:ilvl="1" w:tentative="0">
      <w:start w:val="1"/>
      <w:numFmt w:val="decimal"/>
      <w:pStyle w:val="216"/>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7">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249FFB79"/>
    <w:multiLevelType w:val="singleLevel"/>
    <w:tmpl w:val="249FFB79"/>
    <w:lvl w:ilvl="0" w:tentative="0">
      <w:start w:val="2"/>
      <w:numFmt w:val="decimal"/>
      <w:suff w:val="space"/>
      <w:lvlText w:val="%1."/>
      <w:lvlJc w:val="left"/>
    </w:lvl>
  </w:abstractNum>
  <w:abstractNum w:abstractNumId="21">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317100B5"/>
    <w:multiLevelType w:val="multilevel"/>
    <w:tmpl w:val="317100B5"/>
    <w:lvl w:ilvl="0" w:tentative="0">
      <w:start w:val="19"/>
      <w:numFmt w:val="decimal"/>
      <w:lvlText w:val="%1"/>
      <w:lvlJc w:val="left"/>
      <w:pPr>
        <w:ind w:left="562" w:hanging="420"/>
      </w:pPr>
      <w:rPr>
        <w:rFonts w:hint="default"/>
      </w:rPr>
    </w:lvl>
    <w:lvl w:ilvl="1" w:tentative="0">
      <w:start w:val="1"/>
      <w:numFmt w:val="decimal"/>
      <w:lvlText w:val="%1.%2"/>
      <w:lvlJc w:val="left"/>
      <w:pPr>
        <w:ind w:left="845"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52FF46A2"/>
    <w:multiLevelType w:val="multilevel"/>
    <w:tmpl w:val="52FF46A2"/>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6">
    <w:nsid w:val="7A0F6431"/>
    <w:multiLevelType w:val="singleLevel"/>
    <w:tmpl w:val="7A0F6431"/>
    <w:lvl w:ilvl="0" w:tentative="0">
      <w:start w:val="1"/>
      <w:numFmt w:val="decimal"/>
      <w:suff w:val="space"/>
      <w:lvlText w:val="%1."/>
      <w:lvlJc w:val="left"/>
    </w:lvl>
  </w:abstractNum>
  <w:abstractNum w:abstractNumId="27">
    <w:nsid w:val="7B164E20"/>
    <w:multiLevelType w:val="multilevel"/>
    <w:tmpl w:val="7B164E20"/>
    <w:lvl w:ilvl="0" w:tentative="0">
      <w:start w:val="3"/>
      <w:numFmt w:val="decimal"/>
      <w:lvlText w:val="%1."/>
      <w:lvlJc w:val="left"/>
      <w:pPr>
        <w:ind w:left="420" w:hanging="420"/>
      </w:pPr>
      <w:rPr>
        <w:rFonts w:hint="eastAsia"/>
      </w:rPr>
    </w:lvl>
    <w:lvl w:ilvl="1" w:tentative="0">
      <w:start w:val="1"/>
      <w:numFmt w:val="lowerLetter"/>
      <w:pStyle w:val="355"/>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8">
    <w:nsid w:val="7EDC1C16"/>
    <w:multiLevelType w:val="multilevel"/>
    <w:tmpl w:val="7EDC1C16"/>
    <w:lvl w:ilvl="0" w:tentative="0">
      <w:start w:val="1"/>
      <w:numFmt w:val="decimalEnclosedCircle"/>
      <w:lvlText w:val="%1"/>
      <w:lvlJc w:val="left"/>
      <w:pPr>
        <w:ind w:left="922" w:hanging="360"/>
      </w:pPr>
      <w:rPr>
        <w:rFonts w:hint="default"/>
      </w:r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num w:numId="1">
    <w:abstractNumId w:val="12"/>
  </w:num>
  <w:num w:numId="2">
    <w:abstractNumId w:val="15"/>
  </w:num>
  <w:num w:numId="3">
    <w:abstractNumId w:val="8"/>
  </w:num>
  <w:num w:numId="4">
    <w:abstractNumId w:val="13"/>
  </w:num>
  <w:num w:numId="5">
    <w:abstractNumId w:val="11"/>
  </w:num>
  <w:num w:numId="6">
    <w:abstractNumId w:val="9"/>
  </w:num>
  <w:num w:numId="7">
    <w:abstractNumId w:val="16"/>
  </w:num>
  <w:num w:numId="8">
    <w:abstractNumId w:val="10"/>
  </w:num>
  <w:num w:numId="9">
    <w:abstractNumId w:val="27"/>
  </w:num>
  <w:num w:numId="10">
    <w:abstractNumId w:val="20"/>
  </w:num>
  <w:num w:numId="11">
    <w:abstractNumId w:val="0"/>
  </w:num>
  <w:num w:numId="12">
    <w:abstractNumId w:val="14"/>
  </w:num>
  <w:num w:numId="13">
    <w:abstractNumId w:val="19"/>
  </w:num>
  <w:num w:numId="14">
    <w:abstractNumId w:val="7"/>
  </w:num>
  <w:num w:numId="15">
    <w:abstractNumId w:val="23"/>
  </w:num>
  <w:num w:numId="16">
    <w:abstractNumId w:val="24"/>
  </w:num>
  <w:num w:numId="17">
    <w:abstractNumId w:val="25"/>
  </w:num>
  <w:num w:numId="18">
    <w:abstractNumId w:val="17"/>
  </w:num>
  <w:num w:numId="19">
    <w:abstractNumId w:val="18"/>
  </w:num>
  <w:num w:numId="20">
    <w:abstractNumId w:val="26"/>
  </w:num>
  <w:num w:numId="21">
    <w:abstractNumId w:val="2"/>
  </w:num>
  <w:num w:numId="22">
    <w:abstractNumId w:val="6"/>
  </w:num>
  <w:num w:numId="23">
    <w:abstractNumId w:val="4"/>
  </w:num>
  <w:num w:numId="24">
    <w:abstractNumId w:val="3"/>
  </w:num>
  <w:num w:numId="25">
    <w:abstractNumId w:val="1"/>
  </w:num>
  <w:num w:numId="26">
    <w:abstractNumId w:val="5"/>
  </w:num>
  <w:num w:numId="27">
    <w:abstractNumId w:val="22"/>
  </w:num>
  <w:num w:numId="28">
    <w:abstractNumId w:val="28"/>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jZTIwMzk0ZDJmMWY4YmRlOTk5ZmJlYWU0ZTU2MDQifQ=="/>
  </w:docVars>
  <w:rsids>
    <w:rsidRoot w:val="00E83D6D"/>
    <w:rsid w:val="000024CA"/>
    <w:rsid w:val="00005E4D"/>
    <w:rsid w:val="00006989"/>
    <w:rsid w:val="0000747D"/>
    <w:rsid w:val="0001093C"/>
    <w:rsid w:val="0001621F"/>
    <w:rsid w:val="00020893"/>
    <w:rsid w:val="000214FE"/>
    <w:rsid w:val="0002154D"/>
    <w:rsid w:val="0002245E"/>
    <w:rsid w:val="00024AAE"/>
    <w:rsid w:val="000261BF"/>
    <w:rsid w:val="000271B9"/>
    <w:rsid w:val="0002748D"/>
    <w:rsid w:val="00030137"/>
    <w:rsid w:val="0003515B"/>
    <w:rsid w:val="000366E5"/>
    <w:rsid w:val="000415C2"/>
    <w:rsid w:val="00043536"/>
    <w:rsid w:val="00044794"/>
    <w:rsid w:val="000504C5"/>
    <w:rsid w:val="00050F62"/>
    <w:rsid w:val="00057613"/>
    <w:rsid w:val="000577A9"/>
    <w:rsid w:val="0006139C"/>
    <w:rsid w:val="00063A95"/>
    <w:rsid w:val="00065AF3"/>
    <w:rsid w:val="000671D8"/>
    <w:rsid w:val="00070E42"/>
    <w:rsid w:val="00071A4E"/>
    <w:rsid w:val="00072BC4"/>
    <w:rsid w:val="000776CA"/>
    <w:rsid w:val="00080962"/>
    <w:rsid w:val="000819C3"/>
    <w:rsid w:val="0008384E"/>
    <w:rsid w:val="000843BA"/>
    <w:rsid w:val="000860B2"/>
    <w:rsid w:val="00090BD5"/>
    <w:rsid w:val="000931EA"/>
    <w:rsid w:val="00096C24"/>
    <w:rsid w:val="000A119E"/>
    <w:rsid w:val="000A364C"/>
    <w:rsid w:val="000B1470"/>
    <w:rsid w:val="000B2A31"/>
    <w:rsid w:val="000C33BB"/>
    <w:rsid w:val="000C4A1B"/>
    <w:rsid w:val="000C781A"/>
    <w:rsid w:val="000D2628"/>
    <w:rsid w:val="000D41BD"/>
    <w:rsid w:val="000D7368"/>
    <w:rsid w:val="000D7A22"/>
    <w:rsid w:val="000E044E"/>
    <w:rsid w:val="000E05C9"/>
    <w:rsid w:val="000E0717"/>
    <w:rsid w:val="000E569B"/>
    <w:rsid w:val="000E7254"/>
    <w:rsid w:val="000E7BE0"/>
    <w:rsid w:val="000F2BFB"/>
    <w:rsid w:val="000F2D2A"/>
    <w:rsid w:val="000F359E"/>
    <w:rsid w:val="000F7335"/>
    <w:rsid w:val="000F7D9A"/>
    <w:rsid w:val="0010031F"/>
    <w:rsid w:val="001008D5"/>
    <w:rsid w:val="001023B0"/>
    <w:rsid w:val="00105A0B"/>
    <w:rsid w:val="001123A7"/>
    <w:rsid w:val="00113B4D"/>
    <w:rsid w:val="00115494"/>
    <w:rsid w:val="00116555"/>
    <w:rsid w:val="0011718A"/>
    <w:rsid w:val="00117959"/>
    <w:rsid w:val="00121E68"/>
    <w:rsid w:val="00122AA0"/>
    <w:rsid w:val="00133569"/>
    <w:rsid w:val="0013462C"/>
    <w:rsid w:val="00136BAC"/>
    <w:rsid w:val="001377E9"/>
    <w:rsid w:val="001463B8"/>
    <w:rsid w:val="00147FF9"/>
    <w:rsid w:val="001511E6"/>
    <w:rsid w:val="00155778"/>
    <w:rsid w:val="00161A28"/>
    <w:rsid w:val="00163161"/>
    <w:rsid w:val="00165845"/>
    <w:rsid w:val="00165CA1"/>
    <w:rsid w:val="00167570"/>
    <w:rsid w:val="00170610"/>
    <w:rsid w:val="001710B3"/>
    <w:rsid w:val="00172363"/>
    <w:rsid w:val="0017239B"/>
    <w:rsid w:val="00180650"/>
    <w:rsid w:val="001813BA"/>
    <w:rsid w:val="001826BC"/>
    <w:rsid w:val="001857CB"/>
    <w:rsid w:val="001873FF"/>
    <w:rsid w:val="00187AF3"/>
    <w:rsid w:val="00193D0F"/>
    <w:rsid w:val="0019433D"/>
    <w:rsid w:val="00194EB0"/>
    <w:rsid w:val="001952B4"/>
    <w:rsid w:val="001A0A6A"/>
    <w:rsid w:val="001A3128"/>
    <w:rsid w:val="001A331E"/>
    <w:rsid w:val="001A4D84"/>
    <w:rsid w:val="001A747A"/>
    <w:rsid w:val="001A7762"/>
    <w:rsid w:val="001A7A86"/>
    <w:rsid w:val="001B0CDE"/>
    <w:rsid w:val="001B1EF2"/>
    <w:rsid w:val="001B207C"/>
    <w:rsid w:val="001B3254"/>
    <w:rsid w:val="001B325B"/>
    <w:rsid w:val="001B3851"/>
    <w:rsid w:val="001B5A83"/>
    <w:rsid w:val="001C470C"/>
    <w:rsid w:val="001D2998"/>
    <w:rsid w:val="001D2ED1"/>
    <w:rsid w:val="001D32A2"/>
    <w:rsid w:val="001D547C"/>
    <w:rsid w:val="001D5CA7"/>
    <w:rsid w:val="001D6CC8"/>
    <w:rsid w:val="001D772B"/>
    <w:rsid w:val="001E4E35"/>
    <w:rsid w:val="001E4FCA"/>
    <w:rsid w:val="001E580D"/>
    <w:rsid w:val="001E682D"/>
    <w:rsid w:val="001E6A55"/>
    <w:rsid w:val="001F2A6B"/>
    <w:rsid w:val="001F3F10"/>
    <w:rsid w:val="001F54F7"/>
    <w:rsid w:val="001F6EDE"/>
    <w:rsid w:val="00204EA9"/>
    <w:rsid w:val="00206DB3"/>
    <w:rsid w:val="00206DC7"/>
    <w:rsid w:val="00211102"/>
    <w:rsid w:val="002166C4"/>
    <w:rsid w:val="00220B79"/>
    <w:rsid w:val="002226B3"/>
    <w:rsid w:val="002238DB"/>
    <w:rsid w:val="0022407A"/>
    <w:rsid w:val="00226C23"/>
    <w:rsid w:val="002274BB"/>
    <w:rsid w:val="002305E5"/>
    <w:rsid w:val="00230C1E"/>
    <w:rsid w:val="002319CD"/>
    <w:rsid w:val="00233D0D"/>
    <w:rsid w:val="00235020"/>
    <w:rsid w:val="00235A8D"/>
    <w:rsid w:val="00236E3D"/>
    <w:rsid w:val="00237492"/>
    <w:rsid w:val="0024138D"/>
    <w:rsid w:val="00243558"/>
    <w:rsid w:val="0025135A"/>
    <w:rsid w:val="00251832"/>
    <w:rsid w:val="002521C0"/>
    <w:rsid w:val="00253294"/>
    <w:rsid w:val="00254117"/>
    <w:rsid w:val="00254177"/>
    <w:rsid w:val="00255579"/>
    <w:rsid w:val="00255D20"/>
    <w:rsid w:val="002563FF"/>
    <w:rsid w:val="00257761"/>
    <w:rsid w:val="00260A67"/>
    <w:rsid w:val="0026222B"/>
    <w:rsid w:val="002646FE"/>
    <w:rsid w:val="0026542B"/>
    <w:rsid w:val="00265E92"/>
    <w:rsid w:val="002679CD"/>
    <w:rsid w:val="00271857"/>
    <w:rsid w:val="0027297D"/>
    <w:rsid w:val="00274AFF"/>
    <w:rsid w:val="00274F62"/>
    <w:rsid w:val="00275A54"/>
    <w:rsid w:val="00275C73"/>
    <w:rsid w:val="00275E51"/>
    <w:rsid w:val="002761BE"/>
    <w:rsid w:val="00284104"/>
    <w:rsid w:val="0028531B"/>
    <w:rsid w:val="0028643C"/>
    <w:rsid w:val="002864D2"/>
    <w:rsid w:val="00286E1A"/>
    <w:rsid w:val="002877CE"/>
    <w:rsid w:val="0029426A"/>
    <w:rsid w:val="00296F52"/>
    <w:rsid w:val="00297CAC"/>
    <w:rsid w:val="002A14B7"/>
    <w:rsid w:val="002A51DF"/>
    <w:rsid w:val="002A6223"/>
    <w:rsid w:val="002B3901"/>
    <w:rsid w:val="002B4767"/>
    <w:rsid w:val="002B4E92"/>
    <w:rsid w:val="002B50E1"/>
    <w:rsid w:val="002B51AB"/>
    <w:rsid w:val="002B73BE"/>
    <w:rsid w:val="002B785F"/>
    <w:rsid w:val="002C4FDF"/>
    <w:rsid w:val="002C6413"/>
    <w:rsid w:val="002C6BFA"/>
    <w:rsid w:val="002C76D4"/>
    <w:rsid w:val="002D222C"/>
    <w:rsid w:val="002D30BB"/>
    <w:rsid w:val="002D4250"/>
    <w:rsid w:val="002D46FF"/>
    <w:rsid w:val="002D4CC8"/>
    <w:rsid w:val="002D4F3F"/>
    <w:rsid w:val="002D5BA7"/>
    <w:rsid w:val="002D6D66"/>
    <w:rsid w:val="002E5A1F"/>
    <w:rsid w:val="002E5FF8"/>
    <w:rsid w:val="002E74C8"/>
    <w:rsid w:val="002E7F24"/>
    <w:rsid w:val="002F7843"/>
    <w:rsid w:val="003003A6"/>
    <w:rsid w:val="003012AA"/>
    <w:rsid w:val="00301443"/>
    <w:rsid w:val="00302353"/>
    <w:rsid w:val="00303BC8"/>
    <w:rsid w:val="00303CCC"/>
    <w:rsid w:val="00303EF1"/>
    <w:rsid w:val="003062DF"/>
    <w:rsid w:val="00306FB4"/>
    <w:rsid w:val="003241BC"/>
    <w:rsid w:val="0032516A"/>
    <w:rsid w:val="00334D52"/>
    <w:rsid w:val="00340919"/>
    <w:rsid w:val="003522F3"/>
    <w:rsid w:val="0035715C"/>
    <w:rsid w:val="003624D9"/>
    <w:rsid w:val="003650E0"/>
    <w:rsid w:val="0037060B"/>
    <w:rsid w:val="0038148F"/>
    <w:rsid w:val="00384792"/>
    <w:rsid w:val="00392333"/>
    <w:rsid w:val="003A0592"/>
    <w:rsid w:val="003A4E7C"/>
    <w:rsid w:val="003A5B1B"/>
    <w:rsid w:val="003A73C1"/>
    <w:rsid w:val="003B15A7"/>
    <w:rsid w:val="003B160C"/>
    <w:rsid w:val="003B3F03"/>
    <w:rsid w:val="003B66C6"/>
    <w:rsid w:val="003B66C8"/>
    <w:rsid w:val="003C0190"/>
    <w:rsid w:val="003C059D"/>
    <w:rsid w:val="003C1D50"/>
    <w:rsid w:val="003C2341"/>
    <w:rsid w:val="003C2CD6"/>
    <w:rsid w:val="003C36AF"/>
    <w:rsid w:val="003C5C25"/>
    <w:rsid w:val="003D0664"/>
    <w:rsid w:val="003D44FC"/>
    <w:rsid w:val="003D55EC"/>
    <w:rsid w:val="003D6B97"/>
    <w:rsid w:val="003D71B0"/>
    <w:rsid w:val="003E306B"/>
    <w:rsid w:val="003E4BEB"/>
    <w:rsid w:val="003E4CC0"/>
    <w:rsid w:val="003E5513"/>
    <w:rsid w:val="003E6A09"/>
    <w:rsid w:val="003E6DE1"/>
    <w:rsid w:val="003F176E"/>
    <w:rsid w:val="003F3907"/>
    <w:rsid w:val="003F6ADB"/>
    <w:rsid w:val="00401228"/>
    <w:rsid w:val="00403905"/>
    <w:rsid w:val="0040424D"/>
    <w:rsid w:val="004048EF"/>
    <w:rsid w:val="004049F9"/>
    <w:rsid w:val="004059DC"/>
    <w:rsid w:val="00406519"/>
    <w:rsid w:val="004070A8"/>
    <w:rsid w:val="00407E12"/>
    <w:rsid w:val="0041043F"/>
    <w:rsid w:val="00415A2E"/>
    <w:rsid w:val="00417FD5"/>
    <w:rsid w:val="00421122"/>
    <w:rsid w:val="00421F3D"/>
    <w:rsid w:val="0042676D"/>
    <w:rsid w:val="00432C4A"/>
    <w:rsid w:val="004403D9"/>
    <w:rsid w:val="00440A8B"/>
    <w:rsid w:val="004422B2"/>
    <w:rsid w:val="00443B6F"/>
    <w:rsid w:val="004446E2"/>
    <w:rsid w:val="0044579D"/>
    <w:rsid w:val="00450EE3"/>
    <w:rsid w:val="00451CD2"/>
    <w:rsid w:val="00452D49"/>
    <w:rsid w:val="004564DD"/>
    <w:rsid w:val="00457DCB"/>
    <w:rsid w:val="0046102C"/>
    <w:rsid w:val="0046116F"/>
    <w:rsid w:val="00462D13"/>
    <w:rsid w:val="004635A0"/>
    <w:rsid w:val="0046536A"/>
    <w:rsid w:val="00466F08"/>
    <w:rsid w:val="0046736E"/>
    <w:rsid w:val="00467D11"/>
    <w:rsid w:val="004722D6"/>
    <w:rsid w:val="004757EF"/>
    <w:rsid w:val="00477448"/>
    <w:rsid w:val="00477B23"/>
    <w:rsid w:val="00482F4E"/>
    <w:rsid w:val="0048717C"/>
    <w:rsid w:val="004877B2"/>
    <w:rsid w:val="00491ACB"/>
    <w:rsid w:val="00493D74"/>
    <w:rsid w:val="00496A6F"/>
    <w:rsid w:val="00496CCA"/>
    <w:rsid w:val="004A10AF"/>
    <w:rsid w:val="004A204B"/>
    <w:rsid w:val="004A2DFA"/>
    <w:rsid w:val="004A3C54"/>
    <w:rsid w:val="004A48AD"/>
    <w:rsid w:val="004A60D2"/>
    <w:rsid w:val="004A7A82"/>
    <w:rsid w:val="004B0076"/>
    <w:rsid w:val="004B0DB4"/>
    <w:rsid w:val="004B4096"/>
    <w:rsid w:val="004B46CD"/>
    <w:rsid w:val="004B4C57"/>
    <w:rsid w:val="004B51E1"/>
    <w:rsid w:val="004B66DD"/>
    <w:rsid w:val="004C2778"/>
    <w:rsid w:val="004C2AEB"/>
    <w:rsid w:val="004C3879"/>
    <w:rsid w:val="004C65F8"/>
    <w:rsid w:val="004C75D1"/>
    <w:rsid w:val="004D1BF5"/>
    <w:rsid w:val="004D3E1A"/>
    <w:rsid w:val="004D4CCC"/>
    <w:rsid w:val="004D52FF"/>
    <w:rsid w:val="004D63CC"/>
    <w:rsid w:val="004D7F9F"/>
    <w:rsid w:val="004E1186"/>
    <w:rsid w:val="004E2EE8"/>
    <w:rsid w:val="004E3DA2"/>
    <w:rsid w:val="004E46FB"/>
    <w:rsid w:val="004F0271"/>
    <w:rsid w:val="004F1E99"/>
    <w:rsid w:val="004F3F5C"/>
    <w:rsid w:val="004F4052"/>
    <w:rsid w:val="004F4EC8"/>
    <w:rsid w:val="004F720C"/>
    <w:rsid w:val="004F732D"/>
    <w:rsid w:val="00501332"/>
    <w:rsid w:val="005017E6"/>
    <w:rsid w:val="0050382D"/>
    <w:rsid w:val="00505252"/>
    <w:rsid w:val="00505C09"/>
    <w:rsid w:val="00507642"/>
    <w:rsid w:val="0051015E"/>
    <w:rsid w:val="00514D33"/>
    <w:rsid w:val="005211D7"/>
    <w:rsid w:val="00524B1C"/>
    <w:rsid w:val="0052532D"/>
    <w:rsid w:val="00531333"/>
    <w:rsid w:val="00531663"/>
    <w:rsid w:val="00542F78"/>
    <w:rsid w:val="00550033"/>
    <w:rsid w:val="005507B9"/>
    <w:rsid w:val="00552B34"/>
    <w:rsid w:val="005536C5"/>
    <w:rsid w:val="00554181"/>
    <w:rsid w:val="005563C0"/>
    <w:rsid w:val="00556D85"/>
    <w:rsid w:val="00557CB7"/>
    <w:rsid w:val="00560151"/>
    <w:rsid w:val="00565AE5"/>
    <w:rsid w:val="00565B5B"/>
    <w:rsid w:val="00573E74"/>
    <w:rsid w:val="00573F88"/>
    <w:rsid w:val="00580788"/>
    <w:rsid w:val="00581411"/>
    <w:rsid w:val="005825EC"/>
    <w:rsid w:val="00583E79"/>
    <w:rsid w:val="0058544E"/>
    <w:rsid w:val="0059008F"/>
    <w:rsid w:val="00591FE6"/>
    <w:rsid w:val="0059311A"/>
    <w:rsid w:val="005961D6"/>
    <w:rsid w:val="005970A1"/>
    <w:rsid w:val="00597ABC"/>
    <w:rsid w:val="005A06D6"/>
    <w:rsid w:val="005A59BE"/>
    <w:rsid w:val="005A5B30"/>
    <w:rsid w:val="005A6ED6"/>
    <w:rsid w:val="005A7296"/>
    <w:rsid w:val="005A7DE6"/>
    <w:rsid w:val="005B4352"/>
    <w:rsid w:val="005B5505"/>
    <w:rsid w:val="005B7F00"/>
    <w:rsid w:val="005C141D"/>
    <w:rsid w:val="005C1489"/>
    <w:rsid w:val="005C4271"/>
    <w:rsid w:val="005C4932"/>
    <w:rsid w:val="005C6858"/>
    <w:rsid w:val="005C6BEB"/>
    <w:rsid w:val="005D01CF"/>
    <w:rsid w:val="005D191E"/>
    <w:rsid w:val="005D5A67"/>
    <w:rsid w:val="005D721F"/>
    <w:rsid w:val="005F3A8B"/>
    <w:rsid w:val="005F5489"/>
    <w:rsid w:val="005F5F7B"/>
    <w:rsid w:val="00604796"/>
    <w:rsid w:val="00607113"/>
    <w:rsid w:val="00607752"/>
    <w:rsid w:val="0061239F"/>
    <w:rsid w:val="00615565"/>
    <w:rsid w:val="006162F4"/>
    <w:rsid w:val="00617136"/>
    <w:rsid w:val="00617760"/>
    <w:rsid w:val="00622E28"/>
    <w:rsid w:val="006243FE"/>
    <w:rsid w:val="00624A17"/>
    <w:rsid w:val="00627FDE"/>
    <w:rsid w:val="00630357"/>
    <w:rsid w:val="00632DB3"/>
    <w:rsid w:val="00636AAE"/>
    <w:rsid w:val="00637B5B"/>
    <w:rsid w:val="00644B73"/>
    <w:rsid w:val="00645B96"/>
    <w:rsid w:val="00647C10"/>
    <w:rsid w:val="00650744"/>
    <w:rsid w:val="006535F5"/>
    <w:rsid w:val="00656D33"/>
    <w:rsid w:val="00660122"/>
    <w:rsid w:val="0066048C"/>
    <w:rsid w:val="00661D4C"/>
    <w:rsid w:val="00665BEB"/>
    <w:rsid w:val="00666591"/>
    <w:rsid w:val="0067030E"/>
    <w:rsid w:val="0067071E"/>
    <w:rsid w:val="00670832"/>
    <w:rsid w:val="00670DA1"/>
    <w:rsid w:val="006733F0"/>
    <w:rsid w:val="00675264"/>
    <w:rsid w:val="00677269"/>
    <w:rsid w:val="00682383"/>
    <w:rsid w:val="00686921"/>
    <w:rsid w:val="00686A08"/>
    <w:rsid w:val="0068747B"/>
    <w:rsid w:val="006911A9"/>
    <w:rsid w:val="00692F78"/>
    <w:rsid w:val="006932A8"/>
    <w:rsid w:val="0069497D"/>
    <w:rsid w:val="00696E9B"/>
    <w:rsid w:val="006A0A0E"/>
    <w:rsid w:val="006A0CC0"/>
    <w:rsid w:val="006A39E1"/>
    <w:rsid w:val="006A41A3"/>
    <w:rsid w:val="006A7AB1"/>
    <w:rsid w:val="006B07C8"/>
    <w:rsid w:val="006B13F8"/>
    <w:rsid w:val="006B3EAC"/>
    <w:rsid w:val="006B601D"/>
    <w:rsid w:val="006B70D4"/>
    <w:rsid w:val="006C2B1F"/>
    <w:rsid w:val="006C2F75"/>
    <w:rsid w:val="006C44B6"/>
    <w:rsid w:val="006C7BAB"/>
    <w:rsid w:val="006D2C51"/>
    <w:rsid w:val="006D7C3C"/>
    <w:rsid w:val="006E2265"/>
    <w:rsid w:val="006E5945"/>
    <w:rsid w:val="006F286B"/>
    <w:rsid w:val="006F2E97"/>
    <w:rsid w:val="006F44B2"/>
    <w:rsid w:val="006F4B67"/>
    <w:rsid w:val="006F5212"/>
    <w:rsid w:val="006F77A9"/>
    <w:rsid w:val="00700E6A"/>
    <w:rsid w:val="00707B0F"/>
    <w:rsid w:val="00707CB0"/>
    <w:rsid w:val="007102BB"/>
    <w:rsid w:val="00710555"/>
    <w:rsid w:val="00711075"/>
    <w:rsid w:val="00712EDD"/>
    <w:rsid w:val="00714BA9"/>
    <w:rsid w:val="00717CE2"/>
    <w:rsid w:val="00723347"/>
    <w:rsid w:val="00727447"/>
    <w:rsid w:val="00727AB1"/>
    <w:rsid w:val="00731EC3"/>
    <w:rsid w:val="007324A6"/>
    <w:rsid w:val="007337E5"/>
    <w:rsid w:val="00733BDB"/>
    <w:rsid w:val="00733DCE"/>
    <w:rsid w:val="00735D71"/>
    <w:rsid w:val="007412F6"/>
    <w:rsid w:val="00745A6F"/>
    <w:rsid w:val="0074782A"/>
    <w:rsid w:val="00747B1F"/>
    <w:rsid w:val="0075092F"/>
    <w:rsid w:val="00754DA7"/>
    <w:rsid w:val="00756A42"/>
    <w:rsid w:val="00763003"/>
    <w:rsid w:val="00765961"/>
    <w:rsid w:val="007675CF"/>
    <w:rsid w:val="0077124B"/>
    <w:rsid w:val="007737D0"/>
    <w:rsid w:val="00774E1A"/>
    <w:rsid w:val="00775B09"/>
    <w:rsid w:val="00776F4C"/>
    <w:rsid w:val="00781185"/>
    <w:rsid w:val="00781661"/>
    <w:rsid w:val="0078356F"/>
    <w:rsid w:val="00786A1C"/>
    <w:rsid w:val="00791710"/>
    <w:rsid w:val="0079224C"/>
    <w:rsid w:val="00794466"/>
    <w:rsid w:val="00794A6B"/>
    <w:rsid w:val="0079648B"/>
    <w:rsid w:val="00796853"/>
    <w:rsid w:val="007A11E9"/>
    <w:rsid w:val="007A4292"/>
    <w:rsid w:val="007A5DB7"/>
    <w:rsid w:val="007A61FE"/>
    <w:rsid w:val="007A7796"/>
    <w:rsid w:val="007B00FC"/>
    <w:rsid w:val="007B0231"/>
    <w:rsid w:val="007B08DD"/>
    <w:rsid w:val="007B2823"/>
    <w:rsid w:val="007B485D"/>
    <w:rsid w:val="007B4AAE"/>
    <w:rsid w:val="007B6342"/>
    <w:rsid w:val="007B6D8A"/>
    <w:rsid w:val="007C1AAB"/>
    <w:rsid w:val="007C4560"/>
    <w:rsid w:val="007C7712"/>
    <w:rsid w:val="007C783A"/>
    <w:rsid w:val="007D47D7"/>
    <w:rsid w:val="007D58F9"/>
    <w:rsid w:val="007D7E62"/>
    <w:rsid w:val="007E42E0"/>
    <w:rsid w:val="007E53D4"/>
    <w:rsid w:val="007E63DD"/>
    <w:rsid w:val="007E69F5"/>
    <w:rsid w:val="007E7608"/>
    <w:rsid w:val="007F131B"/>
    <w:rsid w:val="007F34FD"/>
    <w:rsid w:val="007F4424"/>
    <w:rsid w:val="007F6A2A"/>
    <w:rsid w:val="008010D5"/>
    <w:rsid w:val="00801275"/>
    <w:rsid w:val="0080146B"/>
    <w:rsid w:val="00801E6B"/>
    <w:rsid w:val="008036C7"/>
    <w:rsid w:val="00804E0B"/>
    <w:rsid w:val="00804E5F"/>
    <w:rsid w:val="00806A2B"/>
    <w:rsid w:val="00806E09"/>
    <w:rsid w:val="00810EA5"/>
    <w:rsid w:val="00811697"/>
    <w:rsid w:val="00811C78"/>
    <w:rsid w:val="008140F2"/>
    <w:rsid w:val="008146EB"/>
    <w:rsid w:val="00815BC0"/>
    <w:rsid w:val="00817563"/>
    <w:rsid w:val="00821CBF"/>
    <w:rsid w:val="0082236F"/>
    <w:rsid w:val="00824E80"/>
    <w:rsid w:val="00825562"/>
    <w:rsid w:val="00830875"/>
    <w:rsid w:val="00831985"/>
    <w:rsid w:val="00833C27"/>
    <w:rsid w:val="0083417B"/>
    <w:rsid w:val="008351EB"/>
    <w:rsid w:val="00837F87"/>
    <w:rsid w:val="00841234"/>
    <w:rsid w:val="00844AD0"/>
    <w:rsid w:val="00846711"/>
    <w:rsid w:val="008469AF"/>
    <w:rsid w:val="008512FD"/>
    <w:rsid w:val="00851309"/>
    <w:rsid w:val="008517E0"/>
    <w:rsid w:val="00855B9B"/>
    <w:rsid w:val="0085647E"/>
    <w:rsid w:val="00860007"/>
    <w:rsid w:val="00860029"/>
    <w:rsid w:val="00860787"/>
    <w:rsid w:val="008608E8"/>
    <w:rsid w:val="00860F37"/>
    <w:rsid w:val="0086423B"/>
    <w:rsid w:val="00867781"/>
    <w:rsid w:val="00870467"/>
    <w:rsid w:val="00875611"/>
    <w:rsid w:val="00875B89"/>
    <w:rsid w:val="00876014"/>
    <w:rsid w:val="00880B09"/>
    <w:rsid w:val="00883176"/>
    <w:rsid w:val="00883BF1"/>
    <w:rsid w:val="00885B0B"/>
    <w:rsid w:val="008860EE"/>
    <w:rsid w:val="0088699F"/>
    <w:rsid w:val="008910B4"/>
    <w:rsid w:val="00891755"/>
    <w:rsid w:val="00894F02"/>
    <w:rsid w:val="008952C1"/>
    <w:rsid w:val="008A02F4"/>
    <w:rsid w:val="008A073A"/>
    <w:rsid w:val="008A17A0"/>
    <w:rsid w:val="008B0EFA"/>
    <w:rsid w:val="008B124B"/>
    <w:rsid w:val="008B371D"/>
    <w:rsid w:val="008B4238"/>
    <w:rsid w:val="008B54B5"/>
    <w:rsid w:val="008C0972"/>
    <w:rsid w:val="008C1E95"/>
    <w:rsid w:val="008C1F65"/>
    <w:rsid w:val="008C3C43"/>
    <w:rsid w:val="008C44B8"/>
    <w:rsid w:val="008C4D4F"/>
    <w:rsid w:val="008C5252"/>
    <w:rsid w:val="008D11B1"/>
    <w:rsid w:val="008D2B28"/>
    <w:rsid w:val="008D37CB"/>
    <w:rsid w:val="008D3890"/>
    <w:rsid w:val="008D41B2"/>
    <w:rsid w:val="008D44BB"/>
    <w:rsid w:val="008D6A98"/>
    <w:rsid w:val="008D7284"/>
    <w:rsid w:val="008E0837"/>
    <w:rsid w:val="008E0C03"/>
    <w:rsid w:val="008E3D54"/>
    <w:rsid w:val="008E509D"/>
    <w:rsid w:val="008F2AFD"/>
    <w:rsid w:val="008F2DA9"/>
    <w:rsid w:val="008F4F52"/>
    <w:rsid w:val="008F5EBC"/>
    <w:rsid w:val="008F700D"/>
    <w:rsid w:val="00902ADC"/>
    <w:rsid w:val="00903308"/>
    <w:rsid w:val="00903879"/>
    <w:rsid w:val="0090645D"/>
    <w:rsid w:val="00913009"/>
    <w:rsid w:val="00913098"/>
    <w:rsid w:val="00915161"/>
    <w:rsid w:val="0091636C"/>
    <w:rsid w:val="009178C2"/>
    <w:rsid w:val="009200E1"/>
    <w:rsid w:val="00923816"/>
    <w:rsid w:val="00924A85"/>
    <w:rsid w:val="009257EC"/>
    <w:rsid w:val="00925BA3"/>
    <w:rsid w:val="0092678C"/>
    <w:rsid w:val="00926FFA"/>
    <w:rsid w:val="0092721D"/>
    <w:rsid w:val="00931A79"/>
    <w:rsid w:val="009324D8"/>
    <w:rsid w:val="00932AB5"/>
    <w:rsid w:val="009345F7"/>
    <w:rsid w:val="00937F8B"/>
    <w:rsid w:val="00940F47"/>
    <w:rsid w:val="009430C1"/>
    <w:rsid w:val="00946C39"/>
    <w:rsid w:val="0095141C"/>
    <w:rsid w:val="00951B92"/>
    <w:rsid w:val="0095382A"/>
    <w:rsid w:val="00954666"/>
    <w:rsid w:val="00955A29"/>
    <w:rsid w:val="00956D29"/>
    <w:rsid w:val="009572B3"/>
    <w:rsid w:val="00957518"/>
    <w:rsid w:val="0096445E"/>
    <w:rsid w:val="00965A4D"/>
    <w:rsid w:val="00970235"/>
    <w:rsid w:val="00971272"/>
    <w:rsid w:val="009735C9"/>
    <w:rsid w:val="00974D08"/>
    <w:rsid w:val="00974FA6"/>
    <w:rsid w:val="00976602"/>
    <w:rsid w:val="00980B13"/>
    <w:rsid w:val="0098201F"/>
    <w:rsid w:val="00982673"/>
    <w:rsid w:val="0098509A"/>
    <w:rsid w:val="00985FC8"/>
    <w:rsid w:val="00987470"/>
    <w:rsid w:val="00987911"/>
    <w:rsid w:val="00996ECD"/>
    <w:rsid w:val="00997F32"/>
    <w:rsid w:val="009A1381"/>
    <w:rsid w:val="009A2C26"/>
    <w:rsid w:val="009A31F7"/>
    <w:rsid w:val="009A737D"/>
    <w:rsid w:val="009A7A19"/>
    <w:rsid w:val="009B3B47"/>
    <w:rsid w:val="009B7433"/>
    <w:rsid w:val="009C0CD5"/>
    <w:rsid w:val="009C3DC1"/>
    <w:rsid w:val="009C4D63"/>
    <w:rsid w:val="009C7DEA"/>
    <w:rsid w:val="009D4644"/>
    <w:rsid w:val="009D4FDF"/>
    <w:rsid w:val="009D52E3"/>
    <w:rsid w:val="009D5C06"/>
    <w:rsid w:val="009D5E2F"/>
    <w:rsid w:val="009E04E0"/>
    <w:rsid w:val="009E226B"/>
    <w:rsid w:val="009E6750"/>
    <w:rsid w:val="009E6CEC"/>
    <w:rsid w:val="009F49E3"/>
    <w:rsid w:val="009F5F06"/>
    <w:rsid w:val="00A0073C"/>
    <w:rsid w:val="00A00E18"/>
    <w:rsid w:val="00A01EB6"/>
    <w:rsid w:val="00A05300"/>
    <w:rsid w:val="00A06671"/>
    <w:rsid w:val="00A07448"/>
    <w:rsid w:val="00A10905"/>
    <w:rsid w:val="00A10CFE"/>
    <w:rsid w:val="00A1192C"/>
    <w:rsid w:val="00A12323"/>
    <w:rsid w:val="00A12C42"/>
    <w:rsid w:val="00A14850"/>
    <w:rsid w:val="00A203B7"/>
    <w:rsid w:val="00A21461"/>
    <w:rsid w:val="00A22A20"/>
    <w:rsid w:val="00A2487F"/>
    <w:rsid w:val="00A3048B"/>
    <w:rsid w:val="00A30831"/>
    <w:rsid w:val="00A30A11"/>
    <w:rsid w:val="00A31485"/>
    <w:rsid w:val="00A31933"/>
    <w:rsid w:val="00A3774F"/>
    <w:rsid w:val="00A37CA3"/>
    <w:rsid w:val="00A41402"/>
    <w:rsid w:val="00A41F93"/>
    <w:rsid w:val="00A4471C"/>
    <w:rsid w:val="00A46C60"/>
    <w:rsid w:val="00A47D8D"/>
    <w:rsid w:val="00A5048F"/>
    <w:rsid w:val="00A51C6E"/>
    <w:rsid w:val="00A5209D"/>
    <w:rsid w:val="00A619C5"/>
    <w:rsid w:val="00A63F8F"/>
    <w:rsid w:val="00A70E9C"/>
    <w:rsid w:val="00A71130"/>
    <w:rsid w:val="00A712D3"/>
    <w:rsid w:val="00A73209"/>
    <w:rsid w:val="00A737FA"/>
    <w:rsid w:val="00A74356"/>
    <w:rsid w:val="00A800FB"/>
    <w:rsid w:val="00A8032B"/>
    <w:rsid w:val="00A8178B"/>
    <w:rsid w:val="00A81C2B"/>
    <w:rsid w:val="00A84014"/>
    <w:rsid w:val="00A8553C"/>
    <w:rsid w:val="00A85E84"/>
    <w:rsid w:val="00A9102F"/>
    <w:rsid w:val="00A91F43"/>
    <w:rsid w:val="00A94846"/>
    <w:rsid w:val="00A95D1A"/>
    <w:rsid w:val="00A971BA"/>
    <w:rsid w:val="00A9762A"/>
    <w:rsid w:val="00A97F27"/>
    <w:rsid w:val="00AA0FCF"/>
    <w:rsid w:val="00AA188E"/>
    <w:rsid w:val="00AA345C"/>
    <w:rsid w:val="00AA3FCD"/>
    <w:rsid w:val="00AA4267"/>
    <w:rsid w:val="00AA5AA0"/>
    <w:rsid w:val="00AA5F7E"/>
    <w:rsid w:val="00AA6B9C"/>
    <w:rsid w:val="00AA7D85"/>
    <w:rsid w:val="00AB1C3E"/>
    <w:rsid w:val="00AB2415"/>
    <w:rsid w:val="00AB3FA5"/>
    <w:rsid w:val="00AB49F0"/>
    <w:rsid w:val="00AB51F4"/>
    <w:rsid w:val="00AB67EB"/>
    <w:rsid w:val="00AB6E8B"/>
    <w:rsid w:val="00AB7573"/>
    <w:rsid w:val="00AC012D"/>
    <w:rsid w:val="00AC20D3"/>
    <w:rsid w:val="00AC3ABA"/>
    <w:rsid w:val="00AC4AF7"/>
    <w:rsid w:val="00AC5CB3"/>
    <w:rsid w:val="00AC65D0"/>
    <w:rsid w:val="00AD4DFD"/>
    <w:rsid w:val="00AD595C"/>
    <w:rsid w:val="00AE07AD"/>
    <w:rsid w:val="00AE5688"/>
    <w:rsid w:val="00AE59C8"/>
    <w:rsid w:val="00AE5BC6"/>
    <w:rsid w:val="00AE6F09"/>
    <w:rsid w:val="00AE71EE"/>
    <w:rsid w:val="00AF3013"/>
    <w:rsid w:val="00AF43C6"/>
    <w:rsid w:val="00AF4ED6"/>
    <w:rsid w:val="00B000AD"/>
    <w:rsid w:val="00B029D4"/>
    <w:rsid w:val="00B0523F"/>
    <w:rsid w:val="00B059BB"/>
    <w:rsid w:val="00B0702E"/>
    <w:rsid w:val="00B13205"/>
    <w:rsid w:val="00B13225"/>
    <w:rsid w:val="00B149B3"/>
    <w:rsid w:val="00B15B93"/>
    <w:rsid w:val="00B17DCC"/>
    <w:rsid w:val="00B21032"/>
    <w:rsid w:val="00B258B8"/>
    <w:rsid w:val="00B31684"/>
    <w:rsid w:val="00B31DC9"/>
    <w:rsid w:val="00B31F3A"/>
    <w:rsid w:val="00B320C7"/>
    <w:rsid w:val="00B32AAD"/>
    <w:rsid w:val="00B33888"/>
    <w:rsid w:val="00B34A7D"/>
    <w:rsid w:val="00B35ED9"/>
    <w:rsid w:val="00B4159B"/>
    <w:rsid w:val="00B42EF3"/>
    <w:rsid w:val="00B43E20"/>
    <w:rsid w:val="00B44578"/>
    <w:rsid w:val="00B46594"/>
    <w:rsid w:val="00B52F1E"/>
    <w:rsid w:val="00B60DC6"/>
    <w:rsid w:val="00B62B3B"/>
    <w:rsid w:val="00B635DC"/>
    <w:rsid w:val="00B713BD"/>
    <w:rsid w:val="00B744DF"/>
    <w:rsid w:val="00B76A10"/>
    <w:rsid w:val="00B77434"/>
    <w:rsid w:val="00B806D8"/>
    <w:rsid w:val="00B82999"/>
    <w:rsid w:val="00B91897"/>
    <w:rsid w:val="00B948DA"/>
    <w:rsid w:val="00B94D4D"/>
    <w:rsid w:val="00BA0063"/>
    <w:rsid w:val="00BA2310"/>
    <w:rsid w:val="00BA3130"/>
    <w:rsid w:val="00BA31A3"/>
    <w:rsid w:val="00BA4366"/>
    <w:rsid w:val="00BA53B2"/>
    <w:rsid w:val="00BA7907"/>
    <w:rsid w:val="00BB2880"/>
    <w:rsid w:val="00BB4AD1"/>
    <w:rsid w:val="00BB6AA6"/>
    <w:rsid w:val="00BB7D3C"/>
    <w:rsid w:val="00BC03D6"/>
    <w:rsid w:val="00BC11CF"/>
    <w:rsid w:val="00BC3136"/>
    <w:rsid w:val="00BC38D9"/>
    <w:rsid w:val="00BC6678"/>
    <w:rsid w:val="00BD2005"/>
    <w:rsid w:val="00BD2139"/>
    <w:rsid w:val="00BD30C7"/>
    <w:rsid w:val="00BD30F1"/>
    <w:rsid w:val="00BD602C"/>
    <w:rsid w:val="00BD608C"/>
    <w:rsid w:val="00BD63DE"/>
    <w:rsid w:val="00BD6B4D"/>
    <w:rsid w:val="00BE0382"/>
    <w:rsid w:val="00BE3D9A"/>
    <w:rsid w:val="00BF2D28"/>
    <w:rsid w:val="00BF53A6"/>
    <w:rsid w:val="00BF55CD"/>
    <w:rsid w:val="00BF7715"/>
    <w:rsid w:val="00BF7E88"/>
    <w:rsid w:val="00C01973"/>
    <w:rsid w:val="00C079E3"/>
    <w:rsid w:val="00C13145"/>
    <w:rsid w:val="00C1344C"/>
    <w:rsid w:val="00C136D0"/>
    <w:rsid w:val="00C13788"/>
    <w:rsid w:val="00C140E9"/>
    <w:rsid w:val="00C201DF"/>
    <w:rsid w:val="00C2530F"/>
    <w:rsid w:val="00C2689D"/>
    <w:rsid w:val="00C26F0F"/>
    <w:rsid w:val="00C30096"/>
    <w:rsid w:val="00C327AB"/>
    <w:rsid w:val="00C34D83"/>
    <w:rsid w:val="00C35C9F"/>
    <w:rsid w:val="00C35D8E"/>
    <w:rsid w:val="00C405D6"/>
    <w:rsid w:val="00C4092E"/>
    <w:rsid w:val="00C42662"/>
    <w:rsid w:val="00C44F43"/>
    <w:rsid w:val="00C4793E"/>
    <w:rsid w:val="00C51C81"/>
    <w:rsid w:val="00C51EA4"/>
    <w:rsid w:val="00C522D2"/>
    <w:rsid w:val="00C52B43"/>
    <w:rsid w:val="00C538F9"/>
    <w:rsid w:val="00C54EDA"/>
    <w:rsid w:val="00C56123"/>
    <w:rsid w:val="00C561C6"/>
    <w:rsid w:val="00C56593"/>
    <w:rsid w:val="00C617E9"/>
    <w:rsid w:val="00C62158"/>
    <w:rsid w:val="00C626FF"/>
    <w:rsid w:val="00C63502"/>
    <w:rsid w:val="00C73C6E"/>
    <w:rsid w:val="00C7604A"/>
    <w:rsid w:val="00C76480"/>
    <w:rsid w:val="00C76AEB"/>
    <w:rsid w:val="00C77A68"/>
    <w:rsid w:val="00C9260D"/>
    <w:rsid w:val="00C96E6A"/>
    <w:rsid w:val="00CA0199"/>
    <w:rsid w:val="00CA06E8"/>
    <w:rsid w:val="00CA0961"/>
    <w:rsid w:val="00CA3EB4"/>
    <w:rsid w:val="00CA4995"/>
    <w:rsid w:val="00CA4D3F"/>
    <w:rsid w:val="00CA563F"/>
    <w:rsid w:val="00CA5C2C"/>
    <w:rsid w:val="00CB33AA"/>
    <w:rsid w:val="00CB34AF"/>
    <w:rsid w:val="00CB7619"/>
    <w:rsid w:val="00CC60B5"/>
    <w:rsid w:val="00CC6804"/>
    <w:rsid w:val="00CD677B"/>
    <w:rsid w:val="00CE6FD4"/>
    <w:rsid w:val="00CE6FEE"/>
    <w:rsid w:val="00CE7B86"/>
    <w:rsid w:val="00CF35B6"/>
    <w:rsid w:val="00CF4AB1"/>
    <w:rsid w:val="00D03834"/>
    <w:rsid w:val="00D06380"/>
    <w:rsid w:val="00D07CF5"/>
    <w:rsid w:val="00D10919"/>
    <w:rsid w:val="00D12103"/>
    <w:rsid w:val="00D1221B"/>
    <w:rsid w:val="00D13196"/>
    <w:rsid w:val="00D14987"/>
    <w:rsid w:val="00D1573E"/>
    <w:rsid w:val="00D168DA"/>
    <w:rsid w:val="00D17CC1"/>
    <w:rsid w:val="00D2162E"/>
    <w:rsid w:val="00D21BA8"/>
    <w:rsid w:val="00D23543"/>
    <w:rsid w:val="00D2368C"/>
    <w:rsid w:val="00D26E15"/>
    <w:rsid w:val="00D311E0"/>
    <w:rsid w:val="00D319E6"/>
    <w:rsid w:val="00D31A25"/>
    <w:rsid w:val="00D31F95"/>
    <w:rsid w:val="00D345EC"/>
    <w:rsid w:val="00D35EC7"/>
    <w:rsid w:val="00D3628A"/>
    <w:rsid w:val="00D36AA6"/>
    <w:rsid w:val="00D37FEF"/>
    <w:rsid w:val="00D43DC1"/>
    <w:rsid w:val="00D444D8"/>
    <w:rsid w:val="00D531A2"/>
    <w:rsid w:val="00D533A7"/>
    <w:rsid w:val="00D5573F"/>
    <w:rsid w:val="00D56D58"/>
    <w:rsid w:val="00D56F3A"/>
    <w:rsid w:val="00D57DAE"/>
    <w:rsid w:val="00D57E0E"/>
    <w:rsid w:val="00D700C3"/>
    <w:rsid w:val="00D719F1"/>
    <w:rsid w:val="00D74CEF"/>
    <w:rsid w:val="00D75B5F"/>
    <w:rsid w:val="00D7764F"/>
    <w:rsid w:val="00D77B64"/>
    <w:rsid w:val="00D77D9E"/>
    <w:rsid w:val="00D80B64"/>
    <w:rsid w:val="00D82863"/>
    <w:rsid w:val="00D83C74"/>
    <w:rsid w:val="00D84650"/>
    <w:rsid w:val="00D869DA"/>
    <w:rsid w:val="00D87C46"/>
    <w:rsid w:val="00D87F06"/>
    <w:rsid w:val="00D9224A"/>
    <w:rsid w:val="00D9274F"/>
    <w:rsid w:val="00D92B4C"/>
    <w:rsid w:val="00D94F65"/>
    <w:rsid w:val="00DA1E06"/>
    <w:rsid w:val="00DA5411"/>
    <w:rsid w:val="00DA5992"/>
    <w:rsid w:val="00DA5DBA"/>
    <w:rsid w:val="00DB00DA"/>
    <w:rsid w:val="00DB216E"/>
    <w:rsid w:val="00DB431C"/>
    <w:rsid w:val="00DB467F"/>
    <w:rsid w:val="00DB471C"/>
    <w:rsid w:val="00DC05BF"/>
    <w:rsid w:val="00DC4319"/>
    <w:rsid w:val="00DC4385"/>
    <w:rsid w:val="00DC5075"/>
    <w:rsid w:val="00DC7132"/>
    <w:rsid w:val="00DD1B37"/>
    <w:rsid w:val="00DD2F6D"/>
    <w:rsid w:val="00DD4FF8"/>
    <w:rsid w:val="00DD5069"/>
    <w:rsid w:val="00DE3B83"/>
    <w:rsid w:val="00DE52F4"/>
    <w:rsid w:val="00DE5E5A"/>
    <w:rsid w:val="00DE6C89"/>
    <w:rsid w:val="00DE72D9"/>
    <w:rsid w:val="00DE74C1"/>
    <w:rsid w:val="00DF0379"/>
    <w:rsid w:val="00DF52FB"/>
    <w:rsid w:val="00DF5565"/>
    <w:rsid w:val="00E00AA8"/>
    <w:rsid w:val="00E02FC3"/>
    <w:rsid w:val="00E05858"/>
    <w:rsid w:val="00E0675D"/>
    <w:rsid w:val="00E06BBA"/>
    <w:rsid w:val="00E07EA3"/>
    <w:rsid w:val="00E12572"/>
    <w:rsid w:val="00E12727"/>
    <w:rsid w:val="00E13C3E"/>
    <w:rsid w:val="00E1595A"/>
    <w:rsid w:val="00E15B60"/>
    <w:rsid w:val="00E20F6D"/>
    <w:rsid w:val="00E226FD"/>
    <w:rsid w:val="00E25556"/>
    <w:rsid w:val="00E27997"/>
    <w:rsid w:val="00E31C52"/>
    <w:rsid w:val="00E32CC2"/>
    <w:rsid w:val="00E34033"/>
    <w:rsid w:val="00E359A9"/>
    <w:rsid w:val="00E36A63"/>
    <w:rsid w:val="00E370ED"/>
    <w:rsid w:val="00E41F13"/>
    <w:rsid w:val="00E430DD"/>
    <w:rsid w:val="00E4371A"/>
    <w:rsid w:val="00E43BC8"/>
    <w:rsid w:val="00E44446"/>
    <w:rsid w:val="00E45EB0"/>
    <w:rsid w:val="00E51323"/>
    <w:rsid w:val="00E62376"/>
    <w:rsid w:val="00E62393"/>
    <w:rsid w:val="00E62821"/>
    <w:rsid w:val="00E632DA"/>
    <w:rsid w:val="00E65D45"/>
    <w:rsid w:val="00E67261"/>
    <w:rsid w:val="00E6751E"/>
    <w:rsid w:val="00E71010"/>
    <w:rsid w:val="00E730EC"/>
    <w:rsid w:val="00E815C6"/>
    <w:rsid w:val="00E83D6D"/>
    <w:rsid w:val="00E841BF"/>
    <w:rsid w:val="00E842ED"/>
    <w:rsid w:val="00E8452D"/>
    <w:rsid w:val="00E86A1A"/>
    <w:rsid w:val="00E87CB7"/>
    <w:rsid w:val="00E915C6"/>
    <w:rsid w:val="00E91CA1"/>
    <w:rsid w:val="00E925A4"/>
    <w:rsid w:val="00E9325F"/>
    <w:rsid w:val="00EA012D"/>
    <w:rsid w:val="00EA0D69"/>
    <w:rsid w:val="00EA101E"/>
    <w:rsid w:val="00EA6503"/>
    <w:rsid w:val="00EB05CB"/>
    <w:rsid w:val="00EB0D5B"/>
    <w:rsid w:val="00EB29E2"/>
    <w:rsid w:val="00EB2C8F"/>
    <w:rsid w:val="00EB2DE6"/>
    <w:rsid w:val="00EC15FE"/>
    <w:rsid w:val="00EC1ABC"/>
    <w:rsid w:val="00EC3409"/>
    <w:rsid w:val="00EC6CF8"/>
    <w:rsid w:val="00ED1D84"/>
    <w:rsid w:val="00ED3A31"/>
    <w:rsid w:val="00ED44CA"/>
    <w:rsid w:val="00ED4C08"/>
    <w:rsid w:val="00ED749F"/>
    <w:rsid w:val="00ED7D6F"/>
    <w:rsid w:val="00EE115E"/>
    <w:rsid w:val="00EE189D"/>
    <w:rsid w:val="00EE4E89"/>
    <w:rsid w:val="00EF1F7A"/>
    <w:rsid w:val="00EF42A1"/>
    <w:rsid w:val="00EF5332"/>
    <w:rsid w:val="00EF5818"/>
    <w:rsid w:val="00F00B7D"/>
    <w:rsid w:val="00F00C30"/>
    <w:rsid w:val="00F00E7F"/>
    <w:rsid w:val="00F0142C"/>
    <w:rsid w:val="00F0155B"/>
    <w:rsid w:val="00F0451D"/>
    <w:rsid w:val="00F06A27"/>
    <w:rsid w:val="00F128AF"/>
    <w:rsid w:val="00F13CB9"/>
    <w:rsid w:val="00F170E0"/>
    <w:rsid w:val="00F172BF"/>
    <w:rsid w:val="00F24F2C"/>
    <w:rsid w:val="00F30F3C"/>
    <w:rsid w:val="00F31E7C"/>
    <w:rsid w:val="00F34AFD"/>
    <w:rsid w:val="00F34F94"/>
    <w:rsid w:val="00F368D5"/>
    <w:rsid w:val="00F37A7F"/>
    <w:rsid w:val="00F423C7"/>
    <w:rsid w:val="00F42A52"/>
    <w:rsid w:val="00F44645"/>
    <w:rsid w:val="00F45C7B"/>
    <w:rsid w:val="00F462CB"/>
    <w:rsid w:val="00F464D2"/>
    <w:rsid w:val="00F46516"/>
    <w:rsid w:val="00F510F0"/>
    <w:rsid w:val="00F51289"/>
    <w:rsid w:val="00F547B3"/>
    <w:rsid w:val="00F5496B"/>
    <w:rsid w:val="00F56DA8"/>
    <w:rsid w:val="00F60C0B"/>
    <w:rsid w:val="00F62541"/>
    <w:rsid w:val="00F6630A"/>
    <w:rsid w:val="00F667D2"/>
    <w:rsid w:val="00F6689A"/>
    <w:rsid w:val="00F71B91"/>
    <w:rsid w:val="00F72524"/>
    <w:rsid w:val="00F75A66"/>
    <w:rsid w:val="00F81F5F"/>
    <w:rsid w:val="00F8219C"/>
    <w:rsid w:val="00F8350A"/>
    <w:rsid w:val="00F84CCD"/>
    <w:rsid w:val="00F85C25"/>
    <w:rsid w:val="00F913DD"/>
    <w:rsid w:val="00F917B9"/>
    <w:rsid w:val="00FA05ED"/>
    <w:rsid w:val="00FA1399"/>
    <w:rsid w:val="00FA190D"/>
    <w:rsid w:val="00FA3A15"/>
    <w:rsid w:val="00FA7FB9"/>
    <w:rsid w:val="00FB15F0"/>
    <w:rsid w:val="00FB3705"/>
    <w:rsid w:val="00FB55E1"/>
    <w:rsid w:val="00FB68BB"/>
    <w:rsid w:val="00FB7363"/>
    <w:rsid w:val="00FC263C"/>
    <w:rsid w:val="00FC4107"/>
    <w:rsid w:val="00FC4DC0"/>
    <w:rsid w:val="00FC6622"/>
    <w:rsid w:val="00FC7817"/>
    <w:rsid w:val="00FD024D"/>
    <w:rsid w:val="00FD5875"/>
    <w:rsid w:val="00FD768A"/>
    <w:rsid w:val="00FE088B"/>
    <w:rsid w:val="00FE18CE"/>
    <w:rsid w:val="00FE20A2"/>
    <w:rsid w:val="00FE42D5"/>
    <w:rsid w:val="00FE51EB"/>
    <w:rsid w:val="00FE6032"/>
    <w:rsid w:val="00FE6E6D"/>
    <w:rsid w:val="00FF0593"/>
    <w:rsid w:val="00FF12CA"/>
    <w:rsid w:val="00FF2F56"/>
    <w:rsid w:val="00FF3CE3"/>
    <w:rsid w:val="00FF478A"/>
    <w:rsid w:val="03B20CEC"/>
    <w:rsid w:val="051174DC"/>
    <w:rsid w:val="0817778D"/>
    <w:rsid w:val="0822685D"/>
    <w:rsid w:val="0C992E66"/>
    <w:rsid w:val="0D206ADC"/>
    <w:rsid w:val="0D4855DC"/>
    <w:rsid w:val="0E4C0D05"/>
    <w:rsid w:val="0F57435D"/>
    <w:rsid w:val="10710D74"/>
    <w:rsid w:val="10BC218D"/>
    <w:rsid w:val="11DF27D1"/>
    <w:rsid w:val="11E078E4"/>
    <w:rsid w:val="121B764F"/>
    <w:rsid w:val="124F7DAD"/>
    <w:rsid w:val="13AB136F"/>
    <w:rsid w:val="1451270C"/>
    <w:rsid w:val="14521776"/>
    <w:rsid w:val="147C6004"/>
    <w:rsid w:val="16764AFF"/>
    <w:rsid w:val="17254E91"/>
    <w:rsid w:val="18B62544"/>
    <w:rsid w:val="19172829"/>
    <w:rsid w:val="194E4F0F"/>
    <w:rsid w:val="1A3657A6"/>
    <w:rsid w:val="1BD030DF"/>
    <w:rsid w:val="1C194AE8"/>
    <w:rsid w:val="1C491350"/>
    <w:rsid w:val="1D0D3533"/>
    <w:rsid w:val="1E3F6A78"/>
    <w:rsid w:val="1E935BAD"/>
    <w:rsid w:val="1EF85BDC"/>
    <w:rsid w:val="22553740"/>
    <w:rsid w:val="24C60153"/>
    <w:rsid w:val="24CF6C3B"/>
    <w:rsid w:val="24D47306"/>
    <w:rsid w:val="24EE130C"/>
    <w:rsid w:val="25012D6C"/>
    <w:rsid w:val="250173E0"/>
    <w:rsid w:val="255676EF"/>
    <w:rsid w:val="27CD4BAE"/>
    <w:rsid w:val="294B30F1"/>
    <w:rsid w:val="2961623A"/>
    <w:rsid w:val="2A8D26BB"/>
    <w:rsid w:val="2B425003"/>
    <w:rsid w:val="2C1E3C6A"/>
    <w:rsid w:val="2C3326B9"/>
    <w:rsid w:val="2C9C23B8"/>
    <w:rsid w:val="2CC1076E"/>
    <w:rsid w:val="2E17071E"/>
    <w:rsid w:val="2ED81174"/>
    <w:rsid w:val="2EE31FF3"/>
    <w:rsid w:val="30760FCC"/>
    <w:rsid w:val="31934BDC"/>
    <w:rsid w:val="32DA3C5A"/>
    <w:rsid w:val="32DC55BA"/>
    <w:rsid w:val="331B765D"/>
    <w:rsid w:val="346E5E0F"/>
    <w:rsid w:val="347C4F14"/>
    <w:rsid w:val="35CA569B"/>
    <w:rsid w:val="37B67995"/>
    <w:rsid w:val="39CF6A29"/>
    <w:rsid w:val="3A0C3554"/>
    <w:rsid w:val="3A70501E"/>
    <w:rsid w:val="3AE57B9E"/>
    <w:rsid w:val="3AFC74DE"/>
    <w:rsid w:val="3BAC12DA"/>
    <w:rsid w:val="3BCA7E24"/>
    <w:rsid w:val="3CEB0E12"/>
    <w:rsid w:val="3D5660DF"/>
    <w:rsid w:val="3D5C7C05"/>
    <w:rsid w:val="3F8F22F2"/>
    <w:rsid w:val="3FD6873B"/>
    <w:rsid w:val="404C1170"/>
    <w:rsid w:val="40F75EF9"/>
    <w:rsid w:val="40FD6220"/>
    <w:rsid w:val="41A655A9"/>
    <w:rsid w:val="41F368AC"/>
    <w:rsid w:val="427D1648"/>
    <w:rsid w:val="42E20186"/>
    <w:rsid w:val="44B00772"/>
    <w:rsid w:val="490E5A67"/>
    <w:rsid w:val="493A4AAE"/>
    <w:rsid w:val="49BA1D04"/>
    <w:rsid w:val="4A98641A"/>
    <w:rsid w:val="4AD83CB8"/>
    <w:rsid w:val="4D4C34C7"/>
    <w:rsid w:val="4E725CD8"/>
    <w:rsid w:val="4E814D9B"/>
    <w:rsid w:val="4F764366"/>
    <w:rsid w:val="52481FEA"/>
    <w:rsid w:val="53937294"/>
    <w:rsid w:val="547C33CE"/>
    <w:rsid w:val="54C073AB"/>
    <w:rsid w:val="55F10680"/>
    <w:rsid w:val="569B6EDB"/>
    <w:rsid w:val="57985811"/>
    <w:rsid w:val="57EF6381"/>
    <w:rsid w:val="582A546F"/>
    <w:rsid w:val="5B6D0D13"/>
    <w:rsid w:val="5B892397"/>
    <w:rsid w:val="5C2C0458"/>
    <w:rsid w:val="5D0E05B6"/>
    <w:rsid w:val="5F8B75CB"/>
    <w:rsid w:val="5FBB4BE1"/>
    <w:rsid w:val="607A6C33"/>
    <w:rsid w:val="6098175A"/>
    <w:rsid w:val="60D32ED2"/>
    <w:rsid w:val="620D4BAF"/>
    <w:rsid w:val="658B0713"/>
    <w:rsid w:val="65F43E3F"/>
    <w:rsid w:val="668F652E"/>
    <w:rsid w:val="67D23610"/>
    <w:rsid w:val="69CA064C"/>
    <w:rsid w:val="69F05C67"/>
    <w:rsid w:val="6A9B71F6"/>
    <w:rsid w:val="6AE32E1B"/>
    <w:rsid w:val="6B482BE2"/>
    <w:rsid w:val="6B63067C"/>
    <w:rsid w:val="6E2062DB"/>
    <w:rsid w:val="6E6223E7"/>
    <w:rsid w:val="6F545612"/>
    <w:rsid w:val="6F5C6C7D"/>
    <w:rsid w:val="6FFC69A7"/>
    <w:rsid w:val="72C37B09"/>
    <w:rsid w:val="73856779"/>
    <w:rsid w:val="73EB44C0"/>
    <w:rsid w:val="74382DA2"/>
    <w:rsid w:val="744D4DE6"/>
    <w:rsid w:val="747F58E7"/>
    <w:rsid w:val="749654C4"/>
    <w:rsid w:val="780802FA"/>
    <w:rsid w:val="787B63C5"/>
    <w:rsid w:val="7B256B32"/>
    <w:rsid w:val="7CDB6103"/>
    <w:rsid w:val="7DAB141B"/>
    <w:rsid w:val="7EBB435B"/>
    <w:rsid w:val="7EE3769B"/>
    <w:rsid w:val="7EFBA3DF"/>
    <w:rsid w:val="EC9FCEDC"/>
    <w:rsid w:val="EF6DB041"/>
    <w:rsid w:val="EF7FF6B9"/>
    <w:rsid w:val="FBBD840E"/>
    <w:rsid w:val="FDFD10DA"/>
    <w:rsid w:val="FFB7ED2C"/>
    <w:rsid w:val="FFBFBE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0" w:semiHidden="0" w:name="table of figures"/>
    <w:lsdException w:uiPriority="0" w:name="envelope address"/>
    <w:lsdException w:uiPriority="0" w:name="envelope return"/>
    <w:lsdException w:qFormat="1"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6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5"/>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6"/>
    <w:qFormat/>
    <w:uiPriority w:val="9"/>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8"/>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0">
    <w:name w:val="Default Paragraph Font"/>
    <w:semiHidden/>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4"/>
    <w:qFormat/>
    <w:uiPriority w:val="0"/>
    <w:pPr>
      <w:tabs>
        <w:tab w:val="left" w:pos="567"/>
      </w:tabs>
      <w:spacing w:before="120" w:line="22" w:lineRule="atLeast"/>
    </w:pPr>
    <w:rPr>
      <w:rFonts w:ascii="宋体" w:hAnsi="宋体"/>
      <w:sz w:val="24"/>
    </w:rPr>
  </w:style>
  <w:style w:type="paragraph" w:styleId="6">
    <w:name w:val="Normal Indent"/>
    <w:basedOn w:val="1"/>
    <w:link w:val="63"/>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71"/>
    <w:qFormat/>
    <w:uiPriority w:val="0"/>
    <w:pPr>
      <w:shd w:val="clear" w:color="auto" w:fill="000080"/>
    </w:pPr>
  </w:style>
  <w:style w:type="paragraph" w:styleId="16">
    <w:name w:val="annotation text"/>
    <w:basedOn w:val="1"/>
    <w:link w:val="72"/>
    <w:qFormat/>
    <w:uiPriority w:val="0"/>
    <w:pPr>
      <w:jc w:val="left"/>
    </w:pPr>
  </w:style>
  <w:style w:type="paragraph" w:styleId="17">
    <w:name w:val="Body Text 3"/>
    <w:basedOn w:val="1"/>
    <w:link w:val="73"/>
    <w:qFormat/>
    <w:uiPriority w:val="99"/>
    <w:pPr>
      <w:spacing w:after="120"/>
    </w:pPr>
    <w:rPr>
      <w:sz w:val="16"/>
      <w:szCs w:val="16"/>
    </w:rPr>
  </w:style>
  <w:style w:type="paragraph" w:styleId="18">
    <w:name w:val="Body Text Indent"/>
    <w:basedOn w:val="1"/>
    <w:link w:val="75"/>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76"/>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7"/>
    <w:qFormat/>
    <w:uiPriority w:val="99"/>
    <w:pPr>
      <w:ind w:left="100" w:leftChars="2500"/>
    </w:pPr>
    <w:rPr>
      <w:rFonts w:ascii="仿宋_GB2312" w:hAnsi="宋体" w:eastAsia="仿宋_GB2312"/>
      <w:color w:val="000000"/>
      <w:sz w:val="24"/>
    </w:rPr>
  </w:style>
  <w:style w:type="paragraph" w:styleId="26">
    <w:name w:val="Body Text Indent 2"/>
    <w:basedOn w:val="1"/>
    <w:link w:val="78"/>
    <w:qFormat/>
    <w:uiPriority w:val="0"/>
    <w:pPr>
      <w:spacing w:line="360" w:lineRule="auto"/>
      <w:ind w:firstLine="560" w:firstLineChars="200"/>
    </w:pPr>
    <w:rPr>
      <w:rFonts w:ascii="宋体" w:hAnsi="宋体" w:eastAsia="仿宋_GB2312" w:cs="宋体"/>
      <w:sz w:val="28"/>
      <w:szCs w:val="28"/>
    </w:rPr>
  </w:style>
  <w:style w:type="paragraph" w:styleId="27">
    <w:name w:val="Balloon Text"/>
    <w:basedOn w:val="1"/>
    <w:link w:val="79"/>
    <w:qFormat/>
    <w:uiPriority w:val="99"/>
    <w:rPr>
      <w:sz w:val="18"/>
      <w:szCs w:val="18"/>
    </w:rPr>
  </w:style>
  <w:style w:type="paragraph" w:styleId="28">
    <w:name w:val="footer"/>
    <w:basedOn w:val="1"/>
    <w:link w:val="80"/>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List"/>
    <w:basedOn w:val="1"/>
    <w:unhideWhenUsed/>
    <w:qFormat/>
    <w:uiPriority w:val="0"/>
    <w:pPr>
      <w:ind w:left="200" w:hanging="200" w:hangingChars="200"/>
      <w:contextualSpacing/>
    </w:pPr>
  </w:style>
  <w:style w:type="paragraph" w:styleId="33">
    <w:name w:val="footnote text"/>
    <w:basedOn w:val="1"/>
    <w:link w:val="269"/>
    <w:qFormat/>
    <w:uiPriority w:val="0"/>
    <w:pPr>
      <w:suppressAutoHyphens/>
      <w:snapToGrid w:val="0"/>
      <w:jc w:val="left"/>
    </w:pPr>
    <w:rPr>
      <w:rFonts w:ascii="Calibri" w:hAnsi="Calibri" w:eastAsia="等线"/>
      <w:sz w:val="18"/>
      <w:szCs w:val="18"/>
    </w:rPr>
  </w:style>
  <w:style w:type="paragraph" w:styleId="34">
    <w:name w:val="toc 6"/>
    <w:basedOn w:val="1"/>
    <w:next w:val="1"/>
    <w:qFormat/>
    <w:uiPriority w:val="0"/>
    <w:pPr>
      <w:ind w:left="2100" w:leftChars="1000"/>
    </w:pPr>
  </w:style>
  <w:style w:type="paragraph" w:styleId="35">
    <w:name w:val="Body Text Indent 3"/>
    <w:basedOn w:val="1"/>
    <w:link w:val="8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able of figures"/>
    <w:basedOn w:val="1"/>
    <w:next w:val="1"/>
    <w:unhideWhenUsed/>
    <w:qFormat/>
    <w:uiPriority w:val="0"/>
    <w:pPr>
      <w:spacing w:line="360" w:lineRule="auto"/>
      <w:ind w:left="840" w:hanging="420"/>
    </w:pPr>
    <w:rPr>
      <w:kern w:val="0"/>
      <w:szCs w:val="20"/>
    </w:rPr>
  </w:style>
  <w:style w:type="paragraph" w:styleId="37">
    <w:name w:val="toc 2"/>
    <w:basedOn w:val="1"/>
    <w:next w:val="1"/>
    <w:qFormat/>
    <w:uiPriority w:val="39"/>
    <w:pPr>
      <w:tabs>
        <w:tab w:val="right" w:leader="dot" w:pos="8937"/>
      </w:tabs>
      <w:spacing w:line="312" w:lineRule="auto"/>
      <w:ind w:left="420" w:leftChars="200"/>
    </w:pPr>
  </w:style>
  <w:style w:type="paragraph" w:styleId="38">
    <w:name w:val="toc 9"/>
    <w:basedOn w:val="1"/>
    <w:next w:val="1"/>
    <w:qFormat/>
    <w:uiPriority w:val="0"/>
    <w:pPr>
      <w:ind w:left="3360" w:leftChars="1600"/>
    </w:pPr>
  </w:style>
  <w:style w:type="paragraph" w:styleId="39">
    <w:name w:val="Body Text 2"/>
    <w:basedOn w:val="1"/>
    <w:link w:val="272"/>
    <w:unhideWhenUsed/>
    <w:qFormat/>
    <w:uiPriority w:val="0"/>
    <w:pPr>
      <w:spacing w:after="120" w:line="480" w:lineRule="auto"/>
    </w:pPr>
  </w:style>
  <w:style w:type="paragraph" w:styleId="40">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rPr>
      <w:szCs w:val="20"/>
    </w:rPr>
  </w:style>
  <w:style w:type="paragraph" w:styleId="43">
    <w:name w:val="Title"/>
    <w:basedOn w:val="1"/>
    <w:link w:val="84"/>
    <w:qFormat/>
    <w:uiPriority w:val="0"/>
    <w:pPr>
      <w:jc w:val="center"/>
      <w:outlineLvl w:val="0"/>
    </w:pPr>
    <w:rPr>
      <w:b/>
      <w:sz w:val="32"/>
      <w:szCs w:val="20"/>
    </w:rPr>
  </w:style>
  <w:style w:type="paragraph" w:styleId="44">
    <w:name w:val="annotation subject"/>
    <w:basedOn w:val="16"/>
    <w:next w:val="16"/>
    <w:link w:val="85"/>
    <w:qFormat/>
    <w:uiPriority w:val="99"/>
    <w:rPr>
      <w:b/>
      <w:bCs/>
    </w:rPr>
  </w:style>
  <w:style w:type="paragraph" w:styleId="45">
    <w:name w:val="Body Text First Indent"/>
    <w:basedOn w:val="2"/>
    <w:link w:val="266"/>
    <w:unhideWhenUsed/>
    <w:qFormat/>
    <w:uiPriority w:val="0"/>
    <w:pPr>
      <w:spacing w:before="0" w:after="120" w:line="276" w:lineRule="auto"/>
    </w:pPr>
    <w:rPr>
      <w:rFonts w:ascii="Times New Roman" w:hAnsi="Times New Roman"/>
      <w:sz w:val="21"/>
    </w:rPr>
  </w:style>
  <w:style w:type="paragraph" w:styleId="46">
    <w:name w:val="Body Text First Indent 2"/>
    <w:basedOn w:val="18"/>
    <w:link w:val="87"/>
    <w:qFormat/>
    <w:uiPriority w:val="0"/>
    <w:pPr>
      <w:spacing w:after="120" w:line="480" w:lineRule="exact"/>
      <w:ind w:left="420" w:leftChars="200" w:firstLine="420" w:firstLineChars="200"/>
    </w:pPr>
    <w:rPr>
      <w:szCs w:val="20"/>
    </w:rPr>
  </w:style>
  <w:style w:type="table" w:styleId="48">
    <w:name w:val="Table Grid"/>
    <w:basedOn w:val="4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49">
    <w:name w:val="Medium Grid 1 Accent 2"/>
    <w:basedOn w:val="4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1">
    <w:name w:val="Strong"/>
    <w:qFormat/>
    <w:uiPriority w:val="0"/>
    <w:rPr>
      <w:b/>
      <w:bCs/>
    </w:rPr>
  </w:style>
  <w:style w:type="character" w:styleId="52">
    <w:name w:val="page number"/>
    <w:qFormat/>
    <w:uiPriority w:val="0"/>
  </w:style>
  <w:style w:type="character" w:styleId="53">
    <w:name w:val="FollowedHyperlink"/>
    <w:qFormat/>
    <w:uiPriority w:val="99"/>
    <w:rPr>
      <w:color w:val="800080"/>
      <w:u w:val="single"/>
    </w:rPr>
  </w:style>
  <w:style w:type="character" w:styleId="54">
    <w:name w:val="Emphasis"/>
    <w:qFormat/>
    <w:uiPriority w:val="0"/>
    <w:rPr>
      <w:color w:val="CC0033"/>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styleId="57">
    <w:name w:val="HTML Cite"/>
    <w:qFormat/>
    <w:uiPriority w:val="0"/>
    <w:rPr>
      <w:i/>
      <w:iCs/>
    </w:rPr>
  </w:style>
  <w:style w:type="character" w:styleId="58">
    <w:name w:val="footnote reference"/>
    <w:unhideWhenUsed/>
    <w:qFormat/>
    <w:uiPriority w:val="0"/>
    <w:rPr>
      <w:vertAlign w:val="superscript"/>
    </w:rPr>
  </w:style>
  <w:style w:type="paragraph" w:customStyle="1" w:styleId="59">
    <w:name w:val="1"/>
    <w:link w:val="201"/>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60">
    <w:name w:val="List Paragraph1"/>
    <w:basedOn w:val="1"/>
    <w:qFormat/>
    <w:uiPriority w:val="0"/>
    <w:pPr>
      <w:ind w:firstLine="420" w:firstLineChars="200"/>
    </w:pPr>
    <w:rPr>
      <w:rFonts w:ascii="Calibri" w:hAnsi="Calibri"/>
      <w:szCs w:val="22"/>
    </w:rPr>
  </w:style>
  <w:style w:type="character" w:customStyle="1" w:styleId="61">
    <w:name w:val="标题 1 字符"/>
    <w:link w:val="3"/>
    <w:qFormat/>
    <w:uiPriority w:val="0"/>
    <w:rPr>
      <w:rFonts w:ascii="宋体"/>
      <w:b/>
      <w:kern w:val="44"/>
      <w:sz w:val="32"/>
    </w:rPr>
  </w:style>
  <w:style w:type="character" w:customStyle="1" w:styleId="62">
    <w:name w:val="标题 2 字符"/>
    <w:link w:val="4"/>
    <w:qFormat/>
    <w:uiPriority w:val="0"/>
    <w:rPr>
      <w:rFonts w:ascii="Arial" w:hAnsi="Arial" w:eastAsia="黑体"/>
      <w:b/>
      <w:sz w:val="30"/>
      <w:lang w:val="en-US" w:eastAsia="zh-CN" w:bidi="ar-SA"/>
    </w:rPr>
  </w:style>
  <w:style w:type="character" w:customStyle="1" w:styleId="63">
    <w:name w:val="正文缩进 字符"/>
    <w:link w:val="6"/>
    <w:qFormat/>
    <w:uiPriority w:val="0"/>
    <w:rPr>
      <w:rFonts w:ascii="宋体" w:eastAsia="宋体"/>
      <w:kern w:val="2"/>
      <w:sz w:val="24"/>
      <w:szCs w:val="24"/>
      <w:lang w:val="en-US" w:eastAsia="zh-CN" w:bidi="ar-SA"/>
    </w:rPr>
  </w:style>
  <w:style w:type="character" w:customStyle="1" w:styleId="64">
    <w:name w:val="标题 3 字符"/>
    <w:link w:val="5"/>
    <w:qFormat/>
    <w:uiPriority w:val="0"/>
    <w:rPr>
      <w:rFonts w:ascii="宋体" w:eastAsia="宋体"/>
      <w:b/>
      <w:sz w:val="24"/>
      <w:u w:val="single"/>
      <w:lang w:val="en-US" w:eastAsia="zh-CN" w:bidi="ar-SA"/>
    </w:rPr>
  </w:style>
  <w:style w:type="character" w:customStyle="1" w:styleId="65">
    <w:name w:val="标题 4 字符"/>
    <w:link w:val="7"/>
    <w:qFormat/>
    <w:uiPriority w:val="0"/>
    <w:rPr>
      <w:rFonts w:ascii="Arial" w:hAnsi="Arial" w:eastAsia="黑体"/>
      <w:b/>
      <w:sz w:val="28"/>
    </w:rPr>
  </w:style>
  <w:style w:type="character" w:customStyle="1" w:styleId="66">
    <w:name w:val="标题 5 字符"/>
    <w:link w:val="8"/>
    <w:qFormat/>
    <w:uiPriority w:val="0"/>
    <w:rPr>
      <w:b/>
      <w:sz w:val="28"/>
    </w:rPr>
  </w:style>
  <w:style w:type="character" w:customStyle="1" w:styleId="67">
    <w:name w:val="标题 6 字符"/>
    <w:link w:val="9"/>
    <w:qFormat/>
    <w:uiPriority w:val="0"/>
    <w:rPr>
      <w:rFonts w:ascii="Arial" w:hAnsi="Arial" w:eastAsia="黑体"/>
      <w:b/>
      <w:sz w:val="24"/>
    </w:rPr>
  </w:style>
  <w:style w:type="character" w:customStyle="1" w:styleId="68">
    <w:name w:val="标题 7 字符"/>
    <w:link w:val="10"/>
    <w:qFormat/>
    <w:uiPriority w:val="0"/>
    <w:rPr>
      <w:b/>
      <w:sz w:val="24"/>
    </w:rPr>
  </w:style>
  <w:style w:type="character" w:customStyle="1" w:styleId="69">
    <w:name w:val="标题 8 字符"/>
    <w:link w:val="11"/>
    <w:qFormat/>
    <w:uiPriority w:val="0"/>
    <w:rPr>
      <w:rFonts w:ascii="Arial" w:hAnsi="Arial" w:eastAsia="黑体"/>
      <w:sz w:val="24"/>
    </w:rPr>
  </w:style>
  <w:style w:type="character" w:customStyle="1" w:styleId="70">
    <w:name w:val="标题 9 字符"/>
    <w:link w:val="12"/>
    <w:qFormat/>
    <w:uiPriority w:val="0"/>
    <w:rPr>
      <w:rFonts w:ascii="Arial" w:hAnsi="Arial" w:eastAsia="黑体"/>
      <w:sz w:val="21"/>
    </w:rPr>
  </w:style>
  <w:style w:type="character" w:customStyle="1" w:styleId="71">
    <w:name w:val="文档结构图 字符"/>
    <w:link w:val="15"/>
    <w:qFormat/>
    <w:uiPriority w:val="0"/>
    <w:rPr>
      <w:kern w:val="2"/>
      <w:sz w:val="21"/>
      <w:szCs w:val="24"/>
      <w:shd w:val="clear" w:color="auto" w:fill="000080"/>
    </w:rPr>
  </w:style>
  <w:style w:type="character" w:customStyle="1" w:styleId="72">
    <w:name w:val="批注文字 字符1"/>
    <w:link w:val="16"/>
    <w:qFormat/>
    <w:uiPriority w:val="99"/>
    <w:rPr>
      <w:kern w:val="2"/>
      <w:sz w:val="21"/>
      <w:szCs w:val="24"/>
    </w:rPr>
  </w:style>
  <w:style w:type="character" w:customStyle="1" w:styleId="73">
    <w:name w:val="正文文本 3 字符"/>
    <w:link w:val="17"/>
    <w:qFormat/>
    <w:uiPriority w:val="0"/>
    <w:rPr>
      <w:kern w:val="2"/>
      <w:sz w:val="16"/>
      <w:szCs w:val="16"/>
    </w:rPr>
  </w:style>
  <w:style w:type="character" w:customStyle="1" w:styleId="74">
    <w:name w:val="正文文本 字符"/>
    <w:link w:val="2"/>
    <w:qFormat/>
    <w:uiPriority w:val="99"/>
    <w:rPr>
      <w:rFonts w:ascii="宋体" w:hAnsi="宋体"/>
      <w:kern w:val="2"/>
      <w:sz w:val="24"/>
      <w:szCs w:val="24"/>
    </w:rPr>
  </w:style>
  <w:style w:type="character" w:customStyle="1" w:styleId="75">
    <w:name w:val="正文文本缩进 字符"/>
    <w:link w:val="18"/>
    <w:qFormat/>
    <w:uiPriority w:val="0"/>
    <w:rPr>
      <w:rFonts w:eastAsia="宋体"/>
      <w:kern w:val="2"/>
      <w:sz w:val="24"/>
      <w:szCs w:val="24"/>
      <w:lang w:val="en-US" w:eastAsia="zh-CN" w:bidi="ar-SA"/>
    </w:rPr>
  </w:style>
  <w:style w:type="character" w:customStyle="1" w:styleId="76">
    <w:name w:val="纯文本 字符2"/>
    <w:link w:val="23"/>
    <w:qFormat/>
    <w:uiPriority w:val="0"/>
    <w:rPr>
      <w:rFonts w:hint="eastAsia" w:ascii="宋体" w:hAnsi="Courier New" w:eastAsia="宋体" w:cs="宋体"/>
      <w:kern w:val="2"/>
      <w:sz w:val="21"/>
    </w:rPr>
  </w:style>
  <w:style w:type="character" w:customStyle="1" w:styleId="77">
    <w:name w:val="日期 字符"/>
    <w:link w:val="25"/>
    <w:qFormat/>
    <w:uiPriority w:val="99"/>
    <w:rPr>
      <w:rFonts w:ascii="仿宋_GB2312" w:hAnsi="宋体" w:eastAsia="仿宋_GB2312"/>
      <w:color w:val="000000"/>
      <w:kern w:val="2"/>
      <w:sz w:val="24"/>
      <w:szCs w:val="24"/>
    </w:rPr>
  </w:style>
  <w:style w:type="character" w:customStyle="1" w:styleId="78">
    <w:name w:val="正文文本缩进 2 字符"/>
    <w:link w:val="26"/>
    <w:qFormat/>
    <w:uiPriority w:val="0"/>
    <w:rPr>
      <w:rFonts w:ascii="宋体" w:hAnsi="宋体" w:eastAsia="仿宋_GB2312" w:cs="宋体"/>
      <w:kern w:val="2"/>
      <w:sz w:val="28"/>
      <w:szCs w:val="28"/>
    </w:rPr>
  </w:style>
  <w:style w:type="character" w:customStyle="1" w:styleId="79">
    <w:name w:val="批注框文本 字符1"/>
    <w:link w:val="27"/>
    <w:qFormat/>
    <w:uiPriority w:val="99"/>
    <w:rPr>
      <w:kern w:val="2"/>
      <w:sz w:val="18"/>
      <w:szCs w:val="18"/>
    </w:rPr>
  </w:style>
  <w:style w:type="character" w:customStyle="1" w:styleId="80">
    <w:name w:val="页脚 字符1"/>
    <w:link w:val="28"/>
    <w:qFormat/>
    <w:uiPriority w:val="99"/>
    <w:rPr>
      <w:rFonts w:ascii="宋体" w:eastAsia="宋体"/>
      <w:sz w:val="18"/>
      <w:lang w:val="en-US" w:eastAsia="zh-CN" w:bidi="ar-SA"/>
    </w:rPr>
  </w:style>
  <w:style w:type="character" w:customStyle="1" w:styleId="81">
    <w:name w:val="页眉 字符1"/>
    <w:link w:val="29"/>
    <w:qFormat/>
    <w:uiPriority w:val="0"/>
    <w:rPr>
      <w:rFonts w:eastAsia="宋体"/>
      <w:kern w:val="2"/>
      <w:sz w:val="18"/>
      <w:szCs w:val="18"/>
      <w:lang w:val="en-US" w:eastAsia="zh-CN" w:bidi="ar-SA"/>
    </w:rPr>
  </w:style>
  <w:style w:type="character" w:customStyle="1" w:styleId="82">
    <w:name w:val="正文文本缩进 3 字符"/>
    <w:link w:val="35"/>
    <w:qFormat/>
    <w:uiPriority w:val="0"/>
    <w:rPr>
      <w:rFonts w:ascii="宋体"/>
      <w:sz w:val="24"/>
    </w:rPr>
  </w:style>
  <w:style w:type="character" w:customStyle="1" w:styleId="83">
    <w:name w:val="HTML 预设格式 字符"/>
    <w:link w:val="40"/>
    <w:qFormat/>
    <w:uiPriority w:val="0"/>
    <w:rPr>
      <w:rFonts w:ascii="宋体" w:hAnsi="宋体" w:cs="宋体"/>
      <w:sz w:val="24"/>
      <w:szCs w:val="24"/>
    </w:rPr>
  </w:style>
  <w:style w:type="character" w:customStyle="1" w:styleId="84">
    <w:name w:val="标题 字符"/>
    <w:link w:val="43"/>
    <w:qFormat/>
    <w:uiPriority w:val="0"/>
    <w:rPr>
      <w:b/>
      <w:kern w:val="2"/>
      <w:sz w:val="32"/>
    </w:rPr>
  </w:style>
  <w:style w:type="character" w:customStyle="1" w:styleId="85">
    <w:name w:val="批注主题 字符"/>
    <w:link w:val="44"/>
    <w:qFormat/>
    <w:uiPriority w:val="99"/>
    <w:rPr>
      <w:rFonts w:ascii="Times New Roman" w:hAnsi="Times New Roman" w:eastAsia="宋体" w:cs="Times New Roman"/>
      <w:b/>
      <w:bCs/>
      <w:kern w:val="2"/>
      <w:sz w:val="21"/>
      <w:szCs w:val="24"/>
      <w:lang w:val="en-US" w:eastAsia="zh-CN" w:bidi="ar-SA"/>
    </w:rPr>
  </w:style>
  <w:style w:type="character" w:customStyle="1" w:styleId="86">
    <w:name w:val="批注文字 字符"/>
    <w:qFormat/>
    <w:uiPriority w:val="99"/>
    <w:rPr>
      <w:rFonts w:ascii="Times New Roman" w:hAnsi="Times New Roman" w:eastAsia="宋体" w:cs="Times New Roman"/>
      <w:sz w:val="24"/>
      <w:lang w:val="en-US" w:eastAsia="zh-CN" w:bidi="ar-SA"/>
    </w:rPr>
  </w:style>
  <w:style w:type="character" w:customStyle="1" w:styleId="87">
    <w:name w:val="正文文本首行缩进 2 字符"/>
    <w:link w:val="46"/>
    <w:qFormat/>
    <w:uiPriority w:val="0"/>
    <w:rPr>
      <w:rFonts w:eastAsia="宋体"/>
      <w:kern w:val="2"/>
      <w:sz w:val="24"/>
      <w:szCs w:val="24"/>
      <w:lang w:val="en-US" w:eastAsia="zh-CN" w:bidi="ar-SA"/>
    </w:rPr>
  </w:style>
  <w:style w:type="character" w:customStyle="1" w:styleId="88">
    <w:name w:val="c21"/>
    <w:qFormat/>
    <w:uiPriority w:val="0"/>
    <w:rPr>
      <w:rFonts w:hint="default" w:ascii="ˎ̥" w:hAnsi="ˎ̥"/>
      <w:color w:val="000000"/>
      <w:sz w:val="20"/>
      <w:szCs w:val="20"/>
      <w:u w:val="none"/>
    </w:rPr>
  </w:style>
  <w:style w:type="character" w:customStyle="1" w:styleId="89">
    <w:name w:val="title4"/>
    <w:qFormat/>
    <w:uiPriority w:val="0"/>
    <w:rPr>
      <w:b/>
      <w:bCs/>
      <w:color w:val="1D87B3"/>
      <w:sz w:val="15"/>
      <w:szCs w:val="15"/>
    </w:rPr>
  </w:style>
  <w:style w:type="character" w:customStyle="1" w:styleId="90">
    <w:name w:val="标题 2 Char Char"/>
    <w:qFormat/>
    <w:uiPriority w:val="0"/>
    <w:rPr>
      <w:rFonts w:ascii="Arial" w:hAnsi="Arial" w:eastAsia="黑体"/>
      <w:b/>
      <w:bCs/>
      <w:kern w:val="2"/>
      <w:sz w:val="32"/>
      <w:szCs w:val="32"/>
      <w:lang w:val="en-US" w:eastAsia="zh-CN" w:bidi="ar-SA"/>
    </w:rPr>
  </w:style>
  <w:style w:type="character" w:customStyle="1" w:styleId="91">
    <w:name w:val="black1"/>
    <w:qFormat/>
    <w:uiPriority w:val="0"/>
    <w:rPr>
      <w:color w:val="000000"/>
    </w:rPr>
  </w:style>
  <w:style w:type="character" w:customStyle="1" w:styleId="92">
    <w:name w:val="street-address"/>
    <w:qFormat/>
    <w:uiPriority w:val="0"/>
  </w:style>
  <w:style w:type="character" w:customStyle="1" w:styleId="93">
    <w:name w:val="locality"/>
    <w:qFormat/>
    <w:uiPriority w:val="0"/>
  </w:style>
  <w:style w:type="character" w:customStyle="1" w:styleId="94">
    <w:name w:val="正文文本缩进 Char1"/>
    <w:link w:val="95"/>
    <w:qFormat/>
    <w:uiPriority w:val="0"/>
    <w:rPr>
      <w:rFonts w:ascii="宋体" w:hAnsi="宋体" w:eastAsia="宋体"/>
      <w:sz w:val="24"/>
      <w:szCs w:val="24"/>
      <w:lang w:bidi="ar-SA"/>
    </w:rPr>
  </w:style>
  <w:style w:type="paragraph" w:customStyle="1" w:styleId="95">
    <w:name w:val="正文文本缩进1"/>
    <w:basedOn w:val="1"/>
    <w:link w:val="94"/>
    <w:qFormat/>
    <w:uiPriority w:val="0"/>
    <w:pPr>
      <w:spacing w:line="480" w:lineRule="exact"/>
      <w:ind w:firstLine="480" w:firstLineChars="200"/>
    </w:pPr>
    <w:rPr>
      <w:rFonts w:ascii="宋体" w:hAnsi="宋体"/>
      <w:kern w:val="0"/>
      <w:sz w:val="24"/>
    </w:rPr>
  </w:style>
  <w:style w:type="character" w:customStyle="1" w:styleId="96">
    <w:name w:val="Char Char11"/>
    <w:qFormat/>
    <w:uiPriority w:val="0"/>
    <w:rPr>
      <w:rFonts w:ascii="宋体" w:eastAsia="宋体"/>
      <w:b/>
      <w:sz w:val="24"/>
      <w:u w:val="single"/>
      <w:lang w:val="en-US" w:eastAsia="zh-CN" w:bidi="ar-SA"/>
    </w:rPr>
  </w:style>
  <w:style w:type="character" w:customStyle="1" w:styleId="97">
    <w:name w:val="txt"/>
    <w:qFormat/>
    <w:uiPriority w:val="0"/>
  </w:style>
  <w:style w:type="character" w:customStyle="1" w:styleId="98">
    <w:name w:val="正文缩进 Char Char"/>
    <w:link w:val="99"/>
    <w:qFormat/>
    <w:uiPriority w:val="0"/>
    <w:rPr>
      <w:rFonts w:ascii="宋体" w:eastAsia="宋体"/>
      <w:snapToGrid w:val="0"/>
      <w:color w:val="000000"/>
      <w:kern w:val="28"/>
      <w:sz w:val="28"/>
      <w:lang w:bidi="ar-SA"/>
    </w:rPr>
  </w:style>
  <w:style w:type="paragraph" w:customStyle="1" w:styleId="99">
    <w:name w:val="正文缩进1"/>
    <w:basedOn w:val="1"/>
    <w:link w:val="9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0">
    <w:name w:val="普通文字1 Char1"/>
    <w:qFormat/>
    <w:uiPriority w:val="0"/>
    <w:rPr>
      <w:rFonts w:ascii="宋体" w:hAnsi="Courier New" w:eastAsia="宋体"/>
      <w:kern w:val="2"/>
      <w:sz w:val="21"/>
      <w:lang w:val="en-US" w:eastAsia="zh-CN" w:bidi="ar-SA"/>
    </w:rPr>
  </w:style>
  <w:style w:type="character" w:customStyle="1" w:styleId="101">
    <w:name w:val="chanpin1"/>
    <w:qFormat/>
    <w:uiPriority w:val="0"/>
    <w:rPr>
      <w:rFonts w:hint="default" w:ascii="ˎ̥" w:hAnsi="ˎ̥"/>
      <w:color w:val="000000"/>
      <w:sz w:val="20"/>
      <w:szCs w:val="20"/>
      <w:u w:val="none"/>
    </w:rPr>
  </w:style>
  <w:style w:type="character" w:customStyle="1" w:styleId="102">
    <w:name w:val="列表段落 字符"/>
    <w:link w:val="103"/>
    <w:qFormat/>
    <w:uiPriority w:val="34"/>
    <w:rPr>
      <w:rFonts w:ascii="宋体" w:hAnsi="宋体"/>
      <w:b/>
      <w:kern w:val="2"/>
      <w:sz w:val="28"/>
      <w:szCs w:val="28"/>
    </w:rPr>
  </w:style>
  <w:style w:type="paragraph" w:customStyle="1" w:styleId="103">
    <w:name w:val="列表段落1"/>
    <w:basedOn w:val="1"/>
    <w:link w:val="102"/>
    <w:qFormat/>
    <w:uiPriority w:val="34"/>
    <w:pPr>
      <w:spacing w:line="500" w:lineRule="exact"/>
      <w:ind w:firstLine="562" w:firstLineChars="200"/>
      <w:contextualSpacing/>
    </w:pPr>
    <w:rPr>
      <w:rFonts w:ascii="宋体" w:hAnsi="宋体"/>
      <w:b/>
      <w:sz w:val="28"/>
      <w:szCs w:val="28"/>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段1 Char"/>
    <w:qFormat/>
    <w:uiPriority w:val="0"/>
    <w:rPr>
      <w:rFonts w:ascii="宋体" w:eastAsia="宋体"/>
      <w:sz w:val="24"/>
      <w:lang w:val="en-US" w:eastAsia="zh-CN" w:bidi="ar-SA"/>
    </w:rPr>
  </w:style>
  <w:style w:type="character" w:customStyle="1" w:styleId="106">
    <w:name w:val="chanpin拷贝"/>
    <w:qFormat/>
    <w:uiPriority w:val="0"/>
  </w:style>
  <w:style w:type="character" w:customStyle="1" w:styleId="107">
    <w:name w:val="纯文本 Char1"/>
    <w:qFormat/>
    <w:uiPriority w:val="0"/>
    <w:rPr>
      <w:rFonts w:ascii="宋体" w:hAnsi="Courier New" w:eastAsia="宋体"/>
      <w:kern w:val="2"/>
      <w:sz w:val="21"/>
      <w:lang w:val="en-US" w:eastAsia="zh-CN" w:bidi="ar-SA"/>
    </w:rPr>
  </w:style>
  <w:style w:type="character" w:customStyle="1" w:styleId="108">
    <w:name w:val="apple-style-span"/>
    <w:qFormat/>
    <w:uiPriority w:val="0"/>
    <w:rPr>
      <w:rFonts w:cs="Times New Roman"/>
    </w:rPr>
  </w:style>
  <w:style w:type="paragraph" w:customStyle="1" w:styleId="109">
    <w:name w:val="二级条标题"/>
    <w:basedOn w:val="110"/>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10">
    <w:name w:val="一级条标题"/>
    <w:basedOn w:val="111"/>
    <w:next w:val="1"/>
    <w:qFormat/>
    <w:uiPriority w:val="0"/>
    <w:pPr>
      <w:numPr>
        <w:ilvl w:val="1"/>
      </w:numPr>
      <w:tabs>
        <w:tab w:val="left" w:pos="360"/>
        <w:tab w:val="left" w:pos="840"/>
      </w:tabs>
      <w:ind w:left="0" w:hanging="840"/>
      <w:outlineLvl w:val="1"/>
    </w:pPr>
  </w:style>
  <w:style w:type="paragraph" w:customStyle="1" w:styleId="111">
    <w:name w:val="章标题"/>
    <w:next w:val="1"/>
    <w:qFormat/>
    <w:uiPriority w:val="0"/>
    <w:pPr>
      <w:numPr>
        <w:ilvl w:val="0"/>
        <w:numId w:val="1"/>
      </w:numPr>
      <w:spacing w:beforeLines="50" w:after="16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3">
    <w:name w:val="字元 字元"/>
    <w:basedOn w:val="1"/>
    <w:qFormat/>
    <w:uiPriority w:val="0"/>
    <w:rPr>
      <w:rFonts w:ascii="Tahoma" w:hAnsi="Tahoma"/>
      <w:sz w:val="24"/>
      <w:szCs w:val="20"/>
    </w:rPr>
  </w:style>
  <w:style w:type="paragraph" w:customStyle="1" w:styleId="114">
    <w:name w:val="Char3 Char Char Char"/>
    <w:basedOn w:val="1"/>
    <w:qFormat/>
    <w:uiPriority w:val="0"/>
    <w:rPr>
      <w:rFonts w:ascii="Tahoma" w:hAnsi="Tahoma"/>
      <w:sz w:val="24"/>
      <w:szCs w:val="20"/>
    </w:rPr>
  </w:style>
  <w:style w:type="paragraph" w:customStyle="1" w:styleId="11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6">
    <w:name w:val="项目编号2"/>
    <w:basedOn w:val="117"/>
    <w:qFormat/>
    <w:uiPriority w:val="0"/>
    <w:pPr>
      <w:numPr>
        <w:numId w:val="2"/>
      </w:numPr>
    </w:pPr>
  </w:style>
  <w:style w:type="paragraph" w:customStyle="1" w:styleId="11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8">
    <w:name w:val="图中文字"/>
    <w:basedOn w:val="1"/>
    <w:qFormat/>
    <w:uiPriority w:val="0"/>
    <w:pPr>
      <w:adjustRightInd w:val="0"/>
      <w:snapToGrid w:val="0"/>
      <w:spacing w:line="0" w:lineRule="atLeast"/>
      <w:jc w:val="center"/>
    </w:pPr>
    <w:rPr>
      <w:sz w:val="24"/>
      <w:szCs w:val="20"/>
    </w:rPr>
  </w:style>
  <w:style w:type="paragraph" w:customStyle="1" w:styleId="11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1">
    <w:name w:val="Char2"/>
    <w:basedOn w:val="1"/>
    <w:qFormat/>
    <w:uiPriority w:val="0"/>
    <w:rPr>
      <w:rFonts w:ascii="Tahoma" w:hAnsi="Tahoma"/>
      <w:sz w:val="24"/>
      <w:szCs w:val="20"/>
    </w:rPr>
  </w:style>
  <w:style w:type="paragraph" w:customStyle="1" w:styleId="12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5">
    <w:name w:val="font8"/>
    <w:basedOn w:val="1"/>
    <w:qFormat/>
    <w:uiPriority w:val="0"/>
    <w:pPr>
      <w:widowControl/>
      <w:spacing w:before="100" w:beforeAutospacing="1" w:after="100" w:afterAutospacing="1"/>
      <w:jc w:val="left"/>
    </w:pPr>
    <w:rPr>
      <w:kern w:val="0"/>
      <w:sz w:val="36"/>
      <w:szCs w:val="36"/>
    </w:rPr>
  </w:style>
  <w:style w:type="paragraph" w:customStyle="1" w:styleId="136">
    <w:name w:val="Char"/>
    <w:basedOn w:val="1"/>
    <w:qFormat/>
    <w:uiPriority w:val="0"/>
    <w:pPr>
      <w:tabs>
        <w:tab w:val="left" w:pos="360"/>
      </w:tabs>
    </w:pPr>
    <w:rPr>
      <w:sz w:val="24"/>
    </w:rPr>
  </w:style>
  <w:style w:type="paragraph" w:customStyle="1" w:styleId="137">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3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9">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40">
    <w:name w:val="Char Char1"/>
    <w:basedOn w:val="15"/>
    <w:qFormat/>
    <w:uiPriority w:val="0"/>
    <w:rPr>
      <w:rFonts w:ascii="Tahoma" w:hAnsi="Tahoma"/>
      <w:sz w:val="24"/>
    </w:rPr>
  </w:style>
  <w:style w:type="paragraph" w:customStyle="1" w:styleId="1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5">
    <w:name w:val="Char1 Char Char Char1"/>
    <w:basedOn w:val="1"/>
    <w:qFormat/>
    <w:uiPriority w:val="0"/>
    <w:rPr>
      <w:rFonts w:ascii="Tahoma" w:hAnsi="Tahoma" w:cs="仿宋_GB2312"/>
      <w:sz w:val="24"/>
      <w:szCs w:val="28"/>
    </w:rPr>
  </w:style>
  <w:style w:type="paragraph" w:customStyle="1" w:styleId="146">
    <w:name w:val="四级条标题"/>
    <w:basedOn w:val="147"/>
    <w:next w:val="1"/>
    <w:qFormat/>
    <w:uiPriority w:val="0"/>
    <w:pPr>
      <w:numPr>
        <w:ilvl w:val="4"/>
      </w:numPr>
      <w:tabs>
        <w:tab w:val="left" w:pos="360"/>
        <w:tab w:val="left" w:pos="840"/>
      </w:tabs>
      <w:ind w:left="0" w:hanging="840"/>
      <w:outlineLvl w:val="4"/>
    </w:pPr>
  </w:style>
  <w:style w:type="paragraph" w:customStyle="1" w:styleId="147">
    <w:name w:val="三级条标题"/>
    <w:basedOn w:val="109"/>
    <w:next w:val="1"/>
    <w:qFormat/>
    <w:uiPriority w:val="0"/>
    <w:pPr>
      <w:numPr>
        <w:ilvl w:val="3"/>
        <w:numId w:val="1"/>
      </w:numPr>
      <w:ind w:left="0" w:hanging="840"/>
      <w:outlineLvl w:val="3"/>
    </w:pPr>
  </w:style>
  <w:style w:type="paragraph" w:customStyle="1" w:styleId="148">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49">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0">
    <w:name w:val="项目符号1"/>
    <w:basedOn w:val="151"/>
    <w:qFormat/>
    <w:uiPriority w:val="0"/>
    <w:pPr>
      <w:ind w:left="-25" w:firstLine="0"/>
    </w:pPr>
  </w:style>
  <w:style w:type="paragraph" w:customStyle="1" w:styleId="151">
    <w:name w:val="正文文本样式"/>
    <w:basedOn w:val="1"/>
    <w:qFormat/>
    <w:uiPriority w:val="0"/>
    <w:pPr>
      <w:spacing w:line="360" w:lineRule="auto"/>
      <w:ind w:firstLine="482"/>
    </w:pPr>
    <w:rPr>
      <w:rFonts w:cs="宋体"/>
      <w:sz w:val="24"/>
      <w:szCs w:val="20"/>
    </w:rPr>
  </w:style>
  <w:style w:type="paragraph" w:customStyle="1" w:styleId="15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6"/>
    <w:next w:val="1"/>
    <w:qFormat/>
    <w:uiPriority w:val="0"/>
    <w:pPr>
      <w:numPr>
        <w:ilvl w:val="5"/>
      </w:numPr>
      <w:ind w:left="0" w:hanging="840"/>
      <w:outlineLvl w:val="5"/>
    </w:p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qFormat/>
    <w:uiPriority w:val="0"/>
    <w:pPr>
      <w:snapToGrid w:val="0"/>
      <w:spacing w:before="120" w:after="120" w:line="180" w:lineRule="auto"/>
    </w:pPr>
    <w:rPr>
      <w:rFonts w:ascii="Arial" w:hAnsi="Arial"/>
      <w:szCs w:val="20"/>
    </w:rPr>
  </w:style>
  <w:style w:type="paragraph" w:customStyle="1" w:styleId="15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qFormat/>
    <w:uiPriority w:val="0"/>
    <w:rPr>
      <w:rFonts w:ascii="Tahoma" w:hAnsi="Tahoma"/>
      <w:sz w:val="24"/>
      <w:szCs w:val="20"/>
    </w:rPr>
  </w:style>
  <w:style w:type="paragraph" w:customStyle="1" w:styleId="16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qFormat/>
    <w:uiPriority w:val="0"/>
    <w:pPr>
      <w:numPr>
        <w:ilvl w:val="0"/>
        <w:numId w:val="5"/>
      </w:numPr>
      <w:spacing w:before="120"/>
    </w:pPr>
    <w:rPr>
      <w:rFonts w:ascii="宋体"/>
      <w:sz w:val="28"/>
      <w:szCs w:val="20"/>
    </w:rPr>
  </w:style>
  <w:style w:type="paragraph" w:customStyle="1" w:styleId="16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qFormat/>
    <w:uiPriority w:val="0"/>
    <w:rPr>
      <w:rFonts w:ascii="Tahoma" w:hAnsi="Tahoma"/>
      <w:sz w:val="24"/>
      <w:szCs w:val="20"/>
    </w:rPr>
  </w:style>
  <w:style w:type="paragraph" w:customStyle="1" w:styleId="164">
    <w:name w:val="Char Char Char Char Char Char Char Char Char Char"/>
    <w:basedOn w:val="1"/>
    <w:qFormat/>
    <w:uiPriority w:val="0"/>
  </w:style>
  <w:style w:type="paragraph" w:customStyle="1" w:styleId="165">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66">
    <w:name w:val="Char1"/>
    <w:basedOn w:val="1"/>
    <w:qFormat/>
    <w:uiPriority w:val="0"/>
    <w:pPr>
      <w:tabs>
        <w:tab w:val="left" w:pos="360"/>
      </w:tabs>
    </w:pPr>
    <w:rPr>
      <w:sz w:val="24"/>
    </w:rPr>
  </w:style>
  <w:style w:type="paragraph" w:customStyle="1" w:styleId="167">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qFormat/>
    <w:uiPriority w:val="0"/>
    <w:rPr>
      <w:rFonts w:ascii="Tahoma" w:hAnsi="Tahoma"/>
      <w:sz w:val="24"/>
      <w:szCs w:val="20"/>
    </w:rPr>
  </w:style>
  <w:style w:type="paragraph" w:customStyle="1" w:styleId="17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qFormat/>
    <w:uiPriority w:val="0"/>
    <w:pPr>
      <w:autoSpaceDE w:val="0"/>
      <w:autoSpaceDN w:val="0"/>
      <w:adjustRightInd w:val="0"/>
      <w:jc w:val="left"/>
    </w:pPr>
    <w:rPr>
      <w:kern w:val="0"/>
      <w:sz w:val="24"/>
    </w:rPr>
  </w:style>
  <w:style w:type="paragraph" w:customStyle="1" w:styleId="177">
    <w:name w:val="Char Char Char1"/>
    <w:basedOn w:val="1"/>
    <w:qFormat/>
    <w:uiPriority w:val="0"/>
    <w:rPr>
      <w:rFonts w:ascii="Tahoma" w:hAnsi="Tahoma"/>
      <w:sz w:val="24"/>
      <w:szCs w:val="20"/>
    </w:rPr>
  </w:style>
  <w:style w:type="paragraph" w:customStyle="1" w:styleId="17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42"/>
    <w:qFormat/>
    <w:uiPriority w:val="0"/>
    <w:pPr>
      <w:spacing w:line="360" w:lineRule="auto"/>
      <w:jc w:val="center"/>
    </w:pPr>
    <w:rPr>
      <w:sz w:val="24"/>
    </w:rPr>
  </w:style>
  <w:style w:type="paragraph" w:customStyle="1" w:styleId="18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qFormat/>
    <w:uiPriority w:val="0"/>
    <w:pPr>
      <w:widowControl/>
      <w:jc w:val="left"/>
    </w:pPr>
    <w:rPr>
      <w:rFonts w:ascii="楷体_GB2312" w:eastAsia="楷体_GB2312" w:cs="Arial"/>
      <w:kern w:val="0"/>
      <w:sz w:val="24"/>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qFormat/>
    <w:uiPriority w:val="0"/>
    <w:rPr>
      <w:rFonts w:ascii="Tahoma" w:hAnsi="Tahoma"/>
      <w:sz w:val="24"/>
      <w:szCs w:val="20"/>
    </w:rPr>
  </w:style>
  <w:style w:type="paragraph" w:customStyle="1" w:styleId="186">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87">
    <w:name w:val="列出段落1"/>
    <w:basedOn w:val="1"/>
    <w:link w:val="282"/>
    <w:qFormat/>
    <w:uiPriority w:val="0"/>
    <w:pPr>
      <w:spacing w:line="360" w:lineRule="auto"/>
      <w:ind w:firstLine="562" w:firstLineChars="200"/>
    </w:pPr>
    <w:rPr>
      <w:rFonts w:ascii="宋体" w:hAnsi="宋体"/>
      <w:b/>
      <w:sz w:val="28"/>
      <w:szCs w:val="28"/>
    </w:rPr>
  </w:style>
  <w:style w:type="paragraph" w:customStyle="1" w:styleId="18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
    <w:name w:val="字元 字元1"/>
    <w:basedOn w:val="1"/>
    <w:qFormat/>
    <w:uiPriority w:val="0"/>
    <w:rPr>
      <w:rFonts w:ascii="Tahoma" w:hAnsi="Tahoma"/>
      <w:sz w:val="24"/>
      <w:szCs w:val="20"/>
    </w:rPr>
  </w:style>
  <w:style w:type="paragraph" w:customStyle="1" w:styleId="190">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91">
    <w:name w:val="项目编号3"/>
    <w:basedOn w:val="151"/>
    <w:qFormat/>
    <w:uiPriority w:val="0"/>
    <w:pPr>
      <w:numPr>
        <w:ilvl w:val="0"/>
        <w:numId w:val="6"/>
      </w:numPr>
    </w:pPr>
  </w:style>
  <w:style w:type="paragraph" w:customStyle="1" w:styleId="192">
    <w:name w:val="Char21"/>
    <w:basedOn w:val="1"/>
    <w:qFormat/>
    <w:uiPriority w:val="0"/>
    <w:rPr>
      <w:rFonts w:ascii="Tahoma" w:hAnsi="Tahoma"/>
      <w:sz w:val="24"/>
      <w:szCs w:val="20"/>
    </w:rPr>
  </w:style>
  <w:style w:type="paragraph" w:customStyle="1" w:styleId="193">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94">
    <w:name w:val="Char Char Char Char Char Char Char Char Char Char1"/>
    <w:basedOn w:val="1"/>
    <w:qFormat/>
    <w:uiPriority w:val="0"/>
    <w:rPr>
      <w:rFonts w:ascii="宋体" w:hAnsi="宋体" w:cs="Courier New"/>
      <w:sz w:val="32"/>
      <w:szCs w:val="32"/>
    </w:rPr>
  </w:style>
  <w:style w:type="paragraph" w:customStyle="1" w:styleId="195">
    <w:name w:val="正文文本样式 加粗"/>
    <w:basedOn w:val="151"/>
    <w:qFormat/>
    <w:uiPriority w:val="0"/>
    <w:rPr>
      <w:b/>
    </w:rPr>
  </w:style>
  <w:style w:type="paragraph" w:customStyle="1" w:styleId="196">
    <w:name w:val="Char2 Char Char Char Char Char Char"/>
    <w:basedOn w:val="1"/>
    <w:qFormat/>
    <w:uiPriority w:val="0"/>
    <w:pPr>
      <w:widowControl/>
      <w:spacing w:line="400" w:lineRule="exact"/>
      <w:jc w:val="center"/>
    </w:pPr>
  </w:style>
  <w:style w:type="paragraph" w:customStyle="1" w:styleId="197">
    <w:name w:val="Char Char4"/>
    <w:basedOn w:val="1"/>
    <w:qFormat/>
    <w:uiPriority w:val="0"/>
    <w:pPr>
      <w:widowControl/>
      <w:spacing w:line="400" w:lineRule="exact"/>
      <w:jc w:val="center"/>
    </w:pPr>
  </w:style>
  <w:style w:type="paragraph" w:customStyle="1" w:styleId="198">
    <w:name w:val="Char3 Char Char Char1"/>
    <w:basedOn w:val="1"/>
    <w:qFormat/>
    <w:uiPriority w:val="0"/>
    <w:rPr>
      <w:rFonts w:ascii="Tahoma" w:hAnsi="Tahoma"/>
      <w:sz w:val="24"/>
      <w:szCs w:val="20"/>
    </w:rPr>
  </w:style>
  <w:style w:type="paragraph" w:customStyle="1" w:styleId="199">
    <w:name w:val="无间隔1"/>
    <w:link w:val="258"/>
    <w:qFormat/>
    <w:uiPriority w:val="99"/>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0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1">
    <w:name w:val="中等深浅网格 1 - 强调文字颜色 2 Char"/>
    <w:link w:val="59"/>
    <w:qFormat/>
    <w:uiPriority w:val="0"/>
    <w:rPr>
      <w:kern w:val="2"/>
      <w:sz w:val="21"/>
      <w:szCs w:val="24"/>
      <w:lang w:val="zh-CN" w:eastAsia="zh-CN"/>
    </w:rPr>
  </w:style>
  <w:style w:type="paragraph" w:customStyle="1" w:styleId="202">
    <w:name w:val="图文"/>
    <w:basedOn w:val="1"/>
    <w:qFormat/>
    <w:uiPriority w:val="0"/>
    <w:pPr>
      <w:adjustRightInd w:val="0"/>
      <w:snapToGrid w:val="0"/>
      <w:spacing w:after="50" w:line="360" w:lineRule="auto"/>
    </w:pPr>
    <w:rPr>
      <w:sz w:val="24"/>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正文表格"/>
    <w:basedOn w:val="1"/>
    <w:link w:val="205"/>
    <w:qFormat/>
    <w:uiPriority w:val="0"/>
    <w:pPr>
      <w:adjustRightInd w:val="0"/>
      <w:snapToGrid w:val="0"/>
      <w:jc w:val="left"/>
    </w:pPr>
    <w:rPr>
      <w:rFonts w:ascii="宋体" w:hAnsi="宋体"/>
      <w:color w:val="000000"/>
      <w:szCs w:val="21"/>
    </w:rPr>
  </w:style>
  <w:style w:type="character" w:customStyle="1" w:styleId="205">
    <w:name w:val="正文表格 Char"/>
    <w:link w:val="204"/>
    <w:qFormat/>
    <w:uiPriority w:val="0"/>
    <w:rPr>
      <w:rFonts w:ascii="宋体" w:hAnsi="宋体"/>
      <w:color w:val="000000"/>
      <w:kern w:val="2"/>
      <w:sz w:val="21"/>
      <w:szCs w:val="21"/>
    </w:rPr>
  </w:style>
  <w:style w:type="paragraph" w:customStyle="1" w:styleId="206">
    <w:name w:val="正文重点"/>
    <w:basedOn w:val="1"/>
    <w:link w:val="207"/>
    <w:qFormat/>
    <w:uiPriority w:val="0"/>
    <w:pPr>
      <w:adjustRightInd w:val="0"/>
      <w:spacing w:line="360" w:lineRule="auto"/>
      <w:ind w:firstLine="482" w:firstLineChars="200"/>
      <w:jc w:val="left"/>
      <w:textAlignment w:val="baseline"/>
    </w:pPr>
    <w:rPr>
      <w:b/>
      <w:kern w:val="0"/>
      <w:sz w:val="24"/>
      <w:szCs w:val="20"/>
    </w:rPr>
  </w:style>
  <w:style w:type="character" w:customStyle="1" w:styleId="207">
    <w:name w:val="正文重点 Char"/>
    <w:link w:val="206"/>
    <w:qFormat/>
    <w:uiPriority w:val="0"/>
    <w:rPr>
      <w:b/>
      <w:sz w:val="24"/>
    </w:rPr>
  </w:style>
  <w:style w:type="paragraph" w:customStyle="1" w:styleId="208">
    <w:name w:val="标题1-附件"/>
    <w:basedOn w:val="3"/>
    <w:qFormat/>
    <w:uiPriority w:val="0"/>
    <w:pPr>
      <w:jc w:val="left"/>
    </w:pPr>
    <w:rPr>
      <w:sz w:val="24"/>
      <w:szCs w:val="24"/>
    </w:rPr>
  </w:style>
  <w:style w:type="paragraph" w:customStyle="1" w:styleId="209">
    <w:name w:val="正文小标题"/>
    <w:basedOn w:val="1"/>
    <w:next w:val="6"/>
    <w:link w:val="210"/>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10">
    <w:name w:val="正文小标题 Char"/>
    <w:link w:val="209"/>
    <w:qFormat/>
    <w:uiPriority w:val="0"/>
    <w:rPr>
      <w:rFonts w:ascii="宋体" w:hAnsi="宋体"/>
      <w:b/>
      <w:i/>
      <w:color w:val="FF0000"/>
      <w:kern w:val="2"/>
      <w:sz w:val="24"/>
    </w:rPr>
  </w:style>
  <w:style w:type="paragraph" w:customStyle="1" w:styleId="211">
    <w:name w:val="正文大标题"/>
    <w:basedOn w:val="209"/>
    <w:next w:val="6"/>
    <w:link w:val="212"/>
    <w:qFormat/>
    <w:uiPriority w:val="0"/>
    <w:pPr>
      <w:jc w:val="center"/>
    </w:pPr>
    <w:rPr>
      <w:i w:val="0"/>
      <w:color w:val="000000"/>
      <w:sz w:val="28"/>
      <w:szCs w:val="21"/>
    </w:rPr>
  </w:style>
  <w:style w:type="character" w:customStyle="1" w:styleId="212">
    <w:name w:val="正文大标题 Char"/>
    <w:link w:val="211"/>
    <w:qFormat/>
    <w:uiPriority w:val="0"/>
    <w:rPr>
      <w:rFonts w:ascii="宋体" w:hAnsi="宋体"/>
      <w:b/>
      <w:color w:val="000000"/>
      <w:kern w:val="2"/>
      <w:sz w:val="28"/>
      <w:szCs w:val="21"/>
    </w:rPr>
  </w:style>
  <w:style w:type="paragraph" w:customStyle="1" w:styleId="213">
    <w:name w:val="注释"/>
    <w:basedOn w:val="1"/>
    <w:link w:val="214"/>
    <w:qFormat/>
    <w:uiPriority w:val="0"/>
    <w:pPr>
      <w:adjustRightInd w:val="0"/>
      <w:snapToGrid w:val="0"/>
      <w:ind w:left="420" w:hanging="420" w:hangingChars="200"/>
      <w:jc w:val="left"/>
    </w:pPr>
    <w:rPr>
      <w:rFonts w:ascii="宋体" w:hAnsi="宋体"/>
      <w:szCs w:val="21"/>
    </w:rPr>
  </w:style>
  <w:style w:type="character" w:customStyle="1" w:styleId="214">
    <w:name w:val="注释 Char"/>
    <w:link w:val="213"/>
    <w:qFormat/>
    <w:uiPriority w:val="0"/>
    <w:rPr>
      <w:rFonts w:ascii="宋体" w:hAnsi="宋体"/>
      <w:kern w:val="2"/>
      <w:sz w:val="21"/>
      <w:szCs w:val="21"/>
    </w:rPr>
  </w:style>
  <w:style w:type="paragraph" w:customStyle="1" w:styleId="21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8">
    <w:name w:val="纯文本 字符"/>
    <w:qFormat/>
    <w:uiPriority w:val="99"/>
    <w:rPr>
      <w:rFonts w:ascii="宋体" w:hAnsi="Courier New" w:eastAsia="宋体" w:cs="Times New Roman"/>
      <w:kern w:val="2"/>
      <w:sz w:val="21"/>
      <w:szCs w:val="21"/>
      <w:lang w:val="en-US" w:eastAsia="zh-CN" w:bidi="ar-SA"/>
    </w:rPr>
  </w:style>
  <w:style w:type="paragraph" w:customStyle="1" w:styleId="219">
    <w:name w:val="表格1"/>
    <w:basedOn w:val="1"/>
    <w:qFormat/>
    <w:uiPriority w:val="0"/>
    <w:pPr>
      <w:ind w:firstLine="480" w:firstLineChars="200"/>
      <w:jc w:val="center"/>
    </w:pPr>
    <w:rPr>
      <w:sz w:val="24"/>
      <w:szCs w:val="20"/>
    </w:rPr>
  </w:style>
  <w:style w:type="character" w:customStyle="1" w:styleId="220">
    <w:name w:val="纯文本 字符1"/>
    <w:qFormat/>
    <w:uiPriority w:val="0"/>
    <w:rPr>
      <w:rFonts w:ascii="宋体" w:hAnsi="Courier New"/>
    </w:rPr>
  </w:style>
  <w:style w:type="character" w:customStyle="1" w:styleId="221">
    <w:name w:val="bjh-p"/>
    <w:qFormat/>
    <w:uiPriority w:val="0"/>
  </w:style>
  <w:style w:type="paragraph" w:customStyle="1" w:styleId="222">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23">
    <w:name w:val="正文格式 Char"/>
    <w:link w:val="224"/>
    <w:qFormat/>
    <w:locked/>
    <w:uiPriority w:val="0"/>
    <w:rPr>
      <w:rFonts w:ascii="宋体" w:hAnsi="宋体"/>
      <w:sz w:val="24"/>
      <w:szCs w:val="24"/>
      <w:lang w:val="en-GB"/>
    </w:rPr>
  </w:style>
  <w:style w:type="paragraph" w:customStyle="1" w:styleId="224">
    <w:name w:val="正文格式"/>
    <w:basedOn w:val="1"/>
    <w:link w:val="223"/>
    <w:qFormat/>
    <w:uiPriority w:val="0"/>
    <w:pPr>
      <w:spacing w:beforeLines="50" w:line="360" w:lineRule="auto"/>
      <w:ind w:firstLine="480" w:firstLineChars="200"/>
    </w:pPr>
    <w:rPr>
      <w:rFonts w:ascii="宋体" w:hAnsi="宋体"/>
      <w:kern w:val="0"/>
      <w:sz w:val="24"/>
      <w:lang w:val="en-GB"/>
    </w:rPr>
  </w:style>
  <w:style w:type="character" w:customStyle="1" w:styleId="225">
    <w:name w:val="标题 3 Char"/>
    <w:qFormat/>
    <w:uiPriority w:val="0"/>
    <w:rPr>
      <w:rFonts w:ascii="宋体" w:eastAsia="宋体"/>
      <w:b/>
      <w:sz w:val="24"/>
      <w:u w:val="single"/>
      <w:lang w:val="en-US" w:eastAsia="zh-CN" w:bidi="ar-SA"/>
    </w:rPr>
  </w:style>
  <w:style w:type="character" w:customStyle="1" w:styleId="226">
    <w:name w:val="正文缩进 Char"/>
    <w:qFormat/>
    <w:uiPriority w:val="0"/>
    <w:rPr>
      <w:rFonts w:ascii="宋体" w:eastAsia="宋体"/>
      <w:kern w:val="2"/>
      <w:sz w:val="24"/>
      <w:szCs w:val="24"/>
      <w:lang w:val="en-US" w:eastAsia="zh-CN" w:bidi="ar-SA"/>
    </w:rPr>
  </w:style>
  <w:style w:type="character" w:customStyle="1" w:styleId="227">
    <w:name w:val="Char Char111"/>
    <w:qFormat/>
    <w:uiPriority w:val="0"/>
    <w:rPr>
      <w:rFonts w:ascii="宋体" w:eastAsia="宋体"/>
      <w:b/>
      <w:sz w:val="24"/>
      <w:u w:val="single"/>
      <w:lang w:val="en-US" w:eastAsia="zh-CN" w:bidi="ar-SA"/>
    </w:rPr>
  </w:style>
  <w:style w:type="character" w:customStyle="1" w:styleId="228">
    <w:name w:val="正文文本缩进 Char"/>
    <w:qFormat/>
    <w:uiPriority w:val="0"/>
    <w:rPr>
      <w:rFonts w:eastAsia="宋体"/>
      <w:kern w:val="2"/>
      <w:sz w:val="24"/>
      <w:szCs w:val="24"/>
      <w:lang w:val="en-US" w:eastAsia="zh-CN" w:bidi="ar-SA"/>
    </w:rPr>
  </w:style>
  <w:style w:type="character" w:customStyle="1" w:styleId="229">
    <w:name w:val="列出段落 Char"/>
    <w:qFormat/>
    <w:uiPriority w:val="34"/>
    <w:rPr>
      <w:rFonts w:ascii="Calibri" w:hAnsi="Calibri" w:eastAsia="宋体"/>
      <w:kern w:val="2"/>
      <w:sz w:val="21"/>
      <w:szCs w:val="22"/>
      <w:lang w:val="en-US" w:eastAsia="zh-CN" w:bidi="ar-SA"/>
    </w:rPr>
  </w:style>
  <w:style w:type="character" w:customStyle="1" w:styleId="230">
    <w:name w:val="页眉 Char"/>
    <w:qFormat/>
    <w:uiPriority w:val="0"/>
    <w:rPr>
      <w:rFonts w:eastAsia="宋体"/>
      <w:kern w:val="2"/>
      <w:sz w:val="18"/>
      <w:szCs w:val="18"/>
      <w:lang w:val="en-US" w:eastAsia="zh-CN" w:bidi="ar-SA"/>
    </w:rPr>
  </w:style>
  <w:style w:type="character" w:customStyle="1" w:styleId="231">
    <w:name w:val="标题 2 Char"/>
    <w:qFormat/>
    <w:uiPriority w:val="0"/>
    <w:rPr>
      <w:rFonts w:ascii="Arial" w:hAnsi="Arial" w:eastAsia="黑体"/>
      <w:b/>
      <w:sz w:val="30"/>
      <w:lang w:val="en-US" w:eastAsia="zh-CN" w:bidi="ar-SA"/>
    </w:rPr>
  </w:style>
  <w:style w:type="paragraph" w:customStyle="1" w:styleId="232">
    <w:name w:val="字元 字元2"/>
    <w:basedOn w:val="1"/>
    <w:qFormat/>
    <w:uiPriority w:val="0"/>
    <w:rPr>
      <w:rFonts w:ascii="Tahoma" w:hAnsi="Tahoma"/>
      <w:sz w:val="24"/>
      <w:szCs w:val="20"/>
    </w:rPr>
  </w:style>
  <w:style w:type="paragraph" w:customStyle="1" w:styleId="233">
    <w:name w:val="Char3 Char Char Char2"/>
    <w:basedOn w:val="1"/>
    <w:qFormat/>
    <w:uiPriority w:val="0"/>
    <w:rPr>
      <w:rFonts w:ascii="Tahoma" w:hAnsi="Tahoma"/>
      <w:sz w:val="24"/>
      <w:szCs w:val="20"/>
    </w:rPr>
  </w:style>
  <w:style w:type="paragraph" w:customStyle="1" w:styleId="23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5">
    <w:name w:val="Char3"/>
    <w:basedOn w:val="1"/>
    <w:qFormat/>
    <w:uiPriority w:val="0"/>
    <w:pPr>
      <w:tabs>
        <w:tab w:val="left" w:pos="360"/>
      </w:tabs>
    </w:pPr>
    <w:rPr>
      <w:sz w:val="24"/>
    </w:rPr>
  </w:style>
  <w:style w:type="paragraph" w:customStyle="1" w:styleId="236">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37">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38">
    <w:name w:val="列出段落2"/>
    <w:basedOn w:val="1"/>
    <w:qFormat/>
    <w:uiPriority w:val="99"/>
    <w:pPr>
      <w:ind w:firstLine="420" w:firstLineChars="200"/>
    </w:pPr>
    <w:rPr>
      <w:rFonts w:ascii="Calibri" w:hAnsi="Calibri"/>
      <w:szCs w:val="22"/>
    </w:rPr>
  </w:style>
  <w:style w:type="paragraph" w:customStyle="1" w:styleId="239">
    <w:name w:val="Char Char Char1 Char2"/>
    <w:basedOn w:val="1"/>
    <w:qFormat/>
    <w:uiPriority w:val="0"/>
    <w:rPr>
      <w:rFonts w:ascii="Tahoma" w:hAnsi="Tahoma"/>
      <w:sz w:val="24"/>
      <w:szCs w:val="20"/>
    </w:rPr>
  </w:style>
  <w:style w:type="paragraph" w:customStyle="1" w:styleId="240">
    <w:name w:val="Char Char Char2"/>
    <w:basedOn w:val="1"/>
    <w:qFormat/>
    <w:uiPriority w:val="0"/>
    <w:rPr>
      <w:rFonts w:ascii="Tahoma" w:hAnsi="Tahoma"/>
      <w:sz w:val="24"/>
      <w:szCs w:val="20"/>
    </w:rPr>
  </w:style>
  <w:style w:type="paragraph" w:customStyle="1" w:styleId="24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44">
    <w:name w:val="Char22"/>
    <w:basedOn w:val="1"/>
    <w:qFormat/>
    <w:uiPriority w:val="0"/>
    <w:rPr>
      <w:rFonts w:ascii="Tahoma" w:hAnsi="Tahoma"/>
      <w:sz w:val="24"/>
      <w:szCs w:val="20"/>
    </w:rPr>
  </w:style>
  <w:style w:type="paragraph" w:customStyle="1" w:styleId="245">
    <w:name w:val="Char Char Char Char Char Char Char Char Char Char2"/>
    <w:basedOn w:val="1"/>
    <w:qFormat/>
    <w:uiPriority w:val="0"/>
    <w:rPr>
      <w:rFonts w:ascii="宋体" w:hAnsi="宋体" w:cs="Courier New"/>
      <w:sz w:val="32"/>
      <w:szCs w:val="32"/>
    </w:rPr>
  </w:style>
  <w:style w:type="paragraph" w:customStyle="1" w:styleId="246">
    <w:name w:val="Char2 Char Char Char Char Char Char1"/>
    <w:basedOn w:val="1"/>
    <w:qFormat/>
    <w:uiPriority w:val="0"/>
    <w:pPr>
      <w:widowControl/>
      <w:spacing w:line="400" w:lineRule="exact"/>
      <w:jc w:val="center"/>
    </w:pPr>
  </w:style>
  <w:style w:type="character" w:customStyle="1" w:styleId="247">
    <w:name w:val="页脚 Char"/>
    <w:qFormat/>
    <w:uiPriority w:val="0"/>
    <w:rPr>
      <w:rFonts w:ascii="宋体" w:eastAsia="宋体"/>
      <w:sz w:val="18"/>
      <w:lang w:val="en-US" w:eastAsia="zh-CN" w:bidi="ar-SA"/>
    </w:rPr>
  </w:style>
  <w:style w:type="paragraph" w:customStyle="1" w:styleId="248">
    <w:name w:val="Char Char41"/>
    <w:basedOn w:val="1"/>
    <w:qFormat/>
    <w:uiPriority w:val="0"/>
    <w:pPr>
      <w:widowControl/>
      <w:spacing w:line="400" w:lineRule="exact"/>
      <w:jc w:val="center"/>
    </w:pPr>
  </w:style>
  <w:style w:type="character" w:customStyle="1" w:styleId="249">
    <w:name w:val="批注文字 Char"/>
    <w:qFormat/>
    <w:uiPriority w:val="0"/>
    <w:rPr>
      <w:kern w:val="2"/>
      <w:sz w:val="21"/>
      <w:szCs w:val="24"/>
    </w:rPr>
  </w:style>
  <w:style w:type="character" w:customStyle="1" w:styleId="250">
    <w:name w:val="标题 Char"/>
    <w:qFormat/>
    <w:uiPriority w:val="0"/>
    <w:rPr>
      <w:b/>
      <w:kern w:val="2"/>
      <w:sz w:val="32"/>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table" w:customStyle="1" w:styleId="252">
    <w:name w:val="Table Normal"/>
    <w:unhideWhenUsed/>
    <w:qFormat/>
    <w:uiPriority w:val="2"/>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3">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4">
    <w:name w:val="content-right_8zs40"/>
    <w:qFormat/>
    <w:uiPriority w:val="0"/>
  </w:style>
  <w:style w:type="character" w:customStyle="1" w:styleId="255">
    <w:name w:val="批注框文本 字符"/>
    <w:qFormat/>
    <w:uiPriority w:val="99"/>
    <w:rPr>
      <w:rFonts w:ascii="等线" w:hAnsi="等线" w:eastAsia="宋体" w:cs="Times New Roman"/>
      <w:kern w:val="2"/>
      <w:sz w:val="18"/>
      <w:szCs w:val="18"/>
      <w:lang w:val="en-US" w:eastAsia="zh-CN" w:bidi="ar-SA"/>
    </w:rPr>
  </w:style>
  <w:style w:type="paragraph" w:customStyle="1" w:styleId="256">
    <w:name w:val="功能点标示1"/>
    <w:basedOn w:val="1"/>
    <w:qFormat/>
    <w:uiPriority w:val="0"/>
    <w:pPr>
      <w:numPr>
        <w:ilvl w:val="0"/>
        <w:numId w:val="8"/>
      </w:numPr>
      <w:spacing w:line="360" w:lineRule="auto"/>
      <w:jc w:val="left"/>
    </w:pPr>
    <w:rPr>
      <w:rFonts w:ascii="等线" w:hAnsi="等线" w:eastAsia="等线"/>
      <w:sz w:val="24"/>
    </w:rPr>
  </w:style>
  <w:style w:type="character" w:customStyle="1" w:styleId="257">
    <w:name w:val="Ò³Ã¼ Char Char"/>
    <w:qFormat/>
    <w:uiPriority w:val="0"/>
    <w:rPr>
      <w:sz w:val="18"/>
      <w:szCs w:val="18"/>
    </w:rPr>
  </w:style>
  <w:style w:type="character" w:customStyle="1" w:styleId="258">
    <w:name w:val="无间隔 字符"/>
    <w:link w:val="199"/>
    <w:qFormat/>
    <w:uiPriority w:val="1"/>
    <w:rPr>
      <w:kern w:val="2"/>
      <w:sz w:val="21"/>
      <w:szCs w:val="24"/>
    </w:rPr>
  </w:style>
  <w:style w:type="character" w:customStyle="1" w:styleId="259">
    <w:name w:val="页脚 字符"/>
    <w:qFormat/>
    <w:uiPriority w:val="99"/>
    <w:rPr>
      <w:rFonts w:ascii="宋体" w:eastAsia="宋体"/>
      <w:sz w:val="18"/>
      <w:lang w:val="en-US" w:eastAsia="zh-CN" w:bidi="ar-SA"/>
    </w:rPr>
  </w:style>
  <w:style w:type="character" w:customStyle="1" w:styleId="260">
    <w:name w:val="List Paragraph Char"/>
    <w:link w:val="261"/>
    <w:qFormat/>
    <w:locked/>
    <w:uiPriority w:val="0"/>
    <w:rPr>
      <w:kern w:val="2"/>
      <w:sz w:val="21"/>
      <w:szCs w:val="21"/>
    </w:rPr>
  </w:style>
  <w:style w:type="paragraph" w:customStyle="1" w:styleId="261">
    <w:name w:val="列出段落3"/>
    <w:basedOn w:val="1"/>
    <w:link w:val="260"/>
    <w:qFormat/>
    <w:uiPriority w:val="0"/>
    <w:pPr>
      <w:ind w:firstLine="420" w:firstLineChars="200"/>
    </w:pPr>
    <w:rPr>
      <w:szCs w:val="21"/>
    </w:rPr>
  </w:style>
  <w:style w:type="paragraph" w:customStyle="1" w:styleId="262">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63">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264">
    <w:name w:val="页眉 字符"/>
    <w:qFormat/>
    <w:uiPriority w:val="99"/>
    <w:rPr>
      <w:rFonts w:eastAsia="宋体"/>
      <w:kern w:val="2"/>
      <w:sz w:val="18"/>
      <w:szCs w:val="18"/>
      <w:lang w:val="en-US" w:eastAsia="zh-CN" w:bidi="ar-SA"/>
    </w:rPr>
  </w:style>
  <w:style w:type="character" w:customStyle="1" w:styleId="265">
    <w:name w:val="标题 2 Char1"/>
    <w:qFormat/>
    <w:uiPriority w:val="0"/>
    <w:rPr>
      <w:rFonts w:ascii="Arial" w:hAnsi="Arial" w:eastAsia="黑体"/>
      <w:b/>
      <w:sz w:val="30"/>
      <w:lang w:val="en-US" w:eastAsia="zh-CN" w:bidi="ar-SA"/>
    </w:rPr>
  </w:style>
  <w:style w:type="character" w:customStyle="1" w:styleId="266">
    <w:name w:val="正文文本首行缩进 字符"/>
    <w:basedOn w:val="74"/>
    <w:link w:val="45"/>
    <w:qFormat/>
    <w:uiPriority w:val="0"/>
    <w:rPr>
      <w:rFonts w:ascii="宋体" w:hAnsi="宋体"/>
      <w:kern w:val="2"/>
      <w:sz w:val="21"/>
      <w:szCs w:val="24"/>
    </w:rPr>
  </w:style>
  <w:style w:type="paragraph" w:customStyle="1" w:styleId="267">
    <w:name w:val="样式 首行缩进:  2 字符"/>
    <w:basedOn w:val="1"/>
    <w:link w:val="268"/>
    <w:qFormat/>
    <w:uiPriority w:val="0"/>
    <w:pPr>
      <w:spacing w:line="360" w:lineRule="auto"/>
      <w:ind w:firstLine="480" w:firstLineChars="200"/>
    </w:pPr>
    <w:rPr>
      <w:rFonts w:cs="宋体"/>
      <w:sz w:val="28"/>
      <w:szCs w:val="20"/>
    </w:rPr>
  </w:style>
  <w:style w:type="character" w:customStyle="1" w:styleId="268">
    <w:name w:val="样式 首行缩进:  2 字符 Char"/>
    <w:link w:val="267"/>
    <w:qFormat/>
    <w:locked/>
    <w:uiPriority w:val="0"/>
    <w:rPr>
      <w:rFonts w:cs="宋体"/>
      <w:kern w:val="2"/>
      <w:sz w:val="28"/>
    </w:rPr>
  </w:style>
  <w:style w:type="character" w:customStyle="1" w:styleId="269">
    <w:name w:val="脚注文本 字符"/>
    <w:basedOn w:val="50"/>
    <w:link w:val="33"/>
    <w:qFormat/>
    <w:uiPriority w:val="99"/>
    <w:rPr>
      <w:rFonts w:ascii="Calibri" w:hAnsi="Calibri" w:eastAsia="等线"/>
      <w:kern w:val="2"/>
      <w:sz w:val="18"/>
      <w:szCs w:val="18"/>
    </w:rPr>
  </w:style>
  <w:style w:type="paragraph" w:customStyle="1" w:styleId="270">
    <w:name w:val="MM Topic 1"/>
    <w:basedOn w:val="3"/>
    <w:qFormat/>
    <w:uiPriority w:val="0"/>
    <w:pPr>
      <w:suppressAutoHyphens/>
    </w:pPr>
    <w:rPr>
      <w:rFonts w:hAnsi="Calibri"/>
    </w:rPr>
  </w:style>
  <w:style w:type="paragraph" w:customStyle="1" w:styleId="271">
    <w:name w:val="修订4"/>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272">
    <w:name w:val="正文文本 2 字符"/>
    <w:basedOn w:val="50"/>
    <w:link w:val="39"/>
    <w:qFormat/>
    <w:uiPriority w:val="0"/>
    <w:rPr>
      <w:kern w:val="2"/>
      <w:sz w:val="21"/>
      <w:szCs w:val="24"/>
    </w:rPr>
  </w:style>
  <w:style w:type="character" w:customStyle="1" w:styleId="273">
    <w:name w:val="标题 1 Char"/>
    <w:qFormat/>
    <w:uiPriority w:val="0"/>
    <w:rPr>
      <w:rFonts w:ascii="Times New Roman" w:hAnsi="Times New Roman" w:eastAsia="宋体" w:cs="Times New Roman"/>
      <w:b/>
      <w:bCs/>
      <w:kern w:val="44"/>
      <w:sz w:val="44"/>
      <w:szCs w:val="44"/>
    </w:rPr>
  </w:style>
  <w:style w:type="character" w:customStyle="1" w:styleId="274">
    <w:name w:val="正文文本缩进 2 Char"/>
    <w:qFormat/>
    <w:uiPriority w:val="0"/>
    <w:rPr>
      <w:rFonts w:ascii="宋体" w:hAnsi="Times New Roman" w:eastAsia="宋体" w:cs="Times New Roman"/>
      <w:kern w:val="0"/>
      <w:sz w:val="24"/>
      <w:szCs w:val="20"/>
    </w:rPr>
  </w:style>
  <w:style w:type="paragraph" w:customStyle="1" w:styleId="275">
    <w:name w:val="_Style 272"/>
    <w:basedOn w:val="1"/>
    <w:next w:val="1"/>
    <w:qFormat/>
    <w:uiPriority w:val="0"/>
    <w:pPr>
      <w:ind w:left="840" w:leftChars="400"/>
    </w:pPr>
    <w:rPr>
      <w:szCs w:val="20"/>
    </w:rPr>
  </w:style>
  <w:style w:type="character" w:customStyle="1" w:styleId="276">
    <w:name w:val="批注框文本 Char"/>
    <w:semiHidden/>
    <w:qFormat/>
    <w:uiPriority w:val="0"/>
    <w:rPr>
      <w:rFonts w:ascii="Times New Roman" w:hAnsi="Times New Roman" w:eastAsia="宋体" w:cs="Times New Roman"/>
      <w:sz w:val="18"/>
      <w:szCs w:val="18"/>
    </w:rPr>
  </w:style>
  <w:style w:type="character" w:customStyle="1" w:styleId="277">
    <w:name w:val="正文文本 Char"/>
    <w:qFormat/>
    <w:uiPriority w:val="0"/>
    <w:rPr>
      <w:rFonts w:ascii="Times New Roman" w:hAnsi="Times New Roman" w:eastAsia="宋体" w:cs="Times New Roman"/>
      <w:szCs w:val="20"/>
    </w:rPr>
  </w:style>
  <w:style w:type="character" w:customStyle="1" w:styleId="278">
    <w:name w:val="脚注文本 Char"/>
    <w:qFormat/>
    <w:uiPriority w:val="0"/>
    <w:rPr>
      <w:rFonts w:ascii="Times New Roman" w:hAnsi="Times New Roman" w:eastAsia="宋体" w:cs="Times New Roman"/>
      <w:sz w:val="18"/>
      <w:szCs w:val="18"/>
    </w:rPr>
  </w:style>
  <w:style w:type="character" w:customStyle="1" w:styleId="279">
    <w:name w:val="正文文本 2 Char"/>
    <w:qFormat/>
    <w:uiPriority w:val="0"/>
    <w:rPr>
      <w:rFonts w:ascii="Times New Roman" w:hAnsi="Times New Roman" w:eastAsia="宋体" w:cs="Times New Roman"/>
      <w:kern w:val="0"/>
      <w:szCs w:val="20"/>
    </w:rPr>
  </w:style>
  <w:style w:type="character" w:customStyle="1" w:styleId="280">
    <w:name w:val="批注主题 Char"/>
    <w:qFormat/>
    <w:uiPriority w:val="0"/>
    <w:rPr>
      <w:rFonts w:ascii="Times New Roman" w:hAnsi="Times New Roman" w:eastAsia="宋体" w:cs="Times New Roman"/>
      <w:b/>
      <w:bCs/>
      <w:szCs w:val="20"/>
    </w:rPr>
  </w:style>
  <w:style w:type="paragraph" w:customStyle="1" w:styleId="281">
    <w:name w:val="修订5"/>
    <w:hidden/>
    <w:semiHidden/>
    <w:qFormat/>
    <w:uiPriority w:val="99"/>
    <w:pPr>
      <w:spacing w:after="160" w:line="278" w:lineRule="auto"/>
    </w:pPr>
    <w:rPr>
      <w:rFonts w:ascii="Times New Roman" w:hAnsi="Times New Roman" w:eastAsia="宋体" w:cs="Times New Roman"/>
      <w:kern w:val="2"/>
      <w:sz w:val="21"/>
      <w:lang w:val="en-US" w:eastAsia="zh-CN" w:bidi="ar-SA"/>
    </w:rPr>
  </w:style>
  <w:style w:type="character" w:customStyle="1" w:styleId="282">
    <w:name w:val="列出段落 Char1"/>
    <w:link w:val="187"/>
    <w:qFormat/>
    <w:uiPriority w:val="34"/>
    <w:rPr>
      <w:rFonts w:ascii="宋体" w:hAnsi="宋体"/>
      <w:b/>
      <w:kern w:val="2"/>
      <w:sz w:val="28"/>
      <w:szCs w:val="28"/>
    </w:rPr>
  </w:style>
  <w:style w:type="paragraph" w:customStyle="1" w:styleId="283">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4">
    <w:name w:val="修订7"/>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5">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6">
    <w:name w:val="修订9"/>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7">
    <w:name w:val="修订10"/>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288">
    <w:name w:val="List Paragraph"/>
    <w:basedOn w:val="1"/>
    <w:unhideWhenUsed/>
    <w:qFormat/>
    <w:uiPriority w:val="34"/>
    <w:pPr>
      <w:ind w:firstLine="420" w:firstLineChars="200"/>
    </w:pPr>
  </w:style>
  <w:style w:type="character" w:customStyle="1" w:styleId="289">
    <w:name w:val="NormalCharacter"/>
    <w:semiHidden/>
    <w:qFormat/>
    <w:uiPriority w:val="0"/>
  </w:style>
  <w:style w:type="paragraph" w:customStyle="1" w:styleId="290">
    <w:name w:val="修订1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91">
    <w:name w:val="样式1"/>
    <w:basedOn w:val="1"/>
    <w:next w:val="1"/>
    <w:qFormat/>
    <w:uiPriority w:val="0"/>
    <w:pPr>
      <w:tabs>
        <w:tab w:val="left" w:pos="720"/>
      </w:tabs>
      <w:adjustRightInd w:val="0"/>
      <w:spacing w:after="0" w:line="240" w:lineRule="auto"/>
      <w:ind w:left="720" w:hanging="720"/>
      <w:textAlignment w:val="baseline"/>
    </w:pPr>
    <w:rPr>
      <w:rFonts w:ascii="宋体" w:hAnsi="宋体"/>
      <w:kern w:val="0"/>
      <w:szCs w:val="21"/>
    </w:rPr>
  </w:style>
  <w:style w:type="character" w:customStyle="1" w:styleId="292">
    <w:name w:val="纯文本 Char"/>
    <w:basedOn w:val="50"/>
    <w:qFormat/>
    <w:uiPriority w:val="0"/>
    <w:rPr>
      <w:rFonts w:ascii="宋体" w:hAnsi="Courier New" w:eastAsia="宋体" w:cs="Courier New"/>
      <w:szCs w:val="21"/>
    </w:rPr>
  </w:style>
  <w:style w:type="character" w:customStyle="1" w:styleId="293">
    <w:name w:val="日期 Char1"/>
    <w:basedOn w:val="50"/>
    <w:semiHidden/>
    <w:qFormat/>
    <w:uiPriority w:val="99"/>
  </w:style>
  <w:style w:type="paragraph" w:customStyle="1" w:styleId="294">
    <w:name w:val="p0"/>
    <w:basedOn w:val="1"/>
    <w:qFormat/>
    <w:uiPriority w:val="0"/>
    <w:pPr>
      <w:widowControl/>
      <w:suppressAutoHyphens/>
      <w:autoSpaceDN w:val="0"/>
      <w:spacing w:before="100" w:beforeAutospacing="1" w:after="100" w:afterAutospacing="1" w:line="240" w:lineRule="auto"/>
      <w:jc w:val="left"/>
      <w:textAlignment w:val="baseline"/>
    </w:pPr>
    <w:rPr>
      <w:rFonts w:ascii="宋体" w:hAnsi="宋体" w:cs="宋体"/>
      <w:kern w:val="0"/>
      <w:sz w:val="24"/>
    </w:rPr>
  </w:style>
  <w:style w:type="paragraph" w:customStyle="1" w:styleId="295">
    <w:name w:val="无间隔2"/>
    <w:qFormat/>
    <w:uiPriority w:val="99"/>
    <w:pPr>
      <w:widowControl w:val="0"/>
      <w:spacing w:after="160" w:line="278" w:lineRule="auto"/>
      <w:jc w:val="both"/>
    </w:pPr>
    <w:rPr>
      <w:rFonts w:ascii="Calibri" w:hAnsi="Calibri" w:eastAsia="宋体" w:cs="Times New Roman"/>
      <w:kern w:val="2"/>
      <w:sz w:val="21"/>
      <w:szCs w:val="21"/>
      <w:lang w:val="en-US" w:eastAsia="zh-CN" w:bidi="ar-SA"/>
    </w:rPr>
  </w:style>
  <w:style w:type="paragraph" w:customStyle="1" w:styleId="296">
    <w:name w:val="pf0"/>
    <w:basedOn w:val="1"/>
    <w:qFormat/>
    <w:uiPriority w:val="0"/>
    <w:pPr>
      <w:widowControl/>
      <w:spacing w:before="100" w:beforeAutospacing="1" w:after="100" w:afterAutospacing="1" w:line="240" w:lineRule="auto"/>
      <w:jc w:val="left"/>
    </w:pPr>
    <w:rPr>
      <w:rFonts w:ascii="宋体" w:hAnsi="宋体" w:cs="宋体"/>
      <w:kern w:val="0"/>
      <w:sz w:val="24"/>
    </w:rPr>
  </w:style>
  <w:style w:type="character" w:customStyle="1" w:styleId="297">
    <w:name w:val="font31"/>
    <w:basedOn w:val="50"/>
    <w:qFormat/>
    <w:uiPriority w:val="0"/>
    <w:rPr>
      <w:rFonts w:hint="default" w:ascii="仿宋" w:hAnsi="仿宋" w:eastAsia="仿宋" w:cs="仿宋"/>
      <w:b/>
      <w:color w:val="000000"/>
      <w:sz w:val="22"/>
      <w:szCs w:val="22"/>
      <w:u w:val="none"/>
    </w:rPr>
  </w:style>
  <w:style w:type="character" w:customStyle="1" w:styleId="298">
    <w:name w:val="font11"/>
    <w:basedOn w:val="50"/>
    <w:qFormat/>
    <w:uiPriority w:val="0"/>
    <w:rPr>
      <w:rFonts w:hint="default" w:ascii="仿宋" w:hAnsi="仿宋" w:eastAsia="仿宋" w:cs="仿宋"/>
      <w:b/>
      <w:color w:val="000000"/>
      <w:sz w:val="22"/>
      <w:szCs w:val="22"/>
      <w:u w:val="none"/>
      <w:vertAlign w:val="superscript"/>
    </w:rPr>
  </w:style>
  <w:style w:type="paragraph" w:customStyle="1" w:styleId="299">
    <w:name w:val="msonormal"/>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300">
    <w:name w:val="font10"/>
    <w:basedOn w:val="1"/>
    <w:qFormat/>
    <w:uiPriority w:val="0"/>
    <w:pPr>
      <w:widowControl/>
      <w:spacing w:before="100" w:beforeAutospacing="1" w:after="100" w:afterAutospacing="1" w:line="240" w:lineRule="auto"/>
      <w:jc w:val="left"/>
    </w:pPr>
    <w:rPr>
      <w:rFonts w:ascii="Calibri" w:hAnsi="Calibri" w:cs="Calibri"/>
      <w:color w:val="000000"/>
      <w:kern w:val="0"/>
      <w:sz w:val="24"/>
    </w:rPr>
  </w:style>
  <w:style w:type="paragraph" w:customStyle="1" w:styleId="301">
    <w:name w:val="font12"/>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2">
    <w:name w:val="font13"/>
    <w:basedOn w:val="1"/>
    <w:qFormat/>
    <w:uiPriority w:val="0"/>
    <w:pPr>
      <w:widowControl/>
      <w:spacing w:before="100" w:beforeAutospacing="1" w:after="100" w:afterAutospacing="1" w:line="240" w:lineRule="auto"/>
      <w:jc w:val="left"/>
    </w:pPr>
    <w:rPr>
      <w:rFonts w:ascii="等线" w:hAnsi="等线" w:eastAsia="等线" w:cs="宋体"/>
      <w:kern w:val="0"/>
      <w:sz w:val="18"/>
      <w:szCs w:val="18"/>
    </w:rPr>
  </w:style>
  <w:style w:type="paragraph" w:customStyle="1" w:styleId="303">
    <w:name w:val="font14"/>
    <w:basedOn w:val="1"/>
    <w:qFormat/>
    <w:uiPriority w:val="0"/>
    <w:pPr>
      <w:widowControl/>
      <w:spacing w:before="100" w:beforeAutospacing="1" w:after="100" w:afterAutospacing="1" w:line="240" w:lineRule="auto"/>
      <w:jc w:val="left"/>
    </w:pPr>
    <w:rPr>
      <w:rFonts w:ascii="PMingLiU" w:hAnsi="PMingLiU" w:eastAsia="PMingLiU" w:cs="宋体"/>
      <w:kern w:val="0"/>
      <w:sz w:val="18"/>
      <w:szCs w:val="18"/>
    </w:rPr>
  </w:style>
  <w:style w:type="paragraph" w:customStyle="1" w:styleId="30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w:hAnsi="Arial" w:cs="Arial"/>
      <w:kern w:val="0"/>
      <w:sz w:val="24"/>
    </w:rPr>
  </w:style>
  <w:style w:type="paragraph" w:customStyle="1" w:styleId="30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0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w:hAnsi="Arial" w:cs="Arial"/>
      <w:kern w:val="0"/>
      <w:sz w:val="24"/>
    </w:rPr>
  </w:style>
  <w:style w:type="paragraph" w:customStyle="1" w:styleId="3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b/>
      <w:bCs/>
      <w:kern w:val="0"/>
      <w:sz w:val="24"/>
    </w:rPr>
  </w:style>
  <w:style w:type="paragraph" w:customStyle="1" w:styleId="30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b/>
      <w:bCs/>
      <w:kern w:val="0"/>
      <w:sz w:val="24"/>
    </w:rPr>
  </w:style>
  <w:style w:type="paragraph" w:customStyle="1" w:styleId="30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310">
    <w:name w:val="xl70"/>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31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1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31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31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1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color w:val="000000"/>
      <w:kern w:val="0"/>
      <w:sz w:val="24"/>
    </w:rPr>
  </w:style>
  <w:style w:type="paragraph" w:customStyle="1" w:styleId="320">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21">
    <w:name w:val="xl81"/>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22">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23">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4">
    <w:name w:val="xl84"/>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5">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w:hAnsi="Arial" w:cs="Arial"/>
      <w:kern w:val="0"/>
      <w:sz w:val="24"/>
    </w:rPr>
  </w:style>
  <w:style w:type="paragraph" w:customStyle="1" w:styleId="32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w:hAnsi="Arial" w:cs="Arial"/>
      <w:kern w:val="0"/>
      <w:sz w:val="24"/>
    </w:rPr>
  </w:style>
  <w:style w:type="paragraph" w:customStyle="1" w:styleId="329">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30">
    <w:name w:val="xl90"/>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31">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top"/>
    </w:pPr>
    <w:rPr>
      <w:rFonts w:ascii="宋体" w:hAnsi="宋体" w:cs="宋体"/>
      <w:color w:val="000000"/>
      <w:kern w:val="0"/>
      <w:sz w:val="24"/>
    </w:rPr>
  </w:style>
  <w:style w:type="paragraph" w:customStyle="1" w:styleId="332">
    <w:name w:val="xl92"/>
    <w:basedOn w:val="1"/>
    <w:qFormat/>
    <w:uiPriority w:val="0"/>
    <w:pPr>
      <w:widowControl/>
      <w:pBdr>
        <w:left w:val="single" w:color="auto" w:sz="4" w:space="0"/>
        <w:right w:val="single" w:color="auto" w:sz="4" w:space="0"/>
      </w:pBdr>
      <w:spacing w:before="100" w:beforeAutospacing="1" w:after="100" w:afterAutospacing="1" w:line="240" w:lineRule="auto"/>
      <w:jc w:val="left"/>
      <w:textAlignment w:val="top"/>
    </w:pPr>
    <w:rPr>
      <w:rFonts w:ascii="宋体" w:hAnsi="宋体" w:cs="宋体"/>
      <w:color w:val="000000"/>
      <w:kern w:val="0"/>
      <w:sz w:val="24"/>
    </w:rPr>
  </w:style>
  <w:style w:type="paragraph" w:customStyle="1" w:styleId="333">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4">
    <w:name w:val="xl94"/>
    <w:basedOn w:val="1"/>
    <w:qFormat/>
    <w:uiPriority w:val="0"/>
    <w:pPr>
      <w:widowControl/>
      <w:pBdr>
        <w:left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5">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6">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37">
    <w:name w:val="xl9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8">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9">
    <w:name w:val="xl99"/>
    <w:basedOn w:val="1"/>
    <w:qFormat/>
    <w:uiPriority w:val="0"/>
    <w:pPr>
      <w:widowControl/>
      <w:spacing w:before="100" w:beforeAutospacing="1" w:after="100" w:afterAutospacing="1" w:line="240" w:lineRule="auto"/>
      <w:jc w:val="center"/>
      <w:textAlignment w:val="top"/>
    </w:pPr>
    <w:rPr>
      <w:rFonts w:ascii="宋体" w:hAnsi="宋体" w:cs="宋体"/>
      <w:kern w:val="0"/>
      <w:sz w:val="24"/>
    </w:rPr>
  </w:style>
  <w:style w:type="paragraph" w:customStyle="1" w:styleId="340">
    <w:name w:val="xl100"/>
    <w:basedOn w:val="1"/>
    <w:qFormat/>
    <w:uiPriority w:val="0"/>
    <w:pPr>
      <w:widowControl/>
      <w:spacing w:before="100" w:beforeAutospacing="1" w:after="100" w:afterAutospacing="1" w:line="240" w:lineRule="auto"/>
      <w:jc w:val="left"/>
      <w:textAlignment w:val="top"/>
    </w:pPr>
    <w:rPr>
      <w:rFonts w:ascii="宋体" w:hAnsi="宋体" w:cs="宋体"/>
      <w:kern w:val="0"/>
      <w:sz w:val="24"/>
    </w:rPr>
  </w:style>
  <w:style w:type="paragraph" w:customStyle="1" w:styleId="341">
    <w:name w:val="xl101"/>
    <w:basedOn w:val="1"/>
    <w:qFormat/>
    <w:uiPriority w:val="0"/>
    <w:pPr>
      <w:widowControl/>
      <w:spacing w:before="100" w:beforeAutospacing="1" w:after="100" w:afterAutospacing="1" w:line="240" w:lineRule="auto"/>
      <w:jc w:val="center"/>
      <w:textAlignment w:val="top"/>
    </w:pPr>
    <w:rPr>
      <w:rFonts w:ascii="宋体" w:hAnsi="宋体" w:cs="宋体"/>
      <w:kern w:val="0"/>
      <w:sz w:val="24"/>
    </w:rPr>
  </w:style>
  <w:style w:type="paragraph" w:customStyle="1" w:styleId="342">
    <w:name w:val="xl102"/>
    <w:basedOn w:val="1"/>
    <w:qFormat/>
    <w:uiPriority w:val="0"/>
    <w:pPr>
      <w:widowControl/>
      <w:spacing w:before="100" w:beforeAutospacing="1" w:after="100" w:afterAutospacing="1" w:line="240" w:lineRule="auto"/>
      <w:jc w:val="left"/>
      <w:textAlignment w:val="top"/>
    </w:pPr>
    <w:rPr>
      <w:rFonts w:ascii="宋体" w:hAnsi="宋体" w:cs="宋体"/>
      <w:kern w:val="0"/>
      <w:sz w:val="24"/>
    </w:rPr>
  </w:style>
  <w:style w:type="paragraph" w:customStyle="1" w:styleId="343">
    <w:name w:val="xl103"/>
    <w:basedOn w:val="1"/>
    <w:qFormat/>
    <w:uiPriority w:val="0"/>
    <w:pPr>
      <w:widowControl/>
      <w:spacing w:before="100" w:beforeAutospacing="1" w:after="100" w:afterAutospacing="1" w:line="240" w:lineRule="auto"/>
      <w:jc w:val="center"/>
      <w:textAlignment w:val="top"/>
    </w:pPr>
    <w:rPr>
      <w:rFonts w:ascii="宋体" w:hAnsi="宋体" w:cs="宋体"/>
      <w:kern w:val="0"/>
      <w:sz w:val="24"/>
    </w:rPr>
  </w:style>
  <w:style w:type="paragraph" w:customStyle="1" w:styleId="344">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45">
    <w:name w:val="列出段落 字符"/>
    <w:link w:val="346"/>
    <w:qFormat/>
    <w:uiPriority w:val="0"/>
    <w:rPr>
      <w:kern w:val="2"/>
      <w:sz w:val="21"/>
    </w:rPr>
  </w:style>
  <w:style w:type="paragraph" w:customStyle="1" w:styleId="346">
    <w:name w:val="列表段落2"/>
    <w:basedOn w:val="1"/>
    <w:link w:val="345"/>
    <w:qFormat/>
    <w:uiPriority w:val="34"/>
    <w:pPr>
      <w:spacing w:after="0" w:line="360" w:lineRule="auto"/>
      <w:ind w:firstLine="420" w:firstLineChars="200"/>
    </w:pPr>
    <w:rPr>
      <w:szCs w:val="20"/>
    </w:rPr>
  </w:style>
  <w:style w:type="character" w:customStyle="1" w:styleId="347">
    <w:name w:val="apple-converted-space"/>
    <w:basedOn w:val="50"/>
    <w:qFormat/>
    <w:uiPriority w:val="0"/>
  </w:style>
  <w:style w:type="paragraph" w:customStyle="1" w:styleId="348">
    <w:name w:val="标题3"/>
    <w:basedOn w:val="1"/>
    <w:link w:val="349"/>
    <w:qFormat/>
    <w:uiPriority w:val="0"/>
    <w:pPr>
      <w:keepNext/>
      <w:keepLines/>
      <w:widowControl/>
      <w:spacing w:after="0" w:line="360" w:lineRule="auto"/>
      <w:jc w:val="left"/>
      <w:outlineLvl w:val="0"/>
    </w:pPr>
    <w:rPr>
      <w:rFonts w:ascii="宋体" w:hAnsi="宋体" w:cs="宋体"/>
      <w:b/>
      <w:bCs/>
      <w:kern w:val="44"/>
      <w:sz w:val="44"/>
      <w:szCs w:val="44"/>
    </w:rPr>
  </w:style>
  <w:style w:type="character" w:customStyle="1" w:styleId="349">
    <w:name w:val="标题3 字符"/>
    <w:basedOn w:val="50"/>
    <w:link w:val="348"/>
    <w:qFormat/>
    <w:uiPriority w:val="0"/>
    <w:rPr>
      <w:rFonts w:ascii="宋体" w:hAnsi="宋体" w:cs="宋体"/>
      <w:b/>
      <w:bCs/>
      <w:kern w:val="44"/>
      <w:sz w:val="44"/>
      <w:szCs w:val="44"/>
    </w:rPr>
  </w:style>
  <w:style w:type="character" w:customStyle="1" w:styleId="350">
    <w:name w:val="正文文本 字符1"/>
    <w:qFormat/>
    <w:uiPriority w:val="99"/>
    <w:rPr>
      <w:rFonts w:ascii="宋体" w:hAnsi="宋体" w:cs="Times New Roman"/>
      <w:szCs w:val="24"/>
    </w:rPr>
  </w:style>
  <w:style w:type="paragraph" w:customStyle="1" w:styleId="351">
    <w:name w:val="列出段落11"/>
    <w:basedOn w:val="1"/>
    <w:qFormat/>
    <w:uiPriority w:val="0"/>
    <w:pPr>
      <w:spacing w:after="0" w:line="240" w:lineRule="auto"/>
      <w:ind w:firstLine="420" w:firstLineChars="200"/>
    </w:pPr>
    <w:rPr>
      <w:rFonts w:ascii="Calibri" w:hAnsi="Calibri" w:cs="宋体"/>
      <w:szCs w:val="22"/>
    </w:rPr>
  </w:style>
  <w:style w:type="table" w:customStyle="1" w:styleId="352">
    <w:name w:val="网格型1"/>
    <w:basedOn w:val="47"/>
    <w:qFormat/>
    <w:uiPriority w:val="39"/>
    <w:rPr>
      <w:rFonts w:ascii="Arial" w:hAnsi="Arial"/>
      <w:kern w:val="2"/>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53">
    <w:name w:val="修订1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54">
    <w:name w:val="修订14"/>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55">
    <w:name w:val="2级原标题"/>
    <w:basedOn w:val="356"/>
    <w:qFormat/>
    <w:uiPriority w:val="0"/>
    <w:pPr>
      <w:keepLines/>
      <w:numPr>
        <w:ilvl w:val="1"/>
        <w:numId w:val="9"/>
      </w:numPr>
      <w:spacing w:before="240" w:after="120" w:line="360" w:lineRule="auto"/>
      <w:ind w:firstLine="0" w:firstLineChars="0"/>
      <w:contextualSpacing/>
      <w:jc w:val="left"/>
      <w:outlineLvl w:val="1"/>
    </w:pPr>
    <w:rPr>
      <w:b/>
      <w:kern w:val="0"/>
      <w:sz w:val="32"/>
      <w:szCs w:val="36"/>
      <w:lang w:eastAsia="en-US" w:bidi="en-US"/>
    </w:rPr>
  </w:style>
  <w:style w:type="paragraph" w:customStyle="1" w:styleId="356">
    <w:name w:val="列表段落3"/>
    <w:basedOn w:val="1"/>
    <w:qFormat/>
    <w:uiPriority w:val="34"/>
    <w:pPr>
      <w:spacing w:after="0" w:line="240" w:lineRule="auto"/>
      <w:ind w:firstLine="420" w:firstLineChars="200"/>
    </w:pPr>
    <w:rPr>
      <w:rFonts w:ascii="Calibri" w:hAnsi="Calibri" w:cs="宋体"/>
      <w:szCs w:val="22"/>
    </w:rPr>
  </w:style>
  <w:style w:type="character" w:customStyle="1" w:styleId="357">
    <w:name w:val="未处理的提及1"/>
    <w:basedOn w:val="50"/>
    <w:semiHidden/>
    <w:unhideWhenUsed/>
    <w:qFormat/>
    <w:uiPriority w:val="99"/>
    <w:rPr>
      <w:color w:val="605E5C"/>
      <w:shd w:val="clear" w:color="auto" w:fill="E1DFDD"/>
    </w:rPr>
  </w:style>
  <w:style w:type="paragraph" w:customStyle="1" w:styleId="358">
    <w:name w:val="修订15"/>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59">
    <w:name w:val="未处理的提及2"/>
    <w:basedOn w:val="50"/>
    <w:semiHidden/>
    <w:unhideWhenUsed/>
    <w:qFormat/>
    <w:uiPriority w:val="99"/>
    <w:rPr>
      <w:color w:val="605E5C"/>
      <w:shd w:val="clear" w:color="auto" w:fill="E1DFDD"/>
    </w:rPr>
  </w:style>
  <w:style w:type="paragraph" w:customStyle="1" w:styleId="360">
    <w:name w:val="修订16"/>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61">
    <w:name w:val="修订17"/>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62">
    <w:name w:val="未处理的提及3"/>
    <w:basedOn w:val="50"/>
    <w:semiHidden/>
    <w:unhideWhenUsed/>
    <w:qFormat/>
    <w:uiPriority w:val="99"/>
    <w:rPr>
      <w:color w:val="605E5C"/>
      <w:shd w:val="clear" w:color="auto" w:fill="E1DFDD"/>
    </w:rPr>
  </w:style>
  <w:style w:type="paragraph" w:customStyle="1" w:styleId="363">
    <w:name w:val="AONormal"/>
    <w:qFormat/>
    <w:uiPriority w:val="0"/>
    <w:pPr>
      <w:autoSpaceDE w:val="0"/>
      <w:autoSpaceDN w:val="0"/>
      <w:adjustRightInd w:val="0"/>
      <w:spacing w:after="160" w:line="400" w:lineRule="exact"/>
      <w:ind w:firstLine="440" w:firstLineChars="200"/>
    </w:pPr>
    <w:rPr>
      <w:rFonts w:ascii="华文楷体" w:hAnsi="华文楷体" w:eastAsia="华文楷体" w:cs="华文楷体"/>
      <w:sz w:val="22"/>
      <w:szCs w:val="21"/>
      <w:lang w:val="en-US" w:eastAsia="zh-CN" w:bidi="ar-SA"/>
    </w:rPr>
  </w:style>
  <w:style w:type="paragraph" w:customStyle="1" w:styleId="364">
    <w:name w:val="目录 53"/>
    <w:next w:val="1"/>
    <w:qFormat/>
    <w:uiPriority w:val="0"/>
    <w:pPr>
      <w:wordWrap w:val="0"/>
      <w:spacing w:after="160" w:line="278" w:lineRule="auto"/>
      <w:ind w:left="1275"/>
      <w:jc w:val="both"/>
    </w:pPr>
    <w:rPr>
      <w:rFonts w:ascii="Times New Roman" w:hAnsi="Times New Roman" w:eastAsia="宋体" w:cs="Times New Roman"/>
      <w:sz w:val="21"/>
      <w:lang w:val="en-US" w:eastAsia="zh-CN" w:bidi="ar-SA"/>
    </w:rPr>
  </w:style>
  <w:style w:type="paragraph" w:customStyle="1" w:styleId="365">
    <w:name w:val="修订18"/>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66">
    <w:name w:val="修订19"/>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67">
    <w:name w:val="未处理的提及4"/>
    <w:basedOn w:val="50"/>
    <w:semiHidden/>
    <w:unhideWhenUsed/>
    <w:qFormat/>
    <w:uiPriority w:val="99"/>
    <w:rPr>
      <w:color w:val="605E5C"/>
      <w:shd w:val="clear" w:color="auto" w:fill="E1DFDD"/>
    </w:rPr>
  </w:style>
  <w:style w:type="character" w:customStyle="1" w:styleId="368">
    <w:name w:val="Unresolved Mention"/>
    <w:basedOn w:val="50"/>
    <w:semiHidden/>
    <w:unhideWhenUsed/>
    <w:qFormat/>
    <w:uiPriority w:val="99"/>
    <w:rPr>
      <w:color w:val="605E5C"/>
      <w:shd w:val="clear" w:color="auto" w:fill="E1DFDD"/>
    </w:rPr>
  </w:style>
  <w:style w:type="character" w:customStyle="1" w:styleId="369">
    <w:name w:val="font01"/>
    <w:basedOn w:val="50"/>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16155</Words>
  <Characters>17024</Characters>
  <Lines>2304</Lines>
  <Paragraphs>2200</Paragraphs>
  <TotalTime>14</TotalTime>
  <ScaleCrop>false</ScaleCrop>
  <LinksUpToDate>false</LinksUpToDate>
  <CharactersWithSpaces>17317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2025-02-22T06:17:00Z</dcterms:created>
  <dc:creator>崔丽丽</dc:creator>
  <cp:lastModifiedBy>admin</cp:lastModifiedBy>
  <dcterms:modified xsi:type="dcterms:W3CDTF">2026-04-13T13:09:15Z</dcterms:modified>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282DF4F71D034E4795736C5BAE337DFA_13</vt:lpwstr>
  </property>
  <property fmtid="{D5CDD505-2E9C-101B-9397-08002B2CF9AE}" pid="4" name="KSOTemplateDocerSaveRecord">
    <vt:lpwstr>eyJoZGlkIjoiOGM5MDU3NzIzOWFiNTc4MmFlNTIxZGY5ZGM4NDgxZjQiLCJ1c2VySWQiOiIzODc4MjgwMjAifQ==</vt:lpwstr>
  </property>
</Properties>
</file>