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290" w:firstLineChars="50"/>
        <w:rPr>
          <w:rFonts w:hint="eastAsia" w:ascii="宋体" w:hAnsi="宋体" w:cs="宋体"/>
          <w:color w:val="auto"/>
          <w:sz w:val="58"/>
          <w:szCs w:val="58"/>
          <w:highlight w:val="none"/>
        </w:rPr>
      </w:pPr>
    </w:p>
    <w:p>
      <w:pPr>
        <w:spacing w:line="360" w:lineRule="auto"/>
        <w:jc w:val="center"/>
        <w:rPr>
          <w:rFonts w:hint="eastAsia" w:ascii="宋体" w:hAnsi="宋体" w:cs="宋体"/>
          <w:b/>
          <w:bCs/>
          <w:color w:val="auto"/>
          <w:sz w:val="60"/>
          <w:szCs w:val="60"/>
          <w:highlight w:val="none"/>
        </w:rPr>
      </w:pPr>
      <w:r>
        <w:rPr>
          <w:rFonts w:hint="eastAsia" w:ascii="宋体" w:hAnsi="宋体" w:cs="宋体"/>
          <w:b/>
          <w:bCs/>
          <w:color w:val="auto"/>
          <w:sz w:val="60"/>
          <w:szCs w:val="60"/>
          <w:highlight w:val="none"/>
        </w:rPr>
        <w:t>北京市政府采购项目</w:t>
      </w:r>
    </w:p>
    <w:p>
      <w:pPr>
        <w:spacing w:line="360" w:lineRule="auto"/>
        <w:jc w:val="center"/>
        <w:rPr>
          <w:rFonts w:hint="eastAsia" w:ascii="宋体" w:hAnsi="宋体" w:cs="宋体"/>
          <w:b/>
          <w:bCs/>
          <w:color w:val="auto"/>
          <w:sz w:val="60"/>
          <w:szCs w:val="60"/>
          <w:highlight w:val="none"/>
        </w:rPr>
      </w:pPr>
      <w:r>
        <w:rPr>
          <w:rFonts w:hint="eastAsia" w:ascii="宋体" w:hAnsi="宋体" w:cs="宋体"/>
          <w:b/>
          <w:bCs/>
          <w:color w:val="auto"/>
          <w:sz w:val="60"/>
          <w:szCs w:val="60"/>
          <w:highlight w:val="none"/>
        </w:rPr>
        <w:t>公开招标文件</w:t>
      </w:r>
    </w:p>
    <w:p>
      <w:pPr>
        <w:tabs>
          <w:tab w:val="left" w:pos="3240"/>
          <w:tab w:val="left" w:pos="3420"/>
        </w:tabs>
        <w:spacing w:line="360" w:lineRule="auto"/>
        <w:jc w:val="left"/>
        <w:rPr>
          <w:rFonts w:hint="eastAsia" w:ascii="宋体" w:hAnsi="宋体" w:cs="宋体"/>
          <w:b/>
          <w:bCs/>
          <w:color w:val="auto"/>
          <w:sz w:val="60"/>
          <w:szCs w:val="60"/>
          <w:highlight w:val="none"/>
        </w:rPr>
      </w:pPr>
    </w:p>
    <w:p>
      <w:pPr>
        <w:tabs>
          <w:tab w:val="left" w:pos="3240"/>
          <w:tab w:val="left" w:pos="3420"/>
        </w:tabs>
        <w:spacing w:line="360" w:lineRule="auto"/>
        <w:ind w:firstLine="540" w:firstLineChars="150"/>
        <w:jc w:val="left"/>
        <w:rPr>
          <w:rFonts w:hint="eastAsia" w:ascii="宋体" w:hAnsi="宋体" w:cs="宋体"/>
          <w:bCs/>
          <w:color w:val="auto"/>
          <w:sz w:val="36"/>
          <w:szCs w:val="36"/>
          <w:highlight w:val="none"/>
          <w:u w:val="single"/>
        </w:rPr>
      </w:pPr>
      <w:r>
        <w:rPr>
          <w:rFonts w:hint="eastAsia" w:ascii="宋体" w:hAnsi="宋体" w:cs="宋体"/>
          <w:bCs/>
          <w:color w:val="auto"/>
          <w:sz w:val="36"/>
          <w:szCs w:val="36"/>
          <w:highlight w:val="none"/>
        </w:rPr>
        <w:t>项目名称：</w:t>
      </w:r>
      <w:r>
        <w:rPr>
          <w:rFonts w:hint="eastAsia" w:ascii="宋体" w:hAnsi="宋体" w:cs="宋体"/>
          <w:bCs/>
          <w:color w:val="auto"/>
          <w:sz w:val="36"/>
          <w:szCs w:val="36"/>
          <w:highlight w:val="none"/>
          <w:u w:val="single"/>
        </w:rPr>
        <w:t>综合保障项目（实验室运转与动物疫病监测）兽用诊断制品采购项目</w:t>
      </w:r>
    </w:p>
    <w:p>
      <w:pPr>
        <w:tabs>
          <w:tab w:val="left" w:pos="3240"/>
          <w:tab w:val="left" w:pos="3420"/>
        </w:tabs>
        <w:spacing w:line="360" w:lineRule="auto"/>
        <w:ind w:firstLine="540" w:firstLineChars="150"/>
        <w:jc w:val="left"/>
        <w:rPr>
          <w:rFonts w:hint="eastAsia" w:ascii="宋体" w:hAnsi="宋体" w:cs="宋体"/>
          <w:bCs/>
          <w:color w:val="auto"/>
          <w:sz w:val="36"/>
          <w:szCs w:val="36"/>
          <w:highlight w:val="none"/>
          <w:u w:val="single"/>
        </w:rPr>
      </w:pPr>
      <w:r>
        <w:rPr>
          <w:rFonts w:hint="eastAsia" w:ascii="宋体" w:hAnsi="宋体" w:cs="宋体"/>
          <w:bCs/>
          <w:color w:val="auto"/>
          <w:sz w:val="36"/>
          <w:szCs w:val="36"/>
          <w:highlight w:val="none"/>
        </w:rPr>
        <w:t>项目编号：</w:t>
      </w:r>
      <w:r>
        <w:rPr>
          <w:rFonts w:hint="eastAsia" w:ascii="宋体" w:hAnsi="宋体" w:cs="宋体"/>
          <w:bCs/>
          <w:color w:val="auto"/>
          <w:sz w:val="36"/>
          <w:szCs w:val="36"/>
          <w:highlight w:val="none"/>
          <w:u w:val="single"/>
        </w:rPr>
        <w:t xml:space="preserve"> 11000026210200168162-XM001  </w:t>
      </w:r>
    </w:p>
    <w:p>
      <w:pPr>
        <w:tabs>
          <w:tab w:val="left" w:pos="3240"/>
          <w:tab w:val="left" w:pos="3420"/>
        </w:tabs>
        <w:spacing w:line="360" w:lineRule="auto"/>
        <w:ind w:firstLine="540" w:firstLineChars="150"/>
        <w:jc w:val="left"/>
        <w:rPr>
          <w:rFonts w:hint="eastAsia" w:ascii="宋体" w:hAnsi="宋体" w:cs="宋体"/>
          <w:bCs/>
          <w:color w:val="auto"/>
          <w:sz w:val="36"/>
          <w:szCs w:val="36"/>
          <w:highlight w:val="none"/>
          <w:u w:val="single"/>
        </w:rPr>
      </w:pPr>
      <w:r>
        <w:rPr>
          <w:rFonts w:hint="eastAsia" w:ascii="宋体" w:hAnsi="宋体" w:cs="宋体"/>
          <w:bCs/>
          <w:color w:val="auto"/>
          <w:sz w:val="36"/>
          <w:szCs w:val="36"/>
          <w:highlight w:val="none"/>
        </w:rPr>
        <w:t>采购人：</w:t>
      </w:r>
      <w:r>
        <w:rPr>
          <w:rFonts w:hint="eastAsia" w:ascii="宋体" w:hAnsi="宋体" w:cs="宋体"/>
          <w:bCs/>
          <w:color w:val="auto"/>
          <w:sz w:val="36"/>
          <w:szCs w:val="36"/>
          <w:highlight w:val="none"/>
          <w:u w:val="single"/>
        </w:rPr>
        <w:t xml:space="preserve">北京市动物疫病预防控制中心 </w:t>
      </w:r>
    </w:p>
    <w:p>
      <w:pPr>
        <w:tabs>
          <w:tab w:val="left" w:pos="3240"/>
          <w:tab w:val="left" w:pos="3420"/>
        </w:tabs>
        <w:spacing w:line="360" w:lineRule="auto"/>
        <w:ind w:firstLine="540" w:firstLineChars="150"/>
        <w:jc w:val="left"/>
        <w:rPr>
          <w:rFonts w:hint="eastAsia" w:ascii="宋体" w:hAnsi="宋体" w:cs="宋体"/>
          <w:color w:val="auto"/>
          <w:sz w:val="36"/>
          <w:szCs w:val="36"/>
          <w:highlight w:val="none"/>
          <w:u w:val="single"/>
        </w:rPr>
      </w:pPr>
      <w:r>
        <w:rPr>
          <w:rFonts w:hint="eastAsia" w:ascii="宋体" w:hAnsi="宋体" w:cs="宋体"/>
          <w:bCs/>
          <w:color w:val="auto"/>
          <w:sz w:val="36"/>
          <w:szCs w:val="36"/>
          <w:highlight w:val="none"/>
        </w:rPr>
        <w:t>采购代理机构：</w:t>
      </w:r>
      <w:r>
        <w:rPr>
          <w:rFonts w:hint="eastAsia" w:ascii="宋体" w:hAnsi="宋体" w:cs="宋体"/>
          <w:color w:val="auto"/>
          <w:sz w:val="36"/>
          <w:szCs w:val="36"/>
          <w:highlight w:val="none"/>
          <w:u w:val="single"/>
        </w:rPr>
        <w:t>北京国泰建中管理咨询有限公司</w:t>
      </w:r>
    </w:p>
    <w:p>
      <w:pPr>
        <w:spacing w:line="240" w:lineRule="auto"/>
        <w:jc w:val="left"/>
        <w:rPr>
          <w:rFonts w:hint="eastAsia" w:ascii="宋体" w:hAnsi="宋体" w:cs="宋体"/>
          <w:color w:val="auto"/>
          <w:sz w:val="36"/>
          <w:szCs w:val="36"/>
          <w:highlight w:val="none"/>
          <w:u w:val="single"/>
        </w:rPr>
      </w:pPr>
    </w:p>
    <w:p>
      <w:pPr>
        <w:spacing w:line="240" w:lineRule="auto"/>
        <w:jc w:val="left"/>
        <w:rPr>
          <w:rFonts w:hint="eastAsia" w:ascii="宋体" w:hAnsi="宋体" w:cs="宋体"/>
          <w:color w:val="auto"/>
          <w:sz w:val="36"/>
          <w:szCs w:val="36"/>
          <w:highlight w:val="none"/>
          <w:u w:val="single"/>
        </w:rPr>
      </w:pPr>
    </w:p>
    <w:p>
      <w:pPr>
        <w:spacing w:line="240" w:lineRule="auto"/>
        <w:jc w:val="left"/>
        <w:rPr>
          <w:rFonts w:hint="eastAsia" w:ascii="宋体" w:hAnsi="宋体" w:cs="宋体"/>
          <w:color w:val="auto"/>
          <w:sz w:val="36"/>
          <w:szCs w:val="36"/>
          <w:highlight w:val="none"/>
          <w:u w:val="single"/>
        </w:rPr>
      </w:pPr>
    </w:p>
    <w:p>
      <w:pPr>
        <w:tabs>
          <w:tab w:val="left" w:pos="3240"/>
          <w:tab w:val="left" w:pos="3420"/>
        </w:tabs>
        <w:spacing w:line="360" w:lineRule="auto"/>
        <w:ind w:firstLine="540" w:firstLineChars="150"/>
        <w:jc w:val="left"/>
        <w:rPr>
          <w:rFonts w:hint="eastAsia" w:ascii="宋体" w:hAnsi="宋体" w:cs="宋体"/>
          <w:color w:val="auto"/>
          <w:sz w:val="36"/>
          <w:szCs w:val="36"/>
          <w:highlight w:val="none"/>
          <w:u w:val="single"/>
        </w:rPr>
      </w:pPr>
    </w:p>
    <w:p>
      <w:pPr>
        <w:tabs>
          <w:tab w:val="left" w:pos="3240"/>
          <w:tab w:val="left" w:pos="3420"/>
        </w:tabs>
        <w:spacing w:line="360" w:lineRule="auto"/>
        <w:ind w:firstLine="540" w:firstLineChars="150"/>
        <w:jc w:val="left"/>
        <w:rPr>
          <w:rFonts w:hint="eastAsia" w:ascii="宋体" w:hAnsi="宋体" w:cs="宋体"/>
          <w:color w:val="auto"/>
          <w:sz w:val="36"/>
          <w:szCs w:val="36"/>
          <w:highlight w:val="none"/>
          <w:u w:val="single"/>
        </w:rPr>
      </w:pPr>
    </w:p>
    <w:p>
      <w:pPr>
        <w:widowControl/>
        <w:jc w:val="left"/>
        <w:rPr>
          <w:rFonts w:hint="eastAsia" w:ascii="宋体" w:hAnsi="宋体" w:cs="宋体"/>
          <w:b/>
          <w:bCs/>
          <w:color w:val="auto"/>
          <w:sz w:val="44"/>
          <w:highlight w:val="none"/>
        </w:rPr>
      </w:pPr>
    </w:p>
    <w:p>
      <w:pPr>
        <w:spacing w:line="360" w:lineRule="auto"/>
        <w:jc w:val="center"/>
        <w:outlineLvl w:val="0"/>
        <w:rPr>
          <w:rFonts w:hint="eastAsia" w:ascii="宋体" w:hAnsi="宋体" w:cs="宋体"/>
          <w:b/>
          <w:color w:val="auto"/>
          <w:sz w:val="36"/>
          <w:szCs w:val="36"/>
          <w:highlight w:val="none"/>
        </w:rPr>
      </w:pPr>
      <w:bookmarkStart w:id="0" w:name="_Toc192872474"/>
      <w:bookmarkStart w:id="1" w:name="_Toc99301418"/>
      <w:r>
        <w:rPr>
          <w:rFonts w:hint="eastAsia" w:ascii="宋体" w:hAnsi="宋体" w:cs="宋体"/>
          <w:b/>
          <w:color w:val="auto"/>
          <w:sz w:val="36"/>
          <w:szCs w:val="36"/>
          <w:highlight w:val="none"/>
        </w:rPr>
        <w:t>目      录</w:t>
      </w:r>
      <w:bookmarkEnd w:id="0"/>
      <w:bookmarkEnd w:id="1"/>
    </w:p>
    <w:p>
      <w:pPr>
        <w:rPr>
          <w:rFonts w:hint="eastAsia" w:ascii="宋体" w:hAnsi="宋体" w:cs="宋体"/>
          <w:color w:val="auto"/>
          <w:highlight w:val="none"/>
        </w:rPr>
      </w:pPr>
    </w:p>
    <w:p>
      <w:pPr>
        <w:pStyle w:val="30"/>
        <w:rPr>
          <w:rFonts w:hint="eastAsia" w:cs="宋体"/>
          <w:b w:val="0"/>
          <w:color w:val="auto"/>
          <w:sz w:val="22"/>
          <w:highlight w:val="none"/>
          <w14:ligatures w14:val="standardContextual"/>
        </w:rPr>
      </w:pPr>
      <w:r>
        <w:rPr>
          <w:rFonts w:hint="eastAsia" w:cs="宋体"/>
          <w:b w:val="0"/>
          <w:color w:val="auto"/>
          <w:highlight w:val="none"/>
        </w:rPr>
        <w:fldChar w:fldCharType="begin"/>
      </w:r>
      <w:r>
        <w:rPr>
          <w:rFonts w:hint="eastAsia" w:cs="宋体"/>
          <w:b w:val="0"/>
          <w:color w:val="auto"/>
          <w:highlight w:val="none"/>
        </w:rPr>
        <w:instrText xml:space="preserve"> TOC \o "1-1" \h \z \u </w:instrText>
      </w:r>
      <w:r>
        <w:rPr>
          <w:rFonts w:hint="eastAsia" w:cs="宋体"/>
          <w:b w:val="0"/>
          <w:color w:val="auto"/>
          <w:highlight w:val="none"/>
        </w:rPr>
        <w:fldChar w:fldCharType="separate"/>
      </w:r>
      <w:r>
        <w:rPr>
          <w:rFonts w:hint="eastAsia" w:cs="宋体"/>
          <w:color w:val="auto"/>
          <w:highlight w:val="none"/>
        </w:rPr>
        <w:fldChar w:fldCharType="begin"/>
      </w:r>
      <w:r>
        <w:rPr>
          <w:rFonts w:hint="eastAsia" w:cs="宋体"/>
          <w:color w:val="auto"/>
          <w:highlight w:val="none"/>
        </w:rPr>
        <w:instrText xml:space="preserve"> HYPERLINK \l "_Toc192872474" </w:instrText>
      </w:r>
      <w:r>
        <w:rPr>
          <w:rFonts w:hint="eastAsia" w:cs="宋体"/>
          <w:color w:val="auto"/>
          <w:highlight w:val="none"/>
        </w:rPr>
        <w:fldChar w:fldCharType="separate"/>
      </w:r>
      <w:r>
        <w:rPr>
          <w:rStyle w:val="55"/>
          <w:rFonts w:hint="eastAsia" w:cs="宋体"/>
          <w:color w:val="auto"/>
          <w:highlight w:val="none"/>
        </w:rPr>
        <w:t>目      录</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_Toc192872474 \h </w:instrText>
      </w:r>
      <w:r>
        <w:rPr>
          <w:rFonts w:hint="eastAsia" w:cs="宋体"/>
          <w:color w:val="auto"/>
          <w:highlight w:val="none"/>
        </w:rPr>
        <w:fldChar w:fldCharType="separate"/>
      </w:r>
      <w:r>
        <w:rPr>
          <w:rFonts w:hint="eastAsia" w:cs="宋体"/>
          <w:color w:val="auto"/>
          <w:highlight w:val="none"/>
        </w:rPr>
        <w:t>1</w:t>
      </w:r>
      <w:r>
        <w:rPr>
          <w:rFonts w:hint="eastAsia" w:cs="宋体"/>
          <w:color w:val="auto"/>
          <w:highlight w:val="none"/>
        </w:rPr>
        <w:fldChar w:fldCharType="end"/>
      </w:r>
      <w:r>
        <w:rPr>
          <w:rFonts w:hint="eastAsia" w:cs="宋体"/>
          <w:color w:val="auto"/>
          <w:highlight w:val="none"/>
        </w:rPr>
        <w:fldChar w:fldCharType="end"/>
      </w:r>
    </w:p>
    <w:p>
      <w:pPr>
        <w:pStyle w:val="30"/>
        <w:rPr>
          <w:rFonts w:hint="eastAsia" w:cs="宋体"/>
          <w:b w:val="0"/>
          <w:color w:val="auto"/>
          <w:sz w:val="22"/>
          <w:highlight w:val="none"/>
          <w14:ligatures w14:val="standardContextual"/>
        </w:rPr>
      </w:pPr>
      <w:r>
        <w:rPr>
          <w:rFonts w:hint="eastAsia" w:cs="宋体"/>
          <w:color w:val="auto"/>
          <w:highlight w:val="none"/>
        </w:rPr>
        <w:fldChar w:fldCharType="begin"/>
      </w:r>
      <w:r>
        <w:rPr>
          <w:rFonts w:hint="eastAsia" w:cs="宋体"/>
          <w:color w:val="auto"/>
          <w:highlight w:val="none"/>
        </w:rPr>
        <w:instrText xml:space="preserve"> HYPERLINK \l "_Toc192872475" </w:instrText>
      </w:r>
      <w:r>
        <w:rPr>
          <w:rFonts w:hint="eastAsia" w:cs="宋体"/>
          <w:color w:val="auto"/>
          <w:highlight w:val="none"/>
        </w:rPr>
        <w:fldChar w:fldCharType="separate"/>
      </w:r>
      <w:r>
        <w:rPr>
          <w:rStyle w:val="55"/>
          <w:rFonts w:hint="eastAsia" w:cs="宋体"/>
          <w:color w:val="auto"/>
          <w:highlight w:val="none"/>
        </w:rPr>
        <w:t>第一章   投标邀请</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_Toc192872475 \h </w:instrText>
      </w:r>
      <w:r>
        <w:rPr>
          <w:rFonts w:hint="eastAsia" w:cs="宋体"/>
          <w:color w:val="auto"/>
          <w:highlight w:val="none"/>
        </w:rPr>
        <w:fldChar w:fldCharType="separate"/>
      </w:r>
      <w:r>
        <w:rPr>
          <w:rFonts w:hint="eastAsia" w:cs="宋体"/>
          <w:color w:val="auto"/>
          <w:highlight w:val="none"/>
        </w:rPr>
        <w:t>2</w:t>
      </w:r>
      <w:r>
        <w:rPr>
          <w:rFonts w:hint="eastAsia" w:cs="宋体"/>
          <w:color w:val="auto"/>
          <w:highlight w:val="none"/>
        </w:rPr>
        <w:fldChar w:fldCharType="end"/>
      </w:r>
      <w:r>
        <w:rPr>
          <w:rFonts w:hint="eastAsia" w:cs="宋体"/>
          <w:color w:val="auto"/>
          <w:highlight w:val="none"/>
        </w:rPr>
        <w:fldChar w:fldCharType="end"/>
      </w:r>
    </w:p>
    <w:p>
      <w:pPr>
        <w:pStyle w:val="30"/>
        <w:rPr>
          <w:rFonts w:hint="eastAsia" w:cs="宋体"/>
          <w:b w:val="0"/>
          <w:color w:val="auto"/>
          <w:sz w:val="22"/>
          <w:highlight w:val="none"/>
          <w14:ligatures w14:val="standardContextual"/>
        </w:rPr>
      </w:pPr>
      <w:r>
        <w:rPr>
          <w:rFonts w:hint="eastAsia" w:cs="宋体"/>
          <w:color w:val="auto"/>
          <w:highlight w:val="none"/>
        </w:rPr>
        <w:fldChar w:fldCharType="begin"/>
      </w:r>
      <w:r>
        <w:rPr>
          <w:rFonts w:hint="eastAsia" w:cs="宋体"/>
          <w:color w:val="auto"/>
          <w:highlight w:val="none"/>
        </w:rPr>
        <w:instrText xml:space="preserve"> HYPERLINK \l "_Toc192872476" </w:instrText>
      </w:r>
      <w:r>
        <w:rPr>
          <w:rFonts w:hint="eastAsia" w:cs="宋体"/>
          <w:color w:val="auto"/>
          <w:highlight w:val="none"/>
        </w:rPr>
        <w:fldChar w:fldCharType="separate"/>
      </w:r>
      <w:r>
        <w:rPr>
          <w:rStyle w:val="55"/>
          <w:rFonts w:hint="eastAsia" w:cs="宋体"/>
          <w:color w:val="auto"/>
          <w:highlight w:val="none"/>
        </w:rPr>
        <w:t>第二章   投标人须知</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_Toc192872476 \h </w:instrText>
      </w:r>
      <w:r>
        <w:rPr>
          <w:rFonts w:hint="eastAsia" w:cs="宋体"/>
          <w:color w:val="auto"/>
          <w:highlight w:val="none"/>
        </w:rPr>
        <w:fldChar w:fldCharType="separate"/>
      </w:r>
      <w:r>
        <w:rPr>
          <w:rFonts w:hint="eastAsia" w:cs="宋体"/>
          <w:color w:val="auto"/>
          <w:highlight w:val="none"/>
        </w:rPr>
        <w:t>10</w:t>
      </w:r>
      <w:r>
        <w:rPr>
          <w:rFonts w:hint="eastAsia" w:cs="宋体"/>
          <w:color w:val="auto"/>
          <w:highlight w:val="none"/>
        </w:rPr>
        <w:fldChar w:fldCharType="end"/>
      </w:r>
      <w:r>
        <w:rPr>
          <w:rFonts w:hint="eastAsia" w:cs="宋体"/>
          <w:color w:val="auto"/>
          <w:highlight w:val="none"/>
        </w:rPr>
        <w:fldChar w:fldCharType="end"/>
      </w:r>
    </w:p>
    <w:p>
      <w:pPr>
        <w:pStyle w:val="30"/>
        <w:rPr>
          <w:rFonts w:hint="eastAsia" w:cs="宋体"/>
          <w:b w:val="0"/>
          <w:color w:val="auto"/>
          <w:sz w:val="22"/>
          <w:highlight w:val="none"/>
          <w14:ligatures w14:val="standardContextual"/>
        </w:rPr>
      </w:pPr>
      <w:r>
        <w:rPr>
          <w:rFonts w:hint="eastAsia" w:cs="宋体"/>
          <w:color w:val="auto"/>
          <w:highlight w:val="none"/>
        </w:rPr>
        <w:fldChar w:fldCharType="begin"/>
      </w:r>
      <w:r>
        <w:rPr>
          <w:rFonts w:hint="eastAsia" w:cs="宋体"/>
          <w:color w:val="auto"/>
          <w:highlight w:val="none"/>
        </w:rPr>
        <w:instrText xml:space="preserve"> HYPERLINK \l "_Toc192872477" </w:instrText>
      </w:r>
      <w:r>
        <w:rPr>
          <w:rFonts w:hint="eastAsia" w:cs="宋体"/>
          <w:color w:val="auto"/>
          <w:highlight w:val="none"/>
        </w:rPr>
        <w:fldChar w:fldCharType="separate"/>
      </w:r>
      <w:r>
        <w:rPr>
          <w:rStyle w:val="55"/>
          <w:rFonts w:hint="eastAsia" w:cs="宋体"/>
          <w:color w:val="auto"/>
          <w:highlight w:val="none"/>
        </w:rPr>
        <w:t>第三章   资格审查</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_Toc192872477 \h </w:instrText>
      </w:r>
      <w:r>
        <w:rPr>
          <w:rFonts w:hint="eastAsia" w:cs="宋体"/>
          <w:color w:val="auto"/>
          <w:highlight w:val="none"/>
        </w:rPr>
        <w:fldChar w:fldCharType="separate"/>
      </w:r>
      <w:r>
        <w:rPr>
          <w:rFonts w:hint="eastAsia" w:cs="宋体"/>
          <w:color w:val="auto"/>
          <w:highlight w:val="none"/>
        </w:rPr>
        <w:t>31</w:t>
      </w:r>
      <w:r>
        <w:rPr>
          <w:rFonts w:hint="eastAsia" w:cs="宋体"/>
          <w:color w:val="auto"/>
          <w:highlight w:val="none"/>
        </w:rPr>
        <w:fldChar w:fldCharType="end"/>
      </w:r>
      <w:r>
        <w:rPr>
          <w:rFonts w:hint="eastAsia" w:cs="宋体"/>
          <w:color w:val="auto"/>
          <w:highlight w:val="none"/>
        </w:rPr>
        <w:fldChar w:fldCharType="end"/>
      </w:r>
    </w:p>
    <w:p>
      <w:pPr>
        <w:pStyle w:val="30"/>
        <w:rPr>
          <w:rFonts w:hint="eastAsia" w:cs="宋体"/>
          <w:b w:val="0"/>
          <w:color w:val="auto"/>
          <w:sz w:val="22"/>
          <w:highlight w:val="none"/>
          <w14:ligatures w14:val="standardContextual"/>
        </w:rPr>
      </w:pPr>
      <w:r>
        <w:rPr>
          <w:rFonts w:hint="eastAsia" w:cs="宋体"/>
          <w:color w:val="auto"/>
          <w:highlight w:val="none"/>
        </w:rPr>
        <w:fldChar w:fldCharType="begin"/>
      </w:r>
      <w:r>
        <w:rPr>
          <w:rFonts w:hint="eastAsia" w:cs="宋体"/>
          <w:color w:val="auto"/>
          <w:highlight w:val="none"/>
        </w:rPr>
        <w:instrText xml:space="preserve"> HYPERLINK \l "_Toc192872478" </w:instrText>
      </w:r>
      <w:r>
        <w:rPr>
          <w:rFonts w:hint="eastAsia" w:cs="宋体"/>
          <w:color w:val="auto"/>
          <w:highlight w:val="none"/>
        </w:rPr>
        <w:fldChar w:fldCharType="separate"/>
      </w:r>
      <w:r>
        <w:rPr>
          <w:rStyle w:val="55"/>
          <w:rFonts w:hint="eastAsia" w:cs="宋体"/>
          <w:color w:val="auto"/>
          <w:highlight w:val="none"/>
        </w:rPr>
        <w:t>第四章   评标方法和评标标准</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_Toc192872478 \h </w:instrText>
      </w:r>
      <w:r>
        <w:rPr>
          <w:rFonts w:hint="eastAsia" w:cs="宋体"/>
          <w:color w:val="auto"/>
          <w:highlight w:val="none"/>
        </w:rPr>
        <w:fldChar w:fldCharType="separate"/>
      </w:r>
      <w:r>
        <w:rPr>
          <w:rFonts w:hint="eastAsia" w:cs="宋体"/>
          <w:color w:val="auto"/>
          <w:highlight w:val="none"/>
        </w:rPr>
        <w:t>34</w:t>
      </w:r>
      <w:r>
        <w:rPr>
          <w:rFonts w:hint="eastAsia" w:cs="宋体"/>
          <w:color w:val="auto"/>
          <w:highlight w:val="none"/>
        </w:rPr>
        <w:fldChar w:fldCharType="end"/>
      </w:r>
      <w:r>
        <w:rPr>
          <w:rFonts w:hint="eastAsia" w:cs="宋体"/>
          <w:color w:val="auto"/>
          <w:highlight w:val="none"/>
        </w:rPr>
        <w:fldChar w:fldCharType="end"/>
      </w:r>
    </w:p>
    <w:p>
      <w:pPr>
        <w:pStyle w:val="30"/>
        <w:rPr>
          <w:rFonts w:hint="eastAsia" w:cs="宋体"/>
          <w:b w:val="0"/>
          <w:color w:val="auto"/>
          <w:sz w:val="22"/>
          <w:highlight w:val="none"/>
          <w14:ligatures w14:val="standardContextual"/>
        </w:rPr>
      </w:pPr>
      <w:r>
        <w:rPr>
          <w:rFonts w:hint="eastAsia" w:cs="宋体"/>
          <w:color w:val="auto"/>
          <w:highlight w:val="none"/>
        </w:rPr>
        <w:fldChar w:fldCharType="begin"/>
      </w:r>
      <w:r>
        <w:rPr>
          <w:rFonts w:hint="eastAsia" w:cs="宋体"/>
          <w:color w:val="auto"/>
          <w:highlight w:val="none"/>
        </w:rPr>
        <w:instrText xml:space="preserve"> HYPERLINK \l "_Toc192872479" </w:instrText>
      </w:r>
      <w:r>
        <w:rPr>
          <w:rFonts w:hint="eastAsia" w:cs="宋体"/>
          <w:color w:val="auto"/>
          <w:highlight w:val="none"/>
        </w:rPr>
        <w:fldChar w:fldCharType="separate"/>
      </w:r>
      <w:r>
        <w:rPr>
          <w:rStyle w:val="55"/>
          <w:rFonts w:hint="eastAsia" w:cs="宋体"/>
          <w:color w:val="auto"/>
          <w:highlight w:val="none"/>
        </w:rPr>
        <w:t>第五章   采购需求</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_Toc192872479 \h </w:instrText>
      </w:r>
      <w:r>
        <w:rPr>
          <w:rFonts w:hint="eastAsia" w:cs="宋体"/>
          <w:color w:val="auto"/>
          <w:highlight w:val="none"/>
        </w:rPr>
        <w:fldChar w:fldCharType="separate"/>
      </w:r>
      <w:r>
        <w:rPr>
          <w:rFonts w:hint="eastAsia" w:cs="宋体"/>
          <w:color w:val="auto"/>
          <w:highlight w:val="none"/>
        </w:rPr>
        <w:t>43</w:t>
      </w:r>
      <w:r>
        <w:rPr>
          <w:rFonts w:hint="eastAsia" w:cs="宋体"/>
          <w:color w:val="auto"/>
          <w:highlight w:val="none"/>
        </w:rPr>
        <w:fldChar w:fldCharType="end"/>
      </w:r>
      <w:r>
        <w:rPr>
          <w:rFonts w:hint="eastAsia" w:cs="宋体"/>
          <w:color w:val="auto"/>
          <w:highlight w:val="none"/>
        </w:rPr>
        <w:fldChar w:fldCharType="end"/>
      </w:r>
    </w:p>
    <w:p>
      <w:pPr>
        <w:pStyle w:val="30"/>
        <w:rPr>
          <w:rFonts w:hint="eastAsia" w:cs="宋体"/>
          <w:b w:val="0"/>
          <w:color w:val="auto"/>
          <w:sz w:val="22"/>
          <w:highlight w:val="none"/>
          <w14:ligatures w14:val="standardContextual"/>
        </w:rPr>
      </w:pPr>
      <w:r>
        <w:rPr>
          <w:rFonts w:hint="eastAsia" w:cs="宋体"/>
          <w:color w:val="auto"/>
          <w:highlight w:val="none"/>
        </w:rPr>
        <w:fldChar w:fldCharType="begin"/>
      </w:r>
      <w:r>
        <w:rPr>
          <w:rFonts w:hint="eastAsia" w:cs="宋体"/>
          <w:color w:val="auto"/>
          <w:highlight w:val="none"/>
        </w:rPr>
        <w:instrText xml:space="preserve"> HYPERLINK \l "_Toc192872480" </w:instrText>
      </w:r>
      <w:r>
        <w:rPr>
          <w:rFonts w:hint="eastAsia" w:cs="宋体"/>
          <w:color w:val="auto"/>
          <w:highlight w:val="none"/>
        </w:rPr>
        <w:fldChar w:fldCharType="separate"/>
      </w:r>
      <w:r>
        <w:rPr>
          <w:rStyle w:val="55"/>
          <w:rFonts w:hint="eastAsia" w:cs="宋体"/>
          <w:color w:val="auto"/>
          <w:highlight w:val="none"/>
        </w:rPr>
        <w:t>第六章   拟签订的合同文本</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_Toc192872480 \h </w:instrText>
      </w:r>
      <w:r>
        <w:rPr>
          <w:rFonts w:hint="eastAsia" w:cs="宋体"/>
          <w:color w:val="auto"/>
          <w:highlight w:val="none"/>
        </w:rPr>
        <w:fldChar w:fldCharType="separate"/>
      </w:r>
      <w:r>
        <w:rPr>
          <w:rFonts w:hint="eastAsia" w:cs="宋体"/>
          <w:color w:val="auto"/>
          <w:highlight w:val="none"/>
        </w:rPr>
        <w:t>62</w:t>
      </w:r>
      <w:r>
        <w:rPr>
          <w:rFonts w:hint="eastAsia" w:cs="宋体"/>
          <w:color w:val="auto"/>
          <w:highlight w:val="none"/>
        </w:rPr>
        <w:fldChar w:fldCharType="end"/>
      </w:r>
      <w:r>
        <w:rPr>
          <w:rFonts w:hint="eastAsia" w:cs="宋体"/>
          <w:color w:val="auto"/>
          <w:highlight w:val="none"/>
        </w:rPr>
        <w:fldChar w:fldCharType="end"/>
      </w:r>
    </w:p>
    <w:p>
      <w:pPr>
        <w:pStyle w:val="30"/>
        <w:rPr>
          <w:rFonts w:hint="eastAsia" w:cs="宋体"/>
          <w:b w:val="0"/>
          <w:color w:val="auto"/>
          <w:sz w:val="22"/>
          <w:highlight w:val="none"/>
          <w14:ligatures w14:val="standardContextual"/>
        </w:rPr>
      </w:pPr>
      <w:r>
        <w:rPr>
          <w:rFonts w:hint="eastAsia" w:cs="宋体"/>
          <w:color w:val="auto"/>
          <w:highlight w:val="none"/>
        </w:rPr>
        <w:fldChar w:fldCharType="begin"/>
      </w:r>
      <w:r>
        <w:rPr>
          <w:rFonts w:hint="eastAsia" w:cs="宋体"/>
          <w:color w:val="auto"/>
          <w:highlight w:val="none"/>
        </w:rPr>
        <w:instrText xml:space="preserve"> HYPERLINK \l "_Toc192872481" </w:instrText>
      </w:r>
      <w:r>
        <w:rPr>
          <w:rFonts w:hint="eastAsia" w:cs="宋体"/>
          <w:color w:val="auto"/>
          <w:highlight w:val="none"/>
        </w:rPr>
        <w:fldChar w:fldCharType="separate"/>
      </w:r>
      <w:r>
        <w:rPr>
          <w:rStyle w:val="55"/>
          <w:rFonts w:hint="eastAsia" w:cs="宋体"/>
          <w:color w:val="auto"/>
          <w:highlight w:val="none"/>
        </w:rPr>
        <w:t>第七章   投标文件格式</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_Toc192872481 \h </w:instrText>
      </w:r>
      <w:r>
        <w:rPr>
          <w:rFonts w:hint="eastAsia" w:cs="宋体"/>
          <w:color w:val="auto"/>
          <w:highlight w:val="none"/>
        </w:rPr>
        <w:fldChar w:fldCharType="separate"/>
      </w:r>
      <w:r>
        <w:rPr>
          <w:rFonts w:hint="eastAsia" w:cs="宋体"/>
          <w:color w:val="auto"/>
          <w:highlight w:val="none"/>
        </w:rPr>
        <w:t>84</w:t>
      </w:r>
      <w:r>
        <w:rPr>
          <w:rFonts w:hint="eastAsia" w:cs="宋体"/>
          <w:color w:val="auto"/>
          <w:highlight w:val="none"/>
        </w:rPr>
        <w:fldChar w:fldCharType="end"/>
      </w:r>
      <w:r>
        <w:rPr>
          <w:rFonts w:hint="eastAsia" w:cs="宋体"/>
          <w:color w:val="auto"/>
          <w:highlight w:val="none"/>
        </w:rPr>
        <w:fldChar w:fldCharType="end"/>
      </w:r>
    </w:p>
    <w:p>
      <w:pPr>
        <w:pStyle w:val="30"/>
        <w:spacing w:line="360" w:lineRule="auto"/>
        <w:rPr>
          <w:rFonts w:hint="eastAsia" w:cs="宋体"/>
          <w:b w:val="0"/>
          <w:color w:val="auto"/>
          <w:highlight w:val="none"/>
        </w:rPr>
      </w:pPr>
      <w:r>
        <w:rPr>
          <w:rFonts w:hint="eastAsia" w:cs="宋体"/>
          <w:b w:val="0"/>
          <w:color w:val="auto"/>
          <w:highlight w:val="none"/>
        </w:rPr>
        <w:fldChar w:fldCharType="end"/>
      </w:r>
    </w:p>
    <w:p>
      <w:pPr>
        <w:spacing w:line="360" w:lineRule="auto"/>
        <w:jc w:val="center"/>
        <w:outlineLvl w:val="0"/>
        <w:rPr>
          <w:rFonts w:hint="eastAsia" w:ascii="宋体" w:hAnsi="宋体" w:cs="宋体"/>
          <w:b/>
          <w:color w:val="auto"/>
          <w:sz w:val="36"/>
          <w:szCs w:val="36"/>
          <w:highlight w:val="none"/>
        </w:rPr>
      </w:pPr>
      <w:r>
        <w:rPr>
          <w:rFonts w:hint="eastAsia" w:ascii="宋体" w:hAnsi="宋体" w:cs="宋体"/>
          <w:color w:val="auto"/>
          <w:sz w:val="24"/>
          <w:highlight w:val="none"/>
        </w:rPr>
        <w:br w:type="page"/>
      </w:r>
      <w:bookmarkStart w:id="2" w:name="_Toc192872475"/>
      <w:r>
        <w:rPr>
          <w:rFonts w:hint="eastAsia" w:ascii="宋体" w:hAnsi="宋体" w:cs="宋体"/>
          <w:b/>
          <w:color w:val="auto"/>
          <w:sz w:val="36"/>
          <w:szCs w:val="36"/>
          <w:highlight w:val="none"/>
        </w:rPr>
        <w:t>第一章   投标邀请</w:t>
      </w:r>
      <w:bookmarkEnd w:id="2"/>
    </w:p>
    <w:p>
      <w:pPr>
        <w:pStyle w:val="3"/>
        <w:spacing w:before="0" w:line="360" w:lineRule="auto"/>
        <w:jc w:val="left"/>
        <w:rPr>
          <w:rFonts w:hint="eastAsia" w:ascii="宋体" w:hAnsi="宋体" w:eastAsia="宋体" w:cs="宋体"/>
          <w:color w:val="auto"/>
          <w:sz w:val="24"/>
          <w:szCs w:val="24"/>
          <w:highlight w:val="none"/>
        </w:rPr>
      </w:pPr>
      <w:bookmarkStart w:id="3" w:name="_Toc35393621"/>
      <w:bookmarkStart w:id="4" w:name="_Toc28359079"/>
      <w:bookmarkStart w:id="5" w:name="_Toc35393790"/>
      <w:bookmarkStart w:id="6" w:name="_Toc28359002"/>
      <w:bookmarkStart w:id="7" w:name="_Hlk24379207"/>
      <w:r>
        <w:rPr>
          <w:rFonts w:hint="eastAsia" w:ascii="宋体" w:hAnsi="宋体" w:eastAsia="宋体" w:cs="宋体"/>
          <w:color w:val="auto"/>
          <w:sz w:val="24"/>
          <w:szCs w:val="24"/>
          <w:highlight w:val="none"/>
        </w:rPr>
        <w:t>一、项目基本情况</w:t>
      </w:r>
      <w:bookmarkEnd w:id="3"/>
      <w:bookmarkEnd w:id="4"/>
      <w:bookmarkEnd w:id="5"/>
      <w:bookmarkEnd w:id="6"/>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 项目名称：</w:t>
      </w:r>
      <w:r>
        <w:rPr>
          <w:rFonts w:hint="eastAsia" w:ascii="宋体" w:hAnsi="宋体" w:cs="宋体"/>
          <w:color w:val="auto"/>
          <w:sz w:val="24"/>
          <w:highlight w:val="none"/>
          <w:u w:val="single"/>
        </w:rPr>
        <w:t xml:space="preserve">综合保障项目（实验室运转与动物疫病监测）兽用诊断制品采购项目 </w:t>
      </w:r>
    </w:p>
    <w:p>
      <w:pPr>
        <w:spacing w:line="360" w:lineRule="auto"/>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分包</w:t>
      </w:r>
      <w:r>
        <w:rPr>
          <w:rFonts w:hint="eastAsia" w:ascii="宋体" w:hAnsi="宋体" w:cs="宋体"/>
          <w:color w:val="auto"/>
          <w:sz w:val="24"/>
          <w:highlight w:val="none"/>
        </w:rPr>
        <w:t>名称：</w:t>
      </w:r>
      <w:r>
        <w:rPr>
          <w:rFonts w:hint="eastAsia" w:ascii="宋体" w:hAnsi="宋体" w:cs="宋体"/>
          <w:color w:val="auto"/>
          <w:sz w:val="24"/>
          <w:highlight w:val="none"/>
          <w:u w:val="single"/>
        </w:rPr>
        <w:t>第三包</w:t>
      </w:r>
    </w:p>
    <w:bookmarkEnd w:id="7"/>
    <w:p>
      <w:pPr>
        <w:numPr>
          <w:ilvl w:val="0"/>
          <w:numId w:val="10"/>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项目编号：11000026210200168162-XM001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包号：03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 项目总预算金额：</w:t>
      </w:r>
      <w:r>
        <w:rPr>
          <w:rFonts w:hint="eastAsia" w:ascii="宋体" w:hAnsi="宋体" w:cs="宋体"/>
          <w:color w:val="auto"/>
          <w:sz w:val="24"/>
          <w:highlight w:val="none"/>
          <w:u w:val="single"/>
        </w:rPr>
        <w:t>288.8729</w:t>
      </w:r>
      <w:r>
        <w:rPr>
          <w:rFonts w:hint="eastAsia" w:ascii="宋体" w:hAnsi="宋体" w:cs="宋体"/>
          <w:color w:val="auto"/>
          <w:sz w:val="24"/>
          <w:highlight w:val="none"/>
        </w:rPr>
        <w:t>万元，本包次采购预算：</w:t>
      </w:r>
      <w:r>
        <w:rPr>
          <w:rFonts w:hint="eastAsia" w:ascii="宋体" w:hAnsi="宋体" w:cs="宋体"/>
          <w:color w:val="auto"/>
          <w:sz w:val="24"/>
          <w:highlight w:val="none"/>
          <w:u w:val="single"/>
        </w:rPr>
        <w:t>24.4210</w:t>
      </w:r>
      <w:r>
        <w:rPr>
          <w:rFonts w:hint="eastAsia" w:ascii="宋体" w:hAnsi="宋体" w:cs="宋体"/>
          <w:color w:val="auto"/>
          <w:sz w:val="24"/>
          <w:highlight w:val="none"/>
        </w:rPr>
        <w:t xml:space="preserve">万元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 采购需求简述： </w:t>
      </w:r>
    </w:p>
    <w:p>
      <w:pPr>
        <w:spacing w:after="0" w:line="2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（1）．采购目标：结合本市动物养殖情况、动物疫病检测、疫病防治状况，开展动物疫病监测与流行病学调查，及时发现疫病及疫情隐患，有效保障全市养殖业健康发展和公共卫生安全。</w:t>
      </w:r>
    </w:p>
    <w:p>
      <w:pPr>
        <w:spacing w:after="0" w:line="2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（2）.采购要求：质量、安全符合国家有关法律法规、质量标准和北京市的动物防疫政策及技术要求．服务、时限等内容满足招标人需求。</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（3）.本包次采购标的：</w:t>
      </w:r>
    </w:p>
    <w:tbl>
      <w:tblPr>
        <w:tblStyle w:val="47"/>
        <w:tblW w:w="8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623"/>
        <w:gridCol w:w="2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4" w:type="dxa"/>
            <w:vAlign w:val="center"/>
          </w:tcPr>
          <w:p>
            <w:pPr>
              <w:spacing w:after="0"/>
              <w:rPr>
                <w:rFonts w:hint="eastAsia" w:ascii="宋体" w:hAnsi="宋体" w:cs="宋体"/>
                <w:b/>
                <w:color w:val="auto"/>
                <w:szCs w:val="21"/>
                <w:highlight w:val="none"/>
              </w:rPr>
            </w:pPr>
            <w:r>
              <w:rPr>
                <w:rFonts w:hint="eastAsia" w:ascii="宋体" w:hAnsi="宋体" w:cs="宋体"/>
                <w:b/>
                <w:color w:val="auto"/>
                <w:szCs w:val="21"/>
                <w:highlight w:val="none"/>
              </w:rPr>
              <w:t>包号</w:t>
            </w:r>
          </w:p>
        </w:tc>
        <w:tc>
          <w:tcPr>
            <w:tcW w:w="4623" w:type="dxa"/>
            <w:vAlign w:val="center"/>
          </w:tcPr>
          <w:p>
            <w:pPr>
              <w:adjustRightInd w:val="0"/>
              <w:snapToGrid w:val="0"/>
              <w:spacing w:after="0"/>
              <w:jc w:val="center"/>
              <w:rPr>
                <w:rFonts w:hint="eastAsia" w:ascii="宋体" w:hAnsi="宋体" w:cs="宋体"/>
                <w:b/>
                <w:color w:val="auto"/>
                <w:szCs w:val="21"/>
                <w:highlight w:val="none"/>
              </w:rPr>
            </w:pPr>
            <w:r>
              <w:rPr>
                <w:rFonts w:hint="eastAsia" w:ascii="宋体" w:hAnsi="宋体" w:cs="宋体"/>
                <w:b/>
                <w:color w:val="auto"/>
                <w:szCs w:val="21"/>
                <w:highlight w:val="none"/>
              </w:rPr>
              <w:t>采购货物一览</w:t>
            </w:r>
          </w:p>
        </w:tc>
        <w:tc>
          <w:tcPr>
            <w:tcW w:w="2815" w:type="dxa"/>
            <w:vAlign w:val="center"/>
          </w:tcPr>
          <w:p>
            <w:pPr>
              <w:spacing w:after="0"/>
              <w:jc w:val="center"/>
              <w:rPr>
                <w:rFonts w:hint="eastAsia" w:ascii="宋体" w:hAnsi="宋体" w:cs="宋体"/>
                <w:b/>
                <w:color w:val="auto"/>
                <w:szCs w:val="21"/>
                <w:highlight w:val="none"/>
              </w:rPr>
            </w:pPr>
            <w:r>
              <w:rPr>
                <w:rFonts w:hint="eastAsia" w:ascii="宋体" w:hAnsi="宋体" w:cs="宋体"/>
                <w:b/>
                <w:color w:val="auto"/>
                <w:szCs w:val="21"/>
                <w:highlight w:val="none"/>
              </w:rPr>
              <w:t>采购包预算金额（万元）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704" w:type="dxa"/>
            <w:vAlign w:val="center"/>
          </w:tcPr>
          <w:p>
            <w:pPr>
              <w:spacing w:after="0"/>
              <w:jc w:val="center"/>
              <w:rPr>
                <w:rFonts w:hint="eastAsia" w:ascii="宋体" w:hAnsi="宋体" w:cs="宋体"/>
                <w:b/>
                <w:color w:val="auto"/>
                <w:szCs w:val="21"/>
                <w:highlight w:val="none"/>
              </w:rPr>
            </w:pPr>
            <w:r>
              <w:rPr>
                <w:rFonts w:hint="eastAsia" w:ascii="宋体" w:hAnsi="宋体" w:cs="宋体"/>
                <w:b/>
                <w:color w:val="auto"/>
                <w:szCs w:val="21"/>
                <w:highlight w:val="none"/>
              </w:rPr>
              <w:t>03</w:t>
            </w:r>
          </w:p>
        </w:tc>
        <w:tc>
          <w:tcPr>
            <w:tcW w:w="4623" w:type="dxa"/>
          </w:tcPr>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医用外科口罩（独立包装）</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高压灭菌袋（10L)</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0.2ml荧光PCR96孔板</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0.2ml荧光PCR96孔板覆膜</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PCR通用透明封板膜</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N95口罩</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84消毒液（500g)</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蒸馏水</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1250ul无菌盒装滤芯吸头</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10ul滤芯吸头</w:t>
            </w:r>
          </w:p>
          <w:p>
            <w:pPr>
              <w:spacing w:after="0"/>
              <w:jc w:val="left"/>
              <w:rPr>
                <w:rFonts w:hint="eastAsia" w:ascii="宋体" w:hAnsi="宋体" w:cs="宋体"/>
                <w:b/>
                <w:color w:val="auto"/>
                <w:szCs w:val="21"/>
                <w:highlight w:val="none"/>
              </w:rPr>
            </w:pPr>
            <w:r>
              <w:rPr>
                <w:rFonts w:hint="eastAsia" w:ascii="宋体" w:hAnsi="宋体" w:cs="宋体"/>
                <w:b/>
                <w:color w:val="auto"/>
                <w:szCs w:val="21"/>
                <w:highlight w:val="none"/>
              </w:rPr>
              <w:t>盒装滤芯吸头（200ul）（核心产品）</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医用脱脂棉球</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低温记号笔</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5ml离心管（圆底连盖）</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连体医用一次性防护服（含脚套）</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一次性细菌接种环（10ul）</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100mm培养皿</w:t>
            </w:r>
          </w:p>
          <w:p>
            <w:pPr>
              <w:spacing w:after="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高纯二氧化碳</w:t>
            </w:r>
          </w:p>
          <w:p>
            <w:pPr>
              <w:spacing w:after="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一次性透明聚乙烯试管（12mm*75mm）</w:t>
            </w:r>
          </w:p>
          <w:p>
            <w:pPr>
              <w:spacing w:after="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5ml外旋冻存管</w:t>
            </w:r>
          </w:p>
          <w:p>
            <w:pPr>
              <w:spacing w:after="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2ml翻盖式PC冻存管盒</w:t>
            </w:r>
          </w:p>
          <w:p>
            <w:pPr>
              <w:spacing w:after="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丁腈手套（S号）</w:t>
            </w:r>
          </w:p>
          <w:p>
            <w:pPr>
              <w:spacing w:after="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丁腈手套（M号）</w:t>
            </w:r>
          </w:p>
          <w:p>
            <w:pPr>
              <w:spacing w:after="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丁腈手套（L号）</w:t>
            </w:r>
          </w:p>
          <w:p>
            <w:pPr>
              <w:spacing w:after="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紫色丁腈加长手套（M号）</w:t>
            </w:r>
          </w:p>
          <w:p>
            <w:pPr>
              <w:spacing w:after="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PE手套</w:t>
            </w:r>
          </w:p>
          <w:p>
            <w:pPr>
              <w:spacing w:after="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75cm2细胞培养瓶</w:t>
            </w:r>
          </w:p>
          <w:p>
            <w:pPr>
              <w:spacing w:after="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眼科剪（10cm直尖头）</w:t>
            </w:r>
          </w:p>
          <w:p>
            <w:pPr>
              <w:spacing w:after="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14G金属穿刺针(2.1*150)</w:t>
            </w:r>
          </w:p>
          <w:p>
            <w:pPr>
              <w:spacing w:after="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背心袋（26x42cm，加厚）</w:t>
            </w:r>
          </w:p>
          <w:p>
            <w:pPr>
              <w:spacing w:after="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背心袋（30x48cm，加厚）</w:t>
            </w:r>
          </w:p>
          <w:p>
            <w:pPr>
              <w:spacing w:after="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厌氧产气袋</w:t>
            </w:r>
          </w:p>
          <w:p>
            <w:pPr>
              <w:spacing w:after="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75%酒精</w:t>
            </w:r>
          </w:p>
          <w:p>
            <w:pPr>
              <w:spacing w:after="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DNase/RNase-free ddH2O</w:t>
            </w:r>
          </w:p>
          <w:p>
            <w:pPr>
              <w:spacing w:after="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液氮</w:t>
            </w:r>
          </w:p>
          <w:p>
            <w:pPr>
              <w:spacing w:after="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甘油(AR)</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PET防护面罩/面屏</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医用一次性防护服（带脚套）</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衣领袖口清洁剂</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智能分析系统卡盒</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氨苄西林药敏纸片</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青霉素药敏纸片</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卡那霉素药敏纸片</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链霉素药敏纸片</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四环素药敏纸片</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红霉素药敏纸片</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新霉素药敏纸片</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头孢哌酮药敏纸片</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头孢噻肟药敏纸片</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头孢噻吩药敏纸片</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头孢他啶药敏纸片</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头孢羟氨苄药敏纸片</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多粘菌素B药敏纸片</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环丙沙星药敏纸片</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阿莫西林药敏纸片</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庆大霉素药敏纸片</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新生霉素药敏纸片</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一次性细菌接种环（10ul）</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100mm培养皿</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10ml吸头</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200ul盒装吸头</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300ul无菌盒装吸头</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1.5ml离心管</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2ml离心管</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5ml离心管</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10mL离心管</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15ml离心管</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50ml离心管</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10ml一次性移液管</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25ML一次性移液管</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1*PBS缓冲液PH7.2-7.4,0.01M</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纯净水</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消毒液</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三折装擦手纸</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抽纸巾S号</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医疗垃圾袋70*80cm*2.5S</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一次性丁腈手套加长款（S）</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一次性透明加样槽（通用）</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通用透明封板膜</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医疗利器盒（3升）</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10ml枪头通用枪头盒</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一次性无菌口罩</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塑料液体瓶</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塑料液体瓶</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平板凝集实验卡</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白大褂（夏季薄款）</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标准分液管standard tube dispensing cassette</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新洁尔灭消毒液</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黑色封板膜</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4.6毫升48孔透明深孔板</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带灯放大镜</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一次性鞋套</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一次性头帽</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耐酸碱橡胶手套S号</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耐酸碱橡胶手套M号</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50ml离心管</w:t>
            </w:r>
          </w:p>
          <w:p>
            <w:pPr>
              <w:spacing w:after="0"/>
              <w:jc w:val="left"/>
              <w:rPr>
                <w:rFonts w:hint="eastAsia" w:ascii="宋体" w:hAnsi="宋体" w:cs="宋体"/>
                <w:bCs/>
                <w:color w:val="auto"/>
                <w:szCs w:val="21"/>
                <w:highlight w:val="none"/>
              </w:rPr>
            </w:pPr>
            <w:r>
              <w:rPr>
                <w:rFonts w:hint="eastAsia" w:ascii="宋体" w:hAnsi="宋体" w:cs="宋体"/>
                <w:bCs/>
                <w:color w:val="auto"/>
                <w:szCs w:val="21"/>
                <w:highlight w:val="none"/>
              </w:rPr>
              <w:t>医用酒精湿巾</w:t>
            </w:r>
          </w:p>
        </w:tc>
        <w:tc>
          <w:tcPr>
            <w:tcW w:w="2815" w:type="dxa"/>
            <w:vAlign w:val="center"/>
          </w:tcPr>
          <w:p>
            <w:pPr>
              <w:spacing w:after="0"/>
              <w:jc w:val="center"/>
              <w:rPr>
                <w:rFonts w:hint="eastAsia" w:ascii="宋体" w:hAnsi="宋体" w:cs="宋体"/>
                <w:bCs/>
                <w:color w:val="auto"/>
                <w:szCs w:val="21"/>
                <w:highlight w:val="none"/>
              </w:rPr>
            </w:pPr>
            <w:r>
              <w:rPr>
                <w:rFonts w:hint="eastAsia" w:ascii="宋体" w:hAnsi="宋体" w:cs="宋体"/>
                <w:bCs/>
                <w:color w:val="auto"/>
                <w:szCs w:val="21"/>
                <w:highlight w:val="none"/>
              </w:rPr>
              <w:t>24.4210</w:t>
            </w:r>
          </w:p>
        </w:tc>
      </w:tr>
    </w:tbl>
    <w:p>
      <w:pPr>
        <w:tabs>
          <w:tab w:val="left" w:pos="312"/>
        </w:tabs>
        <w:spacing w:line="360" w:lineRule="auto"/>
        <w:ind w:left="480"/>
        <w:rPr>
          <w:rFonts w:hint="eastAsia" w:ascii="宋体" w:hAnsi="宋体" w:cs="宋体"/>
          <w:color w:val="auto"/>
          <w:sz w:val="24"/>
          <w:highlight w:val="none"/>
        </w:rPr>
      </w:pPr>
      <w:r>
        <w:rPr>
          <w:rFonts w:hint="eastAsia" w:ascii="宋体" w:hAnsi="宋体" w:cs="宋体"/>
          <w:color w:val="auto"/>
          <w:sz w:val="24"/>
          <w:highlight w:val="none"/>
        </w:rPr>
        <w:t>注：本项目不接受进口产品投标。</w:t>
      </w:r>
    </w:p>
    <w:p>
      <w:pPr>
        <w:numPr>
          <w:ilvl w:val="0"/>
          <w:numId w:val="11"/>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限：自合同签订之日起一年，合同履行期内投标单位应在签订合同后15天内具备供货能力。采购人根据需要向投标单位发出供货通知，投标单位收到通知后3天内完成供货。如遇极端天气等客观因素，影响到货时间的，投标单位须向采购人书面说明，交货期可延长5天。</w:t>
      </w:r>
    </w:p>
    <w:p>
      <w:pPr>
        <w:numPr>
          <w:ilvl w:val="0"/>
          <w:numId w:val="11"/>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本项目是否接受联合体投标：□是  ■否。</w:t>
      </w:r>
    </w:p>
    <w:p>
      <w:pPr>
        <w:pStyle w:val="3"/>
        <w:spacing w:before="0" w:line="360" w:lineRule="auto"/>
        <w:jc w:val="left"/>
        <w:rPr>
          <w:rFonts w:hint="eastAsia" w:ascii="宋体" w:hAnsi="宋体" w:eastAsia="宋体" w:cs="宋体"/>
          <w:color w:val="auto"/>
          <w:sz w:val="24"/>
          <w:szCs w:val="24"/>
          <w:highlight w:val="none"/>
        </w:rPr>
      </w:pPr>
      <w:bookmarkStart w:id="8" w:name="_Toc28359003"/>
      <w:bookmarkStart w:id="9" w:name="_Toc35393791"/>
      <w:bookmarkStart w:id="10" w:name="_Toc35393622"/>
      <w:bookmarkStart w:id="11" w:name="_Toc28359080"/>
      <w:r>
        <w:rPr>
          <w:rFonts w:hint="eastAsia" w:ascii="宋体" w:hAnsi="宋体" w:eastAsia="宋体" w:cs="宋体"/>
          <w:color w:val="auto"/>
          <w:sz w:val="24"/>
          <w:szCs w:val="24"/>
          <w:highlight w:val="none"/>
        </w:rPr>
        <w:t>二、申请人的资格要求（须同时满足）</w:t>
      </w:r>
      <w:bookmarkEnd w:id="8"/>
      <w:bookmarkEnd w:id="9"/>
      <w:bookmarkEnd w:id="10"/>
      <w:bookmarkEnd w:id="11"/>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pPr>
        <w:spacing w:line="360" w:lineRule="auto"/>
        <w:ind w:firstLine="480" w:firstLineChars="200"/>
        <w:rPr>
          <w:rFonts w:hint="eastAsia" w:ascii="宋体" w:hAnsi="宋体" w:cs="宋体"/>
          <w:color w:val="auto"/>
          <w:sz w:val="24"/>
          <w:highlight w:val="none"/>
        </w:rPr>
      </w:pPr>
      <w:bookmarkStart w:id="12" w:name="_Toc28359004"/>
      <w:bookmarkStart w:id="13" w:name="_Toc28359081"/>
      <w:r>
        <w:rPr>
          <w:rFonts w:hint="eastAsia" w:ascii="宋体" w:hAnsi="宋体" w:cs="宋体"/>
          <w:color w:val="auto"/>
          <w:sz w:val="24"/>
          <w:highlight w:val="none"/>
        </w:rPr>
        <w:t>2.落实政府采购政策需满足的资格要求：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 中小企业政策</w:t>
      </w:r>
    </w:p>
    <w:p>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本项目不专门面向中小企业预留采购份额。</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u w:val="single"/>
        </w:rPr>
        <w:t>本项目专门面向</w:t>
      </w:r>
      <w:r>
        <w:rPr>
          <w:rFonts w:hint="eastAsia" w:ascii="宋体" w:hAnsi="宋体" w:cs="宋体"/>
          <w:b/>
          <w:color w:val="auto"/>
          <w:sz w:val="24"/>
          <w:highlight w:val="none"/>
          <w:u w:val="single"/>
        </w:rPr>
        <w:t>□</w:t>
      </w:r>
      <w:r>
        <w:rPr>
          <w:rFonts w:hint="eastAsia" w:ascii="宋体" w:hAnsi="宋体" w:cs="宋体"/>
          <w:color w:val="auto"/>
          <w:sz w:val="24"/>
          <w:highlight w:val="none"/>
          <w:u w:val="single"/>
        </w:rPr>
        <w:t>中小□小微企业采购</w:t>
      </w:r>
      <w:r>
        <w:rPr>
          <w:rFonts w:hint="eastAsia" w:ascii="宋体" w:hAnsi="宋体" w:cs="宋体"/>
          <w:color w:val="auto"/>
          <w:sz w:val="24"/>
          <w:highlight w:val="none"/>
        </w:rPr>
        <w:t>。即：提供的货物全部由符合政策要求的中小企业制造。</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w:t>
      </w:r>
      <w:r>
        <w:rPr>
          <w:rFonts w:hint="eastAsia" w:ascii="宋体" w:hAnsi="宋体" w:cs="宋体"/>
          <w:color w:val="auto"/>
          <w:sz w:val="24"/>
          <w:highlight w:val="none"/>
          <w:u w:val="single"/>
        </w:rPr>
        <w:t>/</w:t>
      </w:r>
      <w:r>
        <w:rPr>
          <w:rFonts w:hint="eastAsia" w:ascii="宋体" w:hAnsi="宋体" w:cs="宋体"/>
          <w:color w:val="auto"/>
          <w:sz w:val="24"/>
          <w:highlight w:val="none"/>
        </w:rPr>
        <w:t>_。</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 其它落实政府采购政策的资格要求：</w:t>
      </w:r>
    </w:p>
    <w:p>
      <w:pPr>
        <w:spacing w:line="360" w:lineRule="auto"/>
        <w:ind w:left="1078" w:leftChars="399" w:hanging="240" w:hangingChars="100"/>
        <w:rPr>
          <w:rFonts w:hint="eastAsia" w:ascii="宋体" w:hAnsi="宋体" w:cs="宋体"/>
          <w:color w:val="auto"/>
          <w:sz w:val="24"/>
          <w:highlight w:val="none"/>
        </w:rPr>
      </w:pPr>
      <w:r>
        <w:rPr>
          <w:rFonts w:hint="eastAsia" w:ascii="宋体" w:hAnsi="宋体" w:cs="宋体"/>
          <w:color w:val="auto"/>
          <w:sz w:val="24"/>
          <w:highlight w:val="none"/>
        </w:rPr>
        <w:t>1)依据《关于政府采购支持监狱企业发展有关问题的通知》（财库〔2014〕68号）、《关于促进残疾人就业政府采购政策的通知》（财库〔2017〕141号），监狱企业及残疾人福利性单位适用于政府采购促进中小企业发展的相关政策,但不重复享受政策。</w:t>
      </w:r>
    </w:p>
    <w:p>
      <w:pPr>
        <w:spacing w:line="360" w:lineRule="auto"/>
        <w:ind w:left="1078" w:leftChars="399" w:hanging="240" w:hangingChars="100"/>
        <w:rPr>
          <w:rFonts w:hint="eastAsia" w:ascii="宋体" w:hAnsi="宋体" w:cs="宋体"/>
          <w:color w:val="auto"/>
          <w:sz w:val="24"/>
          <w:highlight w:val="none"/>
        </w:rPr>
      </w:pPr>
      <w:r>
        <w:rPr>
          <w:rFonts w:hint="eastAsia" w:ascii="宋体" w:hAnsi="宋体" w:cs="宋体"/>
          <w:color w:val="auto"/>
          <w:sz w:val="24"/>
          <w:highlight w:val="none"/>
        </w:rPr>
        <w:t>2)未被信用中国网站（www.creditchina.gov.cn）、中国政府采购网（www.ccgp.gov.cn）列入失信被执行人、重大税收违法案件当事人名单、政府采购严重违法失信行为记录名单（处罚执行有效期失效的除外）。</w:t>
      </w:r>
    </w:p>
    <w:p>
      <w:pPr>
        <w:spacing w:line="360" w:lineRule="auto"/>
        <w:ind w:left="1080" w:leftChars="400" w:hanging="240" w:hangingChars="100"/>
        <w:rPr>
          <w:rFonts w:hint="eastAsia" w:ascii="宋体" w:hAnsi="宋体" w:cs="宋体"/>
          <w:color w:val="auto"/>
          <w:sz w:val="24"/>
          <w:highlight w:val="none"/>
        </w:rPr>
      </w:pPr>
      <w:r>
        <w:rPr>
          <w:rFonts w:hint="eastAsia" w:ascii="宋体" w:hAnsi="宋体" w:cs="宋体"/>
          <w:color w:val="auto"/>
          <w:sz w:val="24"/>
          <w:highlight w:val="none"/>
        </w:rPr>
        <w:t>3）采购人在政府采购活动中根据项目类别和性质执行相应的节约能源、保护环境、扶持不发达地区和少数民族地区等政府采购政策。</w:t>
      </w:r>
    </w:p>
    <w:p>
      <w:pPr>
        <w:spacing w:line="360" w:lineRule="auto"/>
        <w:ind w:firstLine="480" w:firstLineChars="200"/>
        <w:rPr>
          <w:rFonts w:hint="eastAsia" w:ascii="宋体" w:hAnsi="宋体" w:cs="宋体"/>
          <w:i/>
          <w:iCs/>
          <w:color w:val="auto"/>
          <w:sz w:val="24"/>
          <w:highlight w:val="none"/>
          <w:u w:val="single"/>
        </w:rPr>
      </w:pPr>
      <w:r>
        <w:rPr>
          <w:rFonts w:hint="eastAsia" w:ascii="宋体" w:hAnsi="宋体" w:cs="宋体"/>
          <w:color w:val="auto"/>
          <w:sz w:val="24"/>
          <w:highlight w:val="none"/>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3.1本项目是否属于政府购买服务：</w:t>
      </w:r>
    </w:p>
    <w:p>
      <w:pPr>
        <w:tabs>
          <w:tab w:val="left" w:pos="900"/>
          <w:tab w:val="left" w:pos="1134"/>
          <w:tab w:val="left" w:pos="1589"/>
          <w:tab w:val="left" w:pos="5521"/>
        </w:tabs>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■否</w:t>
      </w:r>
    </w:p>
    <w:p>
      <w:pPr>
        <w:tabs>
          <w:tab w:val="left" w:pos="900"/>
          <w:tab w:val="left" w:pos="1134"/>
          <w:tab w:val="left" w:pos="1589"/>
          <w:tab w:val="left" w:pos="5521"/>
        </w:tabs>
        <w:snapToGrid w:val="0"/>
        <w:spacing w:line="360" w:lineRule="auto"/>
        <w:ind w:left="991" w:leftChars="472" w:firstLine="2"/>
        <w:rPr>
          <w:rFonts w:hint="eastAsia" w:ascii="宋体" w:hAnsi="宋体" w:cs="宋体"/>
          <w:color w:val="auto"/>
          <w:sz w:val="24"/>
          <w:highlight w:val="none"/>
        </w:rPr>
      </w:pPr>
      <w:r>
        <w:rPr>
          <w:rFonts w:hint="eastAsia" w:ascii="宋体" w:hAnsi="宋体" w:cs="宋体"/>
          <w:color w:val="auto"/>
          <w:sz w:val="24"/>
          <w:highlight w:val="none"/>
        </w:rPr>
        <w:t>□是，公益一类事业单位、使用事业编制且由财政拨款保障的群团组织，不得作为承接主体；</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3.2其他特定资格要求：</w:t>
      </w:r>
    </w:p>
    <w:p>
      <w:pPr>
        <w:spacing w:line="360" w:lineRule="auto"/>
        <w:ind w:left="1078" w:leftChars="399" w:hanging="240" w:hangingChars="100"/>
        <w:rPr>
          <w:rFonts w:hint="eastAsia" w:ascii="宋体" w:hAnsi="宋体" w:cs="宋体"/>
          <w:color w:val="auto"/>
          <w:sz w:val="24"/>
          <w:highlight w:val="none"/>
        </w:rPr>
      </w:pPr>
      <w:r>
        <w:rPr>
          <w:rFonts w:hint="eastAsia" w:ascii="宋体" w:hAnsi="宋体" w:cs="宋体"/>
          <w:color w:val="auto"/>
          <w:sz w:val="24"/>
          <w:highlight w:val="none"/>
        </w:rPr>
        <w:t>1）单位负责人为同一人或者存在控股、管理关系的不同单位，不得同时参加本项目的投标。为本项目提供整体设计、规范编制或者项目管理、监理、检测等服务的投标人，不得再参加本项目投标。</w:t>
      </w:r>
    </w:p>
    <w:p>
      <w:pPr>
        <w:spacing w:line="360" w:lineRule="auto"/>
        <w:ind w:left="1078" w:leftChars="399" w:hanging="240" w:hangingChars="100"/>
        <w:rPr>
          <w:rFonts w:hint="eastAsia" w:ascii="宋体" w:hAnsi="宋体" w:cs="宋体"/>
          <w:color w:val="auto"/>
          <w:sz w:val="24"/>
          <w:highlight w:val="none"/>
        </w:rPr>
      </w:pPr>
      <w:bookmarkStart w:id="14" w:name="_Hlk192493146"/>
      <w:r>
        <w:rPr>
          <w:rFonts w:hint="eastAsia" w:ascii="宋体" w:hAnsi="宋体" w:cs="宋体"/>
          <w:color w:val="auto"/>
          <w:sz w:val="24"/>
          <w:highlight w:val="none"/>
        </w:rPr>
        <w:t>2）投标人须具备有效的兽药生产许可证或兽药经营许可证或医疗器械经营许可证或医疗器械经营备案凭证或医疗器械产品备案凭证（在投标文件中提供电子件并加盖公章）。</w:t>
      </w:r>
    </w:p>
    <w:p>
      <w:pPr>
        <w:spacing w:line="360" w:lineRule="auto"/>
        <w:ind w:left="1078" w:leftChars="399" w:hanging="240" w:hangingChars="100"/>
        <w:rPr>
          <w:rFonts w:hint="eastAsia" w:ascii="宋体" w:hAnsi="宋体" w:cs="宋体"/>
          <w:color w:val="auto"/>
          <w:sz w:val="24"/>
          <w:highlight w:val="none"/>
        </w:rPr>
      </w:pPr>
      <w:r>
        <w:rPr>
          <w:rFonts w:hint="eastAsia" w:ascii="宋体" w:hAnsi="宋体" w:cs="宋体"/>
          <w:color w:val="auto"/>
          <w:sz w:val="24"/>
          <w:highlight w:val="none"/>
        </w:rPr>
        <w:t>3）投标人须具备有效的危险化学品安全生产许可证或危险化学品经营许可证（在投标文件中提供电子件并加盖公章）。</w:t>
      </w:r>
    </w:p>
    <w:p>
      <w:pPr>
        <w:spacing w:line="360" w:lineRule="auto"/>
        <w:ind w:left="1078" w:leftChars="399" w:hanging="240" w:hangingChars="100"/>
        <w:rPr>
          <w:rFonts w:hint="eastAsia" w:ascii="宋体" w:hAnsi="宋体" w:cs="宋体"/>
          <w:color w:val="auto"/>
          <w:sz w:val="24"/>
          <w:highlight w:val="none"/>
        </w:rPr>
      </w:pPr>
      <w:r>
        <w:rPr>
          <w:rFonts w:hint="eastAsia" w:ascii="宋体" w:hAnsi="宋体" w:cs="宋体"/>
          <w:color w:val="auto"/>
          <w:sz w:val="24"/>
          <w:highlight w:val="none"/>
        </w:rPr>
        <w:t>4）若投标人自己运输，须具有有效的《道路运输经营许可证》（其中经营范围含道路危险货物运输）（在投标文件中提供电子件并加盖公章）；若投标人委托运输，须提供双方合作协议电子件，及被委托人的有效的《道路运输经营许可证》（其中经营范围含道路危险货物运输)（在投标文件中提供电子件并加盖公章）。</w:t>
      </w:r>
    </w:p>
    <w:bookmarkEnd w:id="12"/>
    <w:bookmarkEnd w:id="13"/>
    <w:bookmarkEnd w:id="14"/>
    <w:p>
      <w:pPr>
        <w:pStyle w:val="3"/>
        <w:widowControl/>
        <w:spacing w:before="0" w:line="360" w:lineRule="auto"/>
        <w:jc w:val="left"/>
        <w:rPr>
          <w:rFonts w:hint="eastAsia" w:ascii="宋体" w:hAnsi="宋体" w:eastAsia="宋体" w:cs="宋体"/>
          <w:color w:val="auto"/>
          <w:sz w:val="24"/>
          <w:szCs w:val="24"/>
          <w:highlight w:val="none"/>
        </w:rPr>
      </w:pPr>
      <w:bookmarkStart w:id="15" w:name="_Toc35393623"/>
      <w:bookmarkStart w:id="16" w:name="_Toc35393792"/>
      <w:r>
        <w:rPr>
          <w:rFonts w:hint="eastAsia" w:ascii="宋体" w:hAnsi="宋体" w:eastAsia="宋体" w:cs="宋体"/>
          <w:color w:val="auto"/>
          <w:sz w:val="24"/>
          <w:szCs w:val="24"/>
          <w:highlight w:val="none"/>
        </w:rPr>
        <w:t>三、获取招标文件</w:t>
      </w:r>
      <w:bookmarkEnd w:id="15"/>
      <w:bookmarkEnd w:id="16"/>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1.时间：</w:t>
      </w:r>
      <w:r>
        <w:rPr>
          <w:rFonts w:hint="eastAsia" w:ascii="宋体" w:hAnsi="宋体" w:cs="宋体"/>
          <w:color w:val="auto"/>
          <w:sz w:val="24"/>
          <w:highlight w:val="none"/>
          <w:u w:val="single"/>
        </w:rPr>
        <w:t xml:space="preserve">2026年 </w:t>
      </w:r>
      <w:r>
        <w:rPr>
          <w:rFonts w:hint="eastAsia" w:ascii="宋体" w:hAnsi="宋体" w:cs="宋体"/>
          <w:color w:val="auto"/>
          <w:sz w:val="24"/>
          <w:highlight w:val="none"/>
          <w:u w:val="single"/>
          <w:lang w:eastAsia="zh-CN"/>
        </w:rPr>
        <w:t>4</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eastAsia="zh-CN"/>
        </w:rPr>
        <w:t>9</w:t>
      </w:r>
      <w:r>
        <w:rPr>
          <w:rFonts w:hint="eastAsia" w:ascii="宋体" w:hAnsi="宋体" w:cs="宋体"/>
          <w:color w:val="auto"/>
          <w:sz w:val="24"/>
          <w:highlight w:val="none"/>
          <w:u w:val="single"/>
        </w:rPr>
        <w:t>日8：</w:t>
      </w:r>
      <w:r>
        <w:rPr>
          <w:rFonts w:hint="eastAsia" w:ascii="宋体" w:hAnsi="宋体" w:cs="宋体"/>
          <w:color w:val="auto"/>
          <w:sz w:val="24"/>
          <w:highlight w:val="none"/>
          <w:u w:val="single"/>
          <w:lang w:eastAsia="zh-CN"/>
        </w:rPr>
        <w:t>0</w:t>
      </w:r>
      <w:r>
        <w:rPr>
          <w:rFonts w:hint="eastAsia" w:ascii="宋体" w:hAnsi="宋体" w:cs="宋体"/>
          <w:color w:val="auto"/>
          <w:sz w:val="24"/>
          <w:highlight w:val="none"/>
          <w:u w:val="single"/>
        </w:rPr>
        <w:t xml:space="preserve">0至2026年 </w:t>
      </w:r>
      <w:r>
        <w:rPr>
          <w:rFonts w:hint="eastAsia" w:ascii="宋体" w:hAnsi="宋体" w:cs="宋体"/>
          <w:color w:val="auto"/>
          <w:sz w:val="24"/>
          <w:highlight w:val="none"/>
          <w:u w:val="single"/>
          <w:lang w:eastAsia="zh-CN"/>
        </w:rPr>
        <w:t>4</w:t>
      </w:r>
      <w:r>
        <w:rPr>
          <w:rFonts w:hint="eastAsia" w:ascii="宋体" w:hAnsi="宋体" w:cs="宋体"/>
          <w:color w:val="auto"/>
          <w:sz w:val="24"/>
          <w:highlight w:val="none"/>
          <w:u w:val="single"/>
        </w:rPr>
        <w:t xml:space="preserve"> 月 </w:t>
      </w:r>
      <w:r>
        <w:rPr>
          <w:rFonts w:hint="eastAsia" w:ascii="宋体" w:hAnsi="宋体" w:cs="宋体"/>
          <w:color w:val="auto"/>
          <w:sz w:val="24"/>
          <w:highlight w:val="none"/>
          <w:u w:val="single"/>
          <w:lang w:eastAsia="zh-CN"/>
        </w:rPr>
        <w:t>1</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 xml:space="preserve"> 日</w:t>
      </w:r>
      <w:r>
        <w:rPr>
          <w:rFonts w:hint="eastAsia" w:ascii="宋体" w:hAnsi="宋体" w:cs="宋体"/>
          <w:color w:val="auto"/>
          <w:sz w:val="24"/>
          <w:highlight w:val="none"/>
          <w:u w:val="single"/>
          <w:lang w:eastAsia="zh-CN"/>
        </w:rPr>
        <w:t>1</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：00_</w:t>
      </w:r>
      <w:r>
        <w:rPr>
          <w:rFonts w:hint="eastAsia" w:ascii="宋体" w:hAnsi="宋体" w:cs="宋体"/>
          <w:color w:val="auto"/>
          <w:sz w:val="24"/>
          <w:highlight w:val="none"/>
        </w:rPr>
        <w:t>（北京时间，法定节假日除外）。</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2.地点：北京市政府采购电子交易平台</w:t>
      </w:r>
    </w:p>
    <w:p>
      <w:pPr>
        <w:widowControl/>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3.方式：投标人持CA数字认证证书或电子营业执照登录北京市政府采购电子交易平台（http://zbcg-bjzc.zhongcy.com/bjczj-portal-site/index.htmL#/home）获取电子版招标文件。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4.售价：0元。</w:t>
      </w:r>
    </w:p>
    <w:p>
      <w:pPr>
        <w:pStyle w:val="3"/>
        <w:widowControl/>
        <w:spacing w:before="0" w:line="360" w:lineRule="auto"/>
        <w:jc w:val="left"/>
        <w:rPr>
          <w:rFonts w:hint="eastAsia" w:ascii="宋体" w:hAnsi="宋体" w:eastAsia="宋体" w:cs="宋体"/>
          <w:color w:val="auto"/>
          <w:sz w:val="24"/>
          <w:szCs w:val="24"/>
          <w:highlight w:val="none"/>
        </w:rPr>
      </w:pPr>
      <w:bookmarkStart w:id="17" w:name="_Toc28359082"/>
      <w:bookmarkStart w:id="18" w:name="_Toc28359005"/>
      <w:bookmarkStart w:id="19" w:name="_Toc35393793"/>
      <w:bookmarkStart w:id="20" w:name="_Toc35393624"/>
      <w:r>
        <w:rPr>
          <w:rFonts w:hint="eastAsia" w:ascii="宋体" w:hAnsi="宋体" w:eastAsia="宋体" w:cs="宋体"/>
          <w:color w:val="auto"/>
          <w:sz w:val="24"/>
          <w:szCs w:val="24"/>
          <w:highlight w:val="none"/>
        </w:rPr>
        <w:t>四、提交投标文件</w:t>
      </w:r>
      <w:bookmarkEnd w:id="17"/>
      <w:bookmarkEnd w:id="18"/>
      <w:r>
        <w:rPr>
          <w:rFonts w:hint="eastAsia" w:ascii="宋体" w:hAnsi="宋体" w:eastAsia="宋体" w:cs="宋体"/>
          <w:color w:val="auto"/>
          <w:sz w:val="24"/>
          <w:szCs w:val="24"/>
          <w:highlight w:val="none"/>
        </w:rPr>
        <w:t>截止时间、开标时间和地点</w:t>
      </w:r>
      <w:bookmarkEnd w:id="19"/>
      <w:bookmarkEnd w:id="20"/>
    </w:p>
    <w:p>
      <w:pPr>
        <w:spacing w:line="360" w:lineRule="auto"/>
        <w:ind w:firstLine="482" w:firstLineChars="200"/>
        <w:rPr>
          <w:rFonts w:hint="eastAsia" w:ascii="宋体" w:hAnsi="宋体" w:cs="宋体"/>
          <w:b/>
          <w:bCs/>
          <w:color w:val="auto"/>
          <w:sz w:val="24"/>
          <w:highlight w:val="none"/>
          <w:u w:val="single"/>
        </w:rPr>
      </w:pPr>
      <w:r>
        <w:rPr>
          <w:rFonts w:hint="eastAsia" w:ascii="宋体" w:hAnsi="宋体" w:cs="宋体"/>
          <w:b/>
          <w:bCs/>
          <w:color w:val="auto"/>
          <w:sz w:val="24"/>
          <w:highlight w:val="none"/>
        </w:rPr>
        <w:t>投标截止时间、开标时间：</w:t>
      </w:r>
      <w:r>
        <w:rPr>
          <w:rFonts w:hint="eastAsia" w:ascii="宋体" w:hAnsi="宋体" w:cs="宋体"/>
          <w:b/>
          <w:bCs/>
          <w:color w:val="auto"/>
          <w:sz w:val="24"/>
          <w:highlight w:val="none"/>
          <w:u w:val="single"/>
        </w:rPr>
        <w:t>2026年</w:t>
      </w:r>
      <w:r>
        <w:rPr>
          <w:rFonts w:hint="eastAsia" w:ascii="宋体" w:hAnsi="宋体" w:cs="宋体"/>
          <w:b/>
          <w:bCs/>
          <w:color w:val="auto"/>
          <w:sz w:val="24"/>
          <w:highlight w:val="none"/>
          <w:u w:val="single"/>
          <w:lang w:val="en-US" w:eastAsia="zh-CN"/>
        </w:rPr>
        <w:t>5</w:t>
      </w:r>
      <w:r>
        <w:rPr>
          <w:rFonts w:hint="eastAsia" w:ascii="宋体" w:hAnsi="宋体" w:cs="宋体"/>
          <w:b/>
          <w:bCs/>
          <w:color w:val="auto"/>
          <w:sz w:val="24"/>
          <w:highlight w:val="none"/>
          <w:u w:val="single"/>
        </w:rPr>
        <w:t>月</w:t>
      </w:r>
      <w:r>
        <w:rPr>
          <w:rFonts w:hint="eastAsia" w:ascii="宋体" w:hAnsi="宋体" w:cs="宋体"/>
          <w:b/>
          <w:bCs/>
          <w:color w:val="auto"/>
          <w:sz w:val="24"/>
          <w:highlight w:val="none"/>
          <w:u w:val="single"/>
          <w:lang w:val="en-US" w:eastAsia="zh-CN"/>
        </w:rPr>
        <w:t>13</w:t>
      </w:r>
      <w:bookmarkStart w:id="943" w:name="_GoBack"/>
      <w:bookmarkEnd w:id="943"/>
      <w:r>
        <w:rPr>
          <w:rFonts w:hint="eastAsia" w:ascii="宋体" w:hAnsi="宋体" w:cs="宋体"/>
          <w:b/>
          <w:bCs/>
          <w:color w:val="auto"/>
          <w:sz w:val="24"/>
          <w:highlight w:val="none"/>
          <w:u w:val="single"/>
        </w:rPr>
        <w:t>日09点30分</w:t>
      </w:r>
      <w:r>
        <w:rPr>
          <w:rFonts w:hint="eastAsia" w:ascii="宋体" w:hAnsi="宋体" w:cs="宋体"/>
          <w:b/>
          <w:bCs/>
          <w:color w:val="auto"/>
          <w:sz w:val="24"/>
          <w:highlight w:val="none"/>
        </w:rPr>
        <w:t>（北京时间）</w:t>
      </w:r>
      <w:r>
        <w:rPr>
          <w:rFonts w:hint="eastAsia" w:ascii="宋体" w:hAnsi="宋体" w:cs="宋体"/>
          <w:b/>
          <w:bCs/>
          <w:iCs/>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地点：北京市政府采购电子交易平台</w:t>
      </w:r>
    </w:p>
    <w:p>
      <w:pPr>
        <w:spacing w:line="360" w:lineRule="auto"/>
        <w:ind w:firstLine="480" w:firstLineChars="200"/>
        <w:rPr>
          <w:rFonts w:hint="eastAsia" w:ascii="宋体" w:hAnsi="宋体" w:cs="宋体"/>
          <w:bCs/>
          <w:color w:val="auto"/>
          <w:sz w:val="24"/>
          <w:highlight w:val="none"/>
          <w:u w:val="single"/>
        </w:rPr>
      </w:pPr>
      <w:r>
        <w:rPr>
          <w:rFonts w:hint="eastAsia" w:ascii="宋体" w:hAnsi="宋体" w:cs="宋体"/>
          <w:color w:val="auto"/>
          <w:sz w:val="24"/>
          <w:highlight w:val="none"/>
        </w:rPr>
        <w:t>方式：供应商持CA数字认证证书或电子营业执照登录北京市政府采购电子交易平台（http://zbcg-bjzc.zhongcy.com/bjczj-portal-site/index.htmL#/home）参与电子开标。</w:t>
      </w:r>
    </w:p>
    <w:p>
      <w:pPr>
        <w:pStyle w:val="3"/>
        <w:spacing w:before="0" w:line="360" w:lineRule="auto"/>
        <w:jc w:val="left"/>
        <w:rPr>
          <w:rFonts w:hint="eastAsia" w:ascii="宋体" w:hAnsi="宋体" w:eastAsia="宋体" w:cs="宋体"/>
          <w:color w:val="auto"/>
          <w:sz w:val="24"/>
          <w:szCs w:val="24"/>
          <w:highlight w:val="none"/>
        </w:rPr>
      </w:pPr>
      <w:bookmarkStart w:id="21" w:name="_Toc35393625"/>
      <w:bookmarkStart w:id="22" w:name="_Toc35393794"/>
      <w:bookmarkStart w:id="23" w:name="_Toc28359084"/>
      <w:bookmarkStart w:id="24" w:name="_Toc28359007"/>
      <w:r>
        <w:rPr>
          <w:rFonts w:hint="eastAsia" w:ascii="宋体" w:hAnsi="宋体" w:eastAsia="宋体" w:cs="宋体"/>
          <w:color w:val="auto"/>
          <w:sz w:val="24"/>
          <w:szCs w:val="24"/>
          <w:highlight w:val="none"/>
        </w:rPr>
        <w:t>五、公告期限</w:t>
      </w:r>
      <w:bookmarkEnd w:id="21"/>
      <w:bookmarkEnd w:id="22"/>
      <w:bookmarkEnd w:id="23"/>
      <w:bookmarkEnd w:id="24"/>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pPr>
        <w:pStyle w:val="3"/>
        <w:spacing w:before="0" w:line="360" w:lineRule="auto"/>
        <w:jc w:val="left"/>
        <w:rPr>
          <w:rFonts w:hint="eastAsia" w:ascii="宋体" w:hAnsi="宋体" w:eastAsia="宋体" w:cs="宋体"/>
          <w:color w:val="auto"/>
          <w:sz w:val="24"/>
          <w:szCs w:val="24"/>
          <w:highlight w:val="none"/>
        </w:rPr>
      </w:pPr>
      <w:bookmarkStart w:id="25" w:name="_Toc35393795"/>
      <w:bookmarkStart w:id="26" w:name="_Toc35393626"/>
      <w:r>
        <w:rPr>
          <w:rFonts w:hint="eastAsia" w:ascii="宋体" w:hAnsi="宋体" w:eastAsia="宋体" w:cs="宋体"/>
          <w:color w:val="auto"/>
          <w:sz w:val="24"/>
          <w:szCs w:val="24"/>
          <w:highlight w:val="none"/>
        </w:rPr>
        <w:t>六、其他补充事宜</w:t>
      </w:r>
      <w:bookmarkEnd w:id="25"/>
      <w:bookmarkEnd w:id="26"/>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项目需要落实的政府采购政策：根据本项目采购内容和性质，如果需要将执行强制、优先采购节能、环境标志产品，促进中小企业发展、支持监狱企业及残疾人福利性单位发展，推广政府采购信用担保工作等政府采购政策。</w:t>
      </w:r>
    </w:p>
    <w:p>
      <w:pPr>
        <w:widowControl/>
        <w:adjustRightInd w:val="0"/>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color w:val="auto"/>
          <w:sz w:val="24"/>
          <w:highlight w:val="none"/>
        </w:rPr>
        <w:t>2.本项目采用</w:t>
      </w:r>
      <w:r>
        <w:rPr>
          <w:rFonts w:hint="eastAsia" w:ascii="宋体" w:hAnsi="宋体" w:cs="宋体"/>
          <w:b/>
          <w:bCs/>
          <w:color w:val="auto"/>
          <w:sz w:val="24"/>
          <w:highlight w:val="none"/>
        </w:rPr>
        <w:t>全流程电子化采购方式</w:t>
      </w:r>
      <w:r>
        <w:rPr>
          <w:rFonts w:hint="eastAsia" w:ascii="宋体" w:hAnsi="宋体" w:cs="宋体"/>
          <w:color w:val="auto"/>
          <w:sz w:val="24"/>
          <w:highlight w:val="none"/>
        </w:rPr>
        <w:t>，请投标人认真学习北京市政府采购电子交易平台发布的相关操作手册，(投标人可在交易平台下载相关手册)，办理 CA 数字证书或电子营业执照，进行北京市政府采购电子交易平台注册绑定，并认真核实</w:t>
      </w:r>
      <w:r>
        <w:rPr>
          <w:rFonts w:hint="eastAsia" w:ascii="宋体" w:hAnsi="宋体" w:cs="宋体"/>
          <w:bCs/>
          <w:color w:val="auto"/>
          <w:sz w:val="24"/>
          <w:highlight w:val="none"/>
        </w:rPr>
        <w:t>CA 数字证书或电子营业执照情况确认是否符合本项目电子化采购流程要求。</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CA认证证书服务热线 010-58511086</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电子营业执照服务热线 400-699-7000</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技术支持服务热线    010-86483801</w:t>
      </w:r>
    </w:p>
    <w:p>
      <w:pPr>
        <w:widowControl/>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3.1办理CA认证证书或电子营业执照</w:t>
      </w:r>
    </w:p>
    <w:p>
      <w:pPr>
        <w:widowControl/>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投标人登录北京市政府采购电子交易平台查阅 “用户指南”—“操作指南”—“市场主体CA办理操作流程指引”/“ 电子营业执照使用指南”，按照程序要求办理。</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3.2注册</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3.3驱动、客户端下载</w:t>
      </w:r>
    </w:p>
    <w:p>
      <w:pPr>
        <w:widowControl/>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投标人登录北京市政府采购电子交易平台“用户指南”—“工具下载”—“招标采购系统文件驱动安装包”下载相关驱动。</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投标人登录北京市政府采购电子交易平台“用户指南”—“工具下载”—“投标文件编制工具”下载相关客户端。</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 获取电子招标文件</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投标人持CA数字认证证书或电子营业执照登录北京市政府采购电子交易平台获取电子招标文件。</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如计划参与多个采购包的投标，应在登录北京市政府采购电子交易平台后，在【我的项目】栏目依次选择对应采购包，进入项目工作台招标/招标文件环节分别按采购包下载招标文件电子版。未在规定期限内按上述操作获取文件的采购包，投标人无法提交相应包的电子投标文件。</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3.5编制电子投标文件</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投标人应使用电子投标客户端编制电子投标文件并进行线上投标，投标人电子投标文件需要加密并加盖电子签章</w:t>
      </w:r>
      <w:r>
        <w:rPr>
          <w:rFonts w:hint="eastAsia" w:ascii="宋体" w:hAnsi="宋体" w:cs="宋体"/>
          <w:bCs/>
          <w:color w:val="auto"/>
          <w:sz w:val="24"/>
          <w:highlight w:val="none"/>
        </w:rPr>
        <w:t>，如无法按照要求在电子投标文件中加盖电子签章和加密，请及时通过技术支持服务热线联系技术人员</w:t>
      </w:r>
      <w:r>
        <w:rPr>
          <w:rFonts w:hint="eastAsia" w:ascii="宋体" w:hAnsi="宋体" w:cs="宋体"/>
          <w:color w:val="auto"/>
          <w:sz w:val="24"/>
          <w:highlight w:val="none"/>
        </w:rPr>
        <w:t>。</w:t>
      </w:r>
    </w:p>
    <w:p>
      <w:pPr>
        <w:widowControl/>
        <w:spacing w:line="360" w:lineRule="auto"/>
        <w:ind w:firstLine="480" w:firstLineChars="200"/>
        <w:jc w:val="left"/>
        <w:rPr>
          <w:rFonts w:hint="eastAsia" w:ascii="宋体" w:hAnsi="宋体" w:cs="宋体"/>
          <w:color w:val="auto"/>
          <w:sz w:val="24"/>
          <w:highlight w:val="none"/>
          <w:lang w:val="zh-TW"/>
        </w:rPr>
      </w:pPr>
      <w:r>
        <w:rPr>
          <w:rFonts w:hint="eastAsia" w:ascii="宋体" w:hAnsi="宋体" w:cs="宋体"/>
          <w:color w:val="auto"/>
          <w:sz w:val="24"/>
          <w:highlight w:val="none"/>
          <w:lang w:val="zh-TW" w:eastAsia="zh-TW"/>
        </w:rPr>
        <w:t>3.6</w:t>
      </w:r>
      <w:r>
        <w:rPr>
          <w:rFonts w:hint="eastAsia" w:ascii="宋体" w:hAnsi="宋体" w:cs="宋体"/>
          <w:color w:val="auto"/>
          <w:sz w:val="24"/>
          <w:highlight w:val="none"/>
          <w:lang w:val="zh-TW"/>
        </w:rPr>
        <w:t>提交电子投标文件</w:t>
      </w:r>
    </w:p>
    <w:p>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投标人应于</w:t>
      </w:r>
      <w:r>
        <w:rPr>
          <w:rFonts w:hint="eastAsia" w:ascii="宋体" w:hAnsi="宋体" w:cs="宋体"/>
          <w:b/>
          <w:bCs/>
          <w:color w:val="auto"/>
          <w:sz w:val="24"/>
          <w:highlight w:val="none"/>
        </w:rPr>
        <w:t>投标截止时间前</w:t>
      </w:r>
      <w:r>
        <w:rPr>
          <w:rFonts w:hint="eastAsia" w:ascii="宋体" w:hAnsi="宋体" w:cs="宋体"/>
          <w:color w:val="auto"/>
          <w:sz w:val="24"/>
          <w:highlight w:val="none"/>
        </w:rPr>
        <w:t>在北京市政府采购电子交易平台提交电子投标文件，上传电子投标文件过程中请保持与互联网的连接畅通。</w:t>
      </w:r>
    </w:p>
    <w:p>
      <w:pPr>
        <w:widowControl/>
        <w:spacing w:line="360" w:lineRule="auto"/>
        <w:ind w:firstLine="482" w:firstLineChars="200"/>
        <w:jc w:val="left"/>
        <w:rPr>
          <w:rFonts w:hint="eastAsia" w:ascii="宋体" w:hAnsi="宋体" w:cs="宋体"/>
          <w:b/>
          <w:color w:val="auto"/>
          <w:sz w:val="24"/>
          <w:highlight w:val="none"/>
          <w:lang w:eastAsia="zh-TW"/>
        </w:rPr>
      </w:pPr>
      <w:r>
        <w:rPr>
          <w:rFonts w:hint="eastAsia" w:ascii="宋体" w:hAnsi="宋体" w:cs="宋体"/>
          <w:b/>
          <w:color w:val="auto"/>
          <w:sz w:val="24"/>
          <w:highlight w:val="none"/>
          <w:lang w:val="zh-TW"/>
        </w:rPr>
        <w:t>3.</w:t>
      </w:r>
      <w:r>
        <w:rPr>
          <w:rFonts w:hint="eastAsia" w:ascii="宋体" w:hAnsi="宋体" w:cs="宋体"/>
          <w:b/>
          <w:color w:val="auto"/>
          <w:sz w:val="24"/>
          <w:highlight w:val="none"/>
          <w:lang w:val="zh-TW" w:eastAsia="zh-TW"/>
        </w:rPr>
        <w:t>7</w:t>
      </w:r>
      <w:r>
        <w:rPr>
          <w:rFonts w:hint="eastAsia" w:ascii="宋体" w:hAnsi="宋体" w:cs="宋体"/>
          <w:b/>
          <w:color w:val="auto"/>
          <w:sz w:val="24"/>
          <w:highlight w:val="none"/>
          <w:lang w:val="zh-TW"/>
        </w:rPr>
        <w:t>电子开标</w:t>
      </w:r>
    </w:p>
    <w:p>
      <w:pPr>
        <w:widowControl/>
        <w:adjustRightInd w:val="0"/>
        <w:snapToGrid w:val="0"/>
        <w:spacing w:line="360" w:lineRule="auto"/>
        <w:ind w:firstLine="482" w:firstLineChars="200"/>
        <w:jc w:val="left"/>
        <w:rPr>
          <w:rFonts w:hint="eastAsia" w:ascii="宋体" w:hAnsi="宋体" w:cs="宋体"/>
          <w:b/>
          <w:bCs/>
          <w:color w:val="auto"/>
          <w:sz w:val="24"/>
          <w:highlight w:val="none"/>
          <w:lang w:val="zh-TW" w:eastAsia="zh-TW" w:bidi="ar"/>
        </w:rPr>
      </w:pPr>
      <w:r>
        <w:rPr>
          <w:rFonts w:hint="eastAsia" w:ascii="宋体" w:hAnsi="宋体" w:cs="宋体"/>
          <w:b/>
          <w:bCs/>
          <w:color w:val="auto"/>
          <w:sz w:val="24"/>
          <w:highlight w:val="none"/>
          <w:lang w:val="zh-TW" w:eastAsia="zh-TW" w:bidi="ar"/>
        </w:rPr>
        <w:t>3.7.1</w:t>
      </w:r>
      <w:r>
        <w:rPr>
          <w:rFonts w:hint="eastAsia" w:ascii="宋体" w:hAnsi="宋体" w:cs="宋体"/>
          <w:b/>
          <w:bCs/>
          <w:color w:val="auto"/>
          <w:sz w:val="24"/>
          <w:highlight w:val="none"/>
          <w:lang w:val="zh-TW" w:bidi="ar"/>
        </w:rPr>
        <w:t>投标人可以远程使用</w:t>
      </w:r>
      <w:r>
        <w:rPr>
          <w:rFonts w:hint="eastAsia" w:ascii="宋体" w:hAnsi="宋体" w:cs="宋体"/>
          <w:b/>
          <w:bCs/>
          <w:color w:val="auto"/>
          <w:sz w:val="24"/>
          <w:highlight w:val="none"/>
          <w:lang w:val="zh-TW" w:eastAsia="zh-TW" w:bidi="ar"/>
        </w:rPr>
        <w:t>CA</w:t>
      </w:r>
      <w:r>
        <w:rPr>
          <w:rFonts w:hint="eastAsia" w:ascii="宋体" w:hAnsi="宋体" w:cs="宋体"/>
          <w:b/>
          <w:bCs/>
          <w:color w:val="auto"/>
          <w:sz w:val="24"/>
          <w:highlight w:val="none"/>
          <w:lang w:val="zh-TW" w:bidi="ar"/>
        </w:rPr>
        <w:t>认证证书或电子营业执照登录北京市政府采购电子交易平台进行电子开标，按照流程完成签到、解密、开标确认等步骤。</w:t>
      </w:r>
    </w:p>
    <w:p>
      <w:pPr>
        <w:widowControl/>
        <w:adjustRightInd w:val="0"/>
        <w:snapToGrid w:val="0"/>
        <w:spacing w:line="360" w:lineRule="auto"/>
        <w:ind w:firstLine="482" w:firstLineChars="200"/>
        <w:jc w:val="left"/>
        <w:rPr>
          <w:rFonts w:hint="eastAsia" w:ascii="宋体" w:hAnsi="宋体" w:cs="宋体"/>
          <w:b/>
          <w:bCs/>
          <w:color w:val="auto"/>
          <w:sz w:val="24"/>
          <w:highlight w:val="none"/>
          <w:lang w:val="zh-TW" w:bidi="ar"/>
        </w:rPr>
      </w:pPr>
      <w:r>
        <w:rPr>
          <w:rFonts w:hint="eastAsia" w:ascii="宋体" w:hAnsi="宋体" w:cs="宋体"/>
          <w:b/>
          <w:bCs/>
          <w:color w:val="auto"/>
          <w:sz w:val="24"/>
          <w:highlight w:val="none"/>
          <w:lang w:val="zh-TW" w:bidi="ar"/>
        </w:rPr>
        <w:t>3</w:t>
      </w:r>
      <w:r>
        <w:rPr>
          <w:rFonts w:hint="eastAsia" w:ascii="宋体" w:hAnsi="宋体" w:cs="宋体"/>
          <w:b/>
          <w:bCs/>
          <w:color w:val="auto"/>
          <w:sz w:val="24"/>
          <w:highlight w:val="none"/>
          <w:lang w:val="zh-TW" w:eastAsia="zh-TW" w:bidi="ar"/>
        </w:rPr>
        <w:t>.7.2</w:t>
      </w:r>
      <w:r>
        <w:rPr>
          <w:rFonts w:hint="eastAsia" w:ascii="宋体" w:hAnsi="宋体" w:cs="宋体"/>
          <w:b/>
          <w:bCs/>
          <w:color w:val="auto"/>
          <w:sz w:val="24"/>
          <w:highlight w:val="none"/>
          <w:lang w:val="zh-TW" w:bidi="ar"/>
        </w:rPr>
        <w:t>投标人也可以在投标递交截止时间前携带加密锁（解密符）、笔记本电脑等前往现场（北京市海淀区成府路270号中科科仪院内6号楼3层多功能会议室）进行电子开标。</w:t>
      </w:r>
    </w:p>
    <w:p>
      <w:pPr>
        <w:pStyle w:val="3"/>
        <w:spacing w:before="0" w:line="360" w:lineRule="auto"/>
        <w:jc w:val="left"/>
        <w:rPr>
          <w:rFonts w:hint="eastAsia" w:ascii="宋体" w:hAnsi="宋体" w:eastAsia="宋体" w:cs="宋体"/>
          <w:color w:val="auto"/>
          <w:sz w:val="24"/>
          <w:szCs w:val="24"/>
          <w:highlight w:val="none"/>
        </w:rPr>
      </w:pPr>
      <w:bookmarkStart w:id="27" w:name="_Toc28359085"/>
      <w:bookmarkStart w:id="28" w:name="_Toc35393627"/>
      <w:bookmarkStart w:id="29" w:name="_Toc35393796"/>
      <w:bookmarkStart w:id="30" w:name="_Toc28359008"/>
      <w:r>
        <w:rPr>
          <w:rFonts w:hint="eastAsia" w:ascii="宋体" w:hAnsi="宋体" w:eastAsia="宋体" w:cs="宋体"/>
          <w:color w:val="auto"/>
          <w:sz w:val="24"/>
          <w:szCs w:val="24"/>
          <w:highlight w:val="none"/>
        </w:rPr>
        <w:t>七、对本次招标提出询问，请按以下方式联系。</w:t>
      </w:r>
      <w:bookmarkEnd w:id="27"/>
      <w:bookmarkEnd w:id="28"/>
      <w:bookmarkEnd w:id="29"/>
      <w:bookmarkEnd w:id="30"/>
    </w:p>
    <w:p>
      <w:pPr>
        <w:widowControl/>
        <w:spacing w:line="360" w:lineRule="auto"/>
        <w:jc w:val="left"/>
        <w:rPr>
          <w:rFonts w:hint="eastAsia" w:ascii="宋体" w:hAnsi="宋体" w:cs="宋体"/>
          <w:b/>
          <w:color w:val="auto"/>
          <w:sz w:val="24"/>
          <w:highlight w:val="none"/>
        </w:rPr>
      </w:pPr>
      <w:r>
        <w:rPr>
          <w:rFonts w:hint="eastAsia" w:ascii="宋体" w:hAnsi="宋体" w:cs="宋体"/>
          <w:color w:val="auto"/>
          <w:sz w:val="24"/>
          <w:highlight w:val="none"/>
        </w:rPr>
        <w:t>　　　</w:t>
      </w:r>
      <w:r>
        <w:rPr>
          <w:rFonts w:hint="eastAsia" w:ascii="宋体" w:hAnsi="宋体" w:cs="宋体"/>
          <w:b/>
          <w:color w:val="auto"/>
          <w:sz w:val="24"/>
          <w:highlight w:val="none"/>
        </w:rPr>
        <w:t>1.采购人信息</w:t>
      </w:r>
    </w:p>
    <w:p>
      <w:pPr>
        <w:spacing w:line="360" w:lineRule="auto"/>
        <w:ind w:left="1079" w:leftChars="371" w:hanging="300" w:hangingChars="125"/>
        <w:jc w:val="left"/>
        <w:rPr>
          <w:rFonts w:hint="eastAsia" w:ascii="宋体" w:hAnsi="宋体" w:cs="宋体"/>
          <w:color w:val="auto"/>
          <w:sz w:val="24"/>
          <w:highlight w:val="none"/>
        </w:rPr>
      </w:pPr>
      <w:bookmarkStart w:id="31" w:name="_Hlk192493199"/>
      <w:bookmarkStart w:id="32" w:name="_Toc28359009"/>
      <w:bookmarkStart w:id="33" w:name="_Toc28359086"/>
      <w:r>
        <w:rPr>
          <w:rFonts w:hint="eastAsia" w:ascii="宋体" w:hAnsi="宋体" w:cs="宋体"/>
          <w:color w:val="auto"/>
          <w:sz w:val="24"/>
          <w:highlight w:val="none"/>
        </w:rPr>
        <w:t>名    称：</w:t>
      </w:r>
      <w:bookmarkStart w:id="34" w:name="OLE_LINK56"/>
      <w:r>
        <w:rPr>
          <w:rFonts w:hint="eastAsia" w:ascii="宋体" w:hAnsi="宋体" w:cs="宋体"/>
          <w:color w:val="auto"/>
          <w:sz w:val="24"/>
          <w:highlight w:val="none"/>
          <w:u w:val="single"/>
        </w:rPr>
        <w:t>北京市动物疫病预防控制中心</w:t>
      </w:r>
      <w:bookmarkEnd w:id="34"/>
      <w:r>
        <w:rPr>
          <w:rFonts w:hint="eastAsia" w:ascii="宋体" w:hAnsi="宋体" w:cs="宋体"/>
          <w:color w:val="auto"/>
          <w:sz w:val="24"/>
          <w:highlight w:val="none"/>
          <w:u w:val="single"/>
        </w:rPr>
        <w:t xml:space="preserve">  _</w:t>
      </w:r>
    </w:p>
    <w:p>
      <w:pPr>
        <w:spacing w:line="360" w:lineRule="auto"/>
        <w:ind w:left="1079" w:leftChars="371" w:hanging="300" w:hangingChars="125"/>
        <w:jc w:val="left"/>
        <w:rPr>
          <w:rFonts w:hint="eastAsia" w:ascii="宋体" w:hAnsi="宋体" w:cs="宋体"/>
          <w:color w:val="auto"/>
          <w:sz w:val="24"/>
          <w:highlight w:val="none"/>
        </w:rPr>
      </w:pPr>
      <w:r>
        <w:rPr>
          <w:rFonts w:hint="eastAsia" w:ascii="宋体" w:hAnsi="宋体" w:cs="宋体"/>
          <w:color w:val="auto"/>
          <w:sz w:val="24"/>
          <w:highlight w:val="none"/>
        </w:rPr>
        <w:t>地    址：</w:t>
      </w:r>
      <w:bookmarkStart w:id="35" w:name="OLE_LINK5"/>
      <w:r>
        <w:rPr>
          <w:rFonts w:hint="eastAsia" w:ascii="宋体" w:hAnsi="宋体" w:cs="宋体"/>
          <w:color w:val="auto"/>
          <w:sz w:val="24"/>
          <w:highlight w:val="none"/>
          <w:u w:val="single"/>
        </w:rPr>
        <w:t>北京市大兴区祥瑞大街19号</w:t>
      </w:r>
      <w:bookmarkEnd w:id="35"/>
    </w:p>
    <w:p>
      <w:pPr>
        <w:spacing w:line="360" w:lineRule="auto"/>
        <w:ind w:left="1079" w:leftChars="371" w:hanging="300" w:hangingChars="125"/>
        <w:jc w:val="left"/>
        <w:rPr>
          <w:rFonts w:hint="eastAsia" w:ascii="宋体" w:hAnsi="宋体" w:cs="宋体"/>
          <w:color w:val="auto"/>
          <w:sz w:val="24"/>
          <w:highlight w:val="none"/>
          <w:u w:val="single"/>
        </w:rPr>
      </w:pPr>
      <w:r>
        <w:rPr>
          <w:rFonts w:hint="eastAsia" w:ascii="宋体" w:hAnsi="宋体" w:cs="宋体"/>
          <w:color w:val="auto"/>
          <w:sz w:val="24"/>
          <w:highlight w:val="none"/>
        </w:rPr>
        <w:t>联系方式：</w:t>
      </w:r>
      <w:bookmarkEnd w:id="31"/>
      <w:r>
        <w:rPr>
          <w:rFonts w:hint="eastAsia" w:ascii="宋体" w:hAnsi="宋体" w:cs="宋体"/>
          <w:color w:val="auto"/>
          <w:sz w:val="24"/>
          <w:highlight w:val="none"/>
          <w:u w:val="single"/>
        </w:rPr>
        <w:t>010-60276108</w:t>
      </w:r>
    </w:p>
    <w:p>
      <w:pPr>
        <w:spacing w:line="360" w:lineRule="auto"/>
        <w:ind w:left="1080" w:leftChars="371" w:hanging="301" w:hangingChars="125"/>
        <w:jc w:val="left"/>
        <w:rPr>
          <w:rFonts w:hint="eastAsia" w:ascii="宋体" w:hAnsi="宋体" w:cs="宋体"/>
          <w:b/>
          <w:color w:val="auto"/>
          <w:sz w:val="24"/>
          <w:highlight w:val="none"/>
        </w:rPr>
      </w:pPr>
      <w:r>
        <w:rPr>
          <w:rFonts w:hint="eastAsia" w:ascii="宋体" w:hAnsi="宋体" w:cs="宋体"/>
          <w:b/>
          <w:color w:val="auto"/>
          <w:sz w:val="24"/>
          <w:highlight w:val="none"/>
        </w:rPr>
        <w:t>2.采购代理机构信息</w:t>
      </w:r>
      <w:bookmarkEnd w:id="32"/>
      <w:bookmarkEnd w:id="33"/>
    </w:p>
    <w:p>
      <w:pPr>
        <w:spacing w:line="360" w:lineRule="auto"/>
        <w:ind w:left="1079" w:leftChars="371" w:hanging="300" w:hangingChars="125"/>
        <w:jc w:val="left"/>
        <w:rPr>
          <w:rFonts w:hint="eastAsia" w:ascii="宋体" w:hAnsi="宋体" w:cs="宋体"/>
          <w:color w:val="auto"/>
          <w:sz w:val="24"/>
          <w:highlight w:val="none"/>
        </w:rPr>
      </w:pPr>
      <w:bookmarkStart w:id="36" w:name="_Toc28359087"/>
      <w:bookmarkStart w:id="37" w:name="_Toc28359010"/>
      <w:r>
        <w:rPr>
          <w:rFonts w:hint="eastAsia" w:ascii="宋体" w:hAnsi="宋体" w:cs="宋体"/>
          <w:color w:val="auto"/>
          <w:sz w:val="24"/>
          <w:highlight w:val="none"/>
        </w:rPr>
        <w:t>名    称：</w:t>
      </w:r>
      <w:r>
        <w:rPr>
          <w:rFonts w:hint="eastAsia" w:ascii="宋体" w:hAnsi="宋体" w:cs="宋体"/>
          <w:color w:val="auto"/>
          <w:sz w:val="24"/>
          <w:highlight w:val="none"/>
          <w:u w:val="single"/>
        </w:rPr>
        <w:t>北京国泰建中管理咨询有限公司__</w:t>
      </w:r>
    </w:p>
    <w:p>
      <w:pPr>
        <w:spacing w:line="360" w:lineRule="auto"/>
        <w:ind w:left="1079" w:leftChars="371" w:hanging="300" w:hangingChars="125"/>
        <w:jc w:val="left"/>
        <w:rPr>
          <w:rFonts w:hint="eastAsia" w:ascii="宋体" w:hAnsi="宋体" w:cs="宋体"/>
          <w:color w:val="auto"/>
          <w:sz w:val="24"/>
          <w:highlight w:val="none"/>
          <w:u w:val="single"/>
        </w:rPr>
      </w:pPr>
      <w:r>
        <w:rPr>
          <w:rFonts w:hint="eastAsia" w:ascii="宋体" w:hAnsi="宋体" w:cs="宋体"/>
          <w:color w:val="auto"/>
          <w:sz w:val="24"/>
          <w:highlight w:val="none"/>
        </w:rPr>
        <w:t>地    址：</w:t>
      </w:r>
      <w:bookmarkStart w:id="38" w:name="OLE_LINK4"/>
      <w:r>
        <w:rPr>
          <w:rFonts w:hint="eastAsia" w:ascii="宋体" w:hAnsi="宋体" w:cs="宋体"/>
          <w:color w:val="auto"/>
          <w:sz w:val="24"/>
          <w:highlight w:val="none"/>
          <w:u w:val="single"/>
        </w:rPr>
        <w:t>北京市海淀区成府路270号中科科仪院内6号楼3层</w:t>
      </w:r>
      <w:bookmarkEnd w:id="38"/>
    </w:p>
    <w:p>
      <w:pPr>
        <w:spacing w:line="360" w:lineRule="auto"/>
        <w:ind w:left="1079" w:leftChars="371" w:hanging="300" w:hangingChars="125"/>
        <w:jc w:val="left"/>
        <w:rPr>
          <w:rFonts w:hint="eastAsia" w:ascii="宋体" w:hAnsi="宋体" w:cs="宋体"/>
          <w:color w:val="auto"/>
          <w:sz w:val="24"/>
          <w:highlight w:val="none"/>
          <w:u w:val="single"/>
        </w:rPr>
      </w:pPr>
      <w:r>
        <w:rPr>
          <w:rFonts w:hint="eastAsia" w:ascii="宋体" w:hAnsi="宋体" w:cs="宋体"/>
          <w:color w:val="auto"/>
          <w:sz w:val="24"/>
          <w:highlight w:val="none"/>
        </w:rPr>
        <w:t>联系方式：</w:t>
      </w:r>
      <w:bookmarkStart w:id="39" w:name="OLE_LINK7"/>
      <w:bookmarkStart w:id="40" w:name="OLE_LINK6"/>
      <w:r>
        <w:rPr>
          <w:rFonts w:hint="eastAsia" w:ascii="宋体" w:hAnsi="宋体" w:cs="宋体"/>
          <w:color w:val="auto"/>
          <w:sz w:val="24"/>
          <w:highlight w:val="none"/>
          <w:u w:val="single"/>
        </w:rPr>
        <w:t>010-68001293/68001559</w:t>
      </w:r>
      <w:bookmarkEnd w:id="39"/>
      <w:r>
        <w:rPr>
          <w:rFonts w:hint="eastAsia" w:ascii="宋体" w:hAnsi="宋体" w:cs="宋体"/>
          <w:color w:val="auto"/>
          <w:sz w:val="24"/>
          <w:highlight w:val="none"/>
          <w:u w:val="single"/>
        </w:rPr>
        <w:t xml:space="preserve"> </w:t>
      </w:r>
      <w:bookmarkEnd w:id="40"/>
    </w:p>
    <w:p>
      <w:pPr>
        <w:spacing w:line="360" w:lineRule="auto"/>
        <w:ind w:firstLine="723" w:firstLineChars="300"/>
        <w:rPr>
          <w:rFonts w:hint="eastAsia" w:ascii="宋体" w:hAnsi="宋体" w:cs="宋体"/>
          <w:b/>
          <w:color w:val="auto"/>
          <w:sz w:val="24"/>
          <w:highlight w:val="none"/>
          <w:u w:val="single"/>
        </w:rPr>
      </w:pPr>
      <w:r>
        <w:rPr>
          <w:rFonts w:hint="eastAsia" w:ascii="宋体" w:hAnsi="宋体" w:cs="宋体"/>
          <w:b/>
          <w:color w:val="auto"/>
          <w:sz w:val="24"/>
          <w:highlight w:val="none"/>
        </w:rPr>
        <w:t>3.项目联系方式</w:t>
      </w:r>
      <w:bookmarkEnd w:id="36"/>
      <w:bookmarkEnd w:id="37"/>
    </w:p>
    <w:p>
      <w:pPr>
        <w:pStyle w:val="23"/>
        <w:spacing w:line="360" w:lineRule="auto"/>
        <w:ind w:firstLine="720" w:firstLineChars="300"/>
        <w:rPr>
          <w:rFonts w:hAnsi="宋体" w:cs="宋体"/>
          <w:color w:val="auto"/>
          <w:sz w:val="24"/>
          <w:szCs w:val="24"/>
          <w:highlight w:val="none"/>
          <w:u w:val="single"/>
        </w:rPr>
      </w:pPr>
      <w:r>
        <w:rPr>
          <w:rFonts w:hint="eastAsia" w:hAnsi="宋体" w:cs="宋体"/>
          <w:color w:val="auto"/>
          <w:sz w:val="24"/>
          <w:szCs w:val="24"/>
          <w:highlight w:val="none"/>
        </w:rPr>
        <w:t>项目联系人：</w:t>
      </w:r>
      <w:r>
        <w:rPr>
          <w:rFonts w:hAnsi="宋体" w:cs="宋体"/>
          <w:color w:val="auto"/>
          <w:sz w:val="24"/>
          <w:highlight w:val="none"/>
          <w:u w:val="single"/>
        </w:rPr>
        <w:t>于元惠、张敏、杜子一、张伟</w:t>
      </w:r>
    </w:p>
    <w:p>
      <w:pPr>
        <w:pStyle w:val="23"/>
        <w:spacing w:line="360" w:lineRule="auto"/>
        <w:ind w:firstLine="720" w:firstLineChars="300"/>
        <w:rPr>
          <w:rFonts w:hAnsi="宋体" w:cs="宋体"/>
          <w:color w:val="auto"/>
          <w:sz w:val="24"/>
          <w:highlight w:val="none"/>
          <w:u w:val="single"/>
        </w:rPr>
      </w:pPr>
      <w:r>
        <w:rPr>
          <w:rFonts w:hint="eastAsia" w:hAnsi="宋体" w:cs="宋体"/>
          <w:color w:val="auto"/>
          <w:sz w:val="24"/>
          <w:highlight w:val="none"/>
        </w:rPr>
        <w:t>电      话：</w:t>
      </w:r>
      <w:r>
        <w:rPr>
          <w:rFonts w:hAnsi="宋体" w:cs="宋体"/>
          <w:color w:val="auto"/>
          <w:sz w:val="24"/>
          <w:highlight w:val="none"/>
          <w:u w:val="single"/>
        </w:rPr>
        <w:t xml:space="preserve">010-68001293/68001559 </w:t>
      </w:r>
    </w:p>
    <w:p>
      <w:pPr>
        <w:pStyle w:val="23"/>
        <w:spacing w:line="360" w:lineRule="auto"/>
        <w:jc w:val="center"/>
        <w:outlineLvl w:val="0"/>
        <w:rPr>
          <w:rFonts w:hAnsi="宋体" w:cs="宋体"/>
          <w:b/>
          <w:color w:val="auto"/>
          <w:sz w:val="32"/>
          <w:szCs w:val="32"/>
          <w:highlight w:val="none"/>
        </w:rPr>
      </w:pPr>
      <w:r>
        <w:rPr>
          <w:rFonts w:hAnsi="宋体" w:cs="宋体"/>
          <w:color w:val="auto"/>
          <w:sz w:val="24"/>
          <w:highlight w:val="none"/>
        </w:rPr>
        <w:br w:type="page"/>
      </w:r>
      <w:bookmarkStart w:id="41" w:name="_Toc192872476"/>
      <w:bookmarkStart w:id="42" w:name="_Toc353825548"/>
      <w:bookmarkStart w:id="43" w:name="_Toc512937850"/>
      <w:bookmarkStart w:id="44" w:name="_Toc264969275"/>
      <w:bookmarkStart w:id="45" w:name="_Toc127151777"/>
      <w:bookmarkStart w:id="46" w:name="_Toc305158928"/>
      <w:bookmarkStart w:id="47" w:name="_Toc305158854"/>
      <w:bookmarkStart w:id="48" w:name="_Toc353873938"/>
      <w:bookmarkStart w:id="49" w:name="_Toc150774783"/>
      <w:bookmarkStart w:id="50" w:name="_Toc265228423"/>
      <w:bookmarkStart w:id="51" w:name="_Toc195842950"/>
      <w:bookmarkStart w:id="52" w:name="_Toc127161488"/>
      <w:bookmarkStart w:id="53" w:name="_Toc226965856"/>
      <w:r>
        <w:rPr>
          <w:rFonts w:hAnsi="宋体" w:cs="宋体"/>
          <w:b/>
          <w:color w:val="auto"/>
          <w:sz w:val="36"/>
          <w:szCs w:val="36"/>
          <w:highlight w:val="none"/>
        </w:rPr>
        <w:t>第二章   投标人须知</w:t>
      </w:r>
      <w:bookmarkEnd w:id="41"/>
      <w:bookmarkEnd w:id="42"/>
      <w:bookmarkEnd w:id="43"/>
      <w:bookmarkEnd w:id="44"/>
      <w:bookmarkEnd w:id="45"/>
      <w:bookmarkEnd w:id="46"/>
      <w:bookmarkEnd w:id="47"/>
      <w:bookmarkEnd w:id="48"/>
      <w:bookmarkEnd w:id="49"/>
      <w:bookmarkEnd w:id="50"/>
      <w:bookmarkEnd w:id="51"/>
      <w:bookmarkEnd w:id="52"/>
      <w:bookmarkEnd w:id="53"/>
    </w:p>
    <w:p>
      <w:pPr>
        <w:pStyle w:val="3"/>
        <w:tabs>
          <w:tab w:val="center" w:pos="4592"/>
          <w:tab w:val="left" w:pos="7860"/>
        </w:tabs>
        <w:spacing w:before="0" w:line="360" w:lineRule="auto"/>
        <w:rPr>
          <w:rFonts w:hint="eastAsia" w:ascii="宋体" w:hAnsi="宋体" w:eastAsia="宋体" w:cs="宋体"/>
          <w:color w:val="auto"/>
          <w:sz w:val="28"/>
          <w:highlight w:val="none"/>
        </w:rPr>
      </w:pPr>
      <w:bookmarkStart w:id="54" w:name="_Toc164351613"/>
      <w:bookmarkStart w:id="55" w:name="_Toc142311021"/>
      <w:bookmarkStart w:id="56" w:name="_Toc150480757"/>
      <w:bookmarkStart w:id="57" w:name="_Toc127151519"/>
      <w:bookmarkStart w:id="58" w:name="_Toc226337215"/>
      <w:bookmarkStart w:id="59" w:name="_Toc226965792"/>
      <w:bookmarkStart w:id="60" w:name="_Toc151193833"/>
      <w:bookmarkStart w:id="61" w:name="_Toc151193689"/>
      <w:bookmarkStart w:id="62" w:name="_Toc151193761"/>
      <w:bookmarkStart w:id="63" w:name="_Toc151193617"/>
      <w:bookmarkStart w:id="64" w:name="_Toc127151720"/>
      <w:bookmarkStart w:id="65" w:name="_Toc127161433"/>
      <w:bookmarkStart w:id="66" w:name="_Toc151193907"/>
      <w:bookmarkStart w:id="67" w:name="_Toc195842884"/>
      <w:bookmarkStart w:id="68" w:name="_Toc226309763"/>
      <w:bookmarkStart w:id="69" w:name="_Toc164229214"/>
      <w:bookmarkStart w:id="70" w:name="_Toc226965709"/>
      <w:bookmarkStart w:id="71" w:name="_Toc164608633"/>
      <w:bookmarkStart w:id="72" w:name="_Toc520356144"/>
      <w:bookmarkStart w:id="73" w:name="_Toc150774724"/>
      <w:bookmarkStart w:id="74" w:name="_Toc150774619"/>
      <w:bookmarkStart w:id="75" w:name="_Toc164229360"/>
      <w:bookmarkStart w:id="76" w:name="_Toc164608788"/>
      <w:bookmarkStart w:id="77" w:name="_Toc151190146"/>
      <w:bookmarkStart w:id="78" w:name="_Toc149720812"/>
      <w:bookmarkStart w:id="79" w:name="_Toc150509270"/>
      <w:r>
        <w:rPr>
          <w:rFonts w:hint="eastAsia" w:ascii="宋体" w:hAnsi="宋体" w:eastAsia="宋体" w:cs="宋体"/>
          <w:color w:val="auto"/>
          <w:sz w:val="28"/>
          <w:highlight w:val="none"/>
        </w:rPr>
        <w:t>投标人须知资料表</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本表是对投标人须知的具体补充和修改，如有矛盾，均以本资料表为准。标记“</w:t>
      </w:r>
      <w:r>
        <w:rPr>
          <w:rFonts w:hint="eastAsia" w:ascii="宋体" w:hAnsi="宋体" w:cs="宋体"/>
          <w:b/>
          <w:color w:val="auto"/>
          <w:sz w:val="24"/>
          <w:highlight w:val="none"/>
        </w:rPr>
        <w:t>■</w:t>
      </w:r>
      <w:r>
        <w:rPr>
          <w:rFonts w:hint="eastAsia" w:ascii="宋体" w:hAnsi="宋体" w:cs="宋体"/>
          <w:color w:val="auto"/>
          <w:sz w:val="24"/>
          <w:highlight w:val="none"/>
        </w:rPr>
        <w:t>”的选项意为适用于本项目，标记“□”的选项意为不适用于本项目。</w:t>
      </w:r>
    </w:p>
    <w:tbl>
      <w:tblPr>
        <w:tblStyle w:val="47"/>
        <w:tblW w:w="91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512"/>
        <w:gridCol w:w="6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tblHeader/>
          <w:jc w:val="center"/>
        </w:trPr>
        <w:tc>
          <w:tcPr>
            <w:tcW w:w="1035" w:type="dxa"/>
            <w:vAlign w:val="center"/>
          </w:tcPr>
          <w:p>
            <w:pPr>
              <w:spacing w:after="0" w:line="360" w:lineRule="auto"/>
              <w:jc w:val="center"/>
              <w:rPr>
                <w:rFonts w:hint="eastAsia" w:ascii="宋体" w:hAnsi="宋体" w:cs="宋体"/>
                <w:b/>
                <w:bCs/>
                <w:color w:val="auto"/>
                <w:sz w:val="24"/>
                <w:highlight w:val="none"/>
              </w:rPr>
            </w:pPr>
            <w:r>
              <w:rPr>
                <w:rFonts w:hint="eastAsia" w:ascii="宋体" w:hAnsi="宋体" w:cs="宋体"/>
                <w:b/>
                <w:color w:val="auto"/>
                <w:sz w:val="24"/>
                <w:highlight w:val="none"/>
              </w:rPr>
              <w:t>条款号</w:t>
            </w:r>
          </w:p>
        </w:tc>
        <w:tc>
          <w:tcPr>
            <w:tcW w:w="1512" w:type="dxa"/>
            <w:vAlign w:val="center"/>
          </w:tcPr>
          <w:p>
            <w:pPr>
              <w:spacing w:after="0"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条目</w:t>
            </w:r>
          </w:p>
        </w:tc>
        <w:tc>
          <w:tcPr>
            <w:tcW w:w="6609" w:type="dxa"/>
            <w:vAlign w:val="center"/>
          </w:tcPr>
          <w:p>
            <w:pPr>
              <w:spacing w:after="0"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5" w:type="dxa"/>
            <w:vAlign w:val="center"/>
          </w:tcPr>
          <w:p>
            <w:pPr>
              <w:pStyle w:val="23"/>
              <w:adjustRightInd w:val="0"/>
              <w:snapToGrid w:val="0"/>
              <w:spacing w:line="360" w:lineRule="auto"/>
              <w:jc w:val="center"/>
              <w:rPr>
                <w:rFonts w:hAnsi="宋体" w:cs="宋体"/>
                <w:color w:val="auto"/>
                <w:sz w:val="24"/>
                <w:szCs w:val="24"/>
                <w:highlight w:val="none"/>
              </w:rPr>
            </w:pPr>
            <w:r>
              <w:rPr>
                <w:rFonts w:hint="eastAsia" w:hAnsi="宋体" w:cs="宋体"/>
                <w:color w:val="auto"/>
                <w:sz w:val="24"/>
                <w:szCs w:val="24"/>
                <w:highlight w:val="none"/>
              </w:rPr>
              <w:t>2.2</w:t>
            </w:r>
          </w:p>
        </w:tc>
        <w:tc>
          <w:tcPr>
            <w:tcW w:w="1512" w:type="dxa"/>
            <w:vAlign w:val="center"/>
          </w:tcPr>
          <w:p>
            <w:pPr>
              <w:adjustRightInd w:val="0"/>
              <w:snapToGrid w:val="0"/>
              <w:spacing w:after="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项目属性</w:t>
            </w:r>
          </w:p>
        </w:tc>
        <w:tc>
          <w:tcPr>
            <w:tcW w:w="6609" w:type="dxa"/>
            <w:vAlign w:val="center"/>
          </w:tcPr>
          <w:p>
            <w:pPr>
              <w:adjustRightInd w:val="0"/>
              <w:snapToGrid w:val="0"/>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项目属性：</w:t>
            </w:r>
          </w:p>
          <w:p>
            <w:pPr>
              <w:adjustRightInd w:val="0"/>
              <w:snapToGrid w:val="0"/>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□服务</w:t>
            </w:r>
            <w:r>
              <w:rPr>
                <w:rFonts w:hint="eastAsia" w:ascii="宋体" w:hAnsi="宋体" w:cs="宋体"/>
                <w:b/>
                <w:color w:val="auto"/>
                <w:sz w:val="24"/>
                <w:highlight w:val="none"/>
              </w:rPr>
              <w:t>■</w:t>
            </w:r>
            <w:r>
              <w:rPr>
                <w:rFonts w:hint="eastAsia" w:ascii="宋体" w:hAnsi="宋体" w:cs="宋体"/>
                <w:color w:val="auto"/>
                <w:sz w:val="24"/>
                <w:highlight w:val="none"/>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035" w:type="dxa"/>
            <w:vAlign w:val="center"/>
          </w:tcPr>
          <w:p>
            <w:pPr>
              <w:pStyle w:val="23"/>
              <w:adjustRightInd w:val="0"/>
              <w:snapToGrid w:val="0"/>
              <w:spacing w:line="360" w:lineRule="auto"/>
              <w:jc w:val="center"/>
              <w:rPr>
                <w:rFonts w:hAnsi="宋体" w:cs="宋体"/>
                <w:color w:val="auto"/>
                <w:sz w:val="24"/>
                <w:szCs w:val="24"/>
                <w:highlight w:val="none"/>
              </w:rPr>
            </w:pPr>
            <w:r>
              <w:rPr>
                <w:rFonts w:hint="eastAsia" w:hAnsi="宋体" w:cs="宋体"/>
                <w:color w:val="auto"/>
                <w:sz w:val="24"/>
                <w:szCs w:val="24"/>
                <w:highlight w:val="none"/>
              </w:rPr>
              <w:t>2.3</w:t>
            </w:r>
          </w:p>
        </w:tc>
        <w:tc>
          <w:tcPr>
            <w:tcW w:w="1512" w:type="dxa"/>
            <w:vAlign w:val="center"/>
          </w:tcPr>
          <w:p>
            <w:pPr>
              <w:adjustRightInd w:val="0"/>
              <w:snapToGrid w:val="0"/>
              <w:spacing w:after="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科研仪器设备</w:t>
            </w:r>
          </w:p>
        </w:tc>
        <w:tc>
          <w:tcPr>
            <w:tcW w:w="6609" w:type="dxa"/>
            <w:vAlign w:val="center"/>
          </w:tcPr>
          <w:p>
            <w:pPr>
              <w:adjustRightInd w:val="0"/>
              <w:snapToGrid w:val="0"/>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是否属于科研仪器设备采购项目：</w:t>
            </w:r>
          </w:p>
          <w:p>
            <w:pPr>
              <w:adjustRightInd w:val="0"/>
              <w:snapToGrid w:val="0"/>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□是</w:t>
            </w:r>
            <w:r>
              <w:rPr>
                <w:rFonts w:hint="eastAsia" w:ascii="宋体" w:hAnsi="宋体" w:cs="宋体"/>
                <w:b/>
                <w:color w:val="auto"/>
                <w:sz w:val="24"/>
                <w:highlight w:val="none"/>
              </w:rPr>
              <w:t>■</w:t>
            </w:r>
            <w:r>
              <w:rPr>
                <w:rFonts w:hint="eastAsia" w:ascii="宋体" w:hAnsi="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Ansi="宋体" w:cs="宋体"/>
                <w:color w:val="auto"/>
                <w:sz w:val="24"/>
                <w:szCs w:val="24"/>
                <w:highlight w:val="none"/>
              </w:rPr>
            </w:pPr>
            <w:r>
              <w:rPr>
                <w:rFonts w:hint="eastAsia" w:hAnsi="宋体" w:cs="宋体"/>
                <w:color w:val="auto"/>
                <w:sz w:val="24"/>
                <w:szCs w:val="24"/>
                <w:highlight w:val="none"/>
              </w:rPr>
              <w:t>2.4</w:t>
            </w:r>
          </w:p>
        </w:tc>
        <w:tc>
          <w:tcPr>
            <w:tcW w:w="1512" w:type="dxa"/>
            <w:vAlign w:val="center"/>
          </w:tcPr>
          <w:p>
            <w:p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核心产品</w:t>
            </w:r>
          </w:p>
        </w:tc>
        <w:tc>
          <w:tcPr>
            <w:tcW w:w="6609" w:type="dxa"/>
            <w:vAlign w:val="center"/>
          </w:tcPr>
          <w:p>
            <w:pPr>
              <w:pStyle w:val="23"/>
              <w:adjustRightInd w:val="0"/>
              <w:snapToGrid w:val="0"/>
              <w:spacing w:after="0" w:line="360" w:lineRule="auto"/>
              <w:rPr>
                <w:rFonts w:hAnsi="宋体" w:cs="宋体"/>
                <w:color w:val="auto"/>
                <w:sz w:val="24"/>
                <w:szCs w:val="24"/>
                <w:highlight w:val="none"/>
              </w:rPr>
            </w:pPr>
            <w:r>
              <w:rPr>
                <w:rFonts w:hAnsi="宋体" w:cs="宋体"/>
                <w:color w:val="auto"/>
                <w:sz w:val="24"/>
                <w:highlight w:val="none"/>
              </w:rPr>
              <w:t>□</w:t>
            </w:r>
            <w:r>
              <w:rPr>
                <w:rFonts w:hint="eastAsia" w:hAnsi="宋体" w:cs="宋体"/>
                <w:color w:val="auto"/>
                <w:sz w:val="24"/>
                <w:szCs w:val="24"/>
                <w:highlight w:val="none"/>
              </w:rPr>
              <w:t>关于核心产品本项目不适用。</w:t>
            </w:r>
          </w:p>
          <w:p>
            <w:pPr>
              <w:pStyle w:val="23"/>
              <w:adjustRightInd w:val="0"/>
              <w:snapToGrid w:val="0"/>
              <w:spacing w:after="0" w:line="360" w:lineRule="auto"/>
              <w:rPr>
                <w:rFonts w:hAnsi="宋体" w:cs="宋体"/>
                <w:color w:val="auto"/>
                <w:sz w:val="24"/>
                <w:szCs w:val="24"/>
                <w:highlight w:val="none"/>
              </w:rPr>
            </w:pPr>
            <w:r>
              <w:rPr>
                <w:rFonts w:hAnsi="宋体" w:cs="宋体"/>
                <w:color w:val="auto"/>
                <w:sz w:val="24"/>
                <w:highlight w:val="none"/>
              </w:rPr>
              <w:t>□</w:t>
            </w:r>
            <w:r>
              <w:rPr>
                <w:rFonts w:hint="eastAsia" w:hAnsi="宋体" w:cs="宋体"/>
                <w:color w:val="auto"/>
                <w:sz w:val="24"/>
                <w:szCs w:val="24"/>
                <w:highlight w:val="none"/>
              </w:rPr>
              <w:t>本项目</w:t>
            </w:r>
            <w:r>
              <w:rPr>
                <w:rFonts w:hAnsi="宋体" w:cs="宋体"/>
                <w:color w:val="auto"/>
                <w:sz w:val="24"/>
                <w:szCs w:val="24"/>
                <w:highlight w:val="none"/>
              </w:rPr>
              <w:t>本包次</w:t>
            </w:r>
            <w:r>
              <w:rPr>
                <w:rFonts w:hint="eastAsia" w:hAnsi="宋体" w:cs="宋体"/>
                <w:color w:val="auto"/>
                <w:sz w:val="24"/>
                <w:szCs w:val="24"/>
                <w:highlight w:val="none"/>
              </w:rPr>
              <w:t>为单一产品采购项目。</w:t>
            </w:r>
          </w:p>
          <w:p>
            <w:pPr>
              <w:adjustRightInd w:val="0"/>
              <w:snapToGrid w:val="0"/>
              <w:spacing w:after="0" w:line="360" w:lineRule="auto"/>
              <w:rPr>
                <w:rFonts w:hint="eastAsia" w:ascii="宋体" w:hAnsi="宋体" w:cs="宋体"/>
                <w:b/>
                <w:bCs/>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本包次为非单一产品采购项目，</w:t>
            </w:r>
            <w:r>
              <w:rPr>
                <w:rFonts w:hint="eastAsia" w:ascii="宋体" w:hAnsi="宋体" w:cs="宋体"/>
                <w:b/>
                <w:bCs/>
                <w:color w:val="auto"/>
                <w:sz w:val="24"/>
                <w:highlight w:val="none"/>
              </w:rPr>
              <w:t>核心产品为：</w:t>
            </w:r>
            <w:r>
              <w:rPr>
                <w:rFonts w:hint="eastAsia" w:ascii="宋体" w:hAnsi="宋体" w:cs="宋体"/>
                <w:b/>
                <w:bCs/>
                <w:color w:val="auto"/>
                <w:sz w:val="24"/>
                <w:highlight w:val="none"/>
                <w:u w:val="single"/>
              </w:rPr>
              <w:t>盒装滤芯吸头（200ul）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Merge w:val="restart"/>
            <w:vAlign w:val="center"/>
          </w:tcPr>
          <w:p>
            <w:pPr>
              <w:pStyle w:val="23"/>
              <w:adjustRightInd w:val="0"/>
              <w:snapToGrid w:val="0"/>
              <w:spacing w:line="360" w:lineRule="auto"/>
              <w:jc w:val="center"/>
              <w:rPr>
                <w:rFonts w:hAnsi="宋体" w:cs="宋体"/>
                <w:color w:val="auto"/>
                <w:sz w:val="24"/>
                <w:szCs w:val="24"/>
                <w:highlight w:val="none"/>
              </w:rPr>
            </w:pPr>
            <w:r>
              <w:rPr>
                <w:rFonts w:hint="eastAsia" w:hAnsi="宋体" w:cs="宋体"/>
                <w:color w:val="auto"/>
                <w:sz w:val="24"/>
                <w:szCs w:val="24"/>
                <w:highlight w:val="none"/>
              </w:rPr>
              <w:t>3.1</w:t>
            </w:r>
          </w:p>
        </w:tc>
        <w:tc>
          <w:tcPr>
            <w:tcW w:w="1512" w:type="dxa"/>
            <w:vAlign w:val="center"/>
          </w:tcPr>
          <w:p>
            <w:p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现场考察</w:t>
            </w:r>
          </w:p>
        </w:tc>
        <w:tc>
          <w:tcPr>
            <w:tcW w:w="6609" w:type="dxa"/>
            <w:vAlign w:val="center"/>
          </w:tcPr>
          <w:p>
            <w:pPr>
              <w:adjustRightInd w:val="0"/>
              <w:snapToGrid w:val="0"/>
              <w:spacing w:after="0" w:line="360" w:lineRule="auto"/>
              <w:jc w:val="left"/>
              <w:rPr>
                <w:rFonts w:hint="eastAsia"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不组织</w:t>
            </w:r>
          </w:p>
          <w:p>
            <w:pPr>
              <w:adjustRightInd w:val="0"/>
              <w:snapToGrid w:val="0"/>
              <w:spacing w:after="0" w:line="360" w:lineRule="auto"/>
              <w:jc w:val="left"/>
              <w:rPr>
                <w:rFonts w:hint="eastAsia" w:ascii="宋体" w:hAnsi="宋体" w:cs="宋体"/>
                <w:bCs/>
                <w:color w:val="auto"/>
                <w:sz w:val="24"/>
                <w:highlight w:val="none"/>
              </w:rPr>
            </w:pPr>
            <w:r>
              <w:rPr>
                <w:rFonts w:hint="eastAsia" w:ascii="宋体" w:hAnsi="宋体" w:cs="宋体"/>
                <w:color w:val="auto"/>
                <w:sz w:val="24"/>
                <w:highlight w:val="none"/>
              </w:rPr>
              <w:t>□组织，考察时间：__年_月_日_</w:t>
            </w:r>
            <w:r>
              <w:rPr>
                <w:rFonts w:hint="eastAsia" w:ascii="宋体" w:hAnsi="宋体" w:cs="宋体"/>
                <w:bCs/>
                <w:color w:val="auto"/>
                <w:sz w:val="24"/>
                <w:highlight w:val="none"/>
              </w:rPr>
              <w:t>点</w:t>
            </w:r>
            <w:r>
              <w:rPr>
                <w:rFonts w:hint="eastAsia" w:ascii="宋体" w:hAnsi="宋体" w:cs="宋体"/>
                <w:color w:val="auto"/>
                <w:sz w:val="24"/>
                <w:highlight w:val="none"/>
              </w:rPr>
              <w:t>_</w:t>
            </w:r>
            <w:r>
              <w:rPr>
                <w:rFonts w:hint="eastAsia" w:ascii="宋体" w:hAnsi="宋体" w:cs="宋体"/>
                <w:bCs/>
                <w:color w:val="auto"/>
                <w:sz w:val="24"/>
                <w:highlight w:val="none"/>
              </w:rPr>
              <w:t>分</w:t>
            </w:r>
          </w:p>
          <w:p>
            <w:pPr>
              <w:pStyle w:val="23"/>
              <w:adjustRightInd w:val="0"/>
              <w:snapToGrid w:val="0"/>
              <w:spacing w:after="0" w:line="360" w:lineRule="auto"/>
              <w:rPr>
                <w:rFonts w:hAnsi="宋体" w:cs="宋体"/>
                <w:color w:val="auto"/>
                <w:sz w:val="24"/>
                <w:szCs w:val="24"/>
                <w:highlight w:val="none"/>
              </w:rPr>
            </w:pPr>
            <w:r>
              <w:rPr>
                <w:rFonts w:hint="eastAsia" w:hAnsi="宋体" w:cs="宋体"/>
                <w:color w:val="auto"/>
                <w:sz w:val="24"/>
                <w:highlight w:val="none"/>
              </w:rPr>
              <w:t>考察地点：____________</w:t>
            </w:r>
            <w:r>
              <w:rPr>
                <w:rFonts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jc w:val="center"/>
        </w:trPr>
        <w:tc>
          <w:tcPr>
            <w:tcW w:w="1035" w:type="dxa"/>
            <w:vMerge w:val="continue"/>
            <w:vAlign w:val="center"/>
          </w:tcPr>
          <w:p>
            <w:pPr>
              <w:pStyle w:val="23"/>
              <w:adjustRightInd w:val="0"/>
              <w:snapToGrid w:val="0"/>
              <w:spacing w:line="360" w:lineRule="auto"/>
              <w:jc w:val="center"/>
              <w:rPr>
                <w:rFonts w:hAnsi="宋体" w:cs="宋体"/>
                <w:color w:val="auto"/>
                <w:sz w:val="24"/>
                <w:szCs w:val="24"/>
                <w:highlight w:val="none"/>
              </w:rPr>
            </w:pPr>
          </w:p>
        </w:tc>
        <w:tc>
          <w:tcPr>
            <w:tcW w:w="1512" w:type="dxa"/>
            <w:vAlign w:val="center"/>
          </w:tcPr>
          <w:p>
            <w:p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开标前答疑会</w:t>
            </w:r>
          </w:p>
        </w:tc>
        <w:tc>
          <w:tcPr>
            <w:tcW w:w="6609" w:type="dxa"/>
            <w:vAlign w:val="center"/>
          </w:tcPr>
          <w:p>
            <w:pPr>
              <w:adjustRightInd w:val="0"/>
              <w:snapToGrid w:val="0"/>
              <w:spacing w:after="0" w:line="360" w:lineRule="auto"/>
              <w:jc w:val="left"/>
              <w:rPr>
                <w:rFonts w:hint="eastAsia"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不召开</w:t>
            </w:r>
          </w:p>
          <w:p>
            <w:pPr>
              <w:adjustRightInd w:val="0"/>
              <w:snapToGrid w:val="0"/>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□召开，召开时间：__年_月_日_</w:t>
            </w:r>
            <w:r>
              <w:rPr>
                <w:rFonts w:hint="eastAsia" w:ascii="宋体" w:hAnsi="宋体" w:cs="宋体"/>
                <w:bCs/>
                <w:color w:val="auto"/>
                <w:sz w:val="24"/>
                <w:highlight w:val="none"/>
              </w:rPr>
              <w:t>点</w:t>
            </w:r>
            <w:r>
              <w:rPr>
                <w:rFonts w:hint="eastAsia" w:ascii="宋体" w:hAnsi="宋体" w:cs="宋体"/>
                <w:color w:val="auto"/>
                <w:sz w:val="24"/>
                <w:highlight w:val="none"/>
              </w:rPr>
              <w:t>_</w:t>
            </w:r>
            <w:r>
              <w:rPr>
                <w:rFonts w:hint="eastAsia" w:ascii="宋体" w:hAnsi="宋体" w:cs="宋体"/>
                <w:bCs/>
                <w:color w:val="auto"/>
                <w:sz w:val="24"/>
                <w:highlight w:val="none"/>
              </w:rPr>
              <w:t>分</w:t>
            </w:r>
          </w:p>
          <w:p>
            <w:pPr>
              <w:adjustRightInd w:val="0"/>
              <w:snapToGrid w:val="0"/>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Ansi="宋体" w:cs="宋体"/>
                <w:color w:val="auto"/>
                <w:sz w:val="24"/>
                <w:szCs w:val="24"/>
                <w:highlight w:val="none"/>
              </w:rPr>
            </w:pPr>
            <w:r>
              <w:rPr>
                <w:rFonts w:hint="eastAsia" w:hAnsi="宋体" w:cs="宋体"/>
                <w:color w:val="auto"/>
                <w:sz w:val="24"/>
                <w:szCs w:val="24"/>
                <w:highlight w:val="none"/>
              </w:rPr>
              <w:t>4.1</w:t>
            </w:r>
          </w:p>
        </w:tc>
        <w:tc>
          <w:tcPr>
            <w:tcW w:w="1512" w:type="dxa"/>
            <w:vAlign w:val="center"/>
          </w:tcPr>
          <w:p>
            <w:p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样品</w:t>
            </w:r>
          </w:p>
        </w:tc>
        <w:tc>
          <w:tcPr>
            <w:tcW w:w="6609" w:type="dxa"/>
            <w:vAlign w:val="center"/>
          </w:tcPr>
          <w:p>
            <w:pPr>
              <w:adjustRightInd w:val="0"/>
              <w:snapToGrid w:val="0"/>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投标样品递交：</w:t>
            </w:r>
          </w:p>
          <w:p>
            <w:pPr>
              <w:adjustRightInd w:val="0"/>
              <w:snapToGrid w:val="0"/>
              <w:spacing w:after="0" w:line="360" w:lineRule="auto"/>
              <w:jc w:val="left"/>
              <w:rPr>
                <w:rFonts w:hint="eastAsia"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035" w:type="dxa"/>
            <w:vAlign w:val="center"/>
          </w:tcPr>
          <w:p>
            <w:pPr>
              <w:pStyle w:val="23"/>
              <w:adjustRightInd w:val="0"/>
              <w:snapToGrid w:val="0"/>
              <w:spacing w:line="360" w:lineRule="auto"/>
              <w:jc w:val="center"/>
              <w:rPr>
                <w:rFonts w:hAnsi="宋体" w:cs="宋体"/>
                <w:color w:val="auto"/>
                <w:sz w:val="24"/>
                <w:szCs w:val="24"/>
                <w:highlight w:val="none"/>
              </w:rPr>
            </w:pPr>
            <w:r>
              <w:rPr>
                <w:rFonts w:hint="eastAsia" w:hAnsi="宋体" w:cs="宋体"/>
                <w:color w:val="auto"/>
                <w:sz w:val="24"/>
                <w:szCs w:val="24"/>
                <w:highlight w:val="none"/>
              </w:rPr>
              <w:t>5.2.5</w:t>
            </w:r>
          </w:p>
        </w:tc>
        <w:tc>
          <w:tcPr>
            <w:tcW w:w="1512" w:type="dxa"/>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标的所属行业</w:t>
            </w:r>
          </w:p>
        </w:tc>
        <w:tc>
          <w:tcPr>
            <w:tcW w:w="6609" w:type="dxa"/>
            <w:vAlign w:val="center"/>
          </w:tcPr>
          <w:p>
            <w:pPr>
              <w:spacing w:after="0" w:line="360" w:lineRule="auto"/>
              <w:rPr>
                <w:rFonts w:hint="eastAsia" w:ascii="宋体" w:hAnsi="宋体" w:cs="宋体"/>
                <w:color w:val="auto"/>
                <w:sz w:val="24"/>
                <w:highlight w:val="none"/>
              </w:rPr>
            </w:pPr>
            <w:r>
              <w:rPr>
                <w:rFonts w:hint="eastAsia" w:ascii="宋体" w:hAnsi="宋体" w:cs="宋体"/>
                <w:color w:val="auto"/>
                <w:sz w:val="24"/>
                <w:highlight w:val="none"/>
              </w:rPr>
              <w:t>本项目采购标的对应的中小企业划分标准所属行业：</w:t>
            </w:r>
          </w:p>
          <w:tbl>
            <w:tblPr>
              <w:tblStyle w:val="47"/>
              <w:tblW w:w="6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994" w:type="dxa"/>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cs="宋体"/>
                      <w:bCs/>
                      <w:color w:val="auto"/>
                      <w:sz w:val="18"/>
                      <w:szCs w:val="18"/>
                      <w:highlight w:val="none"/>
                    </w:rPr>
                  </w:pPr>
                  <w:r>
                    <w:rPr>
                      <w:rFonts w:hint="eastAsia" w:ascii="宋体" w:hAnsi="宋体" w:cs="宋体"/>
                      <w:bCs/>
                      <w:color w:val="auto"/>
                      <w:sz w:val="18"/>
                      <w:szCs w:val="18"/>
                      <w:highlight w:val="none"/>
                    </w:rPr>
                    <w:t>标的名称</w:t>
                  </w:r>
                </w:p>
              </w:tc>
              <w:tc>
                <w:tcPr>
                  <w:tcW w:w="1417" w:type="dxa"/>
                  <w:tcBorders>
                    <w:top w:val="single" w:color="auto" w:sz="4" w:space="0"/>
                    <w:left w:val="single" w:color="auto" w:sz="4" w:space="0"/>
                    <w:bottom w:val="single" w:color="auto" w:sz="4" w:space="0"/>
                    <w:right w:val="single" w:color="auto" w:sz="4" w:space="0"/>
                  </w:tcBorders>
                  <w:vAlign w:val="center"/>
                </w:tcPr>
                <w:p>
                  <w:pPr>
                    <w:spacing w:after="0"/>
                    <w:rPr>
                      <w:rFonts w:hint="eastAsia" w:ascii="宋体" w:hAnsi="宋体" w:cs="宋体"/>
                      <w:color w:val="auto"/>
                      <w:sz w:val="18"/>
                      <w:szCs w:val="18"/>
                      <w:highlight w:val="none"/>
                    </w:rPr>
                  </w:pPr>
                  <w:r>
                    <w:rPr>
                      <w:rFonts w:hint="eastAsia" w:ascii="宋体" w:hAnsi="宋体" w:cs="宋体"/>
                      <w:color w:val="auto"/>
                      <w:sz w:val="18"/>
                      <w:szCs w:val="18"/>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994" w:type="dxa"/>
                  <w:tcBorders>
                    <w:top w:val="single" w:color="auto" w:sz="4" w:space="0"/>
                    <w:left w:val="single" w:color="auto" w:sz="4" w:space="0"/>
                    <w:bottom w:val="single" w:color="auto" w:sz="4" w:space="0"/>
                    <w:right w:val="single" w:color="auto" w:sz="4" w:space="0"/>
                  </w:tcBorders>
                  <w:vAlign w:val="center"/>
                </w:tcPr>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医用外科口罩（独立包装）</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高压灭菌袋（10L)</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0.2ml荧光PCR96孔板</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0.2ml荧光PCR96孔板覆膜</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PCR通用透明封板膜</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N95口罩</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84消毒液（500g)</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蒸馏水</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1250ul无菌盒装滤芯吸头</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10ul滤芯吸头</w:t>
                  </w:r>
                </w:p>
                <w:p>
                  <w:pPr>
                    <w:spacing w:after="0"/>
                    <w:rPr>
                      <w:rFonts w:hint="eastAsia" w:ascii="宋体" w:hAnsi="宋体" w:cs="宋体"/>
                      <w:b/>
                      <w:color w:val="auto"/>
                      <w:szCs w:val="21"/>
                      <w:highlight w:val="none"/>
                    </w:rPr>
                  </w:pPr>
                  <w:r>
                    <w:rPr>
                      <w:rFonts w:hint="eastAsia" w:ascii="宋体" w:hAnsi="宋体" w:cs="宋体"/>
                      <w:b/>
                      <w:color w:val="auto"/>
                      <w:szCs w:val="21"/>
                      <w:highlight w:val="none"/>
                    </w:rPr>
                    <w:t>盒装滤芯吸头（200ul）（核心产品）</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医用脱脂棉球</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低温记号笔</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5ml离心管（圆底连盖）</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连体医用一次性防护服（含脚套）</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一次性细菌接种环（10ul）</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100mm培养皿</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高纯二氧化碳</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一次性透明聚乙烯试管（12mm*75mm）</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5ml外旋冻存管</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2ml翻盖式PC冻存管盒</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丁腈手套（S号）</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丁腈手套（M号）</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丁腈手套（L号）</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紫色丁腈加长手套（M号）</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PE手套</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75cm2细胞培养瓶</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眼科剪（10cm直尖头）</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14G金属穿刺针(2.1*150)</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背心袋（26x42cm，加厚）</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背心袋（30x48cm，加厚）</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厌氧产气袋</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75%酒精</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DNase/RNase-free ddH2O</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液氮</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甘油(AR)</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PET防护面罩/面屏</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医用一次性防护服（带脚套）</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衣领袖口清洁剂</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智能分析系统卡盒</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氨苄西林药敏纸片</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青霉素药敏纸片</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卡那霉素药敏纸片</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链霉素药敏纸片</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四环素药敏纸片</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红霉素药敏纸片</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新霉素药敏纸片</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头孢哌酮药敏纸片</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头孢噻肟药敏纸片</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头孢噻吩药敏纸片</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头孢他啶药敏纸片</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头孢羟氨苄药敏纸片</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多粘菌素B药敏纸片</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环丙沙星药敏纸片</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阿莫西林药敏纸片</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庆大霉素药敏纸片</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新生霉素药敏纸片</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一次性细菌接种环（10ul）</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100mm培养皿</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10ml吸头</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200ul盒装吸头</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300ul无菌盒装吸头</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1.5ml离心管</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2ml离心管</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5ml离心管</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10mL离心管</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15ml离心管</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50ml离心管</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10ml一次性移液管</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25ML一次性移液管</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1*PBS缓冲液PH7.2-7.4,0.01M</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纯净水</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消毒液</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三折装擦手纸</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抽纸巾S号</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医疗垃圾袋70*80cm*2.5S</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一次性丁腈手套加长款（S）</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一次性透明加样槽（通用）</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通用透明封板膜</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医疗利器盒（3升）</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10ml枪头通用枪头盒</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一次性无菌口罩</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塑料液体瓶</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塑料液体瓶</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平板凝集实验卡</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白大褂（夏季薄款）</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标准分液管standard tube dispensing cassette</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新洁尔灭消毒液</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黑色封板膜</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4.6毫升48孔透明深孔板</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带灯放大镜</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一次性鞋套</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一次性头帽</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耐酸碱橡胶手套S号</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耐酸碱橡胶手套M号</w:t>
                  </w:r>
                </w:p>
                <w:p>
                  <w:pPr>
                    <w:spacing w:after="0"/>
                    <w:rPr>
                      <w:rFonts w:hint="eastAsia" w:ascii="宋体" w:hAnsi="宋体" w:cs="宋体"/>
                      <w:bCs/>
                      <w:color w:val="auto"/>
                      <w:szCs w:val="21"/>
                      <w:highlight w:val="none"/>
                    </w:rPr>
                  </w:pPr>
                  <w:r>
                    <w:rPr>
                      <w:rFonts w:hint="eastAsia" w:ascii="宋体" w:hAnsi="宋体" w:cs="宋体"/>
                      <w:bCs/>
                      <w:color w:val="auto"/>
                      <w:szCs w:val="21"/>
                      <w:highlight w:val="none"/>
                    </w:rPr>
                    <w:t>50ml离心管</w:t>
                  </w:r>
                </w:p>
                <w:p>
                  <w:pPr>
                    <w:spacing w:after="0"/>
                    <w:rPr>
                      <w:rFonts w:hint="eastAsia" w:ascii="宋体" w:hAnsi="宋体" w:cs="宋体"/>
                      <w:bCs/>
                      <w:color w:val="auto"/>
                      <w:sz w:val="18"/>
                      <w:szCs w:val="18"/>
                      <w:highlight w:val="none"/>
                    </w:rPr>
                  </w:pPr>
                  <w:r>
                    <w:rPr>
                      <w:rFonts w:hint="eastAsia" w:ascii="宋体" w:hAnsi="宋体" w:cs="宋体"/>
                      <w:bCs/>
                      <w:color w:val="auto"/>
                      <w:szCs w:val="21"/>
                      <w:highlight w:val="none"/>
                    </w:rPr>
                    <w:t>医用酒精湿巾</w:t>
                  </w:r>
                </w:p>
              </w:tc>
              <w:tc>
                <w:tcPr>
                  <w:tcW w:w="1417" w:type="dxa"/>
                  <w:tcBorders>
                    <w:top w:val="single" w:color="auto" w:sz="4" w:space="0"/>
                    <w:left w:val="single" w:color="auto" w:sz="4" w:space="0"/>
                    <w:bottom w:val="single" w:color="auto" w:sz="4" w:space="0"/>
                    <w:right w:val="single" w:color="auto" w:sz="4" w:space="0"/>
                  </w:tcBorders>
                  <w:vAlign w:val="center"/>
                </w:tcPr>
                <w:p>
                  <w:pPr>
                    <w:spacing w:after="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工业（制造业）</w:t>
                  </w:r>
                </w:p>
              </w:tc>
            </w:tr>
          </w:tbl>
          <w:p>
            <w:pPr>
              <w:spacing w:line="360" w:lineRule="auto"/>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7" w:hRule="atLeast"/>
          <w:jc w:val="center"/>
        </w:trPr>
        <w:tc>
          <w:tcPr>
            <w:tcW w:w="1035" w:type="dxa"/>
            <w:vAlign w:val="center"/>
          </w:tcPr>
          <w:p>
            <w:pPr>
              <w:pStyle w:val="23"/>
              <w:adjustRightInd w:val="0"/>
              <w:snapToGrid w:val="0"/>
              <w:spacing w:line="360" w:lineRule="auto"/>
              <w:jc w:val="center"/>
              <w:rPr>
                <w:rFonts w:hAnsi="宋体" w:cs="宋体"/>
                <w:color w:val="auto"/>
                <w:sz w:val="24"/>
                <w:szCs w:val="24"/>
                <w:highlight w:val="none"/>
              </w:rPr>
            </w:pPr>
            <w:r>
              <w:rPr>
                <w:rFonts w:hint="eastAsia" w:hAnsi="宋体" w:cs="宋体"/>
                <w:color w:val="auto"/>
                <w:sz w:val="24"/>
                <w:szCs w:val="24"/>
                <w:highlight w:val="none"/>
              </w:rPr>
              <w:t>12.1</w:t>
            </w:r>
          </w:p>
        </w:tc>
        <w:tc>
          <w:tcPr>
            <w:tcW w:w="1512" w:type="dxa"/>
            <w:vMerge w:val="restart"/>
            <w:vAlign w:val="center"/>
          </w:tcPr>
          <w:p>
            <w:p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6609" w:type="dxa"/>
            <w:vAlign w:val="center"/>
          </w:tcPr>
          <w:p>
            <w:pPr>
              <w:pStyle w:val="23"/>
              <w:adjustRightInd w:val="0"/>
              <w:snapToGrid w:val="0"/>
              <w:spacing w:after="0" w:line="360" w:lineRule="auto"/>
              <w:rPr>
                <w:rFonts w:hAnsi="宋体" w:cs="宋体"/>
                <w:b/>
                <w:bCs/>
                <w:color w:val="auto"/>
                <w:sz w:val="24"/>
                <w:highlight w:val="none"/>
                <w:u w:val="single"/>
              </w:rPr>
            </w:pPr>
            <w:r>
              <w:rPr>
                <w:rFonts w:hint="eastAsia" w:hAnsi="宋体" w:cs="宋体"/>
                <w:b/>
                <w:bCs/>
                <w:color w:val="auto"/>
                <w:sz w:val="24"/>
                <w:szCs w:val="24"/>
                <w:highlight w:val="none"/>
              </w:rPr>
              <w:t>投标保证金金额：</w:t>
            </w:r>
            <w:r>
              <w:rPr>
                <w:rFonts w:hAnsi="宋体" w:cs="宋体"/>
                <w:b/>
                <w:bCs/>
                <w:color w:val="auto"/>
                <w:sz w:val="24"/>
                <w:highlight w:val="none"/>
                <w:u w:val="single"/>
              </w:rPr>
              <w:t xml:space="preserve"> 4800  元</w:t>
            </w:r>
          </w:p>
          <w:p>
            <w:pPr>
              <w:topLinePunct/>
              <w:spacing w:after="0" w:line="400" w:lineRule="exact"/>
              <w:ind w:right="207"/>
              <w:jc w:val="left"/>
              <w:rPr>
                <w:rFonts w:hint="eastAsia" w:ascii="宋体" w:hAnsi="宋体" w:cs="宋体"/>
                <w:color w:val="auto"/>
                <w:sz w:val="24"/>
                <w:highlight w:val="none"/>
              </w:rPr>
            </w:pPr>
            <w:r>
              <w:rPr>
                <w:rFonts w:hint="eastAsia" w:ascii="宋体" w:hAnsi="宋体" w:cs="宋体"/>
                <w:color w:val="auto"/>
                <w:sz w:val="24"/>
                <w:highlight w:val="none"/>
              </w:rPr>
              <w:t>投标保证金收受人信息：</w:t>
            </w:r>
          </w:p>
          <w:p>
            <w:pPr>
              <w:topLinePunct/>
              <w:spacing w:after="0" w:line="400" w:lineRule="exact"/>
              <w:ind w:right="207"/>
              <w:jc w:val="left"/>
              <w:rPr>
                <w:rFonts w:hint="eastAsia" w:ascii="宋体" w:hAnsi="宋体" w:cs="宋体"/>
                <w:color w:val="auto"/>
                <w:sz w:val="24"/>
                <w:highlight w:val="none"/>
              </w:rPr>
            </w:pPr>
            <w:r>
              <w:rPr>
                <w:rFonts w:hint="eastAsia" w:ascii="宋体" w:hAnsi="宋体" w:cs="宋体"/>
                <w:color w:val="auto"/>
                <w:sz w:val="24"/>
                <w:highlight w:val="none"/>
              </w:rPr>
              <w:t>招标代理机构银行账户信息：</w:t>
            </w:r>
          </w:p>
          <w:p>
            <w:pPr>
              <w:topLinePunct/>
              <w:spacing w:after="0" w:line="400" w:lineRule="exact"/>
              <w:ind w:right="207"/>
              <w:jc w:val="left"/>
              <w:rPr>
                <w:rFonts w:hint="eastAsia" w:ascii="宋体" w:hAnsi="宋体" w:cs="宋体"/>
                <w:color w:val="auto"/>
                <w:sz w:val="24"/>
                <w:highlight w:val="none"/>
              </w:rPr>
            </w:pPr>
            <w:r>
              <w:rPr>
                <w:rFonts w:hint="eastAsia" w:ascii="宋体" w:hAnsi="宋体" w:cs="宋体"/>
                <w:color w:val="auto"/>
                <w:sz w:val="24"/>
                <w:highlight w:val="none"/>
              </w:rPr>
              <w:t>开户名（全称）：北京国泰建中管理咨询有限公司</w:t>
            </w:r>
          </w:p>
          <w:p>
            <w:pPr>
              <w:topLinePunct/>
              <w:spacing w:after="0" w:line="400" w:lineRule="exact"/>
              <w:ind w:right="207"/>
              <w:jc w:val="left"/>
              <w:rPr>
                <w:rFonts w:hint="eastAsia" w:ascii="宋体" w:hAnsi="宋体" w:cs="宋体"/>
                <w:color w:val="auto"/>
                <w:sz w:val="24"/>
                <w:highlight w:val="none"/>
              </w:rPr>
            </w:pPr>
            <w:r>
              <w:rPr>
                <w:rFonts w:hint="eastAsia" w:ascii="宋体" w:hAnsi="宋体" w:cs="宋体"/>
                <w:color w:val="auto"/>
                <w:sz w:val="24"/>
                <w:highlight w:val="none"/>
              </w:rPr>
              <w:t>开 户  银 行 ：招商银行股份有限公司北京分行甘家口支行</w:t>
            </w:r>
          </w:p>
          <w:p>
            <w:pPr>
              <w:adjustRightInd w:val="0"/>
              <w:snapToGrid w:val="0"/>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账        号 ：531902429310101</w:t>
            </w:r>
          </w:p>
          <w:p>
            <w:pPr>
              <w:adjustRightInd w:val="0"/>
              <w:snapToGrid w:val="0"/>
              <w:spacing w:after="0" w:line="360" w:lineRule="auto"/>
              <w:jc w:val="left"/>
              <w:rPr>
                <w:rFonts w:hint="eastAsia" w:ascii="宋体" w:hAnsi="宋体" w:cs="宋体"/>
                <w:color w:val="auto"/>
                <w:sz w:val="24"/>
                <w:highlight w:val="none"/>
              </w:rPr>
            </w:pPr>
            <w:r>
              <w:rPr>
                <w:rFonts w:hint="eastAsia" w:ascii="宋体" w:hAnsi="宋体" w:cs="宋体"/>
                <w:b/>
                <w:bCs/>
                <w:sz w:val="24"/>
              </w:rPr>
              <w:t>注：投标人如计划参与多个采购包的投标，在汇款时应注明保证金对应的项目名称简写以及相应包次号，并应在登录北京市政府采购电子交易平台后，依次提交各包次递交保证金的凭证。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Ansi="宋体" w:cs="宋体"/>
                <w:color w:val="auto"/>
                <w:sz w:val="24"/>
                <w:szCs w:val="24"/>
                <w:highlight w:val="none"/>
              </w:rPr>
            </w:pPr>
            <w:r>
              <w:rPr>
                <w:rFonts w:hint="eastAsia" w:hAnsi="宋体" w:cs="宋体"/>
                <w:color w:val="auto"/>
                <w:sz w:val="24"/>
                <w:szCs w:val="24"/>
                <w:highlight w:val="none"/>
              </w:rPr>
              <w:t>12.7.2</w:t>
            </w:r>
          </w:p>
        </w:tc>
        <w:tc>
          <w:tcPr>
            <w:tcW w:w="1512" w:type="dxa"/>
            <w:vMerge w:val="continue"/>
            <w:vAlign w:val="center"/>
          </w:tcPr>
          <w:p>
            <w:pPr>
              <w:adjustRightInd w:val="0"/>
              <w:snapToGrid w:val="0"/>
              <w:spacing w:line="360" w:lineRule="auto"/>
              <w:jc w:val="center"/>
              <w:rPr>
                <w:rFonts w:hint="eastAsia" w:ascii="宋体" w:hAnsi="宋体" w:cs="宋体"/>
                <w:color w:val="auto"/>
                <w:sz w:val="24"/>
                <w:highlight w:val="none"/>
              </w:rPr>
            </w:pPr>
          </w:p>
        </w:tc>
        <w:tc>
          <w:tcPr>
            <w:tcW w:w="6609" w:type="dxa"/>
            <w:vAlign w:val="center"/>
          </w:tcPr>
          <w:p>
            <w:pPr>
              <w:adjustRightInd w:val="0"/>
              <w:snapToGrid w:val="0"/>
              <w:spacing w:after="0"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投标保证金可以不予退还的其他情形：</w:t>
            </w:r>
          </w:p>
          <w:p>
            <w:pPr>
              <w:adjustRightInd w:val="0"/>
              <w:snapToGrid w:val="0"/>
              <w:spacing w:after="0"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□无</w:t>
            </w:r>
          </w:p>
          <w:p>
            <w:pPr>
              <w:pStyle w:val="23"/>
              <w:adjustRightInd w:val="0"/>
              <w:snapToGrid w:val="0"/>
              <w:spacing w:after="0" w:line="360" w:lineRule="auto"/>
              <w:rPr>
                <w:rFonts w:hAnsi="宋体" w:cs="宋体"/>
                <w:color w:val="auto"/>
                <w:sz w:val="24"/>
                <w:szCs w:val="24"/>
                <w:highlight w:val="none"/>
              </w:rPr>
            </w:pPr>
            <w:r>
              <w:rPr>
                <w:rFonts w:hAnsi="宋体" w:cs="宋体"/>
                <w:color w:val="auto"/>
                <w:sz w:val="24"/>
                <w:szCs w:val="24"/>
                <w:highlight w:val="none"/>
              </w:rPr>
              <w:t>■</w:t>
            </w:r>
            <w:r>
              <w:rPr>
                <w:rFonts w:hint="eastAsia" w:hAnsi="宋体" w:cs="宋体"/>
                <w:color w:val="auto"/>
                <w:sz w:val="24"/>
                <w:szCs w:val="24"/>
                <w:highlight w:val="none"/>
              </w:rPr>
              <w:t>有，具体情形：</w:t>
            </w:r>
            <w:r>
              <w:rPr>
                <w:rFonts w:hAnsi="宋体" w:cs="宋体"/>
                <w:color w:val="auto"/>
                <w:sz w:val="24"/>
                <w:szCs w:val="24"/>
                <w:highlight w:val="none"/>
                <w:u w:val="single"/>
              </w:rPr>
              <w:t xml:space="preserve"> 详见投标人须知 </w:t>
            </w:r>
            <w:r>
              <w:rPr>
                <w:rFonts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Ansi="宋体" w:cs="宋体"/>
                <w:color w:val="auto"/>
                <w:sz w:val="24"/>
                <w:szCs w:val="24"/>
                <w:highlight w:val="none"/>
              </w:rPr>
            </w:pPr>
            <w:r>
              <w:rPr>
                <w:rFonts w:hint="eastAsia" w:hAnsi="宋体" w:cs="宋体"/>
                <w:color w:val="auto"/>
                <w:sz w:val="24"/>
                <w:szCs w:val="24"/>
                <w:highlight w:val="none"/>
              </w:rPr>
              <w:t>13.1</w:t>
            </w:r>
          </w:p>
        </w:tc>
        <w:tc>
          <w:tcPr>
            <w:tcW w:w="1512" w:type="dxa"/>
            <w:vAlign w:val="center"/>
          </w:tcPr>
          <w:p>
            <w:pPr>
              <w:adjustRightInd w:val="0"/>
              <w:snapToGrid w:val="0"/>
              <w:spacing w:after="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6609" w:type="dxa"/>
            <w:vAlign w:val="center"/>
          </w:tcPr>
          <w:p>
            <w:pPr>
              <w:adjustRightInd w:val="0"/>
              <w:snapToGrid w:val="0"/>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自提交投标文件的截止之日起算</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jc w:val="center"/>
              <w:rPr>
                <w:rFonts w:hAnsi="宋体" w:cs="宋体"/>
                <w:color w:val="auto"/>
                <w:sz w:val="24"/>
                <w:szCs w:val="24"/>
                <w:highlight w:val="none"/>
              </w:rPr>
            </w:pPr>
            <w:r>
              <w:rPr>
                <w:rFonts w:hint="eastAsia" w:ascii="宋体" w:hAnsi="宋体" w:cs="宋体"/>
                <w:color w:val="auto"/>
                <w:sz w:val="24"/>
                <w:szCs w:val="24"/>
                <w:highlight w:val="none"/>
              </w:rPr>
              <w:t>18.2</w:t>
            </w:r>
          </w:p>
        </w:tc>
        <w:tc>
          <w:tcPr>
            <w:tcW w:w="1512"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解密时间</w:t>
            </w:r>
          </w:p>
        </w:tc>
        <w:tc>
          <w:tcPr>
            <w:tcW w:w="6609"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解密时间：不少于</w:t>
            </w:r>
            <w:r>
              <w:rPr>
                <w:rFonts w:hint="eastAsia" w:ascii="宋体" w:hAnsi="宋体" w:cs="宋体"/>
                <w:color w:val="auto"/>
                <w:sz w:val="24"/>
                <w:highlight w:val="none"/>
                <w:u w:val="single"/>
              </w:rPr>
              <w:t>30</w:t>
            </w:r>
            <w:r>
              <w:rPr>
                <w:rFonts w:hint="eastAsia" w:ascii="宋体" w:hAnsi="宋体" w:cs="宋体"/>
                <w:color w:val="auto"/>
                <w:sz w:val="24"/>
                <w:highlight w:val="none"/>
              </w:rPr>
              <w:t>分钟</w:t>
            </w:r>
            <w:r>
              <w:rPr>
                <w:rFonts w:hint="eastAsia" w:ascii="宋体" w:hAnsi="宋体" w:cs="宋体"/>
                <w:i/>
                <w:iCs/>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Ansi="宋体" w:cs="宋体"/>
                <w:color w:val="auto"/>
                <w:sz w:val="24"/>
                <w:szCs w:val="24"/>
                <w:highlight w:val="none"/>
              </w:rPr>
            </w:pPr>
            <w:r>
              <w:rPr>
                <w:rFonts w:hint="eastAsia" w:hAnsi="宋体" w:cs="宋体"/>
                <w:color w:val="auto"/>
                <w:sz w:val="24"/>
                <w:szCs w:val="24"/>
                <w:highlight w:val="none"/>
              </w:rPr>
              <w:t>22.1</w:t>
            </w:r>
          </w:p>
        </w:tc>
        <w:tc>
          <w:tcPr>
            <w:tcW w:w="1512" w:type="dxa"/>
            <w:vAlign w:val="center"/>
          </w:tcPr>
          <w:p>
            <w:pPr>
              <w:spacing w:after="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确定中标人</w:t>
            </w:r>
          </w:p>
        </w:tc>
        <w:tc>
          <w:tcPr>
            <w:tcW w:w="6609" w:type="dxa"/>
            <w:vAlign w:val="center"/>
          </w:tcPr>
          <w:p>
            <w:pPr>
              <w:pStyle w:val="23"/>
              <w:adjustRightInd w:val="0"/>
              <w:snapToGrid w:val="0"/>
              <w:spacing w:after="0" w:line="360" w:lineRule="auto"/>
              <w:rPr>
                <w:rFonts w:hAnsi="宋体" w:cs="宋体"/>
                <w:color w:val="auto"/>
                <w:sz w:val="24"/>
                <w:highlight w:val="none"/>
              </w:rPr>
            </w:pPr>
            <w:r>
              <w:rPr>
                <w:rFonts w:hint="eastAsia" w:hAnsi="宋体" w:cs="宋体"/>
                <w:color w:val="auto"/>
                <w:sz w:val="24"/>
                <w:highlight w:val="none"/>
              </w:rPr>
              <w:t>中标候选人并列的，采购人是否委托评标委员会确定中标人：</w:t>
            </w:r>
          </w:p>
          <w:p>
            <w:pPr>
              <w:pStyle w:val="23"/>
              <w:adjustRightInd w:val="0"/>
              <w:snapToGrid w:val="0"/>
              <w:spacing w:after="0" w:line="360" w:lineRule="auto"/>
              <w:rPr>
                <w:rFonts w:hAnsi="宋体" w:cs="宋体"/>
                <w:color w:val="auto"/>
                <w:sz w:val="24"/>
                <w:highlight w:val="none"/>
              </w:rPr>
            </w:pPr>
            <w:r>
              <w:rPr>
                <w:rFonts w:hAnsi="宋体" w:cs="宋体"/>
                <w:color w:val="auto"/>
                <w:sz w:val="24"/>
                <w:highlight w:val="none"/>
              </w:rPr>
              <w:t>■</w:t>
            </w:r>
            <w:r>
              <w:rPr>
                <w:rFonts w:hint="eastAsia" w:hAnsi="宋体" w:cs="宋体"/>
                <w:color w:val="auto"/>
                <w:sz w:val="24"/>
                <w:highlight w:val="none"/>
              </w:rPr>
              <w:t>否</w:t>
            </w:r>
          </w:p>
          <w:p>
            <w:pPr>
              <w:pStyle w:val="23"/>
              <w:adjustRightInd w:val="0"/>
              <w:snapToGrid w:val="0"/>
              <w:spacing w:after="0" w:line="360" w:lineRule="auto"/>
              <w:rPr>
                <w:rFonts w:hAnsi="宋体" w:cs="宋体"/>
                <w:color w:val="auto"/>
                <w:sz w:val="24"/>
                <w:highlight w:val="none"/>
              </w:rPr>
            </w:pPr>
            <w:r>
              <w:rPr>
                <w:rFonts w:hint="eastAsia" w:hAnsi="宋体" w:cs="宋体"/>
                <w:color w:val="auto"/>
                <w:sz w:val="24"/>
                <w:highlight w:val="none"/>
              </w:rPr>
              <w:t>□是</w:t>
            </w:r>
          </w:p>
          <w:p>
            <w:pPr>
              <w:pStyle w:val="23"/>
              <w:adjustRightInd w:val="0"/>
              <w:snapToGrid w:val="0"/>
              <w:spacing w:after="0" w:line="360" w:lineRule="auto"/>
              <w:rPr>
                <w:rFonts w:hAnsi="宋体" w:cs="宋体"/>
                <w:color w:val="auto"/>
                <w:sz w:val="24"/>
                <w:szCs w:val="24"/>
                <w:highlight w:val="none"/>
                <w:u w:val="single"/>
              </w:rPr>
            </w:pPr>
            <w:r>
              <w:rPr>
                <w:rFonts w:hint="eastAsia" w:hAnsi="宋体" w:cs="宋体"/>
                <w:color w:val="auto"/>
                <w:sz w:val="24"/>
                <w:highlight w:val="none"/>
              </w:rPr>
              <w:t>中标候选人并列的，按照以下方式确定中标人：</w:t>
            </w:r>
          </w:p>
          <w:p>
            <w:pPr>
              <w:pStyle w:val="23"/>
              <w:adjustRightInd w:val="0"/>
              <w:snapToGrid w:val="0"/>
              <w:spacing w:after="0" w:line="360" w:lineRule="auto"/>
              <w:rPr>
                <w:rFonts w:hAnsi="宋体" w:cs="宋体"/>
                <w:color w:val="auto"/>
                <w:sz w:val="24"/>
                <w:highlight w:val="none"/>
              </w:rPr>
            </w:pPr>
            <w:r>
              <w:rPr>
                <w:rFonts w:hAnsi="宋体" w:cs="宋体"/>
                <w:color w:val="auto"/>
                <w:sz w:val="24"/>
                <w:highlight w:val="none"/>
              </w:rPr>
              <w:t>■得分且投标报价均相同的，以</w:t>
            </w:r>
            <w:r>
              <w:rPr>
                <w:rFonts w:hAnsi="宋体" w:cs="宋体"/>
                <w:color w:val="auto"/>
                <w:sz w:val="24"/>
                <w:highlight w:val="none"/>
                <w:u w:val="single"/>
              </w:rPr>
              <w:t xml:space="preserve"> 评审因素的量化指标评审 </w:t>
            </w:r>
            <w:r>
              <w:rPr>
                <w:rFonts w:hAnsi="宋体" w:cs="宋体"/>
                <w:color w:val="auto"/>
                <w:sz w:val="24"/>
                <w:highlight w:val="none"/>
              </w:rPr>
              <w:t>得分高者为中标人</w:t>
            </w:r>
          </w:p>
          <w:p>
            <w:pPr>
              <w:pStyle w:val="23"/>
              <w:adjustRightInd w:val="0"/>
              <w:snapToGrid w:val="0"/>
              <w:spacing w:after="0" w:line="360" w:lineRule="auto"/>
              <w:rPr>
                <w:rFonts w:hAnsi="宋体" w:cs="宋体"/>
                <w:color w:val="auto"/>
                <w:sz w:val="24"/>
                <w:highlight w:val="none"/>
              </w:rPr>
            </w:pPr>
            <w:r>
              <w:rPr>
                <w:rFonts w:hAnsi="宋体" w:cs="宋体"/>
                <w:color w:val="auto"/>
                <w:sz w:val="24"/>
                <w:highlight w:val="none"/>
              </w:rPr>
              <w:t>□ 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Ansi="宋体" w:cs="宋体"/>
                <w:color w:val="auto"/>
                <w:sz w:val="24"/>
                <w:szCs w:val="24"/>
                <w:highlight w:val="none"/>
              </w:rPr>
            </w:pPr>
            <w:r>
              <w:rPr>
                <w:rFonts w:hint="eastAsia" w:hAnsi="宋体" w:cs="宋体"/>
                <w:color w:val="auto"/>
                <w:sz w:val="24"/>
                <w:szCs w:val="24"/>
                <w:highlight w:val="none"/>
              </w:rPr>
              <w:t>25.5</w:t>
            </w:r>
          </w:p>
        </w:tc>
        <w:tc>
          <w:tcPr>
            <w:tcW w:w="1512" w:type="dxa"/>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分包</w:t>
            </w:r>
          </w:p>
        </w:tc>
        <w:tc>
          <w:tcPr>
            <w:tcW w:w="6609" w:type="dxa"/>
            <w:vAlign w:val="center"/>
          </w:tcPr>
          <w:p>
            <w:pPr>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本项目的非主体、非关键性工作是否允许分包： </w:t>
            </w:r>
          </w:p>
          <w:p>
            <w:pPr>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■不允许</w:t>
            </w:r>
          </w:p>
          <w:p>
            <w:pPr>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□允许，具体要求：</w:t>
            </w:r>
          </w:p>
          <w:p>
            <w:pPr>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（1）可以分包履行的具体内容：/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（2）允许分包的金额或者比例：</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spacing w:after="0" w:line="360" w:lineRule="auto"/>
              <w:jc w:val="left"/>
              <w:rPr>
                <w:rFonts w:hint="eastAsia" w:ascii="宋体" w:hAnsi="宋体" w:cs="宋体"/>
                <w:color w:val="auto"/>
                <w:sz w:val="24"/>
                <w:highlight w:val="none"/>
                <w:u w:val="single"/>
              </w:rPr>
            </w:pPr>
            <w:r>
              <w:rPr>
                <w:rFonts w:hint="eastAsia" w:ascii="宋体" w:hAnsi="宋体" w:cs="宋体"/>
                <w:color w:val="auto"/>
                <w:sz w:val="24"/>
                <w:highlight w:val="none"/>
              </w:rPr>
              <w:t>（3）其他要求：</w:t>
            </w:r>
            <w:r>
              <w:rPr>
                <w:rFonts w:hint="eastAsia" w:ascii="宋体" w:hAnsi="宋体" w:cs="宋体"/>
                <w:color w:val="auto"/>
                <w:sz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jc w:val="center"/>
        </w:trPr>
        <w:tc>
          <w:tcPr>
            <w:tcW w:w="1035" w:type="dxa"/>
            <w:vAlign w:val="center"/>
          </w:tcPr>
          <w:p>
            <w:pPr>
              <w:pStyle w:val="23"/>
              <w:adjustRightInd w:val="0"/>
              <w:snapToGrid w:val="0"/>
              <w:spacing w:line="360" w:lineRule="auto"/>
              <w:jc w:val="center"/>
              <w:rPr>
                <w:rFonts w:hAnsi="宋体" w:cs="宋体"/>
                <w:color w:val="auto"/>
                <w:sz w:val="24"/>
                <w:szCs w:val="24"/>
                <w:highlight w:val="none"/>
              </w:rPr>
            </w:pPr>
            <w:r>
              <w:rPr>
                <w:rFonts w:hint="eastAsia" w:hAnsi="宋体" w:cs="宋体"/>
                <w:color w:val="auto"/>
                <w:sz w:val="24"/>
                <w:szCs w:val="24"/>
                <w:highlight w:val="none"/>
              </w:rPr>
              <w:t>25.6</w:t>
            </w:r>
          </w:p>
        </w:tc>
        <w:tc>
          <w:tcPr>
            <w:tcW w:w="1512" w:type="dxa"/>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政采贷</w:t>
            </w:r>
          </w:p>
        </w:tc>
        <w:tc>
          <w:tcPr>
            <w:tcW w:w="6609" w:type="dxa"/>
            <w:vAlign w:val="center"/>
          </w:tcPr>
          <w:p>
            <w:pPr>
              <w:spacing w:after="0"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投标人，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Ansi="宋体" w:cs="宋体"/>
                <w:color w:val="auto"/>
                <w:sz w:val="24"/>
                <w:szCs w:val="24"/>
                <w:highlight w:val="none"/>
              </w:rPr>
            </w:pPr>
            <w:r>
              <w:rPr>
                <w:rFonts w:hint="eastAsia" w:hAnsi="宋体" w:cs="宋体"/>
                <w:color w:val="auto"/>
                <w:sz w:val="24"/>
                <w:szCs w:val="24"/>
                <w:highlight w:val="none"/>
              </w:rPr>
              <w:t>26.1.1</w:t>
            </w:r>
          </w:p>
        </w:tc>
        <w:tc>
          <w:tcPr>
            <w:tcW w:w="1512" w:type="dxa"/>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询问</w:t>
            </w:r>
          </w:p>
        </w:tc>
        <w:tc>
          <w:tcPr>
            <w:tcW w:w="6609" w:type="dxa"/>
            <w:vAlign w:val="center"/>
          </w:tcPr>
          <w:p>
            <w:pPr>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询问送达形式：</w:t>
            </w:r>
            <w:r>
              <w:rPr>
                <w:rFonts w:hint="eastAsia" w:ascii="宋体" w:hAnsi="宋体" w:cs="宋体"/>
                <w:color w:val="auto"/>
                <w:sz w:val="24"/>
                <w:highlight w:val="none"/>
                <w:u w:val="single"/>
              </w:rPr>
              <w:t>Word版、</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"mailto:盖章后电子版均需发电子邮箱至bjgtjz@126.com/" </w:instrText>
            </w:r>
            <w:r>
              <w:rPr>
                <w:rFonts w:hint="eastAsia" w:ascii="宋体" w:hAnsi="宋体" w:cs="宋体"/>
                <w:color w:val="auto"/>
                <w:highlight w:val="none"/>
              </w:rPr>
              <w:fldChar w:fldCharType="separate"/>
            </w:r>
            <w:r>
              <w:rPr>
                <w:rStyle w:val="55"/>
                <w:rFonts w:hint="eastAsia" w:ascii="宋体" w:hAnsi="宋体" w:cs="宋体"/>
                <w:color w:val="auto"/>
                <w:sz w:val="24"/>
                <w:highlight w:val="none"/>
              </w:rPr>
              <w:t>盖章后电子版均需发电子邮箱至bjgtjz@126.com/</w:t>
            </w:r>
            <w:r>
              <w:rPr>
                <w:rStyle w:val="55"/>
                <w:rFonts w:hint="eastAsia" w:ascii="宋体" w:hAnsi="宋体" w:cs="宋体"/>
                <w:color w:val="auto"/>
                <w:sz w:val="24"/>
                <w:highlight w:val="none"/>
              </w:rPr>
              <w:fldChar w:fldCharType="end"/>
            </w:r>
            <w:r>
              <w:rPr>
                <w:rFonts w:hint="eastAsia" w:ascii="宋体" w:hAnsi="宋体" w:cs="宋体"/>
                <w:color w:val="auto"/>
                <w:sz w:val="24"/>
                <w:highlight w:val="none"/>
                <w:u w:val="single"/>
              </w:rPr>
              <w:t>盖章后的纸质版原件快递至北京市海淀区成府路270号中科科仪6号楼3层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Ansi="宋体" w:cs="宋体"/>
                <w:color w:val="auto"/>
                <w:sz w:val="24"/>
                <w:szCs w:val="24"/>
                <w:highlight w:val="none"/>
              </w:rPr>
            </w:pPr>
            <w:r>
              <w:rPr>
                <w:rFonts w:hint="eastAsia" w:hAnsi="宋体" w:cs="宋体"/>
                <w:color w:val="auto"/>
                <w:sz w:val="24"/>
                <w:szCs w:val="24"/>
                <w:highlight w:val="none"/>
              </w:rPr>
              <w:t>26.3</w:t>
            </w:r>
          </w:p>
        </w:tc>
        <w:tc>
          <w:tcPr>
            <w:tcW w:w="1512" w:type="dxa"/>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联系方式</w:t>
            </w:r>
          </w:p>
        </w:tc>
        <w:tc>
          <w:tcPr>
            <w:tcW w:w="6609" w:type="dxa"/>
            <w:vAlign w:val="center"/>
          </w:tcPr>
          <w:p>
            <w:pPr>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接收询问和质疑的联系方式</w:t>
            </w:r>
          </w:p>
          <w:p>
            <w:pPr>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联系部门：</w:t>
            </w:r>
            <w:r>
              <w:rPr>
                <w:rFonts w:hint="eastAsia" w:ascii="宋体" w:hAnsi="宋体" w:cs="宋体"/>
                <w:color w:val="auto"/>
                <w:sz w:val="24"/>
                <w:highlight w:val="none"/>
                <w:u w:val="single"/>
              </w:rPr>
              <w:t xml:space="preserve"> 招标部 </w:t>
            </w:r>
            <w:r>
              <w:rPr>
                <w:rFonts w:hint="eastAsia" w:ascii="宋体" w:hAnsi="宋体" w:cs="宋体"/>
                <w:color w:val="auto"/>
                <w:sz w:val="24"/>
                <w:highlight w:val="none"/>
              </w:rPr>
              <w:t>；</w:t>
            </w:r>
          </w:p>
          <w:p>
            <w:pPr>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010-68001293  </w:t>
            </w:r>
            <w:r>
              <w:rPr>
                <w:rFonts w:hint="eastAsia" w:ascii="宋体" w:hAnsi="宋体" w:cs="宋体"/>
                <w:color w:val="auto"/>
                <w:sz w:val="24"/>
                <w:highlight w:val="none"/>
              </w:rPr>
              <w:t>；</w:t>
            </w:r>
          </w:p>
          <w:p>
            <w:pPr>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北京市海淀区成府路270号中科科仪院内6号楼3层</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8"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hAnsi="宋体" w:cs="宋体"/>
                <w:color w:val="auto"/>
                <w:sz w:val="24"/>
                <w:szCs w:val="24"/>
                <w:highlight w:val="none"/>
              </w:rPr>
            </w:pPr>
            <w:r>
              <w:rPr>
                <w:rFonts w:hint="eastAsia" w:hAnsi="宋体" w:cs="宋体"/>
                <w:color w:val="auto"/>
                <w:sz w:val="24"/>
                <w:szCs w:val="24"/>
                <w:highlight w:val="none"/>
              </w:rPr>
              <w:t>27</w:t>
            </w:r>
          </w:p>
        </w:tc>
        <w:tc>
          <w:tcPr>
            <w:tcW w:w="15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代理费</w:t>
            </w:r>
          </w:p>
        </w:tc>
        <w:tc>
          <w:tcPr>
            <w:tcW w:w="660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收费对象：</w:t>
            </w:r>
          </w:p>
          <w:p>
            <w:pPr>
              <w:jc w:val="left"/>
              <w:rPr>
                <w:rFonts w:hint="eastAsia" w:ascii="宋体" w:hAnsi="宋体" w:cs="宋体"/>
                <w:color w:val="auto"/>
                <w:sz w:val="24"/>
                <w:highlight w:val="none"/>
              </w:rPr>
            </w:pPr>
            <w:r>
              <w:rPr>
                <w:rFonts w:hint="eastAsia" w:ascii="宋体" w:hAnsi="宋体" w:cs="宋体"/>
                <w:color w:val="auto"/>
                <w:sz w:val="24"/>
                <w:highlight w:val="none"/>
              </w:rPr>
              <w:t>□采购人</w:t>
            </w:r>
          </w:p>
          <w:p>
            <w:pPr>
              <w:jc w:val="left"/>
              <w:rPr>
                <w:rFonts w:hint="eastAsia" w:ascii="宋体" w:hAnsi="宋体" w:cs="宋体"/>
                <w:color w:val="auto"/>
                <w:sz w:val="24"/>
                <w:highlight w:val="none"/>
              </w:rPr>
            </w:pPr>
            <w:r>
              <w:rPr>
                <w:rFonts w:hint="eastAsia" w:ascii="宋体" w:hAnsi="宋体" w:cs="宋体"/>
                <w:color w:val="auto"/>
                <w:sz w:val="24"/>
                <w:highlight w:val="none"/>
              </w:rPr>
              <w:t>■中标人</w:t>
            </w:r>
          </w:p>
          <w:p>
            <w:pPr>
              <w:jc w:val="left"/>
              <w:rPr>
                <w:rFonts w:hint="eastAsia" w:ascii="宋体" w:hAnsi="宋体" w:cs="宋体"/>
                <w:color w:val="auto"/>
                <w:sz w:val="24"/>
                <w:highlight w:val="none"/>
              </w:rPr>
            </w:pPr>
            <w:r>
              <w:rPr>
                <w:rFonts w:hint="eastAsia" w:ascii="宋体" w:hAnsi="宋体" w:cs="宋体"/>
                <w:color w:val="auto"/>
                <w:sz w:val="24"/>
                <w:highlight w:val="none"/>
              </w:rPr>
              <w:t>收费标准：</w:t>
            </w:r>
            <w:r>
              <w:rPr>
                <w:rFonts w:hint="eastAsia" w:ascii="宋体" w:hAnsi="宋体" w:cs="宋体"/>
                <w:color w:val="auto"/>
                <w:sz w:val="24"/>
                <w:highlight w:val="none"/>
                <w:u w:val="single"/>
              </w:rPr>
              <w:t>_详见投标人须知条款27.2__</w:t>
            </w:r>
            <w:r>
              <w:rPr>
                <w:rFonts w:hint="eastAsia" w:ascii="宋体" w:hAnsi="宋体" w:cs="宋体"/>
                <w:color w:val="auto"/>
                <w:sz w:val="24"/>
                <w:highlight w:val="none"/>
              </w:rPr>
              <w:t>；</w:t>
            </w:r>
          </w:p>
          <w:p>
            <w:pPr>
              <w:spacing w:after="0" w:line="360" w:lineRule="auto"/>
              <w:jc w:val="left"/>
              <w:rPr>
                <w:rFonts w:hint="eastAsia" w:ascii="宋体" w:hAnsi="宋体" w:cs="宋体"/>
                <w:color w:val="auto"/>
                <w:sz w:val="24"/>
                <w:highlight w:val="none"/>
                <w:u w:val="single"/>
              </w:rPr>
            </w:pPr>
            <w:r>
              <w:rPr>
                <w:rFonts w:hint="eastAsia" w:ascii="宋体" w:hAnsi="宋体" w:cs="宋体"/>
                <w:color w:val="auto"/>
                <w:sz w:val="24"/>
                <w:highlight w:val="none"/>
              </w:rPr>
              <w:t>缴纳时间：</w:t>
            </w:r>
            <w:r>
              <w:rPr>
                <w:rFonts w:hint="eastAsia" w:ascii="宋体" w:hAnsi="宋体" w:cs="宋体"/>
                <w:color w:val="auto"/>
                <w:sz w:val="24"/>
                <w:highlight w:val="none"/>
                <w:u w:val="single"/>
              </w:rPr>
              <w:t>_中标人在领取中标通知书的同时以电汇或现金的形式向招标代理机构一次性缴付本项目代理服务费。</w:t>
            </w:r>
          </w:p>
        </w:tc>
      </w:tr>
    </w:tbl>
    <w:p>
      <w:pPr>
        <w:tabs>
          <w:tab w:val="left" w:pos="5580"/>
        </w:tabs>
        <w:adjustRightInd w:val="0"/>
        <w:spacing w:line="360" w:lineRule="auto"/>
        <w:jc w:val="distribute"/>
        <w:rPr>
          <w:rFonts w:hint="eastAsia" w:ascii="宋体" w:hAnsi="宋体" w:cs="宋体"/>
          <w:color w:val="auto"/>
          <w:sz w:val="24"/>
          <w:highlight w:val="none"/>
        </w:rPr>
        <w:sectPr>
          <w:headerReference r:id="rId3" w:type="first"/>
          <w:footerReference r:id="rId4" w:type="default"/>
          <w:type w:val="nextColumn"/>
          <w:pgSz w:w="11901" w:h="16817"/>
          <w:pgMar w:top="1418" w:right="1474" w:bottom="1418" w:left="1474" w:header="851" w:footer="851" w:gutter="0"/>
          <w:pgNumType w:start="0"/>
          <w:cols w:space="720" w:num="1"/>
          <w:titlePg/>
          <w:docGrid w:linePitch="462" w:charSpace="0"/>
        </w:sectPr>
      </w:pPr>
    </w:p>
    <w:p>
      <w:pPr>
        <w:spacing w:before="240" w:beforeLines="100" w:after="240" w:afterLines="100"/>
        <w:jc w:val="center"/>
        <w:rPr>
          <w:rFonts w:hint="eastAsia" w:ascii="宋体" w:hAnsi="宋体" w:cs="宋体"/>
          <w:b/>
          <w:color w:val="auto"/>
          <w:sz w:val="28"/>
          <w:szCs w:val="28"/>
          <w:highlight w:val="none"/>
        </w:rPr>
      </w:pPr>
      <w:bookmarkStart w:id="80" w:name="_Toc353825542"/>
      <w:bookmarkStart w:id="81" w:name="_Toc226965790"/>
      <w:bookmarkStart w:id="82" w:name="_Toc127151517"/>
      <w:bookmarkStart w:id="83" w:name="_Toc195842882"/>
      <w:bookmarkStart w:id="84" w:name="_Toc305158785"/>
      <w:bookmarkStart w:id="85" w:name="_Toc142311019"/>
      <w:bookmarkStart w:id="86" w:name="_Toc265228355"/>
      <w:bookmarkStart w:id="87" w:name="_Toc150774722"/>
      <w:bookmarkStart w:id="88" w:name="_Toc226337213"/>
      <w:bookmarkStart w:id="89" w:name="_Toc264969207"/>
      <w:bookmarkStart w:id="90" w:name="_Toc353873662"/>
      <w:bookmarkStart w:id="91" w:name="_Toc150480755"/>
      <w:bookmarkStart w:id="92" w:name="_Toc353873932"/>
      <w:bookmarkStart w:id="93" w:name="_Toc305158859"/>
      <w:r>
        <w:rPr>
          <w:rFonts w:hint="eastAsia" w:ascii="宋体" w:hAnsi="宋体" w:cs="宋体"/>
          <w:b/>
          <w:color w:val="auto"/>
          <w:sz w:val="28"/>
          <w:szCs w:val="28"/>
          <w:highlight w:val="none"/>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Style w:val="3"/>
        <w:tabs>
          <w:tab w:val="center" w:pos="4592"/>
          <w:tab w:val="left" w:pos="7860"/>
        </w:tabs>
        <w:spacing w:before="0" w:line="360" w:lineRule="auto"/>
        <w:jc w:val="left"/>
        <w:rPr>
          <w:rFonts w:hint="eastAsia" w:ascii="宋体" w:hAnsi="宋体" w:eastAsia="宋体" w:cs="宋体"/>
          <w:color w:val="auto"/>
          <w:sz w:val="28"/>
          <w:highlight w:val="none"/>
        </w:rPr>
      </w:pPr>
      <w:bookmarkStart w:id="94" w:name="_Toc520356143"/>
      <w:bookmarkStart w:id="95" w:name="_Toc127151518"/>
      <w:r>
        <w:rPr>
          <w:rFonts w:hint="eastAsia" w:ascii="宋体" w:hAnsi="宋体" w:eastAsia="宋体" w:cs="宋体"/>
          <w:color w:val="auto"/>
          <w:sz w:val="28"/>
          <w:highlight w:val="none"/>
        </w:rPr>
        <w:tab/>
      </w:r>
      <w:bookmarkStart w:id="96" w:name="_Toc305158786"/>
      <w:bookmarkStart w:id="97" w:name="_Toc151193832"/>
      <w:bookmarkStart w:id="98" w:name="_Toc150774723"/>
      <w:bookmarkStart w:id="99" w:name="_Toc151190145"/>
      <w:bookmarkStart w:id="100" w:name="_Toc226965791"/>
      <w:bookmarkStart w:id="101" w:name="_Toc305158860"/>
      <w:bookmarkStart w:id="102" w:name="_Toc150774618"/>
      <w:bookmarkStart w:id="103" w:name="_Toc151193906"/>
      <w:bookmarkStart w:id="104" w:name="_Toc265228356"/>
      <w:bookmarkStart w:id="105" w:name="_Toc150509269"/>
      <w:bookmarkStart w:id="106" w:name="_Toc226965708"/>
      <w:bookmarkStart w:id="107" w:name="_Toc151193760"/>
      <w:bookmarkStart w:id="108" w:name="_Toc151193688"/>
      <w:bookmarkStart w:id="109" w:name="_Toc226309762"/>
      <w:bookmarkStart w:id="110" w:name="_Toc195842883"/>
      <w:bookmarkStart w:id="111" w:name="_Toc150480756"/>
      <w:bookmarkStart w:id="112" w:name="_Toc142311020"/>
      <w:bookmarkStart w:id="113" w:name="_Toc151193616"/>
      <w:bookmarkStart w:id="114" w:name="_Toc264969208"/>
      <w:bookmarkStart w:id="115" w:name="_Toc226337214"/>
      <w:r>
        <w:rPr>
          <w:rFonts w:hint="eastAsia" w:ascii="宋体" w:hAnsi="宋体" w:eastAsia="宋体" w:cs="宋体"/>
          <w:color w:val="auto"/>
          <w:sz w:val="28"/>
          <w:highlight w:val="none"/>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宋体" w:hAnsi="宋体" w:eastAsia="宋体" w:cs="宋体"/>
          <w:color w:val="auto"/>
          <w:sz w:val="28"/>
          <w:highlight w:val="none"/>
        </w:rPr>
        <w:tab/>
      </w:r>
    </w:p>
    <w:p>
      <w:pPr>
        <w:numPr>
          <w:ilvl w:val="0"/>
          <w:numId w:val="12"/>
        </w:numPr>
        <w:tabs>
          <w:tab w:val="left" w:pos="360"/>
          <w:tab w:val="clear" w:pos="900"/>
        </w:tabs>
        <w:snapToGrid w:val="0"/>
        <w:spacing w:line="360" w:lineRule="auto"/>
        <w:ind w:left="357" w:hanging="357"/>
        <w:outlineLvl w:val="1"/>
        <w:rPr>
          <w:rFonts w:hint="eastAsia" w:ascii="宋体" w:hAnsi="宋体"/>
          <w:color w:val="auto"/>
          <w:sz w:val="24"/>
          <w:highlight w:val="none"/>
        </w:rPr>
      </w:pPr>
      <w:bookmarkStart w:id="116" w:name="_Toc305158787"/>
      <w:bookmarkStart w:id="117" w:name="_Toc265228357"/>
      <w:bookmarkStart w:id="118" w:name="_Toc264969209"/>
      <w:bookmarkStart w:id="119" w:name="_Toc305158861"/>
      <w:r>
        <w:rPr>
          <w:rFonts w:ascii="宋体" w:hAnsi="宋体"/>
          <w:color w:val="auto"/>
          <w:sz w:val="24"/>
          <w:highlight w:val="none"/>
        </w:rPr>
        <w:t>采购人、采购代理机构、投标人</w:t>
      </w:r>
      <w:bookmarkEnd w:id="116"/>
      <w:bookmarkEnd w:id="117"/>
      <w:bookmarkEnd w:id="118"/>
      <w:bookmarkEnd w:id="119"/>
      <w:r>
        <w:rPr>
          <w:rFonts w:hint="eastAsia" w:ascii="宋体" w:hAnsi="宋体"/>
          <w:color w:val="auto"/>
          <w:sz w:val="24"/>
          <w:highlight w:val="none"/>
        </w:rPr>
        <w:t>、联合体</w:t>
      </w:r>
    </w:p>
    <w:p>
      <w:pPr>
        <w:numPr>
          <w:ilvl w:val="1"/>
          <w:numId w:val="12"/>
        </w:numPr>
        <w:tabs>
          <w:tab w:val="left" w:pos="1080"/>
          <w:tab w:val="left" w:pos="2014"/>
          <w:tab w:val="left" w:pos="5521"/>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采购人、采购代理机构：指依法进行政府采购的国家机关、事业单位、团体组织，及其委托的采购代理机构。本项目采购人、采购代理机构见第一章《投标邀请》。</w:t>
      </w:r>
    </w:p>
    <w:p>
      <w:pPr>
        <w:numPr>
          <w:ilvl w:val="1"/>
          <w:numId w:val="12"/>
        </w:numPr>
        <w:tabs>
          <w:tab w:val="left" w:pos="1080"/>
          <w:tab w:val="left" w:pos="2014"/>
          <w:tab w:val="left" w:pos="5521"/>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投标人（也称</w:t>
      </w:r>
      <w:r>
        <w:rPr>
          <w:rFonts w:hint="eastAsia" w:ascii="宋体" w:hAnsi="宋体"/>
          <w:color w:val="auto"/>
          <w:sz w:val="24"/>
          <w:highlight w:val="none"/>
        </w:rPr>
        <w:t>“投标人”、“</w:t>
      </w:r>
      <w:r>
        <w:rPr>
          <w:rFonts w:ascii="宋体" w:hAnsi="宋体"/>
          <w:color w:val="auto"/>
          <w:sz w:val="24"/>
          <w:highlight w:val="none"/>
        </w:rPr>
        <w:t>申请人</w:t>
      </w:r>
      <w:r>
        <w:rPr>
          <w:rFonts w:hint="eastAsia" w:ascii="宋体" w:hAnsi="宋体"/>
          <w:color w:val="auto"/>
          <w:sz w:val="24"/>
          <w:highlight w:val="none"/>
        </w:rPr>
        <w:t>”</w:t>
      </w:r>
      <w:r>
        <w:rPr>
          <w:rFonts w:ascii="宋体" w:hAnsi="宋体"/>
          <w:color w:val="auto"/>
          <w:sz w:val="24"/>
          <w:highlight w:val="none"/>
        </w:rPr>
        <w:t>）：指向采购人提供货物、工程或者服务的法人、其他组织或者自然人。</w:t>
      </w:r>
    </w:p>
    <w:p>
      <w:pPr>
        <w:numPr>
          <w:ilvl w:val="1"/>
          <w:numId w:val="12"/>
        </w:numPr>
        <w:tabs>
          <w:tab w:val="left" w:pos="1080"/>
          <w:tab w:val="left" w:pos="2014"/>
          <w:tab w:val="left" w:pos="5521"/>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联合体：指两个以上的自然人、法人或者其他组织组成一个联合体，以一个投标人的身份共同参加政府采购。</w:t>
      </w:r>
    </w:p>
    <w:p>
      <w:pPr>
        <w:numPr>
          <w:ilvl w:val="0"/>
          <w:numId w:val="12"/>
        </w:numPr>
        <w:tabs>
          <w:tab w:val="left" w:pos="360"/>
          <w:tab w:val="clear" w:pos="900"/>
        </w:tabs>
        <w:snapToGrid w:val="0"/>
        <w:spacing w:line="360" w:lineRule="auto"/>
        <w:ind w:left="357" w:hanging="357"/>
        <w:outlineLvl w:val="1"/>
        <w:rPr>
          <w:rFonts w:hint="eastAsia" w:ascii="宋体" w:hAnsi="宋体"/>
          <w:color w:val="auto"/>
          <w:sz w:val="24"/>
          <w:highlight w:val="none"/>
        </w:rPr>
      </w:pPr>
      <w:bookmarkStart w:id="120" w:name="_Toc226309764"/>
      <w:bookmarkStart w:id="121" w:name="_Toc151190147"/>
      <w:bookmarkStart w:id="122" w:name="_Toc127161434"/>
      <w:bookmarkStart w:id="123" w:name="_Toc150774620"/>
      <w:bookmarkStart w:id="124" w:name="_Toc164229361"/>
      <w:bookmarkStart w:id="125" w:name="_Toc127151520"/>
      <w:bookmarkStart w:id="126" w:name="_Toc305158862"/>
      <w:bookmarkStart w:id="127" w:name="_Toc150480758"/>
      <w:bookmarkStart w:id="128" w:name="_Toc195842885"/>
      <w:bookmarkStart w:id="129" w:name="_Toc164229215"/>
      <w:bookmarkStart w:id="130" w:name="_Toc226965710"/>
      <w:bookmarkStart w:id="131" w:name="_Toc151193834"/>
      <w:bookmarkStart w:id="132" w:name="_Toc265228358"/>
      <w:bookmarkStart w:id="133" w:name="_Toc151193618"/>
      <w:bookmarkStart w:id="134" w:name="_Toc226965793"/>
      <w:bookmarkStart w:id="135" w:name="_Toc305158788"/>
      <w:bookmarkStart w:id="136" w:name="_Toc164608789"/>
      <w:bookmarkStart w:id="137" w:name="_Toc164351614"/>
      <w:bookmarkStart w:id="138" w:name="_Toc151193690"/>
      <w:bookmarkStart w:id="139" w:name="_Toc226337216"/>
      <w:bookmarkStart w:id="140" w:name="_Toc142311022"/>
      <w:bookmarkStart w:id="141" w:name="_Toc149720813"/>
      <w:bookmarkStart w:id="142" w:name="_Toc150509271"/>
      <w:bookmarkStart w:id="143" w:name="_Toc150774725"/>
      <w:bookmarkStart w:id="144" w:name="_Toc164608634"/>
      <w:bookmarkStart w:id="145" w:name="_Toc151193762"/>
      <w:bookmarkStart w:id="146" w:name="_Toc127151721"/>
      <w:bookmarkStart w:id="147" w:name="_Toc151193908"/>
      <w:bookmarkStart w:id="148" w:name="_Toc264969210"/>
      <w:r>
        <w:rPr>
          <w:rFonts w:ascii="宋体" w:hAnsi="宋体"/>
          <w:color w:val="auto"/>
          <w:sz w:val="24"/>
          <w:highlight w:val="none"/>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ascii="宋体" w:hAnsi="宋体"/>
          <w:color w:val="auto"/>
          <w:sz w:val="24"/>
          <w:highlight w:val="none"/>
        </w:rPr>
        <w:t>、项目属性、科研仪器设备采购、核心产品</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资金来源为财政性资金和/或本项目采购中无法与财政性资金分割的非财政性资金。</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项目属性见《投标人须知资料表》。</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是否属于科研仪器设备采购见《投标人须知资料表》。</w:t>
      </w:r>
    </w:p>
    <w:p>
      <w:pPr>
        <w:numPr>
          <w:ilvl w:val="1"/>
          <w:numId w:val="12"/>
        </w:numPr>
        <w:tabs>
          <w:tab w:val="left" w:pos="1080"/>
          <w:tab w:val="left" w:pos="2014"/>
          <w:tab w:val="left" w:pos="5521"/>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核心产品见《投标人须知资料表》。</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现场考察、开标前答疑会</w:t>
      </w:r>
    </w:p>
    <w:p>
      <w:pPr>
        <w:numPr>
          <w:ilvl w:val="1"/>
          <w:numId w:val="12"/>
        </w:numPr>
        <w:tabs>
          <w:tab w:val="left" w:pos="1080"/>
          <w:tab w:val="left" w:pos="2014"/>
        </w:tabs>
        <w:snapToGrid w:val="0"/>
        <w:spacing w:line="360" w:lineRule="auto"/>
        <w:ind w:left="1080" w:hanging="720"/>
        <w:rPr>
          <w:rFonts w:hint="eastAsia" w:ascii="宋体" w:hAnsi="宋体"/>
          <w:color w:val="auto"/>
          <w:sz w:val="28"/>
          <w:highlight w:val="none"/>
        </w:rPr>
      </w:pPr>
      <w:r>
        <w:rPr>
          <w:rFonts w:ascii="宋体" w:hAnsi="宋体"/>
          <w:color w:val="auto"/>
          <w:sz w:val="24"/>
          <w:highlight w:val="none"/>
        </w:rPr>
        <w:t>若《投标人须知资料表》中规定了组织现场考察、召开开标前答疑会，则投标人应按要求在规定的时间和地点参加。</w:t>
      </w:r>
      <w:bookmarkStart w:id="149" w:name="_Toc150509273"/>
      <w:bookmarkStart w:id="150" w:name="_Toc226309766"/>
      <w:bookmarkStart w:id="151" w:name="_Toc226337218"/>
      <w:bookmarkStart w:id="152" w:name="_Toc226965712"/>
      <w:bookmarkStart w:id="153" w:name="_Toc127151522"/>
      <w:bookmarkStart w:id="154" w:name="_Toc226965795"/>
      <w:bookmarkStart w:id="155" w:name="_Toc142311024"/>
      <w:bookmarkStart w:id="156" w:name="_Toc151193692"/>
      <w:bookmarkStart w:id="157" w:name="_Toc151193764"/>
      <w:bookmarkStart w:id="158" w:name="_Toc150774622"/>
      <w:bookmarkStart w:id="159" w:name="_Toc195842887"/>
      <w:bookmarkStart w:id="160" w:name="_Toc265228360"/>
      <w:bookmarkStart w:id="161" w:name="_Toc305158790"/>
      <w:bookmarkStart w:id="162" w:name="_Toc151193620"/>
      <w:bookmarkStart w:id="163" w:name="_Toc151190149"/>
      <w:bookmarkStart w:id="164" w:name="_Toc264969212"/>
      <w:bookmarkStart w:id="165" w:name="_Toc151193910"/>
      <w:bookmarkStart w:id="166" w:name="_Toc305158864"/>
      <w:bookmarkStart w:id="167" w:name="_Toc150774727"/>
      <w:bookmarkStart w:id="168" w:name="_Toc151193836"/>
      <w:bookmarkStart w:id="169" w:name="_Toc520356146"/>
      <w:bookmarkStart w:id="170" w:name="_Toc150480760"/>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样品</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本项目是否要求投标人提供样品，以及样品制作的标准和要求、是否需要随样品提交相关检测报告、样品的递交与退还等要求见《投标人须知资料表》</w:t>
      </w:r>
      <w:r>
        <w:rPr>
          <w:rFonts w:hint="eastAsia"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样品的评审方法以及评审标准等内容见第四章《评标方法和评标标准》。</w:t>
      </w:r>
    </w:p>
    <w:p>
      <w:pPr>
        <w:numPr>
          <w:ilvl w:val="0"/>
          <w:numId w:val="12"/>
        </w:numPr>
        <w:tabs>
          <w:tab w:val="left" w:pos="360"/>
          <w:tab w:val="clear" w:pos="90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政府采购政策（包括但不限于下列具体政策要求）</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采购本国货物、工程和服务</w:t>
      </w:r>
    </w:p>
    <w:p>
      <w:pPr>
        <w:numPr>
          <w:ilvl w:val="2"/>
          <w:numId w:val="12"/>
        </w:numPr>
        <w:tabs>
          <w:tab w:val="left" w:pos="2014"/>
        </w:tabs>
        <w:snapToGrid w:val="0"/>
        <w:spacing w:line="360" w:lineRule="auto"/>
        <w:rPr>
          <w:rFonts w:hint="eastAsia" w:ascii="宋体" w:hAnsi="宋体"/>
          <w:color w:val="auto"/>
          <w:sz w:val="24"/>
          <w:highlight w:val="none"/>
        </w:rPr>
      </w:pPr>
      <w:r>
        <w:rPr>
          <w:rFonts w:hint="eastAsia" w:ascii="宋体" w:hAnsi="宋体"/>
          <w:color w:val="auto"/>
          <w:sz w:val="24"/>
          <w:highlight w:val="none"/>
        </w:rPr>
        <w:t>政府采购应当采购本国货物、工程和服务。但有《中华人民共和国政府采购法》第十条规定情形的除外。</w:t>
      </w:r>
    </w:p>
    <w:p>
      <w:pPr>
        <w:numPr>
          <w:ilvl w:val="2"/>
          <w:numId w:val="12"/>
        </w:numPr>
        <w:tabs>
          <w:tab w:val="left" w:pos="2014"/>
        </w:tabs>
        <w:snapToGrid w:val="0"/>
        <w:spacing w:line="360" w:lineRule="auto"/>
        <w:rPr>
          <w:rFonts w:hint="eastAsia" w:ascii="宋体" w:hAnsi="宋体"/>
          <w:color w:val="auto"/>
          <w:sz w:val="24"/>
          <w:highlight w:val="none"/>
        </w:rPr>
      </w:pPr>
      <w:r>
        <w:rPr>
          <w:rFonts w:hint="eastAsia" w:ascii="宋体" w:hAnsi="宋体"/>
          <w:color w:val="auto"/>
          <w:sz w:val="24"/>
          <w:highlight w:val="none"/>
        </w:rPr>
        <w:t>本项目如接受非本国货物、工程、服务参与投标，则具体要求见第五章《采购需求》。</w:t>
      </w:r>
    </w:p>
    <w:p>
      <w:pPr>
        <w:numPr>
          <w:ilvl w:val="2"/>
          <w:numId w:val="12"/>
        </w:numPr>
        <w:tabs>
          <w:tab w:val="left" w:pos="2014"/>
        </w:tabs>
        <w:snapToGrid w:val="0"/>
        <w:spacing w:line="360" w:lineRule="auto"/>
        <w:rPr>
          <w:rFonts w:hint="eastAsia" w:ascii="宋体" w:hAnsi="宋体"/>
          <w:color w:val="auto"/>
          <w:sz w:val="24"/>
          <w:highlight w:val="none"/>
        </w:rPr>
      </w:pPr>
      <w:r>
        <w:rPr>
          <w:rFonts w:hint="eastAsia" w:ascii="宋体" w:hAnsi="宋体"/>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12"/>
        </w:numPr>
        <w:tabs>
          <w:tab w:val="left" w:pos="1080"/>
          <w:tab w:val="left" w:pos="2014"/>
        </w:tabs>
        <w:snapToGrid w:val="0"/>
        <w:spacing w:line="360" w:lineRule="auto"/>
        <w:ind w:left="1080" w:hanging="720"/>
        <w:rPr>
          <w:color w:val="auto"/>
          <w:sz w:val="24"/>
          <w:highlight w:val="none"/>
        </w:rPr>
      </w:pPr>
      <w:r>
        <w:rPr>
          <w:rFonts w:hint="eastAsia"/>
          <w:color w:val="auto"/>
          <w:sz w:val="24"/>
          <w:highlight w:val="none"/>
        </w:rPr>
        <w:t>本国产品</w:t>
      </w:r>
    </w:p>
    <w:p>
      <w:pPr>
        <w:tabs>
          <w:tab w:val="left" w:pos="900"/>
          <w:tab w:val="left" w:pos="1080"/>
          <w:tab w:val="left" w:pos="1589"/>
        </w:tabs>
        <w:snapToGrid w:val="0"/>
        <w:spacing w:line="360" w:lineRule="auto"/>
        <w:ind w:left="1080"/>
        <w:rPr>
          <w:rFonts w:hint="eastAsia" w:ascii="宋体" w:hAnsi="宋体"/>
          <w:color w:val="auto"/>
          <w:sz w:val="24"/>
          <w:highlight w:val="none"/>
        </w:rPr>
      </w:pPr>
      <w:bookmarkStart w:id="171" w:name="_Hlk217316762"/>
      <w:r>
        <w:rPr>
          <w:rFonts w:hint="eastAsia"/>
          <w:color w:val="auto"/>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71"/>
      <w:r>
        <w:rPr>
          <w:rFonts w:hint="eastAsia"/>
          <w:color w:val="auto"/>
          <w:sz w:val="24"/>
          <w:highlight w:val="none"/>
        </w:rPr>
        <w:t>，落实本国产品标准。</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中小企业、监狱企业及残疾人福利性单位</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中小企业定义：</w:t>
      </w: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1"/>
          <w:numId w:val="13"/>
        </w:numPr>
        <w:tabs>
          <w:tab w:val="left" w:pos="900"/>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1"/>
          <w:numId w:val="13"/>
        </w:numPr>
        <w:tabs>
          <w:tab w:val="left" w:pos="900"/>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2"/>
          <w:numId w:val="13"/>
        </w:numPr>
        <w:tabs>
          <w:tab w:val="left" w:pos="900"/>
          <w:tab w:val="left" w:pos="2035"/>
          <w:tab w:val="left" w:pos="2885"/>
          <w:tab w:val="left" w:pos="2977"/>
        </w:tabs>
        <w:snapToGrid w:val="0"/>
        <w:spacing w:line="360" w:lineRule="auto"/>
        <w:ind w:firstLineChars="0"/>
        <w:rPr>
          <w:rFonts w:hint="eastAsia" w:ascii="宋体" w:hAnsi="宋体"/>
          <w:vanish/>
          <w:color w:val="auto"/>
          <w:sz w:val="24"/>
          <w:highlight w:val="none"/>
        </w:rPr>
      </w:pPr>
    </w:p>
    <w:p>
      <w:pPr>
        <w:keepNext w:val="0"/>
        <w:keepLines w:val="0"/>
        <w:pageBreakBefore w:val="0"/>
        <w:widowControl w:val="0"/>
        <w:numPr>
          <w:ilvl w:val="0"/>
          <w:numId w:val="0"/>
        </w:numPr>
        <w:tabs>
          <w:tab w:val="left" w:pos="1988"/>
          <w:tab w:val="left" w:pos="2035"/>
          <w:tab w:val="left" w:pos="2885"/>
          <w:tab w:val="left" w:pos="2977"/>
        </w:tabs>
        <w:kinsoku/>
        <w:wordWrap/>
        <w:overflowPunct/>
        <w:topLinePunct w:val="0"/>
        <w:autoSpaceDE/>
        <w:autoSpaceDN/>
        <w:bidi w:val="0"/>
        <w:adjustRightInd/>
        <w:snapToGrid w:val="0"/>
        <w:spacing w:line="360" w:lineRule="auto"/>
        <w:ind w:left="2942" w:leftChars="944" w:hanging="960" w:hangingChars="400"/>
        <w:textAlignment w:val="auto"/>
        <w:rPr>
          <w:rFonts w:hint="eastAsia" w:ascii="宋体" w:hAnsi="宋体"/>
          <w:color w:val="auto"/>
          <w:sz w:val="24"/>
          <w:highlight w:val="none"/>
        </w:rPr>
      </w:pPr>
      <w:r>
        <w:rPr>
          <w:rFonts w:hint="eastAsia" w:ascii="宋体" w:hAnsi="宋体"/>
          <w:color w:val="auto"/>
          <w:sz w:val="24"/>
          <w:highlight w:val="none"/>
          <w:lang w:val="en-US" w:eastAsia="zh-CN"/>
        </w:rPr>
        <w:t>5.3.1.1</w:t>
      </w:r>
      <w:r>
        <w:rPr>
          <w:rFonts w:hint="eastAsia" w:ascii="宋体" w:hAnsi="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5.3.1.2</w:t>
      </w:r>
      <w:r>
        <w:rPr>
          <w:rFonts w:ascii="宋体" w:hAnsi="宋体"/>
          <w:color w:val="auto"/>
          <w:sz w:val="24"/>
          <w:highlight w:val="none"/>
        </w:rPr>
        <w:t>投标人提供的货物、工程或者服务符合下列情形的，享受中小企业扶持政策：</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（3）在服务采购项目中，服务由中小企业承接，即提供服务的人员为中小企业依照《中华人民共和国劳动</w:t>
      </w:r>
      <w:r>
        <w:rPr>
          <w:rFonts w:hint="eastAsia" w:ascii="宋体" w:hAnsi="宋体"/>
          <w:color w:val="auto"/>
          <w:sz w:val="24"/>
          <w:highlight w:val="none"/>
        </w:rPr>
        <w:t>合同法</w:t>
      </w:r>
      <w:r>
        <w:rPr>
          <w:rFonts w:ascii="宋体" w:hAnsi="宋体"/>
          <w:color w:val="auto"/>
          <w:sz w:val="24"/>
          <w:highlight w:val="none"/>
        </w:rPr>
        <w:t>》订立劳动合同的从业人员。</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5.3.1.3</w:t>
      </w:r>
      <w:r>
        <w:rPr>
          <w:rFonts w:ascii="宋体" w:hAnsi="宋体"/>
          <w:color w:val="auto"/>
          <w:sz w:val="24"/>
          <w:highlight w:val="none"/>
        </w:rPr>
        <w:t>在货物采购项目中，投标人提供的货物既有中小企业制造货物，也有大型企业制造货物的，不享受中小企业扶持政策。</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5.3.1.4</w:t>
      </w: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pPr>
        <w:numPr>
          <w:ilvl w:val="2"/>
          <w:numId w:val="12"/>
        </w:numPr>
        <w:snapToGrid w:val="0"/>
        <w:spacing w:line="360" w:lineRule="auto"/>
        <w:rPr>
          <w:rFonts w:hint="eastAsia" w:ascii="宋体" w:hAnsi="宋体"/>
          <w:color w:val="auto"/>
          <w:sz w:val="24"/>
          <w:highlight w:val="none"/>
        </w:rPr>
      </w:pPr>
      <w:r>
        <w:rPr>
          <w:rFonts w:hint="eastAsia" w:ascii="宋体" w:hAnsi="宋体"/>
          <w:color w:val="auto"/>
          <w:sz w:val="24"/>
          <w:highlight w:val="none"/>
        </w:rPr>
        <w:t>在政府采购活动中，监狱企业视同小型、微型企业，享受预留份额、 评审中价格扣除等政府采购促进中小企业发展的政府采购政策。</w:t>
      </w:r>
      <w:r>
        <w:rPr>
          <w:rFonts w:ascii="宋体" w:hAnsi="宋体"/>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88"/>
        <w:numPr>
          <w:ilvl w:val="2"/>
          <w:numId w:val="13"/>
        </w:numPr>
        <w:snapToGrid w:val="0"/>
        <w:spacing w:line="360" w:lineRule="auto"/>
        <w:ind w:firstLineChars="0"/>
        <w:rPr>
          <w:rFonts w:hint="eastAsia" w:ascii="宋体" w:hAnsi="宋体"/>
          <w:vanish/>
          <w:color w:val="auto"/>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1984" w:leftChars="0" w:hanging="901"/>
        <w:textAlignment w:val="auto"/>
        <w:rPr>
          <w:rFonts w:hint="eastAsia" w:ascii="宋体" w:hAnsi="宋体"/>
          <w:color w:val="auto"/>
          <w:highlight w:val="none"/>
        </w:rPr>
      </w:pPr>
      <w:r>
        <w:rPr>
          <w:rFonts w:hint="eastAsia" w:ascii="宋体" w:hAnsi="宋体"/>
          <w:color w:val="auto"/>
          <w:sz w:val="24"/>
          <w:highlight w:val="none"/>
          <w:lang w:val="en-US" w:eastAsia="zh-CN"/>
        </w:rPr>
        <w:t xml:space="preserve">5.3.3  </w:t>
      </w:r>
      <w:r>
        <w:rPr>
          <w:rFonts w:hint="eastAsia" w:ascii="宋体" w:hAnsi="宋体"/>
          <w:color w:val="auto"/>
          <w:sz w:val="24"/>
          <w:highlight w:val="none"/>
        </w:rPr>
        <w:t>在政府采购活动中，残疾人福利性单位视同小型、微型企业，</w:t>
      </w:r>
      <w:r>
        <w:rPr>
          <w:rFonts w:hint="eastAsia" w:ascii="宋体" w:hAnsi="宋体"/>
          <w:color w:val="auto"/>
          <w:sz w:val="24"/>
          <w:highlight w:val="none"/>
          <w:lang w:val="en-US" w:eastAsia="zh-CN"/>
        </w:rPr>
        <w:t>享受</w:t>
      </w:r>
      <w:r>
        <w:rPr>
          <w:rFonts w:hint="eastAsia" w:ascii="宋体" w:hAnsi="宋体"/>
          <w:color w:val="auto"/>
          <w:sz w:val="24"/>
          <w:highlight w:val="none"/>
        </w:rPr>
        <w:t>预留份额、评审中价格扣除等促进中小企业发展的政府采购政策。残疾人福利单位定义：享受政府采购支持政策的残疾人福利性单位应当同时满足以下条件：</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5.3.3.1</w:t>
      </w:r>
      <w:r>
        <w:rPr>
          <w:rFonts w:ascii="宋体" w:hAnsi="宋体"/>
          <w:color w:val="auto"/>
          <w:sz w:val="24"/>
          <w:highlight w:val="none"/>
        </w:rPr>
        <w:t>安置的残疾人占本单位在职职工人数的比例不低于25%（含25%），并且安置的残疾人人数不少于10 人（含10 人）；</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5.3.3.2</w:t>
      </w:r>
      <w:r>
        <w:rPr>
          <w:rFonts w:ascii="宋体" w:hAnsi="宋体"/>
          <w:color w:val="auto"/>
          <w:sz w:val="24"/>
          <w:highlight w:val="none"/>
        </w:rPr>
        <w:t>依法与安置的每位残疾人签订了一年以上（含一年）的劳动合同或服务协议；</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5.3.3.3</w:t>
      </w:r>
      <w:r>
        <w:rPr>
          <w:rFonts w:ascii="宋体" w:hAnsi="宋体"/>
          <w:color w:val="auto"/>
          <w:sz w:val="24"/>
          <w:highlight w:val="none"/>
        </w:rPr>
        <w:t>为安置的每位残疾人按月足额缴纳了基本养老保险、基本医疗保险、失业保险、工伤保险和生育保险等社会保险费；</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5.3.3.4</w:t>
      </w:r>
      <w:r>
        <w:rPr>
          <w:rFonts w:ascii="宋体" w:hAnsi="宋体"/>
          <w:color w:val="auto"/>
          <w:sz w:val="24"/>
          <w:highlight w:val="none"/>
        </w:rPr>
        <w:t>通过银行等金融机构向安置的每位残疾人，按月支付了不低于单位所在区县适用的经省级人民政府批准的月最低工资标准的工资；</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ascii="宋体" w:hAnsi="宋体"/>
          <w:color w:val="auto"/>
          <w:sz w:val="24"/>
          <w:highlight w:val="none"/>
        </w:rPr>
      </w:pPr>
      <w:r>
        <w:rPr>
          <w:rFonts w:hint="eastAsia" w:ascii="宋体" w:hAnsi="宋体"/>
          <w:color w:val="auto"/>
          <w:sz w:val="24"/>
          <w:highlight w:val="none"/>
          <w:lang w:val="en-US" w:eastAsia="zh-CN"/>
        </w:rPr>
        <w:t>5.3.3.5</w:t>
      </w:r>
      <w:r>
        <w:rPr>
          <w:rFonts w:ascii="宋体" w:hAnsi="宋体"/>
          <w:color w:val="auto"/>
          <w:sz w:val="24"/>
          <w:highlight w:val="none"/>
        </w:rPr>
        <w:t>提供本单位制造的货物、承担的工程或者服务（以下简称产品），或者提供其他残疾人福利性单位制造的货物（不包括使用非残疾人福利性单位注册商标的货物）；</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vanish/>
          <w:color w:val="auto"/>
          <w:sz w:val="24"/>
          <w:highlight w:val="none"/>
        </w:rPr>
      </w:pPr>
      <w:r>
        <w:rPr>
          <w:rFonts w:hint="eastAsia" w:ascii="宋体" w:hAnsi="宋体"/>
          <w:color w:val="auto"/>
          <w:sz w:val="24"/>
          <w:highlight w:val="none"/>
          <w:lang w:val="en-US" w:eastAsia="zh-CN"/>
        </w:rPr>
        <w:t>5.3.3.6</w:t>
      </w:r>
      <w:r>
        <w:rPr>
          <w:rFonts w:ascii="宋体" w:hAnsi="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本项目是否专门面向中小企业预留采购份额见第一章《投标邀请》。</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采购标的对应的中小企业划分标准所属行业见《投标人须知资料表》。</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小微企业价格评审优惠的政策调整：见第四章《评标方法和评标标准》。</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政府采购节能产品、环境标志产品</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政府采购节能产品、环境标志产品实施品目清单管理。财政部、发展 改革委、生态环境部等部门根据产品节能环保性能、技术水平和市场 成熟程度等因素，确定实施政府优先采购和强制采购的产品类别及所 依据的相关标准规范，以品目清单的形式发布并适时调整。依据品目 清单和认证证书实施政府优先采购和强制采购。</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 采购。关于政府采购节能产品、环境标志产品的相关规定依据《关于调整优化节能产品、环境标志产品政府采购执行机制的通知》（财库 〔2019〕9 号）。</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如本项目采购产品属于实施政府强制采购品目清单范围的节能产品， 则投标人所报产品必须获得国家确定的认证机构出具的、处于有效期之内的节能产品认证证书，否则</w:t>
      </w:r>
      <w:r>
        <w:rPr>
          <w:rFonts w:ascii="宋体" w:hAnsi="宋体"/>
          <w:b/>
          <w:bCs/>
          <w:color w:val="auto"/>
          <w:sz w:val="24"/>
          <w:highlight w:val="none"/>
        </w:rPr>
        <w:t>投标无效</w:t>
      </w:r>
      <w:r>
        <w:rPr>
          <w:rFonts w:hint="eastAsia" w:ascii="宋体" w:hAnsi="宋体"/>
          <w:color w:val="auto"/>
          <w:sz w:val="24"/>
          <w:highlight w:val="none"/>
        </w:rPr>
        <w:t>。</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非政府强制采购的节能产品或环境标志产品，依据品目清单和认证证书实施政府优先采购。优先采购的具体规定见第四章《评标程序、评标方法和评标标准》（如涉及）</w:t>
      </w:r>
      <w:r>
        <w:rPr>
          <w:rFonts w:hint="eastAsia"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正版软件</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网络安全专用产品</w:t>
      </w:r>
    </w:p>
    <w:p>
      <w:pPr>
        <w:numPr>
          <w:ilvl w:val="2"/>
          <w:numId w:val="12"/>
        </w:numPr>
        <w:tabs>
          <w:tab w:val="left" w:pos="900"/>
          <w:tab w:val="left" w:pos="2014"/>
        </w:tabs>
        <w:snapToGrid w:val="0"/>
        <w:spacing w:after="0" w:line="360" w:lineRule="auto"/>
        <w:rPr>
          <w:rFonts w:hint="eastAsia" w:ascii="宋体" w:hAnsi="宋体"/>
          <w:color w:val="auto"/>
          <w:sz w:val="24"/>
          <w:highlight w:val="none"/>
        </w:rPr>
      </w:pPr>
      <w:r>
        <w:rPr>
          <w:rFonts w:hint="eastAsia" w:ascii="宋体" w:hAnsi="宋体"/>
          <w:color w:val="auto"/>
          <w:sz w:val="24"/>
          <w:highlight w:val="none"/>
        </w:rPr>
        <w:t>根据《关于调整网络安全专用产品安全管理有关事项的公告》（2023年第1号），</w:t>
      </w:r>
      <w:r>
        <w:rPr>
          <w:rFonts w:ascii="宋体" w:hAnsi="宋体"/>
          <w:color w:val="auto"/>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推广使用低挥发性有机化合物（VOCs）</w:t>
      </w:r>
    </w:p>
    <w:p>
      <w:pPr>
        <w:tabs>
          <w:tab w:val="left" w:pos="900"/>
          <w:tab w:val="left" w:pos="1980"/>
          <w:tab w:val="left" w:pos="2014"/>
        </w:tabs>
        <w:snapToGrid w:val="0"/>
        <w:spacing w:line="360" w:lineRule="auto"/>
        <w:ind w:left="1989" w:leftChars="490" w:hanging="960" w:hangingChars="400"/>
        <w:rPr>
          <w:rFonts w:hint="eastAsia" w:ascii="宋体" w:hAnsi="宋体"/>
          <w:color w:val="auto"/>
          <w:sz w:val="24"/>
          <w:highlight w:val="none"/>
        </w:rPr>
      </w:pPr>
      <w:r>
        <w:rPr>
          <w:rFonts w:hint="eastAsia" w:ascii="宋体" w:hAnsi="宋体"/>
          <w:color w:val="auto"/>
          <w:sz w:val="24"/>
          <w:highlight w:val="none"/>
        </w:rPr>
        <w:t>5.7.1   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含量限制标准（具体标准见第五章《采购需求》），否则投标无效；属于推荐性标准的，优先采购，具体见第四章《评标程序、评标方法和评标标准》</w:t>
      </w:r>
      <w:r>
        <w:rPr>
          <w:rFonts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采购需求标准</w:t>
      </w:r>
    </w:p>
    <w:p>
      <w:pPr>
        <w:tabs>
          <w:tab w:val="left" w:pos="900"/>
          <w:tab w:val="left" w:pos="1980"/>
          <w:tab w:val="left" w:pos="2014"/>
        </w:tabs>
        <w:snapToGrid w:val="0"/>
        <w:spacing w:line="360" w:lineRule="auto"/>
        <w:ind w:left="1080"/>
        <w:rPr>
          <w:rFonts w:hint="eastAsia" w:ascii="宋体" w:hAnsi="宋体"/>
          <w:color w:val="auto"/>
          <w:sz w:val="24"/>
          <w:highlight w:val="none"/>
        </w:rPr>
      </w:pPr>
      <w:r>
        <w:rPr>
          <w:rFonts w:hint="eastAsia" w:ascii="宋体" w:hAnsi="宋体"/>
          <w:color w:val="auto"/>
          <w:sz w:val="24"/>
          <w:highlight w:val="none"/>
        </w:rPr>
        <w:t>5.8.1</w:t>
      </w:r>
      <w:r>
        <w:rPr>
          <w:rFonts w:hint="eastAsia" w:ascii="宋体" w:hAnsi="宋体"/>
          <w:color w:val="auto"/>
          <w:sz w:val="24"/>
          <w:highlight w:val="none"/>
        </w:rPr>
        <w:tab/>
      </w:r>
      <w:r>
        <w:rPr>
          <w:rFonts w:hint="eastAsia" w:ascii="宋体" w:hAnsi="宋体"/>
          <w:color w:val="auto"/>
          <w:sz w:val="24"/>
          <w:highlight w:val="none"/>
        </w:rPr>
        <w:t>商品包装、快递包装政府采购需求标准(试行)</w:t>
      </w:r>
    </w:p>
    <w:p>
      <w:pPr>
        <w:tabs>
          <w:tab w:val="left" w:pos="1980"/>
          <w:tab w:val="left" w:pos="2014"/>
        </w:tabs>
        <w:snapToGrid w:val="0"/>
        <w:spacing w:line="360" w:lineRule="auto"/>
        <w:ind w:left="1980"/>
        <w:rPr>
          <w:rFonts w:hint="eastAsia" w:ascii="宋体" w:hAnsi="宋体"/>
          <w:color w:val="auto"/>
          <w:sz w:val="24"/>
          <w:highlight w:val="none"/>
        </w:rPr>
      </w:pPr>
      <w:r>
        <w:rPr>
          <w:rFonts w:hint="eastAsia" w:ascii="宋体" w:hAnsi="宋体"/>
          <w:color w:val="auto"/>
          <w:sz w:val="24"/>
          <w:highlight w:val="none"/>
        </w:rPr>
        <w:t>为助力打好污染防治攻坚战， 推广使用绿色包装， 根据财政部关于印发《商品包装政府采购需求标准(试行)》、《快递包装政府采购需求标准(试行)》的通知(财办库〔2020〕123 号)，本项目如涉及商品包装和快递包装的，则其具体要求见第五章《采购需求》。</w:t>
      </w:r>
      <w:bookmarkStart w:id="172" w:name="_Hlk164953935"/>
    </w:p>
    <w:p>
      <w:pPr>
        <w:tabs>
          <w:tab w:val="left" w:pos="1980"/>
          <w:tab w:val="left" w:pos="2014"/>
        </w:tabs>
        <w:snapToGrid w:val="0"/>
        <w:spacing w:line="360" w:lineRule="auto"/>
        <w:ind w:firstLine="960" w:firstLineChars="400"/>
        <w:rPr>
          <w:rFonts w:hint="eastAsia" w:ascii="宋体" w:hAnsi="宋体"/>
          <w:color w:val="auto"/>
          <w:sz w:val="24"/>
          <w:highlight w:val="none"/>
        </w:rPr>
      </w:pPr>
      <w:r>
        <w:rPr>
          <w:rFonts w:hint="eastAsia" w:ascii="宋体" w:hAnsi="宋体"/>
          <w:color w:val="auto"/>
          <w:sz w:val="24"/>
          <w:highlight w:val="none"/>
        </w:rPr>
        <w:t xml:space="preserve">5.8.2   </w:t>
      </w:r>
      <w:r>
        <w:rPr>
          <w:rFonts w:ascii="宋体" w:hAnsi="宋体"/>
          <w:color w:val="auto"/>
          <w:sz w:val="24"/>
          <w:highlight w:val="none"/>
        </w:rPr>
        <w:t xml:space="preserve">其他政府采购需求标准 </w:t>
      </w:r>
    </w:p>
    <w:bookmarkEnd w:id="172"/>
    <w:p>
      <w:pPr>
        <w:tabs>
          <w:tab w:val="left" w:pos="900"/>
          <w:tab w:val="left" w:pos="1980"/>
          <w:tab w:val="left" w:pos="2014"/>
        </w:tabs>
        <w:snapToGrid w:val="0"/>
        <w:spacing w:line="360" w:lineRule="auto"/>
        <w:ind w:left="1985"/>
        <w:rPr>
          <w:rFonts w:hint="eastAsia" w:ascii="宋体" w:hAnsi="宋体"/>
          <w:color w:val="auto"/>
          <w:sz w:val="24"/>
          <w:highlight w:val="none"/>
        </w:rPr>
      </w:pPr>
      <w:bookmarkStart w:id="173" w:name="_Hlk164955325"/>
      <w:r>
        <w:rPr>
          <w:rFonts w:hint="eastAsia" w:ascii="宋体" w:hAnsi="宋体"/>
          <w:color w:val="auto"/>
          <w:sz w:val="24"/>
          <w:highlight w:val="none"/>
        </w:rPr>
        <w:t>为贯彻落实《深化政府采购制度改革方案》有关要求，推动政府采购需求标准建设</w:t>
      </w:r>
      <w:bookmarkEnd w:id="173"/>
      <w:r>
        <w:rPr>
          <w:rFonts w:hint="eastAsia" w:ascii="宋体" w:hAnsi="宋体"/>
          <w:color w:val="auto"/>
          <w:sz w:val="24"/>
          <w:highlight w:val="none"/>
        </w:rPr>
        <w:t>，财政部门会同有关部门制定发布的其他政府采购需求标准，本项目如涉及，则具体要求见第五章《采购需求》。</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投标费用</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olor w:val="auto"/>
          <w:sz w:val="28"/>
          <w:highlight w:val="none"/>
        </w:rPr>
      </w:pPr>
      <w:bookmarkStart w:id="174" w:name="_1.8_计量单位"/>
      <w:bookmarkEnd w:id="174"/>
    </w:p>
    <w:p>
      <w:pPr>
        <w:pStyle w:val="3"/>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二   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175" w:name="_Toc264969213"/>
      <w:bookmarkStart w:id="176" w:name="_Toc150509274"/>
      <w:bookmarkStart w:id="177" w:name="_Toc226965796"/>
      <w:bookmarkStart w:id="178" w:name="_Toc226965713"/>
      <w:bookmarkStart w:id="179" w:name="_Toc127151523"/>
      <w:bookmarkStart w:id="180" w:name="_Toc150774728"/>
      <w:bookmarkStart w:id="181" w:name="_Toc127151724"/>
      <w:bookmarkStart w:id="182" w:name="_Toc150480761"/>
      <w:bookmarkStart w:id="183" w:name="_Toc226337219"/>
      <w:bookmarkStart w:id="184" w:name="_Toc151193621"/>
      <w:bookmarkStart w:id="185" w:name="_Toc149720816"/>
      <w:bookmarkStart w:id="186" w:name="_Toc142311025"/>
      <w:bookmarkStart w:id="187" w:name="_Toc226309767"/>
      <w:bookmarkStart w:id="188" w:name="_Toc520356147"/>
      <w:bookmarkStart w:id="189" w:name="_Toc305158791"/>
      <w:bookmarkStart w:id="190" w:name="_Toc151193837"/>
      <w:bookmarkStart w:id="191" w:name="_Toc305158865"/>
      <w:bookmarkStart w:id="192" w:name="_Toc151193693"/>
      <w:bookmarkStart w:id="193" w:name="_Toc164351617"/>
      <w:bookmarkStart w:id="194" w:name="_Toc151193911"/>
      <w:bookmarkStart w:id="195" w:name="_Toc164608637"/>
      <w:bookmarkStart w:id="196" w:name="_Toc164608792"/>
      <w:bookmarkStart w:id="197" w:name="_Toc151193765"/>
      <w:bookmarkStart w:id="198" w:name="_Toc164229364"/>
      <w:bookmarkStart w:id="199" w:name="_Toc151190150"/>
      <w:bookmarkStart w:id="200" w:name="_Toc195842888"/>
      <w:bookmarkStart w:id="201" w:name="_Toc265228361"/>
      <w:bookmarkStart w:id="202" w:name="_Toc150774623"/>
      <w:bookmarkStart w:id="203" w:name="_Toc164229218"/>
      <w:bookmarkStart w:id="204" w:name="_Toc127161437"/>
      <w:r>
        <w:rPr>
          <w:rFonts w:ascii="宋体" w:hAnsi="宋体"/>
          <w:color w:val="auto"/>
          <w:sz w:val="24"/>
          <w:highlight w:val="none"/>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rFonts w:ascii="宋体" w:hAnsi="宋体"/>
          <w:color w:val="auto"/>
          <w:sz w:val="24"/>
          <w:highlight w:val="none"/>
        </w:rPr>
        <w:t>成</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招标文件包括以下部分：</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投标邀请</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投标人须知</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资格审查</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评标方法和评标标准</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采购需求</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拟签订的合同文本</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投标文件格式</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投标人应认真阅读招标文件的全部内容。投标人应按照招标文件要求提交投标文件并保证所提供的全部资料的真实性，并对招标文件做出实质性响应，否则</w:t>
      </w:r>
      <w:r>
        <w:rPr>
          <w:rFonts w:ascii="宋体" w:hAnsi="宋体"/>
          <w:b/>
          <w:color w:val="auto"/>
          <w:sz w:val="24"/>
          <w:highlight w:val="none"/>
        </w:rPr>
        <w:t>投标无效</w:t>
      </w:r>
      <w:r>
        <w:rPr>
          <w:rFonts w:ascii="宋体" w:hAnsi="宋体"/>
          <w:color w:val="auto"/>
          <w:sz w:val="24"/>
          <w:highlight w:val="none"/>
        </w:rPr>
        <w:t>。</w:t>
      </w:r>
    </w:p>
    <w:p>
      <w:pPr>
        <w:numPr>
          <w:ilvl w:val="0"/>
          <w:numId w:val="12"/>
        </w:numPr>
        <w:tabs>
          <w:tab w:val="left" w:pos="1080"/>
          <w:tab w:val="left" w:pos="2014"/>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对招标文件的澄清或修改</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采购人或采购代理机构对已发出的招标文件进行必要澄清或者修改的，将在原公告发布媒体上发布更正公告，并以书面形式通知所有获取招标文件的潜在投标人。</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上述书面通知，按照获取招标文件的潜在投标人提供的联系方式发出，因提供的信息有误导致通知延迟或无法通知的，采购人或采购代理机构不承担责任。</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olor w:val="auto"/>
          <w:sz w:val="28"/>
          <w:highlight w:val="none"/>
        </w:rPr>
      </w:pPr>
      <w:bookmarkStart w:id="205" w:name="_Toc516367020"/>
      <w:bookmarkStart w:id="206" w:name="_Toc264969216"/>
      <w:bookmarkStart w:id="207" w:name="_Toc151193624"/>
      <w:bookmarkStart w:id="208" w:name="_Toc226965799"/>
      <w:bookmarkStart w:id="209" w:name="_Toc142311028"/>
      <w:bookmarkStart w:id="210" w:name="_Toc305158868"/>
      <w:bookmarkStart w:id="211" w:name="_Toc127151526"/>
      <w:bookmarkStart w:id="212" w:name="_Toc150774626"/>
      <w:bookmarkStart w:id="213" w:name="_Toc151190153"/>
      <w:bookmarkStart w:id="214" w:name="_Toc265228364"/>
      <w:bookmarkStart w:id="215" w:name="_Toc151193696"/>
      <w:bookmarkStart w:id="216" w:name="_Toc151193914"/>
      <w:bookmarkStart w:id="217" w:name="_Toc151193840"/>
      <w:bookmarkStart w:id="218" w:name="_Toc305158794"/>
      <w:bookmarkStart w:id="219" w:name="_Toc150480764"/>
      <w:bookmarkStart w:id="220" w:name="_Toc226965716"/>
      <w:bookmarkStart w:id="221" w:name="_Toc151193768"/>
      <w:bookmarkStart w:id="222" w:name="_Toc226309770"/>
      <w:bookmarkStart w:id="223" w:name="_Toc150509277"/>
      <w:bookmarkStart w:id="224" w:name="_Toc226337222"/>
      <w:bookmarkStart w:id="225" w:name="_Toc195842891"/>
      <w:bookmarkStart w:id="226" w:name="_Toc520356150"/>
      <w:bookmarkStart w:id="227" w:name="_Toc150774731"/>
    </w:p>
    <w:p>
      <w:pPr>
        <w:pStyle w:val="3"/>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三   投标文件</w:t>
      </w:r>
      <w:bookmarkEnd w:id="205"/>
      <w:r>
        <w:rPr>
          <w:rFonts w:ascii="宋体" w:hAnsi="宋体" w:eastAsia="宋体"/>
          <w:color w:val="auto"/>
          <w:sz w:val="28"/>
          <w:highlight w:val="none"/>
        </w:rPr>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228" w:name="_Toc516367021"/>
      <w:bookmarkStart w:id="229" w:name="_Toc264969217"/>
      <w:bookmarkStart w:id="230" w:name="_Toc142311029"/>
      <w:bookmarkStart w:id="231" w:name="_Toc151193625"/>
      <w:bookmarkStart w:id="232" w:name="_Toc149720820"/>
      <w:bookmarkStart w:id="233" w:name="_Toc305158795"/>
      <w:bookmarkStart w:id="234" w:name="_Toc164229368"/>
      <w:bookmarkStart w:id="235" w:name="_Toc226337223"/>
      <w:bookmarkStart w:id="236" w:name="_Toc151190154"/>
      <w:bookmarkStart w:id="237" w:name="_Toc226965800"/>
      <w:bookmarkStart w:id="238" w:name="_Toc520356151"/>
      <w:bookmarkStart w:id="239" w:name="_Toc164351621"/>
      <w:bookmarkStart w:id="240" w:name="_Toc226965717"/>
      <w:bookmarkStart w:id="241" w:name="_Toc127151527"/>
      <w:bookmarkStart w:id="242" w:name="_Toc151193769"/>
      <w:bookmarkStart w:id="243" w:name="_Toc151193697"/>
      <w:bookmarkStart w:id="244" w:name="_Toc305158869"/>
      <w:bookmarkStart w:id="245" w:name="_Toc151193915"/>
      <w:bookmarkStart w:id="246" w:name="_Toc127151728"/>
      <w:bookmarkStart w:id="247" w:name="_Toc150509278"/>
      <w:bookmarkStart w:id="248" w:name="_Toc195842892"/>
      <w:bookmarkStart w:id="249" w:name="_Toc127161441"/>
      <w:bookmarkStart w:id="250" w:name="_Toc164608796"/>
      <w:bookmarkStart w:id="251" w:name="_Toc150774732"/>
      <w:bookmarkStart w:id="252" w:name="_Toc150480765"/>
      <w:bookmarkStart w:id="253" w:name="_Toc265228365"/>
      <w:bookmarkStart w:id="254" w:name="_Toc226309771"/>
      <w:bookmarkStart w:id="255" w:name="_Toc164608641"/>
      <w:bookmarkStart w:id="256" w:name="_Toc151193841"/>
      <w:bookmarkStart w:id="257" w:name="_Toc150774627"/>
      <w:bookmarkStart w:id="258" w:name="_Toc164229222"/>
      <w:r>
        <w:rPr>
          <w:rFonts w:ascii="宋体" w:hAnsi="宋体"/>
          <w:color w:val="auto"/>
          <w:sz w:val="24"/>
          <w:highlight w:val="none"/>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Pr>
          <w:rFonts w:ascii="宋体" w:hAnsi="宋体"/>
          <w:color w:val="auto"/>
          <w:sz w:val="24"/>
          <w:highlight w:val="none"/>
        </w:rPr>
        <w:t>及投标语言</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color w:val="auto"/>
          <w:sz w:val="24"/>
          <w:highlight w:val="none"/>
        </w:rPr>
        <w:t>无效投标</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除招标文件有特殊要求外，本项目投标所使用的计量单位，应采用中华人民共和国法定计量单位。</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259" w:name="_Ref467306195"/>
      <w:bookmarkStart w:id="260" w:name="_Ref467306676"/>
      <w:bookmarkStart w:id="261" w:name="_Toc516367022"/>
      <w:bookmarkStart w:id="262" w:name="_Toc265228366"/>
      <w:bookmarkStart w:id="263" w:name="_Toc164229223"/>
      <w:bookmarkStart w:id="264" w:name="_Toc164229369"/>
      <w:bookmarkStart w:id="265" w:name="_Toc164608642"/>
      <w:bookmarkStart w:id="266" w:name="_Toc195842893"/>
      <w:bookmarkStart w:id="267" w:name="_Toc305158796"/>
      <w:bookmarkStart w:id="268" w:name="_Toc164351622"/>
      <w:bookmarkStart w:id="269" w:name="_Toc127161442"/>
      <w:bookmarkStart w:id="270" w:name="_Toc226309772"/>
      <w:bookmarkStart w:id="271" w:name="_Toc151193916"/>
      <w:bookmarkStart w:id="272" w:name="_Toc151193770"/>
      <w:bookmarkStart w:id="273" w:name="_Toc150774733"/>
      <w:bookmarkStart w:id="274" w:name="_Toc151193842"/>
      <w:bookmarkStart w:id="275" w:name="_Toc151193698"/>
      <w:bookmarkStart w:id="276" w:name="_Toc151190155"/>
      <w:bookmarkStart w:id="277" w:name="_Toc142311030"/>
      <w:bookmarkStart w:id="278" w:name="_Toc127151729"/>
      <w:bookmarkStart w:id="279" w:name="_Toc226337224"/>
      <w:bookmarkStart w:id="280" w:name="_Toc127151528"/>
      <w:bookmarkStart w:id="281" w:name="_Toc226965801"/>
      <w:bookmarkStart w:id="282" w:name="_Toc150509279"/>
      <w:bookmarkStart w:id="283" w:name="_Toc264969218"/>
      <w:bookmarkStart w:id="284" w:name="_Toc305158870"/>
      <w:bookmarkStart w:id="285" w:name="_Toc149720821"/>
      <w:bookmarkStart w:id="286" w:name="_Toc226965718"/>
      <w:bookmarkStart w:id="287" w:name="_Toc164608797"/>
      <w:bookmarkStart w:id="288" w:name="_Toc520356152"/>
      <w:bookmarkStart w:id="289" w:name="_Toc150774628"/>
      <w:bookmarkStart w:id="290" w:name="_Toc151193626"/>
      <w:bookmarkStart w:id="291" w:name="_Toc150480766"/>
      <w:r>
        <w:rPr>
          <w:rFonts w:ascii="宋体" w:hAnsi="宋体"/>
          <w:color w:val="auto"/>
          <w:sz w:val="24"/>
          <w:highlight w:val="none"/>
        </w:rPr>
        <w:t>投标文件</w:t>
      </w:r>
      <w:bookmarkEnd w:id="259"/>
      <w:bookmarkEnd w:id="260"/>
      <w:bookmarkEnd w:id="261"/>
      <w:r>
        <w:rPr>
          <w:rFonts w:ascii="宋体" w:hAnsi="宋体"/>
          <w:color w:val="auto"/>
          <w:sz w:val="24"/>
          <w:highlight w:val="none"/>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bookmarkStart w:id="292" w:name="_Ref467052588"/>
      <w:r>
        <w:rPr>
          <w:rFonts w:ascii="宋体" w:hAnsi="宋体"/>
          <w:color w:val="auto"/>
          <w:sz w:val="24"/>
          <w:highlight w:val="none"/>
        </w:rPr>
        <w:t>投标人应当按照招标文件的要求编制投标文件。投标文件应由《资格证明文件》、《商务技术文件》两部分构成。投标文件的部分格式要求，见第七章《投标文件格式》。</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kern w:val="0"/>
          <w:sz w:val="24"/>
          <w:highlight w:val="none"/>
        </w:rPr>
        <w:t>对于招标文件中标记了“实质性格式”文件的，</w:t>
      </w:r>
      <w:r>
        <w:rPr>
          <w:rFonts w:ascii="宋体" w:hAnsi="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olor w:val="auto"/>
          <w:kern w:val="0"/>
          <w:sz w:val="24"/>
          <w:highlight w:val="none"/>
        </w:rPr>
        <w:t>否则</w:t>
      </w:r>
      <w:r>
        <w:rPr>
          <w:rFonts w:ascii="宋体" w:hAnsi="宋体"/>
          <w:b/>
          <w:color w:val="auto"/>
          <w:kern w:val="0"/>
          <w:sz w:val="24"/>
          <w:highlight w:val="none"/>
        </w:rPr>
        <w:t>投标无效</w:t>
      </w:r>
      <w:r>
        <w:rPr>
          <w:rFonts w:ascii="宋体" w:hAnsi="宋体"/>
          <w:color w:val="auto"/>
          <w:kern w:val="0"/>
          <w:sz w:val="24"/>
          <w:highlight w:val="none"/>
        </w:rPr>
        <w:t>。未标记“实质性格式”的文件和招标文件未提供格式的内容，可由投标人自行编写。</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第四章《评标方法和评标标准》中涉及的证明文件。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投标人认为应附的其他材料。</w:t>
      </w:r>
      <w:bookmarkEnd w:id="292"/>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293" w:name="_Toc164608799"/>
      <w:bookmarkStart w:id="294" w:name="_Toc149720823"/>
      <w:bookmarkStart w:id="295" w:name="_Toc127161444"/>
      <w:bookmarkStart w:id="296" w:name="_Toc151193700"/>
      <w:bookmarkStart w:id="297" w:name="_Toc164608644"/>
      <w:bookmarkStart w:id="298" w:name="_Toc127151731"/>
      <w:bookmarkStart w:id="299" w:name="_Toc150774630"/>
      <w:bookmarkStart w:id="300" w:name="_Toc151193628"/>
      <w:bookmarkStart w:id="301" w:name="_Toc520356155"/>
      <w:bookmarkStart w:id="302" w:name="_Toc142311032"/>
      <w:bookmarkStart w:id="303" w:name="_Toc151193918"/>
      <w:bookmarkStart w:id="304" w:name="_Toc164351624"/>
      <w:bookmarkStart w:id="305" w:name="_Toc151190157"/>
      <w:bookmarkStart w:id="306" w:name="_Toc164229225"/>
      <w:bookmarkStart w:id="307" w:name="_Toc151193772"/>
      <w:bookmarkStart w:id="308" w:name="_Toc195842895"/>
      <w:bookmarkStart w:id="309" w:name="_Toc151193844"/>
      <w:bookmarkStart w:id="310" w:name="_Toc150509281"/>
      <w:bookmarkStart w:id="311" w:name="_Toc127151530"/>
      <w:bookmarkStart w:id="312" w:name="_Toc150774735"/>
      <w:bookmarkStart w:id="313" w:name="_Toc150480768"/>
      <w:bookmarkStart w:id="314" w:name="_Toc164229371"/>
      <w:r>
        <w:rPr>
          <w:rFonts w:ascii="宋体" w:hAnsi="宋体"/>
          <w:color w:val="auto"/>
          <w:sz w:val="24"/>
          <w:highlight w:val="none"/>
        </w:rP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所有投标均以人民币为计价货币</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投标人的报价应包括为完成本项目所发生的一切费用和税费，采购人将不再支付报价以外的任何费用。</w:t>
      </w:r>
      <w:r>
        <w:rPr>
          <w:rFonts w:hint="eastAsia" w:ascii="宋体" w:hAnsi="宋体"/>
          <w:color w:val="auto"/>
          <w:sz w:val="24"/>
          <w:highlight w:val="none"/>
        </w:rPr>
        <w:t>投标人的报价应包括但不限于下列内容，《投标人须知资料表》中有特殊规定的，从其规定。</w:t>
      </w:r>
    </w:p>
    <w:p>
      <w:pPr>
        <w:numPr>
          <w:ilvl w:val="2"/>
          <w:numId w:val="12"/>
        </w:numPr>
        <w:snapToGrid w:val="0"/>
        <w:spacing w:line="360" w:lineRule="auto"/>
        <w:rPr>
          <w:rFonts w:hint="eastAsia" w:ascii="宋体" w:hAnsi="宋体"/>
          <w:color w:val="auto"/>
          <w:sz w:val="24"/>
          <w:highlight w:val="none"/>
        </w:rPr>
      </w:pPr>
      <w:r>
        <w:rPr>
          <w:rFonts w:hint="eastAsia" w:ascii="宋体" w:hAnsi="宋体"/>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ascii="宋体" w:hAnsi="宋体"/>
          <w:color w:val="auto"/>
          <w:sz w:val="24"/>
          <w:highlight w:val="none"/>
        </w:rPr>
        <w:t>；</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 xml:space="preserve">按照招标文件要求完成本项目的全部相关服务费用。 </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采购人不得向投标人索要或者接受其给予的赠品、回扣或者与采购无关的其他商品、服务。</w:t>
      </w:r>
    </w:p>
    <w:p>
      <w:pPr>
        <w:numPr>
          <w:ilvl w:val="1"/>
          <w:numId w:val="12"/>
        </w:numPr>
        <w:tabs>
          <w:tab w:val="left" w:pos="1080"/>
          <w:tab w:val="left" w:pos="2014"/>
        </w:tabs>
        <w:snapToGrid w:val="0"/>
        <w:spacing w:line="360" w:lineRule="auto"/>
        <w:ind w:left="1080" w:hanging="720"/>
        <w:rPr>
          <w:color w:val="auto"/>
          <w:sz w:val="24"/>
          <w:highlight w:val="none"/>
        </w:rPr>
      </w:pPr>
      <w:r>
        <w:rPr>
          <w:color w:val="auto"/>
          <w:sz w:val="24"/>
          <w:highlight w:val="none"/>
        </w:rPr>
        <w:t>投标人不能提供任何有选择性或可调整的报价（招标文件另有规定的除外），否则其</w:t>
      </w:r>
      <w:r>
        <w:rPr>
          <w:b/>
          <w:color w:val="auto"/>
          <w:sz w:val="24"/>
          <w:highlight w:val="none"/>
        </w:rPr>
        <w:t>投标无效</w:t>
      </w:r>
      <w:r>
        <w:rPr>
          <w:color w:val="auto"/>
          <w:sz w:val="24"/>
          <w:highlight w:val="none"/>
        </w:rPr>
        <w:t>。</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11.4投标人不能提供任何有选择性或可调整的报价（招标文件另有规定的除外），否则其投标无效</w:t>
      </w:r>
      <w:r>
        <w:rPr>
          <w:rFonts w:ascii="宋体" w:hAnsi="宋体"/>
          <w:color w:val="auto"/>
          <w:sz w:val="24"/>
          <w:highlight w:val="none"/>
        </w:rPr>
        <w:t>。</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315" w:name="_Toc226965804"/>
      <w:bookmarkStart w:id="316" w:name="_Toc265228369"/>
      <w:bookmarkStart w:id="317" w:name="_Toc127151531"/>
      <w:bookmarkStart w:id="318" w:name="_Toc520356156"/>
      <w:bookmarkStart w:id="319" w:name="_Toc151193629"/>
      <w:bookmarkStart w:id="320" w:name="_Toc150774631"/>
      <w:bookmarkStart w:id="321" w:name="_Toc150480769"/>
      <w:bookmarkStart w:id="322" w:name="_Toc164351625"/>
      <w:bookmarkStart w:id="323" w:name="_Toc226965721"/>
      <w:bookmarkStart w:id="324" w:name="_Toc164608645"/>
      <w:bookmarkStart w:id="325" w:name="_Toc127151732"/>
      <w:bookmarkStart w:id="326" w:name="_Toc151193919"/>
      <w:bookmarkStart w:id="327" w:name="_Toc164608800"/>
      <w:bookmarkStart w:id="328" w:name="_Toc264969221"/>
      <w:bookmarkStart w:id="329" w:name="_Toc127161445"/>
      <w:bookmarkStart w:id="330" w:name="_Toc150774736"/>
      <w:bookmarkStart w:id="331" w:name="_Toc305158799"/>
      <w:bookmarkStart w:id="332" w:name="_Toc226309775"/>
      <w:bookmarkStart w:id="333" w:name="_Toc151193845"/>
      <w:bookmarkStart w:id="334" w:name="_Toc305158873"/>
      <w:bookmarkStart w:id="335" w:name="_Toc150509282"/>
      <w:bookmarkStart w:id="336" w:name="_Toc149720824"/>
      <w:bookmarkStart w:id="337" w:name="_Toc164229372"/>
      <w:bookmarkStart w:id="338" w:name="_Toc164229226"/>
      <w:bookmarkStart w:id="339" w:name="_Ref467306513"/>
      <w:bookmarkStart w:id="340" w:name="_Toc226337227"/>
      <w:bookmarkStart w:id="341" w:name="_Toc142311033"/>
      <w:bookmarkStart w:id="342" w:name="_Toc151190158"/>
      <w:bookmarkStart w:id="343" w:name="_Toc195842896"/>
      <w:bookmarkStart w:id="344" w:name="_Toc151193701"/>
      <w:bookmarkStart w:id="345" w:name="_Toc151193773"/>
      <w:r>
        <w:rPr>
          <w:rFonts w:ascii="宋体" w:hAnsi="宋体"/>
          <w:color w:val="auto"/>
          <w:sz w:val="24"/>
          <w:highlight w:val="none"/>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bookmarkStart w:id="346" w:name="_Ref467306302"/>
      <w:r>
        <w:rPr>
          <w:rFonts w:ascii="宋体" w:hAnsi="宋体"/>
          <w:color w:val="auto"/>
          <w:sz w:val="24"/>
          <w:highlight w:val="none"/>
        </w:rPr>
        <w:t>投标人应按《投标人须知资料表》中规定的金额及要求交纳投标保证金</w:t>
      </w:r>
      <w:bookmarkEnd w:id="346"/>
      <w:r>
        <w:rPr>
          <w:rFonts w:ascii="宋体" w:hAnsi="宋体"/>
          <w:color w:val="auto"/>
          <w:sz w:val="24"/>
          <w:highlight w:val="none"/>
        </w:rPr>
        <w:t>。</w:t>
      </w:r>
      <w:r>
        <w:rPr>
          <w:rFonts w:hint="eastAsia" w:ascii="宋体" w:hAnsi="宋体"/>
          <w:color w:val="auto"/>
          <w:sz w:val="24"/>
          <w:highlight w:val="none"/>
        </w:rPr>
        <w:t>投标人自愿超额缴纳投标保证金的，投标文件不做无效处理。</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交纳投标保证金可采用的形式：政府采购法律法规接受的支票、汇票、本票、网上银行支付或者金融机构、担保机构出具的保函等非现金形式。</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7" w:name="_Hlk164959831"/>
      <w:r>
        <w:rPr>
          <w:rFonts w:hint="eastAsia" w:ascii="宋体" w:hAnsi="宋体"/>
          <w:color w:val="auto"/>
          <w:sz w:val="24"/>
          <w:highlight w:val="none"/>
        </w:rPr>
        <w:t>以电子保函形式提交投标保证金的，应在投标截止时间前通过</w:t>
      </w:r>
      <w:r>
        <w:rPr>
          <w:rFonts w:hint="eastAsia" w:ascii="宋体" w:hAnsi="宋体"/>
          <w:color w:val="auto"/>
          <w:sz w:val="24"/>
          <w:highlight w:val="none"/>
          <w:lang w:bidi="ar"/>
        </w:rPr>
        <w:t>北京市政府采购电子交易平台完成电子保函在线办理。</w:t>
      </w:r>
      <w:bookmarkEnd w:id="347"/>
      <w:r>
        <w:rPr>
          <w:rFonts w:hint="eastAsia" w:ascii="宋体" w:hAnsi="宋体"/>
          <w:color w:val="auto"/>
          <w:sz w:val="24"/>
          <w:highlight w:val="none"/>
        </w:rPr>
        <w:t>未按上述要求缴纳投标保证金的，其</w:t>
      </w:r>
      <w:r>
        <w:rPr>
          <w:rFonts w:ascii="宋体" w:hAnsi="宋体"/>
          <w:b/>
          <w:color w:val="auto"/>
          <w:sz w:val="24"/>
          <w:highlight w:val="none"/>
        </w:rPr>
        <w:t>投标无效</w:t>
      </w:r>
      <w:r>
        <w:rPr>
          <w:rFonts w:ascii="宋体" w:hAnsi="宋体"/>
          <w:color w:val="auto"/>
          <w:sz w:val="24"/>
          <w:highlight w:val="none"/>
        </w:rPr>
        <w:t>。</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投标人除需在投标文件中提供“</w:t>
      </w:r>
      <w:r>
        <w:rPr>
          <w:rFonts w:hint="eastAsia" w:ascii="宋体" w:hAnsi="宋体"/>
          <w:color w:val="auto"/>
          <w:sz w:val="24"/>
          <w:szCs w:val="20"/>
          <w:highlight w:val="none"/>
        </w:rPr>
        <w:t>投标保证金凭证</w:t>
      </w:r>
      <w:r>
        <w:rPr>
          <w:rFonts w:ascii="宋体" w:hAnsi="宋体"/>
          <w:color w:val="auto"/>
          <w:sz w:val="24"/>
          <w:szCs w:val="20"/>
          <w:highlight w:val="none"/>
        </w:rPr>
        <w:t>/</w:t>
      </w:r>
      <w:r>
        <w:rPr>
          <w:rFonts w:hint="eastAsia" w:ascii="宋体" w:hAnsi="宋体"/>
          <w:color w:val="auto"/>
          <w:sz w:val="24"/>
          <w:szCs w:val="20"/>
          <w:highlight w:val="none"/>
        </w:rPr>
        <w:t>交款单据电子件</w:t>
      </w:r>
      <w:r>
        <w:rPr>
          <w:rFonts w:hint="eastAsia" w:ascii="宋体" w:hAnsi="宋体"/>
          <w:color w:val="auto"/>
          <w:sz w:val="24"/>
          <w:highlight w:val="none"/>
        </w:rPr>
        <w:t>”，还需在投标截止时间前，通过电子交易平台上传“</w:t>
      </w:r>
      <w:r>
        <w:rPr>
          <w:rFonts w:hint="eastAsia" w:ascii="宋体" w:hAnsi="宋体"/>
          <w:color w:val="auto"/>
          <w:sz w:val="24"/>
          <w:szCs w:val="20"/>
          <w:highlight w:val="none"/>
        </w:rPr>
        <w:t>投标保证金凭证</w:t>
      </w:r>
      <w:r>
        <w:rPr>
          <w:rFonts w:ascii="宋体" w:hAnsi="宋体"/>
          <w:color w:val="auto"/>
          <w:sz w:val="24"/>
          <w:szCs w:val="20"/>
          <w:highlight w:val="none"/>
        </w:rPr>
        <w:t>/</w:t>
      </w:r>
      <w:r>
        <w:rPr>
          <w:rFonts w:hint="eastAsia" w:ascii="宋体" w:hAnsi="宋体"/>
          <w:color w:val="auto"/>
          <w:sz w:val="24"/>
          <w:szCs w:val="20"/>
          <w:highlight w:val="none"/>
        </w:rPr>
        <w:t>交款单据电子件</w:t>
      </w:r>
      <w:r>
        <w:rPr>
          <w:rFonts w:hint="eastAsia" w:ascii="宋体" w:hAnsi="宋体"/>
          <w:color w:val="auto"/>
          <w:sz w:val="24"/>
          <w:highlight w:val="none"/>
        </w:rPr>
        <w:t>”。</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投标保证金有效期同投标有效期。</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投标人为联合体的，可以由联合体中的一方或者多方共同交纳投标保证金，其交纳的投标保证金对联合体各方均具有约束力。</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采购人、采购代理机构将及时退还投标人的投标保证金，采用银行保函、担保机构担保函等形式递交的</w:t>
      </w:r>
      <w:r>
        <w:rPr>
          <w:rFonts w:hint="eastAsia" w:ascii="宋体" w:hAnsi="宋体"/>
          <w:color w:val="auto"/>
          <w:sz w:val="24"/>
          <w:highlight w:val="none"/>
        </w:rPr>
        <w:t>投标</w:t>
      </w:r>
      <w:r>
        <w:rPr>
          <w:rFonts w:ascii="宋体" w:hAnsi="宋体"/>
          <w:color w:val="auto"/>
          <w:sz w:val="24"/>
          <w:highlight w:val="none"/>
        </w:rPr>
        <w:t>保证金，经投标人同意后采购人、采购代理机构可以不再退还，但因投标人自身原因导致无法及时退还的除外：</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投标人在投标截止时间前撤回已提交的投标文件的，自收到投标人书面撤回通知之日起5个工作日内退还已收取的投标保证金；</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中标人的投标保证金，自采购合同签订之日起5个工作日内退还中标人；</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未中标投标人的投标保证金，自中标通知书发出之日起5个工作日内退还未中标人；</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终止招标项目已经收取投标保证金的，自终止采购活动后5个工作日内退还已收取的投标保证金及其在银行产生的孳息。</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有下列情形之一的，采购人或采购代理机构可以不予退还投标保证金：</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投标有效期内投标人撤销投标文件的；</w:t>
      </w:r>
    </w:p>
    <w:p>
      <w:pPr>
        <w:numPr>
          <w:ilvl w:val="2"/>
          <w:numId w:val="12"/>
        </w:numPr>
        <w:tabs>
          <w:tab w:val="left" w:pos="900"/>
          <w:tab w:val="left" w:pos="1080"/>
          <w:tab w:val="left" w:pos="2014"/>
        </w:tabs>
        <w:snapToGrid w:val="0"/>
        <w:spacing w:line="360" w:lineRule="auto"/>
        <w:rPr>
          <w:rFonts w:hint="eastAsia" w:ascii="宋体" w:hAnsi="宋体"/>
          <w:color w:val="auto"/>
          <w:sz w:val="24"/>
          <w:highlight w:val="none"/>
        </w:rPr>
      </w:pPr>
      <w:r>
        <w:rPr>
          <w:rFonts w:ascii="宋体" w:hAnsi="宋体"/>
          <w:color w:val="auto"/>
          <w:sz w:val="24"/>
          <w:highlight w:val="none"/>
        </w:rPr>
        <w:t>《投标人须知资料表》中规定的其他情形。</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348" w:name="_Toc150774632"/>
      <w:bookmarkStart w:id="349" w:name="_Toc164608646"/>
      <w:bookmarkStart w:id="350" w:name="_Toc150774737"/>
      <w:bookmarkStart w:id="351" w:name="_Toc164608801"/>
      <w:bookmarkStart w:id="352" w:name="_Toc142311034"/>
      <w:bookmarkStart w:id="353" w:name="_Toc149720825"/>
      <w:bookmarkStart w:id="354" w:name="_Toc226337228"/>
      <w:bookmarkStart w:id="355" w:name="_Toc520356157"/>
      <w:bookmarkStart w:id="356" w:name="_Toc151193920"/>
      <w:bookmarkStart w:id="357" w:name="_Toc195842897"/>
      <w:bookmarkStart w:id="358" w:name="_Toc226965722"/>
      <w:bookmarkStart w:id="359" w:name="_Toc151193846"/>
      <w:bookmarkStart w:id="360" w:name="_Toc305158800"/>
      <w:bookmarkStart w:id="361" w:name="_Toc164229227"/>
      <w:bookmarkStart w:id="362" w:name="_Toc127161446"/>
      <w:bookmarkStart w:id="363" w:name="_Toc151193702"/>
      <w:bookmarkStart w:id="364" w:name="_Toc164351626"/>
      <w:bookmarkStart w:id="365" w:name="_Toc151190159"/>
      <w:bookmarkStart w:id="366" w:name="_Toc150480770"/>
      <w:bookmarkStart w:id="367" w:name="_Toc305158874"/>
      <w:bookmarkStart w:id="368" w:name="_Toc164229373"/>
      <w:bookmarkStart w:id="369" w:name="_Toc264969222"/>
      <w:bookmarkStart w:id="370" w:name="_Toc127151733"/>
      <w:bookmarkStart w:id="371" w:name="_Toc150509283"/>
      <w:bookmarkStart w:id="372" w:name="_Toc151193630"/>
      <w:bookmarkStart w:id="373" w:name="_Toc127151532"/>
      <w:bookmarkStart w:id="374" w:name="_Toc265228370"/>
      <w:bookmarkStart w:id="375" w:name="_Toc226965805"/>
      <w:bookmarkStart w:id="376" w:name="_Toc226309776"/>
      <w:bookmarkStart w:id="377" w:name="_Toc151193774"/>
      <w:r>
        <w:rPr>
          <w:rFonts w:ascii="宋体" w:hAnsi="宋体"/>
          <w:color w:val="auto"/>
          <w:sz w:val="24"/>
          <w:highlight w:val="none"/>
        </w:rPr>
        <w:t>投标有效期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w:t>
      </w:r>
      <w:r>
        <w:rPr>
          <w:rFonts w:hint="eastAsia" w:ascii="宋体" w:hAnsi="宋体"/>
          <w:color w:val="auto"/>
          <w:sz w:val="24"/>
          <w:highlight w:val="none"/>
        </w:rPr>
        <w:t>文件</w:t>
      </w:r>
      <w:r>
        <w:rPr>
          <w:rFonts w:ascii="宋体" w:hAnsi="宋体"/>
          <w:color w:val="auto"/>
          <w:sz w:val="24"/>
          <w:highlight w:val="none"/>
        </w:rPr>
        <w:t>应在本招标文件《投标人须知资料表》中规定的投标有效期内保持有效，投标有效期少于招标文件规定期限的，其</w:t>
      </w:r>
      <w:r>
        <w:rPr>
          <w:rFonts w:ascii="宋体" w:hAnsi="宋体"/>
          <w:b/>
          <w:color w:val="auto"/>
          <w:sz w:val="24"/>
          <w:highlight w:val="none"/>
        </w:rPr>
        <w:t>投标无效</w:t>
      </w:r>
      <w:r>
        <w:rPr>
          <w:rFonts w:ascii="宋体" w:hAnsi="宋体"/>
          <w:color w:val="auto"/>
          <w:sz w:val="24"/>
          <w:highlight w:val="none"/>
        </w:rPr>
        <w:t>。</w:t>
      </w:r>
    </w:p>
    <w:p>
      <w:pPr>
        <w:numPr>
          <w:ilvl w:val="0"/>
          <w:numId w:val="12"/>
        </w:numPr>
        <w:tabs>
          <w:tab w:val="left" w:pos="360"/>
        </w:tabs>
        <w:snapToGrid w:val="0"/>
        <w:spacing w:line="360" w:lineRule="auto"/>
        <w:ind w:left="357" w:hanging="357"/>
        <w:outlineLvl w:val="1"/>
        <w:rPr>
          <w:rFonts w:hint="eastAsia" w:ascii="宋体" w:hAnsi="宋体"/>
          <w:b/>
          <w:color w:val="auto"/>
          <w:sz w:val="24"/>
          <w:highlight w:val="none"/>
        </w:rPr>
      </w:pPr>
      <w:bookmarkStart w:id="378" w:name="_Toc164608647"/>
      <w:bookmarkStart w:id="379" w:name="_Toc264969223"/>
      <w:bookmarkStart w:id="380" w:name="_Toc226309777"/>
      <w:bookmarkStart w:id="381" w:name="_Toc127161447"/>
      <w:bookmarkStart w:id="382" w:name="_Toc520356158"/>
      <w:bookmarkStart w:id="383" w:name="_Toc151193847"/>
      <w:bookmarkStart w:id="384" w:name="_Toc305158875"/>
      <w:bookmarkStart w:id="385" w:name="_Toc164351627"/>
      <w:bookmarkStart w:id="386" w:name="_Toc164229228"/>
      <w:bookmarkStart w:id="387" w:name="_Toc127151734"/>
      <w:bookmarkStart w:id="388" w:name="_Toc226337229"/>
      <w:bookmarkStart w:id="389" w:name="_Toc226965723"/>
      <w:bookmarkStart w:id="390" w:name="_Toc164229374"/>
      <w:bookmarkStart w:id="391" w:name="_Toc151193703"/>
      <w:bookmarkStart w:id="392" w:name="_Toc226965806"/>
      <w:bookmarkStart w:id="393" w:name="_Toc151193631"/>
      <w:bookmarkStart w:id="394" w:name="_Toc151190160"/>
      <w:bookmarkStart w:id="395" w:name="_Toc142311035"/>
      <w:bookmarkStart w:id="396" w:name="_Toc305158801"/>
      <w:bookmarkStart w:id="397" w:name="_Toc150480771"/>
      <w:bookmarkStart w:id="398" w:name="_Toc151193921"/>
      <w:bookmarkStart w:id="399" w:name="_Toc150774633"/>
      <w:bookmarkStart w:id="400" w:name="_Toc127151533"/>
      <w:bookmarkStart w:id="401" w:name="_Toc149720826"/>
      <w:bookmarkStart w:id="402" w:name="_Toc151193775"/>
      <w:bookmarkStart w:id="403" w:name="_Toc164608802"/>
      <w:bookmarkStart w:id="404" w:name="_Toc150509284"/>
      <w:bookmarkStart w:id="405" w:name="_Toc265228371"/>
      <w:bookmarkStart w:id="406" w:name="_Toc195842898"/>
      <w:bookmarkStart w:id="407" w:name="_Toc150774738"/>
      <w:r>
        <w:rPr>
          <w:rFonts w:ascii="宋体" w:hAnsi="宋体"/>
          <w:b/>
          <w:color w:val="auto"/>
          <w:sz w:val="24"/>
          <w:highlight w:val="none"/>
        </w:rPr>
        <w:t>投标文件的签署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ascii="宋体" w:hAnsi="宋体"/>
          <w:b/>
          <w:color w:val="auto"/>
          <w:sz w:val="24"/>
          <w:highlight w:val="none"/>
        </w:rPr>
        <w:t>、盖章</w:t>
      </w:r>
    </w:p>
    <w:p>
      <w:pPr>
        <w:numPr>
          <w:ilvl w:val="1"/>
          <w:numId w:val="12"/>
        </w:numPr>
        <w:tabs>
          <w:tab w:val="left" w:pos="1080"/>
          <w:tab w:val="left" w:pos="1589"/>
          <w:tab w:val="left" w:pos="2014"/>
        </w:tabs>
        <w:snapToGrid w:val="0"/>
        <w:spacing w:line="360" w:lineRule="auto"/>
        <w:ind w:left="1077" w:hanging="720"/>
        <w:rPr>
          <w:rFonts w:hint="eastAsia" w:ascii="宋体" w:hAnsi="宋体"/>
          <w:b/>
          <w:color w:val="auto"/>
          <w:sz w:val="24"/>
          <w:highlight w:val="none"/>
        </w:rPr>
      </w:pPr>
      <w:bookmarkStart w:id="408" w:name="_Toc151193848"/>
      <w:bookmarkStart w:id="409" w:name="_Toc226965724"/>
      <w:bookmarkStart w:id="410" w:name="_Toc195842899"/>
      <w:bookmarkStart w:id="411" w:name="_Toc150774739"/>
      <w:bookmarkStart w:id="412" w:name="_Toc151193922"/>
      <w:bookmarkStart w:id="413" w:name="_Toc150480772"/>
      <w:bookmarkStart w:id="414" w:name="_Toc264969224"/>
      <w:bookmarkStart w:id="415" w:name="_Toc151193632"/>
      <w:bookmarkStart w:id="416" w:name="_Toc265228372"/>
      <w:bookmarkStart w:id="417" w:name="_Toc226309778"/>
      <w:bookmarkStart w:id="418" w:name="_Toc150509285"/>
      <w:bookmarkStart w:id="419" w:name="_Toc151193776"/>
      <w:bookmarkStart w:id="420" w:name="_Toc142311036"/>
      <w:bookmarkStart w:id="421" w:name="_Toc520356159"/>
      <w:bookmarkStart w:id="422" w:name="_Toc151193704"/>
      <w:bookmarkStart w:id="423" w:name="_Toc226337230"/>
      <w:bookmarkStart w:id="424" w:name="_Toc226965807"/>
      <w:bookmarkStart w:id="425" w:name="_Toc305158802"/>
      <w:bookmarkStart w:id="426" w:name="_Toc305158876"/>
      <w:bookmarkStart w:id="427" w:name="_Toc150774634"/>
      <w:bookmarkStart w:id="428" w:name="_Toc151190161"/>
      <w:bookmarkStart w:id="429" w:name="_Toc127151534"/>
      <w:r>
        <w:rPr>
          <w:rFonts w:ascii="宋体" w:hAnsi="宋体"/>
          <w:b/>
          <w:color w:val="auto"/>
          <w:sz w:val="24"/>
          <w:highlight w:val="none"/>
        </w:rPr>
        <w:t>招标文件要求签字的内容（如授权委托书等），</w:t>
      </w:r>
      <w:r>
        <w:rPr>
          <w:rFonts w:hint="eastAsia" w:ascii="宋体" w:hAnsi="宋体"/>
          <w:b/>
          <w:color w:val="auto"/>
          <w:sz w:val="24"/>
          <w:highlight w:val="none"/>
        </w:rPr>
        <w:t>可以使用电子签章或使用原件的电子件（电子件指扫描件、照片等形式电子文件）</w:t>
      </w:r>
      <w:r>
        <w:rPr>
          <w:rFonts w:hint="eastAsia" w:ascii="宋体" w:hAnsi="宋体"/>
          <w:color w:val="auto"/>
          <w:sz w:val="24"/>
          <w:highlight w:val="none"/>
        </w:rPr>
        <w:t>；</w:t>
      </w:r>
      <w:r>
        <w:rPr>
          <w:rFonts w:hint="eastAsia" w:ascii="宋体" w:hAnsi="宋体"/>
          <w:b/>
          <w:bCs/>
          <w:color w:val="auto"/>
          <w:sz w:val="24"/>
          <w:highlight w:val="none"/>
        </w:rPr>
        <w:t>要求第三方出具的盖章件原件或相关证书文件</w:t>
      </w:r>
      <w:r>
        <w:rPr>
          <w:rFonts w:ascii="宋体" w:hAnsi="宋体"/>
          <w:b/>
          <w:color w:val="auto"/>
          <w:sz w:val="24"/>
          <w:highlight w:val="none"/>
        </w:rPr>
        <w:t>（如联合协议、分包意向协议、</w:t>
      </w:r>
      <w:r>
        <w:rPr>
          <w:rFonts w:hint="eastAsia" w:ascii="宋体" w:hAnsi="宋体"/>
          <w:b/>
          <w:bCs/>
          <w:color w:val="auto"/>
          <w:sz w:val="24"/>
          <w:highlight w:val="none"/>
        </w:rPr>
        <w:t>资质证书、质量管理体系证书、人员资质证书等</w:t>
      </w:r>
      <w:r>
        <w:rPr>
          <w:rFonts w:ascii="宋体" w:hAnsi="宋体"/>
          <w:b/>
          <w:color w:val="auto"/>
          <w:sz w:val="24"/>
          <w:highlight w:val="none"/>
        </w:rPr>
        <w:t>），投标文件中应使用原件的电子件。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招标文件要求盖章的内容，</w:t>
      </w:r>
      <w:r>
        <w:rPr>
          <w:rFonts w:hint="eastAsia" w:ascii="宋体" w:hAnsi="宋体"/>
          <w:color w:val="auto"/>
          <w:sz w:val="24"/>
          <w:highlight w:val="none"/>
        </w:rPr>
        <w:t>一般</w:t>
      </w:r>
      <w:r>
        <w:rPr>
          <w:rFonts w:ascii="宋体" w:hAnsi="宋体"/>
          <w:color w:val="auto"/>
          <w:sz w:val="24"/>
          <w:highlight w:val="none"/>
        </w:rPr>
        <w:t>通过投标文件编制工具加盖电子签章。</w:t>
      </w:r>
    </w:p>
    <w:p>
      <w:pPr>
        <w:tabs>
          <w:tab w:val="left" w:pos="900"/>
          <w:tab w:val="left" w:pos="1080"/>
        </w:tabs>
        <w:snapToGrid w:val="0"/>
        <w:spacing w:line="360" w:lineRule="auto"/>
        <w:ind w:left="357"/>
        <w:rPr>
          <w:rFonts w:hint="eastAsia" w:ascii="宋体" w:hAnsi="宋体"/>
          <w:color w:val="auto"/>
          <w:highlight w:val="none"/>
        </w:rPr>
      </w:pPr>
    </w:p>
    <w:p>
      <w:pPr>
        <w:pStyle w:val="3"/>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四   投标文件的提交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430" w:name="_Toc305158877"/>
      <w:bookmarkStart w:id="431" w:name="_Toc151193777"/>
      <w:bookmarkStart w:id="432" w:name="_Toc520356160"/>
      <w:bookmarkStart w:id="433" w:name="_Toc127151736"/>
      <w:bookmarkStart w:id="434" w:name="_Toc151193633"/>
      <w:bookmarkStart w:id="435" w:name="_Toc151190162"/>
      <w:bookmarkStart w:id="436" w:name="_Toc150774740"/>
      <w:bookmarkStart w:id="437" w:name="_Toc151193849"/>
      <w:bookmarkStart w:id="438" w:name="_Toc151193923"/>
      <w:bookmarkStart w:id="439" w:name="_Toc164608804"/>
      <w:bookmarkStart w:id="440" w:name="_Toc149720828"/>
      <w:bookmarkStart w:id="441" w:name="_Toc164351629"/>
      <w:bookmarkStart w:id="442" w:name="_Toc264969225"/>
      <w:bookmarkStart w:id="443" w:name="_Toc150509286"/>
      <w:bookmarkStart w:id="444" w:name="_Toc150480773"/>
      <w:bookmarkStart w:id="445" w:name="_Toc265228373"/>
      <w:bookmarkStart w:id="446" w:name="_Toc150774635"/>
      <w:bookmarkStart w:id="447" w:name="_Toc195842900"/>
      <w:bookmarkStart w:id="448" w:name="_Toc164229230"/>
      <w:bookmarkStart w:id="449" w:name="_Toc164229376"/>
      <w:bookmarkStart w:id="450" w:name="_Toc127161449"/>
      <w:bookmarkStart w:id="451" w:name="_Toc226309779"/>
      <w:bookmarkStart w:id="452" w:name="_Toc127151535"/>
      <w:bookmarkStart w:id="453" w:name="_Toc151193705"/>
      <w:bookmarkStart w:id="454" w:name="_Toc142311037"/>
      <w:bookmarkStart w:id="455" w:name="_Toc226965808"/>
      <w:bookmarkStart w:id="456" w:name="_Toc226965725"/>
      <w:bookmarkStart w:id="457" w:name="_Toc226337231"/>
      <w:bookmarkStart w:id="458" w:name="_Toc164608649"/>
      <w:bookmarkStart w:id="459" w:name="_Toc305158803"/>
      <w:r>
        <w:rPr>
          <w:rFonts w:ascii="宋体" w:hAnsi="宋体"/>
          <w:color w:val="auto"/>
          <w:sz w:val="24"/>
          <w:highlight w:val="none"/>
        </w:rPr>
        <w:t>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ascii="宋体" w:hAnsi="宋体"/>
          <w:color w:val="auto"/>
          <w:sz w:val="24"/>
          <w:highlight w:val="none"/>
        </w:rPr>
        <w:t>提交</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本项目使用北京市政府采购电子交易平台。投标人根据招标文件及电子交易平台供应商操作手册要求编制、生成并提交电子投标文件</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采购人及采购代理机构拒绝接受通过电子交易平台以外任何形式提交的投标文件，投标保证金除外。</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460" w:name="_Toc164229231"/>
      <w:bookmarkStart w:id="461" w:name="_Toc151193634"/>
      <w:bookmarkStart w:id="462" w:name="_Toc305158804"/>
      <w:bookmarkStart w:id="463" w:name="_Toc226965726"/>
      <w:bookmarkStart w:id="464" w:name="_Toc164608650"/>
      <w:bookmarkStart w:id="465" w:name="_Toc305158878"/>
      <w:bookmarkStart w:id="466" w:name="_Toc226965809"/>
      <w:bookmarkStart w:id="467" w:name="_Toc164351630"/>
      <w:bookmarkStart w:id="468" w:name="_Toc226337232"/>
      <w:bookmarkStart w:id="469" w:name="_Toc127161450"/>
      <w:bookmarkStart w:id="470" w:name="_Toc265228374"/>
      <w:bookmarkStart w:id="471" w:name="_Toc151193850"/>
      <w:bookmarkStart w:id="472" w:name="_Toc151193778"/>
      <w:bookmarkStart w:id="473" w:name="_Toc195842901"/>
      <w:bookmarkStart w:id="474" w:name="_Toc520356161"/>
      <w:bookmarkStart w:id="475" w:name="_Toc150774636"/>
      <w:bookmarkStart w:id="476" w:name="_Toc151193706"/>
      <w:bookmarkStart w:id="477" w:name="_Toc226309780"/>
      <w:bookmarkStart w:id="478" w:name="_Toc127151737"/>
      <w:bookmarkStart w:id="479" w:name="_Toc150480774"/>
      <w:bookmarkStart w:id="480" w:name="_Toc150774741"/>
      <w:bookmarkStart w:id="481" w:name="_Toc142311038"/>
      <w:bookmarkStart w:id="482" w:name="_Toc150509287"/>
      <w:bookmarkStart w:id="483" w:name="_Toc164229377"/>
      <w:bookmarkStart w:id="484" w:name="_Toc164608805"/>
      <w:bookmarkStart w:id="485" w:name="_Toc127151536"/>
      <w:bookmarkStart w:id="486" w:name="_Toc151193924"/>
      <w:bookmarkStart w:id="487" w:name="_Toc264969226"/>
      <w:bookmarkStart w:id="488" w:name="_Toc149720829"/>
      <w:bookmarkStart w:id="489" w:name="_Toc151190163"/>
      <w:r>
        <w:rPr>
          <w:rFonts w:ascii="宋体" w:hAnsi="宋体"/>
          <w:color w:val="auto"/>
          <w:sz w:val="24"/>
          <w:highlight w:val="none"/>
        </w:rPr>
        <w:t>投标截止</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rFonts w:ascii="宋体" w:hAnsi="宋体"/>
          <w:color w:val="auto"/>
          <w:sz w:val="24"/>
          <w:highlight w:val="none"/>
        </w:rPr>
        <w:t>时间</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投标人应在招标文件要求提交投标文件截止时间前，将电子投标文件提交至电子交易平台。</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490" w:name="_Toc164351631"/>
      <w:bookmarkStart w:id="491" w:name="_Toc164229232"/>
      <w:bookmarkStart w:id="492" w:name="_Toc164608651"/>
      <w:bookmarkStart w:id="493" w:name="_Toc151193707"/>
      <w:bookmarkStart w:id="494" w:name="_Toc265228375"/>
      <w:bookmarkStart w:id="495" w:name="_Toc150774742"/>
      <w:bookmarkStart w:id="496" w:name="_Toc149720830"/>
      <w:bookmarkStart w:id="497" w:name="_Toc151190164"/>
      <w:bookmarkStart w:id="498" w:name="_Toc226309781"/>
      <w:bookmarkStart w:id="499" w:name="_Toc151193635"/>
      <w:bookmarkStart w:id="500" w:name="_Toc151193925"/>
      <w:bookmarkStart w:id="501" w:name="_Toc127151537"/>
      <w:bookmarkStart w:id="502" w:name="_Toc264969227"/>
      <w:bookmarkStart w:id="503" w:name="_Toc226337233"/>
      <w:bookmarkStart w:id="504" w:name="_Toc150480775"/>
      <w:bookmarkStart w:id="505" w:name="_Toc142311039"/>
      <w:bookmarkStart w:id="506" w:name="_Toc127161451"/>
      <w:bookmarkStart w:id="507" w:name="_Toc195842902"/>
      <w:bookmarkStart w:id="508" w:name="_Toc150509288"/>
      <w:bookmarkStart w:id="509" w:name="_Toc127151738"/>
      <w:bookmarkStart w:id="510" w:name="_Toc151193851"/>
      <w:bookmarkStart w:id="511" w:name="_Toc164229378"/>
      <w:bookmarkStart w:id="512" w:name="_Toc305158879"/>
      <w:bookmarkStart w:id="513" w:name="_Toc305158805"/>
      <w:bookmarkStart w:id="514" w:name="_Toc226965810"/>
      <w:bookmarkStart w:id="515" w:name="_Toc151193779"/>
      <w:bookmarkStart w:id="516" w:name="_Toc164608806"/>
      <w:bookmarkStart w:id="517" w:name="_Toc520356162"/>
      <w:bookmarkStart w:id="518" w:name="_Toc150774637"/>
      <w:bookmarkStart w:id="519" w:name="_Toc226965727"/>
      <w:r>
        <w:rPr>
          <w:rFonts w:ascii="宋体" w:hAnsi="宋体"/>
          <w:color w:val="auto"/>
          <w:sz w:val="24"/>
          <w:highlight w:val="none"/>
        </w:rPr>
        <w:t>投标文件的修改与撤回</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投标截止时间前，投标人可以通过电子交易平台对所提交的投标文件进行补充、修改或者撤回。投标保证金</w:t>
      </w:r>
      <w:r>
        <w:rPr>
          <w:rFonts w:hint="eastAsia" w:ascii="宋体" w:hAnsi="宋体"/>
          <w:color w:val="auto"/>
          <w:sz w:val="24"/>
          <w:highlight w:val="none"/>
        </w:rPr>
        <w:t>的</w:t>
      </w:r>
      <w:r>
        <w:rPr>
          <w:rFonts w:ascii="宋体" w:hAnsi="宋体"/>
          <w:color w:val="auto"/>
          <w:sz w:val="24"/>
          <w:highlight w:val="none"/>
        </w:rPr>
        <w:t>补充、修改或者撤回</w:t>
      </w:r>
      <w:r>
        <w:rPr>
          <w:rFonts w:hint="eastAsia" w:ascii="宋体" w:hAnsi="宋体"/>
          <w:color w:val="auto"/>
          <w:sz w:val="24"/>
          <w:highlight w:val="none"/>
        </w:rPr>
        <w:t>无需</w:t>
      </w:r>
      <w:r>
        <w:rPr>
          <w:rFonts w:ascii="宋体" w:hAnsi="宋体"/>
          <w:color w:val="auto"/>
          <w:sz w:val="24"/>
          <w:highlight w:val="none"/>
        </w:rPr>
        <w:t>通过电子交易平台</w:t>
      </w:r>
      <w:r>
        <w:rPr>
          <w:rFonts w:hint="eastAsia" w:ascii="宋体" w:hAnsi="宋体"/>
          <w:color w:val="auto"/>
          <w:sz w:val="24"/>
          <w:highlight w:val="none"/>
        </w:rPr>
        <w:t>，</w:t>
      </w:r>
      <w:r>
        <w:rPr>
          <w:rFonts w:ascii="宋体" w:hAnsi="宋体"/>
          <w:color w:val="auto"/>
          <w:sz w:val="24"/>
          <w:highlight w:val="none"/>
        </w:rPr>
        <w:t>但应</w:t>
      </w:r>
      <w:r>
        <w:rPr>
          <w:rFonts w:hint="eastAsia" w:ascii="宋体" w:hAnsi="宋体"/>
          <w:color w:val="auto"/>
          <w:sz w:val="24"/>
          <w:highlight w:val="none"/>
        </w:rPr>
        <w:t>就其</w:t>
      </w:r>
      <w:r>
        <w:rPr>
          <w:rFonts w:ascii="宋体" w:hAnsi="宋体"/>
          <w:color w:val="auto"/>
          <w:sz w:val="24"/>
          <w:highlight w:val="none"/>
        </w:rPr>
        <w:t>补充、修改或者撤回</w:t>
      </w:r>
      <w:r>
        <w:rPr>
          <w:rFonts w:hint="eastAsia" w:ascii="宋体" w:hAnsi="宋体"/>
          <w:color w:val="auto"/>
          <w:sz w:val="24"/>
          <w:highlight w:val="none"/>
        </w:rPr>
        <w:t>通知</w:t>
      </w:r>
      <w:r>
        <w:rPr>
          <w:rFonts w:ascii="宋体" w:hAnsi="宋体"/>
          <w:color w:val="auto"/>
          <w:sz w:val="24"/>
          <w:highlight w:val="none"/>
        </w:rPr>
        <w:t>采购人或采购代理机构。</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投标人对投标文件的补充、修改的内容应当按照招标文件要求签署、盖章，作为投标文件的组成部分</w:t>
      </w:r>
      <w:r>
        <w:rPr>
          <w:rFonts w:hint="eastAsia" w:ascii="宋体" w:hAnsi="宋体"/>
          <w:color w:val="auto"/>
          <w:sz w:val="24"/>
          <w:highlight w:val="none"/>
        </w:rPr>
        <w:t>。</w:t>
      </w:r>
    </w:p>
    <w:p>
      <w:pPr>
        <w:spacing w:line="360" w:lineRule="auto"/>
        <w:rPr>
          <w:rFonts w:hint="eastAsia" w:ascii="宋体" w:hAnsi="宋体"/>
          <w:color w:val="auto"/>
          <w:sz w:val="24"/>
          <w:highlight w:val="none"/>
        </w:rPr>
      </w:pPr>
    </w:p>
    <w:p>
      <w:pPr>
        <w:pStyle w:val="3"/>
        <w:spacing w:before="0" w:line="360" w:lineRule="auto"/>
        <w:rPr>
          <w:rFonts w:hint="eastAsia" w:ascii="宋体" w:hAnsi="宋体" w:eastAsia="宋体"/>
          <w:color w:val="auto"/>
          <w:sz w:val="28"/>
          <w:highlight w:val="none"/>
        </w:rPr>
      </w:pPr>
      <w:bookmarkStart w:id="520" w:name="_Toc127151538"/>
      <w:bookmarkStart w:id="521" w:name="_Toc264969228"/>
      <w:bookmarkStart w:id="522" w:name="_Toc150480776"/>
      <w:bookmarkStart w:id="523" w:name="_Toc226965728"/>
      <w:bookmarkStart w:id="524" w:name="_Toc151193926"/>
      <w:bookmarkStart w:id="525" w:name="_Toc226309782"/>
      <w:bookmarkStart w:id="526" w:name="_Toc151190165"/>
      <w:bookmarkStart w:id="527" w:name="_Toc195842903"/>
      <w:bookmarkStart w:id="528" w:name="_Toc150774638"/>
      <w:bookmarkStart w:id="529" w:name="_Toc151193852"/>
      <w:bookmarkStart w:id="530" w:name="_Toc265228376"/>
      <w:bookmarkStart w:id="531" w:name="_Toc305158806"/>
      <w:bookmarkStart w:id="532" w:name="_Toc520356163"/>
      <w:bookmarkStart w:id="533" w:name="_Toc150774743"/>
      <w:bookmarkStart w:id="534" w:name="_Toc151193636"/>
      <w:bookmarkStart w:id="535" w:name="_Toc226337234"/>
      <w:bookmarkStart w:id="536" w:name="_Toc142311040"/>
      <w:bookmarkStart w:id="537" w:name="_Toc305158880"/>
      <w:bookmarkStart w:id="538" w:name="_Toc151193708"/>
      <w:bookmarkStart w:id="539" w:name="_Toc226965811"/>
      <w:bookmarkStart w:id="540" w:name="_Toc150509289"/>
      <w:bookmarkStart w:id="541" w:name="_Toc151193780"/>
      <w:r>
        <w:rPr>
          <w:rFonts w:ascii="宋体" w:hAnsi="宋体" w:eastAsia="宋体"/>
          <w:color w:val="auto"/>
          <w:sz w:val="28"/>
          <w:highlight w:val="none"/>
        </w:rPr>
        <w:t>五   开标、资格审查及评标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542" w:name="_Toc520356165"/>
      <w:r>
        <w:rPr>
          <w:rFonts w:ascii="宋体" w:hAnsi="宋体"/>
          <w:color w:val="auto"/>
          <w:sz w:val="24"/>
          <w:highlight w:val="none"/>
        </w:rPr>
        <w:t>开标</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采购人或采购代理机构将按招标文件的规定，在投标截止时间的同一时间和招标文件预先确定的地点组织开标。</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本项目开标使用电子交易平台。</w:t>
      </w:r>
      <w:r>
        <w:rPr>
          <w:rFonts w:hint="eastAsia" w:ascii="宋体" w:hAnsi="宋体"/>
          <w:b/>
          <w:bCs/>
          <w:color w:val="auto"/>
          <w:sz w:val="24"/>
          <w:highlight w:val="none"/>
        </w:rPr>
        <w:t>投标人应自行在招标文件规定的开标时间登录北京市政府采购电子交易平台，并在收到系统解密指令后在规定的解密时间（至少30分钟）内对投标文件进行解密。开标过程中出现系统故障等政府采购电子交易平台技术问题投标人应及时联系电子交易平台技术人员解决，并在系统中向采购代理机构报告问题，任何因非系统原因导致的解密失败，视为投标无效。（投标人应对本单位开标环节的顺利开展负责，任何投标人自身原因导致的未在规定时间内解密成功由投标人自行承担后果）。</w:t>
      </w:r>
    </w:p>
    <w:p>
      <w:pPr>
        <w:numPr>
          <w:ilvl w:val="1"/>
          <w:numId w:val="12"/>
        </w:numPr>
        <w:tabs>
          <w:tab w:val="left" w:pos="1080"/>
          <w:tab w:val="left" w:pos="1589"/>
          <w:tab w:val="left" w:pos="2014"/>
        </w:tabs>
        <w:snapToGrid w:val="0"/>
        <w:spacing w:line="360" w:lineRule="auto"/>
        <w:ind w:left="1077" w:hanging="720"/>
        <w:rPr>
          <w:rFonts w:hint="eastAsia" w:ascii="宋体" w:hAnsi="宋体"/>
          <w:b/>
          <w:bCs/>
          <w:color w:val="auto"/>
          <w:sz w:val="24"/>
          <w:highlight w:val="none"/>
        </w:rPr>
      </w:pPr>
      <w:r>
        <w:rPr>
          <w:rFonts w:ascii="宋体" w:hAnsi="宋体"/>
          <w:color w:val="auto"/>
          <w:sz w:val="24"/>
          <w:highlight w:val="none"/>
        </w:rPr>
        <w:t>开标过程将使用电子交易平台宣布投标人名称、投标价格和招标文件规定的需要宣布的其他内容并进行记录，并由参加开标的各投标人代表确认。</w:t>
      </w:r>
      <w:r>
        <w:rPr>
          <w:rFonts w:ascii="宋体" w:hAnsi="宋体"/>
          <w:b/>
          <w:bCs/>
          <w:color w:val="auto"/>
          <w:sz w:val="24"/>
          <w:highlight w:val="none"/>
        </w:rPr>
        <w:t>投标人未在规定时间内提出疑义或确认一览表的</w:t>
      </w:r>
      <w:r>
        <w:rPr>
          <w:rFonts w:hint="eastAsia" w:ascii="宋体" w:hAnsi="宋体"/>
          <w:b/>
          <w:bCs/>
          <w:color w:val="auto"/>
          <w:sz w:val="24"/>
          <w:highlight w:val="none"/>
        </w:rPr>
        <w:t>，</w:t>
      </w:r>
      <w:r>
        <w:rPr>
          <w:rFonts w:ascii="宋体" w:hAnsi="宋体"/>
          <w:b/>
          <w:bCs/>
          <w:color w:val="auto"/>
          <w:sz w:val="24"/>
          <w:highlight w:val="none"/>
        </w:rPr>
        <w:t>视同认可开标结果</w:t>
      </w:r>
      <w:r>
        <w:rPr>
          <w:rFonts w:hint="eastAsia" w:ascii="宋体" w:hAnsi="宋体"/>
          <w:b/>
          <w:bCs/>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r>
        <w:rPr>
          <w:rFonts w:hint="eastAsia" w:ascii="宋体" w:hAnsi="宋体"/>
          <w:b/>
          <w:color w:val="auto"/>
          <w:sz w:val="24"/>
          <w:highlight w:val="none"/>
        </w:rPr>
        <w:t>在收到系统的确认开标结果的指令后，在规定时间内未提出异议或未确认的，均视为默认开标结果无误无异议。</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投标人不足3家的，不予开标。</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资格审查</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见第三章《资格审查》。</w:t>
      </w:r>
    </w:p>
    <w:bookmarkEnd w:id="542"/>
    <w:p>
      <w:pPr>
        <w:numPr>
          <w:ilvl w:val="0"/>
          <w:numId w:val="15"/>
        </w:numPr>
        <w:tabs>
          <w:tab w:val="left" w:pos="360"/>
        </w:tabs>
        <w:snapToGrid w:val="0"/>
        <w:spacing w:line="360" w:lineRule="auto"/>
        <w:outlineLvl w:val="1"/>
        <w:rPr>
          <w:rFonts w:hint="eastAsia" w:ascii="宋体" w:hAnsi="宋体"/>
          <w:color w:val="auto"/>
          <w:sz w:val="24"/>
          <w:highlight w:val="none"/>
        </w:rPr>
      </w:pPr>
      <w:bookmarkStart w:id="543" w:name="_Toc151193710"/>
      <w:bookmarkStart w:id="544" w:name="_Toc127151741"/>
      <w:bookmarkStart w:id="545" w:name="_Toc127161454"/>
      <w:bookmarkStart w:id="546" w:name="_Toc150480778"/>
      <w:bookmarkStart w:id="547" w:name="_Toc149720833"/>
      <w:bookmarkStart w:id="548" w:name="_Toc150509291"/>
      <w:bookmarkStart w:id="549" w:name="_Toc264969230"/>
      <w:bookmarkStart w:id="550" w:name="_Toc164351634"/>
      <w:bookmarkStart w:id="551" w:name="_Toc151190167"/>
      <w:bookmarkStart w:id="552" w:name="_Toc195842905"/>
      <w:bookmarkStart w:id="553" w:name="_Toc305158808"/>
      <w:bookmarkStart w:id="554" w:name="_Toc226309784"/>
      <w:bookmarkStart w:id="555" w:name="_Toc265228378"/>
      <w:bookmarkStart w:id="556" w:name="_Toc226965813"/>
      <w:bookmarkStart w:id="557" w:name="_Toc142311042"/>
      <w:bookmarkStart w:id="558" w:name="_Toc164229381"/>
      <w:bookmarkStart w:id="559" w:name="_Toc305158882"/>
      <w:bookmarkStart w:id="560" w:name="_Toc150774745"/>
      <w:bookmarkStart w:id="561" w:name="_Toc151193638"/>
      <w:bookmarkStart w:id="562" w:name="_Toc226965730"/>
      <w:bookmarkStart w:id="563" w:name="_Toc151193928"/>
      <w:bookmarkStart w:id="564" w:name="_Toc164608654"/>
      <w:bookmarkStart w:id="565" w:name="_Toc164608809"/>
      <w:bookmarkStart w:id="566" w:name="_Toc151193854"/>
      <w:bookmarkStart w:id="567" w:name="_Toc226337236"/>
      <w:bookmarkStart w:id="568" w:name="_Toc127151540"/>
      <w:bookmarkStart w:id="569" w:name="_Toc151193782"/>
      <w:bookmarkStart w:id="570" w:name="_Toc164229235"/>
      <w:bookmarkStart w:id="571" w:name="_Toc150774640"/>
      <w:r>
        <w:rPr>
          <w:rFonts w:ascii="宋体" w:hAnsi="宋体"/>
          <w:color w:val="auto"/>
          <w:sz w:val="24"/>
          <w:highlight w:val="none"/>
        </w:rPr>
        <w:t>评标委员会</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评标委员会根据政府采购有关规定和本次招标采购项目的特点进行组建，并负责具体评标事务，独立履行职责。</w:t>
      </w:r>
      <w:bookmarkStart w:id="572" w:name="_Toc520356166"/>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72"/>
      <w:bookmarkStart w:id="573" w:name="_Toc520356169"/>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评标方法和评标标准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见第四章《评标方法和评标标准》。</w:t>
      </w:r>
    </w:p>
    <w:p>
      <w:pPr>
        <w:pStyle w:val="3"/>
        <w:spacing w:before="0" w:line="360" w:lineRule="auto"/>
        <w:rPr>
          <w:rFonts w:hint="eastAsia" w:ascii="宋体" w:hAnsi="宋体" w:eastAsia="宋体"/>
          <w:color w:val="auto"/>
          <w:sz w:val="28"/>
          <w:highlight w:val="none"/>
        </w:rPr>
      </w:pPr>
      <w:bookmarkStart w:id="574" w:name="_Toc150509296"/>
      <w:bookmarkStart w:id="575" w:name="_Toc226965735"/>
      <w:bookmarkStart w:id="576" w:name="_Toc151193787"/>
      <w:bookmarkStart w:id="577" w:name="_Toc127151545"/>
      <w:bookmarkStart w:id="578" w:name="_Toc264969235"/>
      <w:bookmarkStart w:id="579" w:name="_Toc142311047"/>
      <w:bookmarkStart w:id="580" w:name="_Toc150774645"/>
      <w:bookmarkStart w:id="581" w:name="_Toc265228383"/>
      <w:bookmarkStart w:id="582" w:name="_Toc150774750"/>
      <w:bookmarkStart w:id="583" w:name="_Toc305158813"/>
      <w:bookmarkStart w:id="584" w:name="_Toc150480783"/>
      <w:bookmarkStart w:id="585" w:name="_Toc151193643"/>
      <w:bookmarkStart w:id="586" w:name="_Toc151193933"/>
      <w:bookmarkStart w:id="587" w:name="_Toc151193859"/>
      <w:bookmarkStart w:id="588" w:name="_Toc226309789"/>
      <w:bookmarkStart w:id="589" w:name="_Toc151193715"/>
      <w:bookmarkStart w:id="590" w:name="_Toc226965818"/>
      <w:bookmarkStart w:id="591" w:name="_Toc305158887"/>
      <w:bookmarkStart w:id="592" w:name="_Toc151190172"/>
      <w:bookmarkStart w:id="593" w:name="_Toc195842910"/>
      <w:bookmarkStart w:id="594" w:name="_Toc226337241"/>
      <w:r>
        <w:rPr>
          <w:rFonts w:ascii="宋体" w:hAnsi="宋体" w:eastAsia="宋体"/>
          <w:color w:val="auto"/>
          <w:sz w:val="28"/>
          <w:highlight w:val="none"/>
        </w:rPr>
        <w:t xml:space="preserve">六   </w:t>
      </w:r>
      <w:bookmarkEnd w:id="573"/>
      <w:r>
        <w:rPr>
          <w:rFonts w:ascii="宋体" w:hAnsi="宋体" w:eastAsia="宋体"/>
          <w:color w:val="auto"/>
          <w:sz w:val="28"/>
          <w:highlight w:val="none"/>
        </w:rPr>
        <w:t>确定中标</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Start w:id="595" w:name="_Toc305158889"/>
      <w:bookmarkStart w:id="596" w:name="_Toc149720840"/>
      <w:bookmarkStart w:id="597" w:name="_Toc226965820"/>
      <w:bookmarkStart w:id="598" w:name="_Toc127161461"/>
      <w:bookmarkStart w:id="599" w:name="_Toc151193935"/>
      <w:bookmarkStart w:id="600" w:name="_Toc164608816"/>
      <w:bookmarkStart w:id="601" w:name="_Toc226965737"/>
      <w:bookmarkStart w:id="602" w:name="_Toc151190174"/>
      <w:bookmarkStart w:id="603" w:name="_Toc164351641"/>
      <w:bookmarkStart w:id="604" w:name="_Toc164229242"/>
      <w:bookmarkStart w:id="605" w:name="_Toc150509298"/>
      <w:bookmarkStart w:id="606" w:name="_Toc151193861"/>
      <w:bookmarkStart w:id="607" w:name="_Toc305158815"/>
      <w:bookmarkStart w:id="608" w:name="_Toc142311049"/>
      <w:bookmarkStart w:id="609" w:name="_Toc264969237"/>
      <w:bookmarkStart w:id="610" w:name="_Toc151193789"/>
      <w:bookmarkStart w:id="611" w:name="_Toc127151748"/>
      <w:bookmarkStart w:id="612" w:name="_Toc127151547"/>
      <w:bookmarkStart w:id="613" w:name="_Toc226337243"/>
      <w:bookmarkStart w:id="614" w:name="_Toc150774647"/>
      <w:bookmarkStart w:id="615" w:name="_Toc265228385"/>
      <w:bookmarkStart w:id="616" w:name="_Toc195842912"/>
      <w:bookmarkStart w:id="617" w:name="_Toc164229388"/>
      <w:bookmarkStart w:id="618" w:name="_Toc164608661"/>
      <w:bookmarkStart w:id="619" w:name="_Toc150480785"/>
      <w:bookmarkStart w:id="620" w:name="_Toc226309791"/>
      <w:bookmarkStart w:id="621" w:name="_Toc151193717"/>
      <w:bookmarkStart w:id="622" w:name="_Toc151193645"/>
      <w:bookmarkStart w:id="623" w:name="_Toc150774752"/>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确定中标人</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ascii="宋体" w:hAnsi="宋体"/>
          <w:color w:val="auto"/>
          <w:sz w:val="24"/>
          <w:highlight w:val="none"/>
        </w:rPr>
        <w:t>。</w:t>
      </w:r>
      <w:r>
        <w:rPr>
          <w:rFonts w:ascii="宋体" w:hAnsi="宋体"/>
          <w:color w:val="auto"/>
          <w:sz w:val="24"/>
          <w:highlight w:val="none"/>
        </w:rPr>
        <w:t>采购人是否委托评标委员会直接确定</w:t>
      </w:r>
      <w:r>
        <w:rPr>
          <w:rFonts w:hint="eastAsia" w:ascii="宋体" w:hAnsi="宋体"/>
          <w:color w:val="auto"/>
          <w:sz w:val="24"/>
          <w:highlight w:val="none"/>
        </w:rPr>
        <w:t>中标人</w:t>
      </w:r>
      <w:r>
        <w:rPr>
          <w:rFonts w:ascii="宋体" w:hAnsi="宋体"/>
          <w:color w:val="auto"/>
          <w:sz w:val="24"/>
          <w:highlight w:val="none"/>
        </w:rPr>
        <w:t>，见《</w:t>
      </w:r>
      <w:r>
        <w:rPr>
          <w:rFonts w:hint="eastAsia" w:ascii="宋体" w:hAnsi="宋体"/>
          <w:color w:val="auto"/>
          <w:sz w:val="24"/>
          <w:highlight w:val="none"/>
        </w:rPr>
        <w:t>投标人</w:t>
      </w:r>
      <w:r>
        <w:rPr>
          <w:rFonts w:ascii="宋体" w:hAnsi="宋体"/>
          <w:color w:val="auto"/>
          <w:sz w:val="24"/>
          <w:highlight w:val="none"/>
        </w:rPr>
        <w:t>须知资料表》。</w:t>
      </w:r>
      <w:r>
        <w:rPr>
          <w:rFonts w:hint="eastAsia" w:ascii="宋体" w:hAnsi="宋体"/>
          <w:color w:val="auto"/>
          <w:sz w:val="24"/>
          <w:highlight w:val="none"/>
        </w:rPr>
        <w:t>中标</w:t>
      </w:r>
      <w:r>
        <w:rPr>
          <w:rFonts w:ascii="宋体" w:hAnsi="宋体"/>
          <w:color w:val="auto"/>
          <w:sz w:val="24"/>
          <w:highlight w:val="none"/>
        </w:rPr>
        <w:t>候选人并列的，按照《</w:t>
      </w:r>
      <w:r>
        <w:rPr>
          <w:rFonts w:hint="eastAsia" w:ascii="宋体" w:hAnsi="宋体"/>
          <w:color w:val="auto"/>
          <w:sz w:val="24"/>
          <w:highlight w:val="none"/>
        </w:rPr>
        <w:t>投标人</w:t>
      </w:r>
      <w:r>
        <w:rPr>
          <w:rFonts w:ascii="宋体" w:hAnsi="宋体"/>
          <w:color w:val="auto"/>
          <w:sz w:val="24"/>
          <w:highlight w:val="none"/>
        </w:rPr>
        <w:t>须知资料表》要求确定成交投标人。</w:t>
      </w:r>
    </w:p>
    <w:p>
      <w:pPr>
        <w:numPr>
          <w:ilvl w:val="0"/>
          <w:numId w:val="15"/>
        </w:numPr>
        <w:tabs>
          <w:tab w:val="left" w:pos="360"/>
          <w:tab w:val="left" w:pos="900"/>
        </w:tabs>
        <w:snapToGrid w:val="0"/>
        <w:spacing w:line="360" w:lineRule="auto"/>
        <w:ind w:left="357" w:hanging="357"/>
        <w:outlineLvl w:val="1"/>
        <w:rPr>
          <w:rFonts w:hint="eastAsia" w:ascii="宋体" w:hAnsi="宋体"/>
          <w:color w:val="auto"/>
          <w:sz w:val="24"/>
          <w:highlight w:val="none"/>
        </w:rPr>
      </w:pPr>
      <w:bookmarkStart w:id="624" w:name="_Toc305158891"/>
      <w:bookmarkStart w:id="625" w:name="_Toc305158817"/>
      <w:bookmarkStart w:id="626" w:name="_Toc151193647"/>
      <w:bookmarkStart w:id="627" w:name="_Toc164229390"/>
      <w:bookmarkStart w:id="628" w:name="_Toc151193863"/>
      <w:bookmarkStart w:id="629" w:name="_Toc150774649"/>
      <w:bookmarkStart w:id="630" w:name="_Toc150509300"/>
      <w:bookmarkStart w:id="631" w:name="_Toc151193937"/>
      <w:bookmarkStart w:id="632" w:name="_Toc265228387"/>
      <w:bookmarkStart w:id="633" w:name="_Toc127151549"/>
      <w:bookmarkStart w:id="634" w:name="_Toc149720842"/>
      <w:bookmarkStart w:id="635" w:name="_Toc264969239"/>
      <w:bookmarkStart w:id="636" w:name="_Toc226309793"/>
      <w:bookmarkStart w:id="637" w:name="_Toc151193719"/>
      <w:bookmarkStart w:id="638" w:name="_Toc142311051"/>
      <w:bookmarkStart w:id="639" w:name="_Toc226965822"/>
      <w:bookmarkStart w:id="640" w:name="_Toc150774754"/>
      <w:bookmarkStart w:id="641" w:name="_Toc164351643"/>
      <w:bookmarkStart w:id="642" w:name="_Toc151190176"/>
      <w:bookmarkStart w:id="643" w:name="_Toc127161463"/>
      <w:bookmarkStart w:id="644" w:name="_Toc127151750"/>
      <w:bookmarkStart w:id="645" w:name="_Toc226337245"/>
      <w:bookmarkStart w:id="646" w:name="_Toc195842914"/>
      <w:bookmarkStart w:id="647" w:name="_Toc150480787"/>
      <w:bookmarkStart w:id="648" w:name="_Toc164229244"/>
      <w:bookmarkStart w:id="649" w:name="_Toc151193791"/>
      <w:bookmarkStart w:id="650" w:name="_Toc164608818"/>
      <w:bookmarkStart w:id="651" w:name="_Toc226965739"/>
      <w:bookmarkStart w:id="652" w:name="_Toc164608663"/>
      <w:bookmarkStart w:id="653" w:name="_Toc520356176"/>
      <w:bookmarkStart w:id="654" w:name="_Ref467306425"/>
      <w:bookmarkStart w:id="655" w:name="_Ref467307090"/>
      <w:r>
        <w:rPr>
          <w:rFonts w:ascii="宋体" w:hAnsi="宋体"/>
          <w:color w:val="auto"/>
          <w:sz w:val="24"/>
          <w:highlight w:val="none"/>
        </w:rPr>
        <w:t>中标公告与中标通知书</w:t>
      </w:r>
      <w:bookmarkEnd w:id="624"/>
      <w:bookmarkEnd w:id="625"/>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采购人或采购代理机构自中标人确定之日起2个工作日内，在北京市政府采</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ascii="宋体" w:hAnsi="宋体"/>
          <w:color w:val="auto"/>
          <w:sz w:val="24"/>
          <w:highlight w:val="none"/>
        </w:rPr>
        <w:t>购网公告中标结果，同时向中标人发出中标通知书，中标公告期限为1个工作日。</w:t>
      </w:r>
      <w:r>
        <w:rPr>
          <w:rFonts w:hint="eastAsia" w:ascii="宋体" w:hAnsi="宋体"/>
          <w:color w:val="auto"/>
          <w:sz w:val="24"/>
          <w:highlight w:val="none"/>
        </w:rPr>
        <w:t>项目采购采用最低评标（审）价法的，公告中标</w:t>
      </w:r>
      <w:bookmarkStart w:id="656" w:name="_Hlk168433873"/>
      <w:r>
        <w:rPr>
          <w:rFonts w:hint="eastAsia" w:ascii="宋体" w:hAnsi="宋体"/>
          <w:color w:val="auto"/>
          <w:sz w:val="24"/>
          <w:highlight w:val="none"/>
        </w:rPr>
        <w:t>、成交</w:t>
      </w:r>
      <w:bookmarkEnd w:id="656"/>
      <w:r>
        <w:rPr>
          <w:rFonts w:hint="eastAsia" w:ascii="宋体" w:hAnsi="宋体"/>
          <w:color w:val="auto"/>
          <w:sz w:val="24"/>
          <w:highlight w:val="none"/>
        </w:rPr>
        <w:t>结果时应当同时公告因落实政府采购政策等原因进行价格扣除后中标、成交投标人的评审报</w:t>
      </w:r>
      <w:r>
        <w:rPr>
          <w:rFonts w:ascii="宋体" w:hAnsi="宋体"/>
          <w:color w:val="auto"/>
          <w:sz w:val="24"/>
          <w:highlight w:val="none"/>
        </w:rPr>
        <w:t>价；项目采购采用综合评分法的，公告中标、成交结果时应当同时公告中标、成交投标人的评审总得分。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中标通知书对采购人和中标投标人均具有法律效力。中标通知书发出后，采购人改变中标结果的，或者中标投标人放弃中标项目的，应当依法承担法律责任。</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废标</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在招标采购中，出现下列情形之一的，应予废标：</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24.1.1</w:t>
      </w:r>
      <w:r>
        <w:rPr>
          <w:rFonts w:ascii="宋体" w:hAnsi="宋体"/>
          <w:color w:val="auto"/>
          <w:sz w:val="24"/>
          <w:highlight w:val="none"/>
        </w:rPr>
        <w:t>符合专业条件的投标人或者对招标文件作实质响应的投标人不足三家的；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24.1.2</w:t>
      </w:r>
      <w:r>
        <w:rPr>
          <w:rFonts w:ascii="宋体" w:hAnsi="宋体"/>
          <w:color w:val="auto"/>
          <w:sz w:val="24"/>
          <w:highlight w:val="none"/>
        </w:rPr>
        <w:t>出现影响采购公正的违法、违规行为的；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24.1.3</w:t>
      </w:r>
      <w:r>
        <w:rPr>
          <w:rFonts w:ascii="宋体" w:hAnsi="宋体"/>
          <w:color w:val="auto"/>
          <w:sz w:val="24"/>
          <w:highlight w:val="none"/>
        </w:rPr>
        <w:t>投标人的报价均超过了采购预算，采购人不能支付的；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24.1.4</w:t>
      </w:r>
      <w:r>
        <w:rPr>
          <w:rFonts w:ascii="宋体" w:hAnsi="宋体"/>
          <w:color w:val="auto"/>
          <w:sz w:val="24"/>
          <w:highlight w:val="none"/>
        </w:rPr>
        <w:t>因重大变故，采购任务取消的。</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废标后，采购人将废标理由通知所有投标人。</w:t>
      </w:r>
    </w:p>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Pr>
        <w:numPr>
          <w:ilvl w:val="0"/>
          <w:numId w:val="15"/>
        </w:numPr>
        <w:tabs>
          <w:tab w:val="left" w:pos="360"/>
        </w:tabs>
        <w:snapToGrid w:val="0"/>
        <w:spacing w:line="360" w:lineRule="auto"/>
        <w:outlineLvl w:val="1"/>
        <w:rPr>
          <w:rFonts w:hint="eastAsia" w:ascii="宋体" w:hAnsi="宋体"/>
          <w:color w:val="auto"/>
          <w:sz w:val="24"/>
          <w:highlight w:val="none"/>
        </w:rPr>
      </w:pPr>
      <w:bookmarkStart w:id="657" w:name="_Toc164229245"/>
      <w:bookmarkStart w:id="658" w:name="_Toc226309794"/>
      <w:bookmarkStart w:id="659" w:name="_Toc150509301"/>
      <w:bookmarkStart w:id="660" w:name="_Toc151193938"/>
      <w:bookmarkStart w:id="661" w:name="_Toc150480788"/>
      <w:bookmarkStart w:id="662" w:name="_Toc305158892"/>
      <w:bookmarkStart w:id="663" w:name="_Toc226965740"/>
      <w:bookmarkStart w:id="664" w:name="_Ref467307062"/>
      <w:bookmarkStart w:id="665" w:name="_Toc142311052"/>
      <w:bookmarkStart w:id="666" w:name="_Ref467306377"/>
      <w:bookmarkStart w:id="667" w:name="_Toc164229391"/>
      <w:bookmarkStart w:id="668" w:name="_Toc265228388"/>
      <w:bookmarkStart w:id="669" w:name="_Toc150774755"/>
      <w:bookmarkStart w:id="670" w:name="_Toc195842915"/>
      <w:bookmarkStart w:id="671" w:name="_Toc151193792"/>
      <w:bookmarkStart w:id="672" w:name="_Toc305158818"/>
      <w:bookmarkStart w:id="673" w:name="_Toc150774650"/>
      <w:bookmarkStart w:id="674" w:name="_Ref467306978"/>
      <w:bookmarkStart w:id="675" w:name="_Toc127151550"/>
      <w:bookmarkStart w:id="676" w:name="_Toc226337246"/>
      <w:bookmarkStart w:id="677" w:name="_Toc127161464"/>
      <w:bookmarkStart w:id="678" w:name="_Toc127151751"/>
      <w:bookmarkStart w:id="679" w:name="_Toc226965823"/>
      <w:bookmarkStart w:id="680" w:name="_Toc164351644"/>
      <w:bookmarkStart w:id="681" w:name="_Toc151193720"/>
      <w:bookmarkStart w:id="682" w:name="_Toc164608819"/>
      <w:bookmarkStart w:id="683" w:name="_Toc151193864"/>
      <w:bookmarkStart w:id="684" w:name="_Toc164608664"/>
      <w:bookmarkStart w:id="685" w:name="_Ref467307204"/>
      <w:bookmarkStart w:id="686" w:name="_Toc151193648"/>
      <w:bookmarkStart w:id="687" w:name="_Toc520356175"/>
      <w:bookmarkStart w:id="688" w:name="_Toc151190177"/>
      <w:bookmarkStart w:id="689" w:name="_Toc264969240"/>
      <w:bookmarkStart w:id="690" w:name="_Toc149720843"/>
      <w:r>
        <w:rPr>
          <w:rFonts w:ascii="宋体" w:hAnsi="宋体"/>
          <w:color w:val="auto"/>
          <w:sz w:val="24"/>
          <w:highlight w:val="none"/>
        </w:rPr>
        <w:t>签订合同</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中标人</w:t>
      </w:r>
      <w:r>
        <w:rPr>
          <w:rFonts w:hint="eastAsia" w:ascii="宋体" w:hAnsi="宋体"/>
          <w:color w:val="auto"/>
          <w:sz w:val="24"/>
          <w:highlight w:val="none"/>
        </w:rPr>
        <w:t>拒绝</w:t>
      </w:r>
      <w:r>
        <w:rPr>
          <w:rFonts w:ascii="宋体" w:hAnsi="宋体"/>
          <w:color w:val="auto"/>
          <w:sz w:val="24"/>
          <w:highlight w:val="none"/>
        </w:rPr>
        <w:t>与采购人签订合同的，采购人</w:t>
      </w:r>
      <w:r>
        <w:rPr>
          <w:rFonts w:hint="eastAsia" w:ascii="宋体" w:hAnsi="宋体"/>
          <w:color w:val="auto"/>
          <w:sz w:val="24"/>
          <w:highlight w:val="none"/>
        </w:rPr>
        <w:t>可以</w:t>
      </w:r>
      <w:r>
        <w:rPr>
          <w:rFonts w:ascii="宋体" w:hAnsi="宋体"/>
          <w:color w:val="auto"/>
          <w:sz w:val="24"/>
          <w:highlight w:val="none"/>
        </w:rPr>
        <w:t>按照评</w:t>
      </w:r>
      <w:r>
        <w:rPr>
          <w:rFonts w:hint="eastAsia" w:ascii="宋体" w:hAnsi="宋体"/>
          <w:color w:val="auto"/>
          <w:sz w:val="24"/>
          <w:highlight w:val="none"/>
        </w:rPr>
        <w:t>标</w:t>
      </w:r>
      <w:r>
        <w:rPr>
          <w:rFonts w:ascii="宋体" w:hAnsi="宋体"/>
          <w:color w:val="auto"/>
          <w:sz w:val="24"/>
          <w:highlight w:val="none"/>
        </w:rPr>
        <w:t>报告推荐的中标候选人名单排序，确定下一候选人为中标人，</w:t>
      </w:r>
      <w:r>
        <w:rPr>
          <w:rFonts w:hint="eastAsia" w:ascii="宋体" w:hAnsi="宋体"/>
          <w:color w:val="auto"/>
          <w:sz w:val="24"/>
          <w:highlight w:val="none"/>
        </w:rPr>
        <w:t>也可以</w:t>
      </w:r>
      <w:r>
        <w:rPr>
          <w:rFonts w:ascii="宋体" w:hAnsi="宋体"/>
          <w:color w:val="auto"/>
          <w:sz w:val="24"/>
          <w:highlight w:val="none"/>
        </w:rPr>
        <w:t>重新开展政府采购活动。</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联合体中标的，联合体各方应当共同与采购人签订合同，就中标项目向采购人承担连带责任。</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政府采购合同不能转包。</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color w:val="auto"/>
          <w:sz w:val="24"/>
          <w:highlight w:val="none"/>
        </w:rPr>
        <w:t>，</w:t>
      </w:r>
      <w:r>
        <w:rPr>
          <w:rFonts w:ascii="宋体" w:hAnsi="宋体"/>
          <w:color w:val="auto"/>
          <w:sz w:val="24"/>
          <w:highlight w:val="none"/>
        </w:rPr>
        <w:t>否则</w:t>
      </w:r>
      <w:r>
        <w:rPr>
          <w:rFonts w:ascii="宋体" w:hAnsi="宋体"/>
          <w:b/>
          <w:color w:val="auto"/>
          <w:sz w:val="24"/>
          <w:highlight w:val="none"/>
        </w:rPr>
        <w:t>投标无效</w:t>
      </w:r>
      <w:r>
        <w:rPr>
          <w:rFonts w:ascii="宋体" w:hAnsi="宋体"/>
          <w:color w:val="auto"/>
          <w:sz w:val="24"/>
          <w:highlight w:val="none"/>
        </w:rPr>
        <w:t>。中标人就采购项目和分包项目向采购人负责，分包投标人就分包项目承担责任。</w:t>
      </w:r>
    </w:p>
    <w:p>
      <w:pPr>
        <w:pStyle w:val="288"/>
        <w:numPr>
          <w:ilvl w:val="1"/>
          <w:numId w:val="15"/>
        </w:numPr>
        <w:ind w:firstLineChars="0"/>
        <w:rPr>
          <w:rFonts w:hint="eastAsia" w:ascii="宋体" w:hAnsi="宋体"/>
          <w:color w:val="auto"/>
          <w:sz w:val="24"/>
          <w:highlight w:val="none"/>
        </w:rPr>
      </w:pPr>
      <w:r>
        <w:rPr>
          <w:rFonts w:hint="eastAsia" w:ascii="宋体" w:hAnsi="宋体"/>
          <w:color w:val="auto"/>
          <w:sz w:val="24"/>
          <w:highlight w:val="none"/>
        </w:rPr>
        <w:t>“政采贷”融资指引：详见《投标人须知资料表》。</w:t>
      </w:r>
    </w:p>
    <w:bookmarkEnd w:id="653"/>
    <w:bookmarkEnd w:id="654"/>
    <w:bookmarkEnd w:id="655"/>
    <w:p>
      <w:pPr>
        <w:numPr>
          <w:ilvl w:val="0"/>
          <w:numId w:val="15"/>
        </w:numPr>
        <w:tabs>
          <w:tab w:val="left" w:pos="360"/>
          <w:tab w:val="left" w:pos="90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询问与质疑</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询问</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26.1.1</w:t>
      </w:r>
      <w:r>
        <w:rPr>
          <w:rFonts w:hint="eastAsia" w:ascii="宋体" w:hAnsi="宋体"/>
          <w:color w:val="auto"/>
          <w:sz w:val="24"/>
          <w:highlight w:val="none"/>
        </w:rPr>
        <w:t>投标人对政府采购活动事项有疑问的，可依法向采购人或采购代理</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机构提出询问，提出形式见《投标人须知资料表》</w:t>
      </w:r>
      <w:r>
        <w:rPr>
          <w:rFonts w:ascii="宋体" w:hAnsi="宋体"/>
          <w:color w:val="auto"/>
          <w:sz w:val="24"/>
          <w:highlight w:val="none"/>
        </w:rPr>
        <w:t>。</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26.1.2</w:t>
      </w:r>
      <w:r>
        <w:rPr>
          <w:rFonts w:hint="eastAsia" w:ascii="宋体" w:hAnsi="宋体"/>
          <w:color w:val="auto"/>
          <w:sz w:val="24"/>
          <w:highlight w:val="none"/>
        </w:rPr>
        <w:t>采购人或采购代理机构对投标人依法提出的询问，在3个工作日内作</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出答复，但答复的内容不得涉及商业秘密。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质疑</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26.2.1</w:t>
      </w:r>
      <w:r>
        <w:rPr>
          <w:rFonts w:ascii="宋体" w:hAnsi="宋体"/>
          <w:color w:val="auto"/>
          <w:sz w:val="24"/>
          <w:highlight w:val="none"/>
        </w:rPr>
        <w:t>投标人认为招标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26.2.2</w:t>
      </w:r>
      <w:r>
        <w:rPr>
          <w:rFonts w:ascii="宋体" w:hAnsi="宋体"/>
          <w:color w:val="auto"/>
          <w:sz w:val="24"/>
          <w:highlight w:val="none"/>
        </w:rPr>
        <w:t>质疑函须使用财政部制定的范本文件。</w:t>
      </w:r>
      <w:r>
        <w:rPr>
          <w:rFonts w:hint="eastAsia" w:ascii="宋体" w:hAnsi="宋体"/>
          <w:color w:val="auto"/>
          <w:sz w:val="24"/>
          <w:highlight w:val="none"/>
        </w:rPr>
        <w:t>投标人为自然人的，质疑函应当由本人签字； 投标人为法人或者其他组织的，质疑函应当由法定代表人、主要负责人，或者其授权代表签字或者盖章，并加盖公章。</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26.2.3</w:t>
      </w:r>
      <w:r>
        <w:rPr>
          <w:rFonts w:hint="eastAsia" w:ascii="宋体" w:hAnsi="宋体"/>
          <w:color w:val="auto"/>
          <w:sz w:val="24"/>
          <w:highlight w:val="none"/>
        </w:rPr>
        <w:t>投标人委托代理人进行质疑的，应当随质疑函同时提交投标人签署的授权委托书。授权委托书应当载明代理人的姓名或者名称、代理事项、 具体权限、期限和相关事项。</w:t>
      </w:r>
      <w:r>
        <w:rPr>
          <w:rFonts w:ascii="宋体" w:hAnsi="宋体"/>
          <w:color w:val="auto"/>
          <w:sz w:val="24"/>
          <w:highlight w:val="none"/>
        </w:rPr>
        <w:t>投标人为自然人的，应当由本人签字；投标人为法人或者其他组织的，应当由法定代表人、主要负责人签字或者盖章，并加盖公章。</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26.2.4</w:t>
      </w:r>
      <w:r>
        <w:rPr>
          <w:rFonts w:ascii="宋体" w:hAnsi="宋体"/>
          <w:color w:val="auto"/>
          <w:sz w:val="24"/>
          <w:highlight w:val="none"/>
        </w:rPr>
        <w:t>投标人应在法定质疑期内一次性提出针对同一采购程序环节的质疑，法定质疑期内针对同一采购程序环节再次提出的质疑，采购人、采购代理机构有权不予答复。</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接收询问和质疑的联系部门、联系电话和通讯地址见《投标人须知资料表》</w:t>
      </w:r>
      <w:r>
        <w:rPr>
          <w:rFonts w:hint="eastAsia" w:ascii="宋体" w:hAnsi="宋体"/>
          <w:color w:val="auto"/>
          <w:sz w:val="24"/>
          <w:highlight w:val="none"/>
        </w:rPr>
        <w:t>。</w:t>
      </w:r>
    </w:p>
    <w:p>
      <w:pPr>
        <w:numPr>
          <w:ilvl w:val="0"/>
          <w:numId w:val="15"/>
        </w:numPr>
        <w:tabs>
          <w:tab w:val="left" w:pos="360"/>
          <w:tab w:val="left" w:pos="900"/>
        </w:tabs>
        <w:snapToGrid w:val="0"/>
        <w:spacing w:line="360" w:lineRule="auto"/>
        <w:ind w:left="357" w:hanging="357"/>
        <w:outlineLvl w:val="1"/>
        <w:rPr>
          <w:rFonts w:hint="eastAsia" w:ascii="宋体" w:hAnsi="宋体" w:cs="宋体"/>
          <w:color w:val="auto"/>
          <w:sz w:val="24"/>
          <w:highlight w:val="none"/>
        </w:rPr>
      </w:pPr>
      <w:r>
        <w:rPr>
          <w:rFonts w:hint="eastAsia" w:ascii="宋体" w:hAnsi="宋体" w:cs="宋体"/>
          <w:color w:val="auto"/>
          <w:sz w:val="24"/>
          <w:highlight w:val="none"/>
        </w:rPr>
        <w:t>代理费</w:t>
      </w:r>
    </w:p>
    <w:p>
      <w:pPr>
        <w:tabs>
          <w:tab w:val="left" w:pos="1080"/>
          <w:tab w:val="left" w:pos="1589"/>
          <w:tab w:val="left" w:pos="2014"/>
        </w:tabs>
        <w:snapToGrid w:val="0"/>
        <w:spacing w:line="360" w:lineRule="auto"/>
        <w:ind w:left="142"/>
        <w:rPr>
          <w:rFonts w:hint="eastAsia" w:ascii="宋体" w:hAnsi="宋体" w:cs="宋体"/>
          <w:color w:val="auto"/>
          <w:sz w:val="24"/>
          <w:highlight w:val="none"/>
        </w:rPr>
      </w:pPr>
      <w:bookmarkStart w:id="691" w:name="_Toc353873934"/>
      <w:bookmarkStart w:id="692" w:name="_Toc226337250"/>
      <w:bookmarkStart w:id="693" w:name="_Toc226965827"/>
      <w:bookmarkStart w:id="694" w:name="_Toc150774759"/>
      <w:bookmarkStart w:id="695" w:name="_Toc150480792"/>
      <w:bookmarkStart w:id="696" w:name="_Toc265228392"/>
      <w:bookmarkStart w:id="697" w:name="_Toc353873664"/>
      <w:bookmarkStart w:id="698" w:name="_Toc127151554"/>
      <w:bookmarkStart w:id="699" w:name="_Toc305158822"/>
      <w:bookmarkStart w:id="700" w:name="_Toc305158896"/>
      <w:bookmarkStart w:id="701" w:name="_Toc353825544"/>
      <w:bookmarkStart w:id="702" w:name="_Toc264969244"/>
      <w:bookmarkStart w:id="703" w:name="_Toc142311056"/>
      <w:r>
        <w:rPr>
          <w:rFonts w:hint="eastAsia" w:ascii="宋体" w:hAnsi="宋体" w:cs="宋体"/>
          <w:color w:val="auto"/>
          <w:sz w:val="24"/>
          <w:highlight w:val="none"/>
        </w:rPr>
        <w:t>27.1收费对象、收费标准及缴纳时间见《投标人须知资料表》。由中标人支付的，中标人须一次性向采购代理机构缴纳代理费，投标报价应包含代理费用。</w:t>
      </w:r>
    </w:p>
    <w:p>
      <w:pPr>
        <w:spacing w:line="360" w:lineRule="auto"/>
        <w:ind w:firstLine="240" w:firstLineChars="100"/>
        <w:rPr>
          <w:rFonts w:hint="eastAsia" w:ascii="宋体" w:hAnsi="宋体" w:cs="宋体"/>
          <w:b/>
          <w:bCs/>
          <w:color w:val="auto"/>
          <w:sz w:val="24"/>
          <w:highlight w:val="none"/>
        </w:rPr>
      </w:pPr>
      <w:r>
        <w:rPr>
          <w:rFonts w:hint="eastAsia" w:ascii="宋体" w:hAnsi="宋体" w:cs="宋体"/>
          <w:color w:val="auto"/>
          <w:sz w:val="24"/>
          <w:highlight w:val="none"/>
        </w:rPr>
        <w:t>27.2</w:t>
      </w:r>
      <w:r>
        <w:rPr>
          <w:rFonts w:hint="eastAsia" w:ascii="宋体" w:hAnsi="宋体" w:cs="宋体"/>
          <w:b/>
          <w:bCs/>
          <w:color w:val="auto"/>
          <w:sz w:val="24"/>
          <w:highlight w:val="none"/>
        </w:rPr>
        <w:t>收费标准执行附表标准：</w:t>
      </w:r>
    </w:p>
    <w:tbl>
      <w:tblPr>
        <w:tblStyle w:val="47"/>
        <w:tblW w:w="8027"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8"/>
        <w:gridCol w:w="1560"/>
        <w:gridCol w:w="1698"/>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trPr>
        <w:tc>
          <w:tcPr>
            <w:tcW w:w="2968" w:type="dxa"/>
          </w:tcPr>
          <w:p>
            <w:pPr>
              <w:rPr>
                <w:rFonts w:hint="eastAsia" w:ascii="宋体" w:hAnsi="宋体" w:cs="宋体"/>
                <w:color w:val="auto"/>
                <w:szCs w:val="21"/>
                <w:highlight w:val="none"/>
              </w:rPr>
            </w:pPr>
            <w:r>
              <w:rPr>
                <w:rFonts w:ascii="宋体" w:hAnsi="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-6350</wp:posOffset>
                      </wp:positionV>
                      <wp:extent cx="1828800" cy="368300"/>
                      <wp:effectExtent l="0" t="0" r="19050" b="31750"/>
                      <wp:wrapNone/>
                      <wp:docPr id="1100286580"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828800" cy="36830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5.4pt;margin-top:-0.5pt;height:29pt;width:144pt;z-index:251659264;mso-width-relative:page;mso-height-relative:page;" filled="f" stroked="t" coordsize="21600,21600" o:gfxdata="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kj/x/XAAAACQEAAA8AAAAAAAAAAQAgAAAA&#10;IgAAAGRycy9kb3ducmV2LnhtbFBLAQIUABQAAAAIAIdO4kDuNt1f0wEAAGoDAAAOAAAAAAAAAAEA&#10;IAAAACYBAABkcnMvZTJvRG9jLnhtbFBLBQYAAAAABgAGAFkBAABrBQAAAAA=&#10;">
                      <v:fill on="f" focussize="0,0"/>
                      <v:stroke color="#000000" joinstyle="round"/>
                      <v:imagedata o:title=""/>
                      <o:lock v:ext="edit" aspectratio="f"/>
                    </v:line>
                  </w:pict>
                </mc:Fallback>
              </mc:AlternateContent>
            </w:r>
            <w:r>
              <w:rPr>
                <w:rFonts w:hint="eastAsia" w:ascii="宋体" w:hAnsi="宋体" w:cs="宋体"/>
                <w:color w:val="auto"/>
                <w:szCs w:val="21"/>
                <w:highlight w:val="none"/>
              </w:rPr>
              <w:t xml:space="preserve">                  费率</w:t>
            </w:r>
          </w:p>
          <w:p>
            <w:pPr>
              <w:rPr>
                <w:rFonts w:hint="eastAsia" w:ascii="宋体" w:hAnsi="宋体" w:cs="宋体"/>
                <w:color w:val="auto"/>
                <w:szCs w:val="21"/>
                <w:highlight w:val="none"/>
              </w:rPr>
            </w:pPr>
            <w:r>
              <w:rPr>
                <w:rFonts w:hint="eastAsia" w:ascii="宋体" w:hAnsi="宋体" w:cs="宋体"/>
                <w:color w:val="auto"/>
                <w:szCs w:val="21"/>
                <w:highlight w:val="none"/>
              </w:rPr>
              <w:t>中标（成交）金额</w:t>
            </w:r>
          </w:p>
        </w:tc>
        <w:tc>
          <w:tcPr>
            <w:tcW w:w="1560" w:type="dxa"/>
            <w:vAlign w:val="center"/>
          </w:tcPr>
          <w:p>
            <w:pPr>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698"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801"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cs="宋体"/>
                <w:color w:val="auto"/>
                <w:szCs w:val="21"/>
                <w:highlight w:val="none"/>
              </w:rPr>
            </w:pPr>
            <w:r>
              <w:rPr>
                <w:rFonts w:hint="eastAsia" w:ascii="宋体" w:hAnsi="宋体" w:cs="宋体"/>
                <w:color w:val="auto"/>
                <w:szCs w:val="21"/>
                <w:highlight w:val="none"/>
              </w:rPr>
              <w:t>100～200万元（含）</w:t>
            </w:r>
          </w:p>
        </w:tc>
        <w:tc>
          <w:tcPr>
            <w:tcW w:w="1560" w:type="dxa"/>
          </w:tcPr>
          <w:p>
            <w:pPr>
              <w:ind w:right="569" w:rightChars="271"/>
              <w:jc w:val="right"/>
              <w:rPr>
                <w:rFonts w:hint="eastAsia" w:ascii="宋体" w:hAnsi="宋体" w:cs="宋体"/>
                <w:color w:val="auto"/>
                <w:szCs w:val="21"/>
                <w:highlight w:val="none"/>
              </w:rPr>
            </w:pPr>
            <w:r>
              <w:rPr>
                <w:rFonts w:hint="eastAsia" w:ascii="宋体" w:hAnsi="宋体" w:cs="宋体"/>
                <w:color w:val="auto"/>
                <w:kern w:val="0"/>
                <w:szCs w:val="21"/>
                <w:highlight w:val="none"/>
              </w:rPr>
              <w:t xml:space="preserve">  1.5%</w:t>
            </w:r>
          </w:p>
        </w:tc>
        <w:tc>
          <w:tcPr>
            <w:tcW w:w="1698" w:type="dxa"/>
          </w:tcPr>
          <w:p>
            <w:pPr>
              <w:ind w:right="569" w:rightChars="271"/>
              <w:jc w:val="right"/>
              <w:rPr>
                <w:rFonts w:hint="eastAsia" w:ascii="宋体" w:hAnsi="宋体" w:cs="宋体"/>
                <w:color w:val="auto"/>
                <w:szCs w:val="21"/>
                <w:highlight w:val="none"/>
              </w:rPr>
            </w:pPr>
            <w:r>
              <w:rPr>
                <w:rFonts w:hint="eastAsia" w:ascii="宋体" w:hAnsi="宋体" w:cs="宋体"/>
                <w:color w:val="auto"/>
                <w:szCs w:val="21"/>
                <w:highlight w:val="none"/>
              </w:rPr>
              <w:t>1.5%</w:t>
            </w:r>
          </w:p>
        </w:tc>
        <w:tc>
          <w:tcPr>
            <w:tcW w:w="1801" w:type="dxa"/>
          </w:tcPr>
          <w:p>
            <w:pPr>
              <w:ind w:right="569" w:rightChars="271"/>
              <w:jc w:val="right"/>
              <w:rPr>
                <w:rFonts w:hint="eastAsia" w:ascii="宋体" w:hAnsi="宋体" w:cs="宋体"/>
                <w:color w:val="auto"/>
                <w:szCs w:val="21"/>
                <w:highlight w:val="none"/>
              </w:rPr>
            </w:pPr>
            <w:r>
              <w:rPr>
                <w:rFonts w:hint="eastAsia" w:ascii="宋体" w:hAnsi="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cs="宋体"/>
                <w:color w:val="auto"/>
                <w:szCs w:val="21"/>
                <w:highlight w:val="none"/>
              </w:rPr>
            </w:pPr>
            <w:r>
              <w:rPr>
                <w:rFonts w:hint="eastAsia" w:ascii="宋体" w:hAnsi="宋体" w:cs="宋体"/>
                <w:color w:val="auto"/>
                <w:szCs w:val="21"/>
                <w:highlight w:val="none"/>
              </w:rPr>
              <w:t>200～500万元（含）</w:t>
            </w:r>
          </w:p>
        </w:tc>
        <w:tc>
          <w:tcPr>
            <w:tcW w:w="1560" w:type="dxa"/>
          </w:tcPr>
          <w:p>
            <w:pPr>
              <w:ind w:right="569" w:rightChars="271" w:firstLine="210" w:firstLineChars="100"/>
              <w:jc w:val="right"/>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1698" w:type="dxa"/>
          </w:tcPr>
          <w:p>
            <w:pPr>
              <w:ind w:right="569" w:rightChars="271"/>
              <w:jc w:val="right"/>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1801" w:type="dxa"/>
          </w:tcPr>
          <w:p>
            <w:pPr>
              <w:ind w:right="569" w:rightChars="271"/>
              <w:jc w:val="right"/>
              <w:rPr>
                <w:rFonts w:hint="eastAsia" w:ascii="宋体" w:hAnsi="宋体" w:cs="宋体"/>
                <w:color w:val="auto"/>
                <w:szCs w:val="21"/>
                <w:highlight w:val="none"/>
              </w:rPr>
            </w:pPr>
            <w:r>
              <w:rPr>
                <w:rFonts w:hint="eastAsia" w:ascii="宋体" w:hAnsi="宋体" w:cs="宋体"/>
                <w:color w:val="auto"/>
                <w:kern w:val="0"/>
                <w:szCs w:val="21"/>
                <w:highlight w:val="none"/>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cs="宋体"/>
                <w:color w:val="auto"/>
                <w:szCs w:val="21"/>
                <w:highlight w:val="none"/>
              </w:rPr>
            </w:pPr>
            <w:r>
              <w:rPr>
                <w:rFonts w:hint="eastAsia" w:ascii="宋体" w:hAnsi="宋体" w:cs="宋体"/>
                <w:color w:val="auto"/>
                <w:szCs w:val="21"/>
                <w:highlight w:val="none"/>
              </w:rPr>
              <w:t>500～1000万元（含）</w:t>
            </w:r>
          </w:p>
        </w:tc>
        <w:tc>
          <w:tcPr>
            <w:tcW w:w="1560" w:type="dxa"/>
          </w:tcPr>
          <w:p>
            <w:pPr>
              <w:ind w:right="569" w:rightChars="271"/>
              <w:jc w:val="right"/>
              <w:rPr>
                <w:rFonts w:hint="eastAsia" w:ascii="宋体" w:hAnsi="宋体" w:cs="宋体"/>
                <w:color w:val="auto"/>
                <w:szCs w:val="21"/>
                <w:highlight w:val="none"/>
              </w:rPr>
            </w:pPr>
            <w:r>
              <w:rPr>
                <w:rFonts w:hint="eastAsia" w:ascii="宋体" w:hAnsi="宋体" w:cs="宋体"/>
                <w:color w:val="auto"/>
                <w:kern w:val="0"/>
                <w:szCs w:val="21"/>
                <w:highlight w:val="none"/>
              </w:rPr>
              <w:t xml:space="preserve">  0.8%</w:t>
            </w:r>
          </w:p>
        </w:tc>
        <w:tc>
          <w:tcPr>
            <w:tcW w:w="1698" w:type="dxa"/>
          </w:tcPr>
          <w:p>
            <w:pPr>
              <w:ind w:right="569" w:rightChars="271"/>
              <w:jc w:val="right"/>
              <w:rPr>
                <w:rFonts w:hint="eastAsia" w:ascii="宋体" w:hAnsi="宋体" w:cs="宋体"/>
                <w:color w:val="auto"/>
                <w:szCs w:val="21"/>
                <w:highlight w:val="none"/>
              </w:rPr>
            </w:pPr>
            <w:r>
              <w:rPr>
                <w:rFonts w:hint="eastAsia" w:ascii="宋体" w:hAnsi="宋体" w:cs="宋体"/>
                <w:color w:val="auto"/>
                <w:kern w:val="0"/>
                <w:szCs w:val="21"/>
                <w:highlight w:val="none"/>
              </w:rPr>
              <w:t xml:space="preserve"> 0.8%</w:t>
            </w:r>
          </w:p>
        </w:tc>
        <w:tc>
          <w:tcPr>
            <w:tcW w:w="1801" w:type="dxa"/>
          </w:tcPr>
          <w:p>
            <w:pPr>
              <w:ind w:right="569" w:rightChars="271"/>
              <w:jc w:val="right"/>
              <w:rPr>
                <w:rFonts w:hint="eastAsia" w:ascii="宋体" w:hAnsi="宋体" w:cs="宋体"/>
                <w:color w:val="auto"/>
                <w:szCs w:val="21"/>
                <w:highlight w:val="none"/>
              </w:rPr>
            </w:pPr>
            <w:r>
              <w:rPr>
                <w:rFonts w:hint="eastAsia" w:ascii="宋体" w:hAnsi="宋体" w:cs="宋体"/>
                <w:color w:val="auto"/>
                <w:kern w:val="0"/>
                <w:szCs w:val="21"/>
                <w:highlight w:val="none"/>
              </w:rPr>
              <w:t xml:space="preserve">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exact"/>
        </w:trPr>
        <w:tc>
          <w:tcPr>
            <w:tcW w:w="8027" w:type="dxa"/>
            <w:gridSpan w:val="4"/>
          </w:tcPr>
          <w:p>
            <w:pPr>
              <w:spacing w:after="0"/>
              <w:ind w:right="569" w:rightChars="271"/>
              <w:jc w:val="left"/>
              <w:rPr>
                <w:rFonts w:hint="eastAsia" w:ascii="宋体" w:hAnsi="宋体" w:cs="宋体"/>
                <w:color w:val="auto"/>
                <w:szCs w:val="21"/>
                <w:highlight w:val="none"/>
              </w:rPr>
            </w:pPr>
            <w:r>
              <w:rPr>
                <w:rFonts w:hint="eastAsia" w:ascii="宋体" w:hAnsi="宋体" w:cs="宋体"/>
                <w:color w:val="auto"/>
                <w:szCs w:val="21"/>
                <w:highlight w:val="none"/>
              </w:rPr>
              <w:t>100万元以下的项目收取定额代理费，其中：</w:t>
            </w:r>
          </w:p>
          <w:p>
            <w:pPr>
              <w:ind w:right="569" w:rightChars="271"/>
              <w:rPr>
                <w:rFonts w:hint="eastAsia" w:ascii="宋体" w:hAnsi="宋体" w:cs="宋体"/>
                <w:color w:val="auto"/>
                <w:szCs w:val="21"/>
                <w:highlight w:val="none"/>
              </w:rPr>
            </w:pPr>
            <w:r>
              <w:rPr>
                <w:rFonts w:hint="eastAsia" w:ascii="宋体" w:hAnsi="宋体" w:cs="宋体"/>
                <w:color w:val="auto"/>
                <w:szCs w:val="21"/>
                <w:highlight w:val="none"/>
              </w:rPr>
              <w:t>20万元（含）以下的各类项目收取3000元，20～50万元（含）的各类项目收取8000元，50～100万元（含）货物和服务类项目收取1.5万元，50～100万元（含）工程类项目收取1万元。</w:t>
            </w:r>
          </w:p>
        </w:tc>
      </w:tr>
    </w:tbl>
    <w:p>
      <w:pPr>
        <w:tabs>
          <w:tab w:val="left" w:pos="1080"/>
          <w:tab w:val="left" w:pos="1589"/>
          <w:tab w:val="left" w:pos="2014"/>
        </w:tabs>
        <w:snapToGrid w:val="0"/>
        <w:spacing w:line="360" w:lineRule="auto"/>
        <w:ind w:left="142"/>
        <w:rPr>
          <w:rFonts w:hint="eastAsia" w:ascii="宋体" w:hAnsi="宋体" w:cs="宋体"/>
          <w:color w:val="auto"/>
          <w:sz w:val="24"/>
          <w:highlight w:val="none"/>
        </w:rPr>
      </w:pPr>
    </w:p>
    <w:p>
      <w:pPr>
        <w:pStyle w:val="23"/>
        <w:spacing w:line="360" w:lineRule="auto"/>
        <w:jc w:val="center"/>
        <w:outlineLvl w:val="0"/>
        <w:rPr>
          <w:rFonts w:hAnsi="宋体" w:cs="宋体"/>
          <w:b/>
          <w:color w:val="auto"/>
          <w:sz w:val="36"/>
          <w:szCs w:val="36"/>
          <w:highlight w:val="none"/>
        </w:rPr>
        <w:sectPr>
          <w:headerReference r:id="rId6" w:type="first"/>
          <w:footerReference r:id="rId8" w:type="first"/>
          <w:headerReference r:id="rId5" w:type="even"/>
          <w:footerReference r:id="rId7" w:type="even"/>
          <w:pgSz w:w="11901" w:h="16817"/>
          <w:pgMar w:top="1418" w:right="1474" w:bottom="1418" w:left="1474" w:header="851" w:footer="992" w:gutter="0"/>
          <w:cols w:space="720" w:num="1"/>
          <w:docGrid w:linePitch="340" w:charSpace="0"/>
        </w:sectPr>
      </w:pPr>
    </w:p>
    <w:p>
      <w:pPr>
        <w:pStyle w:val="23"/>
        <w:spacing w:line="360" w:lineRule="auto"/>
        <w:jc w:val="center"/>
        <w:outlineLvl w:val="0"/>
        <w:rPr>
          <w:rFonts w:hAnsi="宋体" w:cs="宋体"/>
          <w:b/>
          <w:color w:val="auto"/>
          <w:sz w:val="36"/>
          <w:szCs w:val="36"/>
          <w:highlight w:val="none"/>
        </w:rPr>
      </w:pPr>
      <w:bookmarkStart w:id="704" w:name="_Toc192872477"/>
      <w:r>
        <w:rPr>
          <w:rFonts w:hAnsi="宋体" w:cs="宋体"/>
          <w:b/>
          <w:color w:val="auto"/>
          <w:sz w:val="36"/>
          <w:szCs w:val="36"/>
          <w:highlight w:val="none"/>
        </w:rPr>
        <w:t xml:space="preserve">第三章   </w:t>
      </w:r>
      <w:bookmarkEnd w:id="691"/>
      <w:bookmarkEnd w:id="692"/>
      <w:bookmarkEnd w:id="693"/>
      <w:bookmarkEnd w:id="694"/>
      <w:bookmarkEnd w:id="695"/>
      <w:bookmarkEnd w:id="696"/>
      <w:bookmarkEnd w:id="697"/>
      <w:bookmarkEnd w:id="698"/>
      <w:bookmarkEnd w:id="699"/>
      <w:bookmarkEnd w:id="700"/>
      <w:bookmarkEnd w:id="701"/>
      <w:bookmarkEnd w:id="702"/>
      <w:bookmarkEnd w:id="703"/>
      <w:r>
        <w:rPr>
          <w:rFonts w:hAnsi="宋体" w:cs="宋体"/>
          <w:b/>
          <w:color w:val="auto"/>
          <w:sz w:val="36"/>
          <w:szCs w:val="36"/>
          <w:highlight w:val="none"/>
        </w:rPr>
        <w:t>资格审查</w:t>
      </w:r>
      <w:bookmarkEnd w:id="704"/>
      <w:bookmarkStart w:id="705" w:name="_Toc487900382"/>
    </w:p>
    <w:p>
      <w:pPr>
        <w:tabs>
          <w:tab w:val="left" w:pos="360"/>
          <w:tab w:val="left" w:pos="900"/>
        </w:tabs>
        <w:snapToGrid w:val="0"/>
        <w:spacing w:line="360" w:lineRule="auto"/>
        <w:jc w:val="center"/>
        <w:outlineLvl w:val="1"/>
        <w:rPr>
          <w:rFonts w:hint="eastAsia" w:ascii="宋体" w:hAnsi="宋体" w:cs="宋体"/>
          <w:b/>
          <w:color w:val="auto"/>
          <w:sz w:val="24"/>
          <w:highlight w:val="none"/>
        </w:rPr>
      </w:pPr>
      <w:bookmarkStart w:id="706" w:name="_Toc99301422"/>
      <w:r>
        <w:rPr>
          <w:rFonts w:hint="eastAsia" w:ascii="宋体" w:hAnsi="宋体" w:cs="宋体"/>
          <w:b/>
          <w:color w:val="auto"/>
          <w:sz w:val="24"/>
          <w:highlight w:val="none"/>
        </w:rPr>
        <w:t>一、资格审查程序</w:t>
      </w:r>
      <w:bookmarkEnd w:id="706"/>
    </w:p>
    <w:p>
      <w:pPr>
        <w:numPr>
          <w:ilvl w:val="0"/>
          <w:numId w:val="16"/>
        </w:numPr>
        <w:tabs>
          <w:tab w:val="left" w:pos="426"/>
          <w:tab w:val="left" w:pos="851"/>
          <w:tab w:val="clear" w:pos="900"/>
        </w:tabs>
        <w:snapToGrid w:val="0"/>
        <w:spacing w:line="360" w:lineRule="auto"/>
        <w:ind w:left="426" w:hanging="426"/>
        <w:outlineLvl w:val="1"/>
        <w:rPr>
          <w:rFonts w:hint="eastAsia" w:ascii="宋体" w:hAnsi="宋体" w:cs="宋体"/>
          <w:color w:val="auto"/>
          <w:sz w:val="24"/>
          <w:highlight w:val="none"/>
        </w:rPr>
      </w:pPr>
      <w:r>
        <w:rPr>
          <w:rFonts w:hint="eastAsia" w:ascii="宋体" w:hAnsi="宋体" w:cs="宋体"/>
          <w:color w:val="auto"/>
          <w:sz w:val="24"/>
          <w:highlight w:val="none"/>
        </w:rPr>
        <w:t>开标结束后，采购人或采购代理机构将根据《资格审查要求》中的规定，对投标人进行资格审查，并形成资格审查结果。</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cs="宋体"/>
          <w:color w:val="auto"/>
          <w:sz w:val="24"/>
          <w:highlight w:val="none"/>
        </w:rPr>
      </w:pPr>
      <w:r>
        <w:rPr>
          <w:rFonts w:hint="eastAsia" w:ascii="宋体" w:hAnsi="宋体" w:cs="宋体"/>
          <w:color w:val="auto"/>
          <w:sz w:val="24"/>
          <w:highlight w:val="none"/>
        </w:rPr>
        <w:t>《资格审查要求》中对格式有要求的，除招标文件另有规定外，均为“实质性格式”文件。</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cs="宋体"/>
          <w:color w:val="auto"/>
          <w:sz w:val="24"/>
          <w:highlight w:val="none"/>
        </w:rPr>
      </w:pPr>
      <w:r>
        <w:rPr>
          <w:rFonts w:hint="eastAsia" w:ascii="宋体" w:hAnsi="宋体" w:cs="宋体"/>
          <w:color w:val="auto"/>
          <w:sz w:val="24"/>
          <w:highlight w:val="none"/>
        </w:rPr>
        <w:t>投标人《资格证明文件》有任何一项不符合《资格审查要求》的，资格审查不合格，其</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cs="宋体"/>
          <w:color w:val="auto"/>
          <w:sz w:val="24"/>
          <w:highlight w:val="none"/>
        </w:rPr>
      </w:pPr>
      <w:r>
        <w:rPr>
          <w:rFonts w:hint="eastAsia" w:ascii="宋体" w:hAnsi="宋体" w:cs="宋体"/>
          <w:color w:val="auto"/>
          <w:sz w:val="24"/>
          <w:highlight w:val="none"/>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color w:val="auto"/>
          <w:sz w:val="24"/>
          <w:highlight w:val="none"/>
        </w:rPr>
      </w:pPr>
      <w:r>
        <w:rPr>
          <w:rFonts w:hint="eastAsia" w:ascii="宋体" w:hAnsi="宋体" w:cs="宋体"/>
          <w:b/>
          <w:color w:val="auto"/>
          <w:sz w:val="24"/>
          <w:highlight w:val="none"/>
        </w:rPr>
        <w:t>二、资格审查要求</w:t>
      </w:r>
    </w:p>
    <w:tbl>
      <w:tblPr>
        <w:tblStyle w:val="47"/>
        <w:tblW w:w="9233"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2081"/>
        <w:gridCol w:w="4864"/>
        <w:gridCol w:w="1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83" w:hRule="atLeast"/>
          <w:tblHeader/>
        </w:trPr>
        <w:tc>
          <w:tcPr>
            <w:tcW w:w="710" w:type="dxa"/>
            <w:vAlign w:val="center"/>
          </w:tcPr>
          <w:p>
            <w:pPr>
              <w:tabs>
                <w:tab w:val="left" w:pos="1080"/>
              </w:tabs>
              <w:snapToGrid w:val="0"/>
              <w:spacing w:after="0" w:line="240" w:lineRule="auto"/>
              <w:jc w:val="center"/>
              <w:rPr>
                <w:rFonts w:hint="eastAsia" w:ascii="宋体" w:hAnsi="宋体" w:cs="宋体"/>
                <w:b/>
                <w:color w:val="auto"/>
                <w:sz w:val="24"/>
                <w:highlight w:val="none"/>
              </w:rPr>
            </w:pPr>
            <w:bookmarkStart w:id="707" w:name="_Hlt487972895"/>
            <w:bookmarkEnd w:id="707"/>
            <w:r>
              <w:rPr>
                <w:rFonts w:hint="eastAsia" w:ascii="宋体" w:hAnsi="宋体" w:cs="宋体"/>
                <w:b/>
                <w:color w:val="auto"/>
                <w:sz w:val="24"/>
                <w:highlight w:val="none"/>
              </w:rPr>
              <w:t>序号</w:t>
            </w:r>
          </w:p>
        </w:tc>
        <w:tc>
          <w:tcPr>
            <w:tcW w:w="2081" w:type="dxa"/>
            <w:vAlign w:val="center"/>
          </w:tcPr>
          <w:p>
            <w:pPr>
              <w:tabs>
                <w:tab w:val="left" w:pos="1080"/>
              </w:tabs>
              <w:snapToGrid w:val="0"/>
              <w:spacing w:after="0" w:line="240" w:lineRule="auto"/>
              <w:jc w:val="center"/>
              <w:rPr>
                <w:rFonts w:hint="eastAsia" w:ascii="宋体" w:hAnsi="宋体" w:cs="宋体"/>
                <w:b/>
                <w:color w:val="auto"/>
                <w:sz w:val="24"/>
                <w:highlight w:val="none"/>
              </w:rPr>
            </w:pPr>
            <w:r>
              <w:rPr>
                <w:rFonts w:hint="eastAsia" w:ascii="宋体" w:hAnsi="宋体" w:cs="宋体"/>
                <w:b/>
                <w:color w:val="auto"/>
                <w:sz w:val="24"/>
                <w:highlight w:val="none"/>
              </w:rPr>
              <w:t>审查因素</w:t>
            </w:r>
          </w:p>
        </w:tc>
        <w:tc>
          <w:tcPr>
            <w:tcW w:w="4864" w:type="dxa"/>
            <w:vAlign w:val="center"/>
          </w:tcPr>
          <w:p>
            <w:pPr>
              <w:tabs>
                <w:tab w:val="left" w:pos="1080"/>
              </w:tabs>
              <w:snapToGrid w:val="0"/>
              <w:spacing w:after="0" w:line="240" w:lineRule="auto"/>
              <w:jc w:val="center"/>
              <w:rPr>
                <w:rFonts w:hint="eastAsia" w:ascii="宋体" w:hAnsi="宋体" w:cs="宋体"/>
                <w:b/>
                <w:color w:val="auto"/>
                <w:sz w:val="24"/>
                <w:highlight w:val="none"/>
              </w:rPr>
            </w:pPr>
            <w:r>
              <w:rPr>
                <w:rFonts w:hint="eastAsia" w:ascii="宋体" w:hAnsi="宋体" w:cs="宋体"/>
                <w:b/>
                <w:color w:val="auto"/>
                <w:sz w:val="24"/>
                <w:highlight w:val="none"/>
              </w:rPr>
              <w:t>审查内容</w:t>
            </w:r>
          </w:p>
        </w:tc>
        <w:tc>
          <w:tcPr>
            <w:tcW w:w="1578" w:type="dxa"/>
            <w:vAlign w:val="center"/>
          </w:tcPr>
          <w:p>
            <w:pPr>
              <w:tabs>
                <w:tab w:val="left" w:pos="1080"/>
              </w:tabs>
              <w:snapToGrid w:val="0"/>
              <w:spacing w:after="0" w:line="240" w:lineRule="auto"/>
              <w:jc w:val="center"/>
              <w:rPr>
                <w:rFonts w:hint="eastAsia" w:ascii="宋体" w:hAnsi="宋体" w:cs="宋体"/>
                <w:b/>
                <w:color w:val="auto"/>
                <w:sz w:val="24"/>
                <w:highlight w:val="none"/>
              </w:rPr>
            </w:pPr>
            <w:r>
              <w:rPr>
                <w:rFonts w:hint="eastAsia" w:ascii="宋体" w:hAnsi="宋体" w:cs="宋体"/>
                <w:b/>
                <w:color w:val="auto"/>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081" w:type="dxa"/>
            <w:vAlign w:val="center"/>
          </w:tcPr>
          <w:p>
            <w:pPr>
              <w:tabs>
                <w:tab w:val="left" w:pos="1080"/>
              </w:tabs>
              <w:snapToGrid w:val="0"/>
              <w:spacing w:after="0" w:line="240" w:lineRule="auto"/>
              <w:rPr>
                <w:rFonts w:hint="eastAsia" w:ascii="宋体" w:hAnsi="宋体" w:cs="宋体"/>
                <w:color w:val="auto"/>
                <w:sz w:val="24"/>
                <w:highlight w:val="none"/>
              </w:rPr>
            </w:pPr>
            <w:r>
              <w:rPr>
                <w:rFonts w:hint="eastAsia" w:ascii="宋体" w:hAnsi="宋体" w:cs="宋体"/>
                <w:color w:val="auto"/>
                <w:sz w:val="21"/>
                <w:szCs w:val="21"/>
                <w:highlight w:val="none"/>
              </w:rPr>
              <w:t>满足《中华人民共和国政府采购法》第二十二条规定及法律法规的其他规定</w:t>
            </w:r>
          </w:p>
        </w:tc>
        <w:tc>
          <w:tcPr>
            <w:tcW w:w="4864" w:type="dxa"/>
            <w:vAlign w:val="center"/>
          </w:tcPr>
          <w:p>
            <w:pPr>
              <w:tabs>
                <w:tab w:val="left" w:pos="1080"/>
              </w:tabs>
              <w:snapToGrid w:val="0"/>
              <w:spacing w:after="0" w:line="240" w:lineRule="auto"/>
              <w:rPr>
                <w:rFonts w:hint="eastAsia" w:ascii="宋体" w:hAnsi="宋体" w:cs="宋体"/>
                <w:color w:val="auto"/>
                <w:sz w:val="24"/>
                <w:highlight w:val="none"/>
              </w:rPr>
            </w:pPr>
            <w:r>
              <w:rPr>
                <w:rFonts w:hint="eastAsia" w:ascii="宋体" w:hAnsi="宋体" w:cs="宋体"/>
                <w:color w:val="auto"/>
                <w:sz w:val="24"/>
                <w:highlight w:val="none"/>
              </w:rPr>
              <w:t>具体规定见第一章《投标邀请》</w:t>
            </w:r>
          </w:p>
        </w:tc>
        <w:tc>
          <w:tcPr>
            <w:tcW w:w="1578" w:type="dxa"/>
            <w:vAlign w:val="center"/>
          </w:tcPr>
          <w:p>
            <w:pPr>
              <w:tabs>
                <w:tab w:val="left" w:pos="1080"/>
              </w:tabs>
              <w:snapToGrid w:val="0"/>
              <w:spacing w:after="0" w:line="240" w:lineRule="auto"/>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2081" w:type="dxa"/>
            <w:vAlign w:val="center"/>
          </w:tcPr>
          <w:p>
            <w:pPr>
              <w:tabs>
                <w:tab w:val="left" w:pos="1080"/>
              </w:tabs>
              <w:snapToGrid w:val="0"/>
              <w:spacing w:after="0" w:line="240" w:lineRule="auto"/>
              <w:rPr>
                <w:rFonts w:hint="eastAsia" w:ascii="宋体" w:hAnsi="宋体" w:cs="宋体"/>
                <w:color w:val="auto"/>
                <w:sz w:val="24"/>
                <w:highlight w:val="none"/>
              </w:rPr>
            </w:pPr>
            <w:r>
              <w:rPr>
                <w:rFonts w:hint="eastAsia" w:ascii="宋体" w:hAnsi="宋体" w:cs="宋体"/>
                <w:color w:val="auto"/>
                <w:sz w:val="24"/>
                <w:highlight w:val="none"/>
              </w:rPr>
              <w:t>营业执照等证明文件</w:t>
            </w:r>
          </w:p>
        </w:tc>
        <w:tc>
          <w:tcPr>
            <w:tcW w:w="4864" w:type="dxa"/>
            <w:vAlign w:val="center"/>
          </w:tcPr>
          <w:p>
            <w:pPr>
              <w:tabs>
                <w:tab w:val="left" w:pos="1080"/>
              </w:tabs>
              <w:snapToGrid w:val="0"/>
              <w:spacing w:after="0" w:line="240" w:lineRule="auto"/>
              <w:rPr>
                <w:rFonts w:hint="eastAsia" w:ascii="宋体" w:hAnsi="宋体" w:cs="宋体"/>
                <w:color w:val="auto"/>
                <w:sz w:val="24"/>
                <w:highlight w:val="none"/>
              </w:rPr>
            </w:pPr>
            <w:bookmarkStart w:id="708" w:name="OLE_LINK12"/>
            <w:r>
              <w:rPr>
                <w:rFonts w:hint="eastAsia" w:ascii="宋体" w:hAnsi="宋体" w:cs="宋体"/>
                <w:color w:val="auto"/>
                <w:sz w:val="24"/>
                <w:highlight w:val="none"/>
              </w:rPr>
              <w:t>投标人为企业（包括合伙企业）的，应提供有效的“营业执照”；</w:t>
            </w:r>
          </w:p>
          <w:p>
            <w:pPr>
              <w:tabs>
                <w:tab w:val="left" w:pos="1080"/>
              </w:tabs>
              <w:snapToGrid w:val="0"/>
              <w:spacing w:after="0" w:line="240" w:lineRule="auto"/>
              <w:rPr>
                <w:rFonts w:hint="eastAsia" w:ascii="宋体" w:hAnsi="宋体" w:cs="宋体"/>
                <w:color w:val="auto"/>
                <w:sz w:val="24"/>
                <w:highlight w:val="none"/>
              </w:rPr>
            </w:pPr>
            <w:r>
              <w:rPr>
                <w:rFonts w:hint="eastAsia" w:ascii="宋体" w:hAnsi="宋体" w:cs="宋体"/>
                <w:color w:val="auto"/>
                <w:sz w:val="24"/>
                <w:highlight w:val="none"/>
              </w:rPr>
              <w:t>投标人为事业单位的，应提供有效的“事业单位法人证书”；</w:t>
            </w:r>
          </w:p>
          <w:p>
            <w:pPr>
              <w:tabs>
                <w:tab w:val="left" w:pos="1080"/>
              </w:tabs>
              <w:snapToGrid w:val="0"/>
              <w:spacing w:after="0" w:line="240" w:lineRule="auto"/>
              <w:rPr>
                <w:rFonts w:hint="eastAsia" w:ascii="宋体" w:hAnsi="宋体" w:cs="宋体"/>
                <w:color w:val="auto"/>
                <w:sz w:val="24"/>
                <w:highlight w:val="none"/>
              </w:rPr>
            </w:pPr>
            <w:r>
              <w:rPr>
                <w:rFonts w:hint="eastAsia" w:ascii="宋体" w:hAnsi="宋体" w:cs="宋体"/>
                <w:color w:val="auto"/>
                <w:sz w:val="24"/>
                <w:highlight w:val="none"/>
              </w:rPr>
              <w:t>投标人是非企业机构的，应提供有效的“执业许可证”、“登记证书”等证明文件；</w:t>
            </w:r>
          </w:p>
          <w:p>
            <w:pPr>
              <w:tabs>
                <w:tab w:val="left" w:pos="1080"/>
              </w:tabs>
              <w:snapToGrid w:val="0"/>
              <w:spacing w:after="0" w:line="240" w:lineRule="auto"/>
              <w:rPr>
                <w:rFonts w:hint="eastAsia" w:ascii="宋体" w:hAnsi="宋体" w:cs="宋体"/>
                <w:color w:val="auto"/>
                <w:sz w:val="24"/>
                <w:highlight w:val="none"/>
              </w:rPr>
            </w:pPr>
            <w:r>
              <w:rPr>
                <w:rFonts w:hint="eastAsia" w:ascii="宋体" w:hAnsi="宋体" w:cs="宋体"/>
                <w:color w:val="auto"/>
                <w:sz w:val="24"/>
                <w:highlight w:val="none"/>
              </w:rPr>
              <w:t>投标人是个体工商户的，应提供有效的“个体工商户营业执照”；</w:t>
            </w:r>
          </w:p>
          <w:p>
            <w:pPr>
              <w:tabs>
                <w:tab w:val="left" w:pos="1080"/>
              </w:tabs>
              <w:snapToGrid w:val="0"/>
              <w:spacing w:after="0" w:line="240" w:lineRule="auto"/>
              <w:rPr>
                <w:rFonts w:hint="eastAsia" w:ascii="宋体" w:hAnsi="宋体" w:cs="宋体"/>
                <w:color w:val="auto"/>
                <w:sz w:val="24"/>
                <w:highlight w:val="none"/>
              </w:rPr>
            </w:pPr>
            <w:r>
              <w:rPr>
                <w:rFonts w:hint="eastAsia" w:ascii="宋体" w:hAnsi="宋体" w:cs="宋体"/>
                <w:color w:val="auto"/>
                <w:sz w:val="24"/>
                <w:highlight w:val="none"/>
              </w:rPr>
              <w:t>投标人是自然人的，应提供有效的自然人身份证明。</w:t>
            </w:r>
          </w:p>
          <w:p>
            <w:pPr>
              <w:tabs>
                <w:tab w:val="left" w:pos="1080"/>
              </w:tabs>
              <w:snapToGrid w:val="0"/>
              <w:spacing w:after="0" w:line="240" w:lineRule="auto"/>
              <w:rPr>
                <w:rFonts w:hint="eastAsia" w:ascii="宋体" w:hAnsi="宋体" w:cs="宋体"/>
                <w:color w:val="auto"/>
                <w:sz w:val="24"/>
                <w:highlight w:val="none"/>
              </w:rPr>
            </w:pPr>
            <w:r>
              <w:rPr>
                <w:rFonts w:hint="eastAsia" w:ascii="宋体" w:hAnsi="宋体" w:cs="宋体"/>
                <w:color w:val="auto"/>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 对于银行、保险、石油石化、电力、电信等行业的分支机构，可以提供上述授权，也可以提供其所属法人/其他组织的有关文件或制度等能够证明授权其独立开展业务的证明材料。</w:t>
            </w:r>
            <w:bookmarkEnd w:id="708"/>
          </w:p>
        </w:tc>
        <w:tc>
          <w:tcPr>
            <w:tcW w:w="1578" w:type="dxa"/>
            <w:vAlign w:val="center"/>
          </w:tcPr>
          <w:p>
            <w:pPr>
              <w:tabs>
                <w:tab w:val="left" w:pos="1080"/>
              </w:tabs>
              <w:snapToGrid w:val="0"/>
              <w:spacing w:after="0" w:line="240" w:lineRule="auto"/>
              <w:rPr>
                <w:rFonts w:hint="eastAsia" w:ascii="宋体" w:hAnsi="宋体" w:cs="宋体"/>
                <w:color w:val="auto"/>
                <w:sz w:val="24"/>
                <w:highlight w:val="none"/>
              </w:rPr>
            </w:pPr>
            <w:r>
              <w:rPr>
                <w:rFonts w:hint="eastAsia" w:ascii="宋体" w:hAnsi="宋体" w:cs="宋体"/>
                <w:color w:val="auto"/>
                <w:sz w:val="24"/>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2081" w:type="dxa"/>
            <w:vAlign w:val="center"/>
          </w:tcPr>
          <w:p>
            <w:pPr>
              <w:tabs>
                <w:tab w:val="left" w:pos="1080"/>
              </w:tabs>
              <w:snapToGrid w:val="0"/>
              <w:spacing w:after="0" w:line="240" w:lineRule="auto"/>
              <w:rPr>
                <w:rFonts w:hint="eastAsia" w:ascii="宋体" w:hAnsi="宋体" w:cs="宋体"/>
                <w:color w:val="auto"/>
                <w:sz w:val="24"/>
                <w:highlight w:val="none"/>
              </w:rPr>
            </w:pPr>
            <w:r>
              <w:rPr>
                <w:rFonts w:hint="eastAsia" w:ascii="宋体" w:hAnsi="宋体" w:cs="宋体"/>
                <w:color w:val="auto"/>
                <w:sz w:val="24"/>
                <w:highlight w:val="none"/>
              </w:rPr>
              <w:t>投标人资格声明书</w:t>
            </w:r>
          </w:p>
        </w:tc>
        <w:tc>
          <w:tcPr>
            <w:tcW w:w="4864" w:type="dxa"/>
            <w:vAlign w:val="center"/>
          </w:tcPr>
          <w:p>
            <w:pPr>
              <w:tabs>
                <w:tab w:val="left" w:pos="1080"/>
              </w:tabs>
              <w:snapToGrid w:val="0"/>
              <w:spacing w:after="0" w:line="240" w:lineRule="auto"/>
              <w:rPr>
                <w:rFonts w:hint="eastAsia" w:ascii="宋体" w:hAnsi="宋体" w:cs="宋体"/>
                <w:color w:val="auto"/>
                <w:sz w:val="24"/>
                <w:highlight w:val="none"/>
              </w:rPr>
            </w:pPr>
            <w:bookmarkStart w:id="709" w:name="OLE_LINK11"/>
            <w:r>
              <w:rPr>
                <w:rFonts w:hint="eastAsia" w:ascii="宋体" w:hAnsi="宋体" w:cs="宋体"/>
                <w:color w:val="auto"/>
                <w:sz w:val="24"/>
                <w:highlight w:val="none"/>
              </w:rPr>
              <w:t>提供了符合招标文件要求的《投标人资格声明书》。</w:t>
            </w:r>
            <w:bookmarkEnd w:id="709"/>
          </w:p>
        </w:tc>
        <w:tc>
          <w:tcPr>
            <w:tcW w:w="1578" w:type="dxa"/>
            <w:vAlign w:val="center"/>
          </w:tcPr>
          <w:p>
            <w:pPr>
              <w:tabs>
                <w:tab w:val="left" w:pos="1080"/>
              </w:tabs>
              <w:snapToGrid w:val="0"/>
              <w:spacing w:after="0" w:line="240" w:lineRule="auto"/>
              <w:rPr>
                <w:rFonts w:hint="eastAsia" w:ascii="宋体" w:hAnsi="宋体" w:cs="宋体"/>
                <w:color w:val="auto"/>
                <w:sz w:val="24"/>
                <w:highlight w:val="none"/>
              </w:rPr>
            </w:pPr>
            <w:r>
              <w:rPr>
                <w:rFonts w:hint="eastAsia" w:ascii="宋体" w:hAnsi="宋体" w:cs="宋体"/>
                <w:color w:val="auto"/>
                <w:sz w:val="24"/>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2081" w:type="dxa"/>
            <w:vAlign w:val="center"/>
          </w:tcPr>
          <w:p>
            <w:pPr>
              <w:tabs>
                <w:tab w:val="left" w:pos="1080"/>
              </w:tabs>
              <w:snapToGrid w:val="0"/>
              <w:spacing w:after="0" w:line="240" w:lineRule="auto"/>
              <w:rPr>
                <w:rFonts w:hint="eastAsia" w:ascii="宋体" w:hAnsi="宋体" w:cs="宋体"/>
                <w:color w:val="auto"/>
                <w:sz w:val="24"/>
                <w:highlight w:val="none"/>
              </w:rPr>
            </w:pPr>
            <w:bookmarkStart w:id="710" w:name="OLE_LINK50"/>
            <w:r>
              <w:rPr>
                <w:rFonts w:hint="eastAsia" w:ascii="宋体" w:hAnsi="宋体" w:cs="宋体"/>
                <w:color w:val="auto"/>
                <w:sz w:val="24"/>
                <w:highlight w:val="none"/>
              </w:rPr>
              <w:t>投标人信用记录</w:t>
            </w:r>
            <w:bookmarkEnd w:id="710"/>
          </w:p>
        </w:tc>
        <w:tc>
          <w:tcPr>
            <w:tcW w:w="4864" w:type="dxa"/>
            <w:vAlign w:val="center"/>
          </w:tcPr>
          <w:p>
            <w:pPr>
              <w:tabs>
                <w:tab w:val="left" w:pos="1080"/>
              </w:tabs>
              <w:snapToGrid w:val="0"/>
              <w:spacing w:after="0" w:line="240" w:lineRule="auto"/>
              <w:rPr>
                <w:rFonts w:hint="eastAsia" w:ascii="宋体" w:hAnsi="宋体" w:cs="宋体"/>
                <w:color w:val="auto"/>
                <w:sz w:val="24"/>
                <w:highlight w:val="none"/>
              </w:rPr>
            </w:pPr>
            <w:r>
              <w:rPr>
                <w:rFonts w:hint="eastAsia" w:ascii="宋体" w:hAnsi="宋体" w:cs="宋体"/>
                <w:color w:val="auto"/>
                <w:sz w:val="24"/>
                <w:highlight w:val="none"/>
              </w:rPr>
              <w:t>查询渠道：信用中国网站和中国政府采购网（</w:t>
            </w:r>
            <w:r>
              <w:rPr>
                <w:rFonts w:hint="eastAsia" w:ascii="宋体" w:hAnsi="宋体" w:cs="宋体"/>
                <w:color w:val="auto"/>
                <w:highlight w:val="none"/>
              </w:rPr>
              <w:t>www.creditchina.gov.cn</w:t>
            </w:r>
            <w:r>
              <w:rPr>
                <w:rFonts w:hint="eastAsia" w:ascii="宋体" w:hAnsi="宋体" w:cs="宋体"/>
                <w:color w:val="auto"/>
                <w:sz w:val="24"/>
                <w:highlight w:val="none"/>
              </w:rPr>
              <w:t>、</w:t>
            </w:r>
            <w:r>
              <w:rPr>
                <w:rFonts w:hint="eastAsia" w:ascii="宋体" w:hAnsi="宋体" w:cs="宋体"/>
                <w:color w:val="auto"/>
                <w:highlight w:val="none"/>
              </w:rPr>
              <w:t>www.ccgp.gov.cn</w:t>
            </w:r>
            <w:r>
              <w:rPr>
                <w:rFonts w:hint="eastAsia" w:ascii="宋体" w:hAnsi="宋体" w:cs="宋体"/>
                <w:color w:val="auto"/>
                <w:sz w:val="24"/>
                <w:highlight w:val="none"/>
              </w:rPr>
              <w:t>）；</w:t>
            </w:r>
          </w:p>
          <w:p>
            <w:pPr>
              <w:tabs>
                <w:tab w:val="left" w:pos="900"/>
                <w:tab w:val="left" w:pos="1980"/>
              </w:tabs>
              <w:snapToGrid w:val="0"/>
              <w:spacing w:after="0" w:line="240" w:lineRule="auto"/>
              <w:rPr>
                <w:rFonts w:hint="eastAsia" w:ascii="宋体" w:hAnsi="宋体" w:cs="宋体"/>
                <w:color w:val="auto"/>
                <w:sz w:val="24"/>
                <w:highlight w:val="none"/>
              </w:rPr>
            </w:pPr>
            <w:r>
              <w:rPr>
                <w:rFonts w:hint="eastAsia" w:ascii="宋体" w:hAnsi="宋体" w:cs="宋体"/>
                <w:color w:val="auto"/>
                <w:sz w:val="24"/>
                <w:highlight w:val="none"/>
              </w:rPr>
              <w:t>截止时点：投标截止时间以后、资格审查阶段采购人或采购代理机构的实际查询时间；</w:t>
            </w:r>
          </w:p>
          <w:p>
            <w:pPr>
              <w:tabs>
                <w:tab w:val="left" w:pos="900"/>
                <w:tab w:val="left" w:pos="1980"/>
              </w:tabs>
              <w:snapToGrid w:val="0"/>
              <w:spacing w:after="0" w:line="240" w:lineRule="auto"/>
              <w:rPr>
                <w:rFonts w:hint="eastAsia" w:ascii="宋体" w:hAnsi="宋体" w:cs="宋体"/>
                <w:color w:val="auto"/>
                <w:sz w:val="24"/>
                <w:highlight w:val="none"/>
              </w:rPr>
            </w:pPr>
            <w:r>
              <w:rPr>
                <w:rFonts w:hint="eastAsia" w:ascii="宋体" w:hAnsi="宋体" w:cs="宋体"/>
                <w:color w:val="auto"/>
                <w:sz w:val="24"/>
                <w:highlight w:val="none"/>
              </w:rPr>
              <w:t>信用信息查询记录和证据留存具体方式：查询结果网页截图或打印页作为查询记录和证据，与其他招标文件一并保存；</w:t>
            </w:r>
          </w:p>
          <w:p>
            <w:pPr>
              <w:tabs>
                <w:tab w:val="left" w:pos="1080"/>
              </w:tabs>
              <w:snapToGrid w:val="0"/>
              <w:spacing w:after="0" w:line="240" w:lineRule="auto"/>
              <w:rPr>
                <w:rFonts w:hint="eastAsia" w:ascii="宋体" w:hAnsi="宋体" w:cs="宋体"/>
                <w:color w:val="auto"/>
                <w:sz w:val="24"/>
                <w:highlight w:val="none"/>
              </w:rPr>
            </w:pPr>
            <w:r>
              <w:rPr>
                <w:rFonts w:hint="eastAsia" w:ascii="宋体" w:hAnsi="宋体" w:cs="宋体"/>
                <w:color w:val="auto"/>
                <w:sz w:val="24"/>
                <w:highlight w:val="none"/>
              </w:rPr>
              <w:t>信用信息的使用原则：经认定的被列入失信被执行人、重大税收违法案件当事人名单、政府采购严重违法失信行为记录名单的投标人，其</w:t>
            </w:r>
            <w:r>
              <w:rPr>
                <w:rFonts w:hint="eastAsia" w:ascii="宋体" w:hAnsi="宋体" w:cs="宋体"/>
                <w:b/>
                <w:color w:val="auto"/>
                <w:sz w:val="24"/>
                <w:highlight w:val="none"/>
              </w:rPr>
              <w:t>投标无效</w:t>
            </w:r>
            <w:r>
              <w:rPr>
                <w:rFonts w:hint="eastAsia" w:ascii="宋体" w:hAnsi="宋体" w:cs="宋体"/>
                <w:color w:val="auto"/>
                <w:sz w:val="24"/>
                <w:highlight w:val="none"/>
              </w:rPr>
              <w:t>。联合体形式投标的，联合体成员存在不良信用记录，视同联合体存在不良信用记录。</w:t>
            </w:r>
          </w:p>
        </w:tc>
        <w:tc>
          <w:tcPr>
            <w:tcW w:w="1578" w:type="dxa"/>
            <w:vAlign w:val="center"/>
          </w:tcPr>
          <w:p>
            <w:pPr>
              <w:tabs>
                <w:tab w:val="left" w:pos="1080"/>
              </w:tabs>
              <w:snapToGrid w:val="0"/>
              <w:spacing w:after="0" w:line="240" w:lineRule="auto"/>
              <w:rPr>
                <w:rFonts w:hint="eastAsia" w:ascii="宋体" w:hAnsi="宋体" w:cs="宋体"/>
                <w:color w:val="auto"/>
                <w:sz w:val="24"/>
                <w:highlight w:val="none"/>
              </w:rPr>
            </w:pPr>
            <w:r>
              <w:rPr>
                <w:rFonts w:hint="eastAsia" w:ascii="宋体" w:hAnsi="宋体" w:cs="宋体"/>
                <w:color w:val="auto"/>
                <w:sz w:val="24"/>
                <w:highlight w:val="none"/>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cs="宋体"/>
                <w:color w:val="auto"/>
                <w:sz w:val="24"/>
                <w:highlight w:val="none"/>
              </w:rPr>
            </w:pPr>
            <w:bookmarkStart w:id="711" w:name="_Hlk196842074"/>
            <w:r>
              <w:rPr>
                <w:rFonts w:hint="eastAsia" w:ascii="宋体" w:hAnsi="宋体" w:cs="宋体"/>
                <w:color w:val="auto"/>
                <w:sz w:val="24"/>
                <w:highlight w:val="none"/>
              </w:rPr>
              <w:t>2</w:t>
            </w:r>
          </w:p>
        </w:tc>
        <w:tc>
          <w:tcPr>
            <w:tcW w:w="2081" w:type="dxa"/>
            <w:vAlign w:val="center"/>
          </w:tcPr>
          <w:p>
            <w:pPr>
              <w:tabs>
                <w:tab w:val="left" w:pos="1080"/>
              </w:tabs>
              <w:snapToGrid w:val="0"/>
              <w:spacing w:after="0" w:line="240" w:lineRule="auto"/>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4864" w:type="dxa"/>
            <w:vAlign w:val="center"/>
          </w:tcPr>
          <w:p>
            <w:pPr>
              <w:tabs>
                <w:tab w:val="left" w:pos="1080"/>
              </w:tabs>
              <w:snapToGrid w:val="0"/>
              <w:spacing w:after="0" w:line="240" w:lineRule="auto"/>
              <w:rPr>
                <w:rFonts w:hint="eastAsia" w:ascii="宋体" w:hAnsi="宋体" w:cs="宋体"/>
                <w:color w:val="auto"/>
                <w:sz w:val="24"/>
                <w:highlight w:val="none"/>
              </w:rPr>
            </w:pPr>
            <w:r>
              <w:rPr>
                <w:rFonts w:hint="eastAsia" w:ascii="宋体" w:hAnsi="宋体" w:cs="宋体"/>
                <w:color w:val="auto"/>
                <w:sz w:val="24"/>
                <w:highlight w:val="none"/>
              </w:rPr>
              <w:t>按照招标文件的规定提交投标保证金。</w:t>
            </w:r>
          </w:p>
        </w:tc>
        <w:tc>
          <w:tcPr>
            <w:tcW w:w="1578" w:type="dxa"/>
            <w:vAlign w:val="center"/>
          </w:tcPr>
          <w:p>
            <w:pPr>
              <w:tabs>
                <w:tab w:val="left" w:pos="1080"/>
              </w:tabs>
              <w:snapToGrid w:val="0"/>
              <w:spacing w:after="0" w:line="240" w:lineRule="auto"/>
              <w:rPr>
                <w:rFonts w:hint="eastAsia" w:ascii="宋体" w:hAnsi="宋体" w:cs="宋体"/>
                <w:color w:val="auto"/>
                <w:sz w:val="24"/>
                <w:highlight w:val="none"/>
              </w:rPr>
            </w:pPr>
            <w:r>
              <w:rPr>
                <w:rFonts w:hint="eastAsia" w:ascii="宋体" w:hAnsi="宋体" w:cs="宋体"/>
                <w:color w:val="auto"/>
                <w:sz w:val="24"/>
                <w:highlight w:val="none"/>
              </w:rPr>
              <w:t>格式见《投标文件格式》</w:t>
            </w:r>
          </w:p>
        </w:tc>
      </w:tr>
      <w:bookmarkEnd w:id="71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081" w:type="dxa"/>
            <w:vAlign w:val="center"/>
          </w:tcPr>
          <w:p>
            <w:pPr>
              <w:tabs>
                <w:tab w:val="left" w:pos="1080"/>
              </w:tabs>
              <w:snapToGrid w:val="0"/>
              <w:spacing w:after="0" w:line="240" w:lineRule="auto"/>
              <w:rPr>
                <w:rFonts w:hint="eastAsia" w:ascii="宋体" w:hAnsi="宋体" w:cs="宋体"/>
                <w:color w:val="auto"/>
                <w:sz w:val="24"/>
                <w:highlight w:val="none"/>
              </w:rPr>
            </w:pPr>
            <w:r>
              <w:rPr>
                <w:rFonts w:hint="eastAsia" w:ascii="宋体" w:hAnsi="宋体" w:cs="宋体"/>
                <w:color w:val="auto"/>
                <w:sz w:val="24"/>
                <w:highlight w:val="none"/>
              </w:rPr>
              <w:t>本项目的特定资格要求</w:t>
            </w:r>
          </w:p>
        </w:tc>
        <w:tc>
          <w:tcPr>
            <w:tcW w:w="4864" w:type="dxa"/>
            <w:vAlign w:val="center"/>
          </w:tcPr>
          <w:p>
            <w:pPr>
              <w:tabs>
                <w:tab w:val="left" w:pos="1080"/>
              </w:tabs>
              <w:snapToGrid w:val="0"/>
              <w:spacing w:after="0" w:line="240" w:lineRule="auto"/>
              <w:rPr>
                <w:rFonts w:hint="eastAsia" w:ascii="宋体" w:hAnsi="宋体" w:cs="宋体"/>
                <w:color w:val="auto"/>
                <w:sz w:val="24"/>
                <w:highlight w:val="none"/>
              </w:rPr>
            </w:pPr>
            <w:r>
              <w:rPr>
                <w:rFonts w:hint="eastAsia" w:ascii="宋体" w:hAnsi="宋体" w:cs="宋体"/>
                <w:color w:val="auto"/>
                <w:sz w:val="24"/>
                <w:highlight w:val="none"/>
              </w:rPr>
              <w:t>如有，见第一章《投标邀请》</w:t>
            </w:r>
          </w:p>
        </w:tc>
        <w:tc>
          <w:tcPr>
            <w:tcW w:w="1578" w:type="dxa"/>
            <w:vAlign w:val="center"/>
          </w:tcPr>
          <w:p>
            <w:pPr>
              <w:tabs>
                <w:tab w:val="left" w:pos="1080"/>
              </w:tabs>
              <w:snapToGrid w:val="0"/>
              <w:spacing w:after="0" w:line="240" w:lineRule="auto"/>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cs="宋体"/>
                <w:color w:val="auto"/>
                <w:sz w:val="24"/>
                <w:highlight w:val="none"/>
              </w:rPr>
            </w:pPr>
            <w:r>
              <w:rPr>
                <w:rFonts w:hint="eastAsia" w:ascii="宋体" w:hAnsi="宋体" w:cs="宋体"/>
                <w:color w:val="auto"/>
                <w:sz w:val="24"/>
                <w:highlight w:val="none"/>
              </w:rPr>
              <w:t>3-1</w:t>
            </w:r>
          </w:p>
        </w:tc>
        <w:tc>
          <w:tcPr>
            <w:tcW w:w="2081" w:type="dxa"/>
            <w:vAlign w:val="center"/>
          </w:tcPr>
          <w:p>
            <w:pPr>
              <w:tabs>
                <w:tab w:val="left" w:pos="1080"/>
              </w:tabs>
              <w:snapToGrid w:val="0"/>
              <w:spacing w:after="0" w:line="240" w:lineRule="auto"/>
              <w:rPr>
                <w:rFonts w:hint="eastAsia" w:ascii="宋体" w:hAnsi="宋体" w:cs="宋体"/>
                <w:color w:val="auto"/>
                <w:sz w:val="24"/>
                <w:highlight w:val="none"/>
              </w:rPr>
            </w:pPr>
            <w:bookmarkStart w:id="712" w:name="OLE_LINK10"/>
            <w:r>
              <w:rPr>
                <w:rFonts w:hint="eastAsia" w:ascii="宋体" w:hAnsi="宋体" w:cs="宋体"/>
                <w:color w:val="auto"/>
                <w:sz w:val="24"/>
                <w:highlight w:val="none"/>
              </w:rPr>
              <w:t>特定资格要求</w:t>
            </w:r>
            <w:bookmarkEnd w:id="712"/>
          </w:p>
        </w:tc>
        <w:tc>
          <w:tcPr>
            <w:tcW w:w="4864" w:type="dxa"/>
            <w:vAlign w:val="center"/>
          </w:tcPr>
          <w:p>
            <w:pPr>
              <w:pStyle w:val="288"/>
              <w:numPr>
                <w:ilvl w:val="0"/>
                <w:numId w:val="17"/>
              </w:numPr>
              <w:spacing w:after="0" w:line="240" w:lineRule="atLeast"/>
              <w:ind w:firstLineChars="0"/>
              <w:rPr>
                <w:rFonts w:hint="eastAsia" w:ascii="宋体" w:hAnsi="宋体" w:cs="宋体"/>
                <w:color w:val="auto"/>
                <w:sz w:val="24"/>
                <w:highlight w:val="none"/>
              </w:rPr>
            </w:pPr>
            <w:bookmarkStart w:id="713" w:name="OLE_LINK51"/>
            <w:r>
              <w:rPr>
                <w:rFonts w:hint="eastAsia" w:ascii="宋体" w:hAnsi="宋体" w:cs="宋体"/>
                <w:color w:val="auto"/>
                <w:sz w:val="24"/>
                <w:highlight w:val="none"/>
              </w:rPr>
              <w:t>投标人须具备有效的兽药生产许可证或兽药经营许可证或医疗器械经营许可证或医疗器械经营备案凭证或医疗器械产品备案凭证（在投标文件中提供电子件并加盖公章）。</w:t>
            </w:r>
            <w:bookmarkEnd w:id="713"/>
          </w:p>
          <w:p>
            <w:pPr>
              <w:pStyle w:val="288"/>
              <w:numPr>
                <w:ilvl w:val="0"/>
                <w:numId w:val="17"/>
              </w:numPr>
              <w:spacing w:after="0" w:line="240" w:lineRule="atLeast"/>
              <w:ind w:firstLineChars="0"/>
              <w:rPr>
                <w:rFonts w:hint="eastAsia" w:ascii="宋体" w:hAnsi="宋体" w:cs="宋体"/>
                <w:color w:val="auto"/>
                <w:sz w:val="24"/>
                <w:highlight w:val="none"/>
              </w:rPr>
            </w:pPr>
            <w:r>
              <w:rPr>
                <w:rFonts w:hint="eastAsia" w:ascii="宋体" w:hAnsi="宋体" w:cs="宋体"/>
                <w:color w:val="auto"/>
                <w:sz w:val="24"/>
                <w:highlight w:val="none"/>
              </w:rPr>
              <w:t>投标人须具备有效的危险化学品安全生产许可证或危险化学品经营许可证（在投标文件中提供电子件并加盖公章）。</w:t>
            </w:r>
          </w:p>
          <w:p>
            <w:pPr>
              <w:pStyle w:val="288"/>
              <w:numPr>
                <w:ilvl w:val="0"/>
                <w:numId w:val="17"/>
              </w:numPr>
              <w:spacing w:after="0" w:line="240" w:lineRule="atLeast"/>
              <w:ind w:firstLineChars="0"/>
              <w:rPr>
                <w:rFonts w:hint="eastAsia" w:ascii="宋体" w:hAnsi="宋体" w:cs="宋体"/>
                <w:color w:val="auto"/>
                <w:sz w:val="24"/>
                <w:highlight w:val="none"/>
              </w:rPr>
            </w:pPr>
            <w:r>
              <w:rPr>
                <w:rFonts w:hint="eastAsia" w:ascii="宋体" w:hAnsi="宋体" w:cs="宋体"/>
                <w:color w:val="auto"/>
                <w:sz w:val="24"/>
                <w:highlight w:val="none"/>
              </w:rPr>
              <w:t>若投标人自己运输，须具有有效的《道路运输经营许可证》（其中经营范围含道路危险货物运输）（在投标文件中提供电子件并加盖公章）；若投标人委托运输，须提供双方合作协议电子件，及被委托人的有效的《道路运输经营许可证》（其中经营范围含道路危险货物运输)（在投标文件中提供电子件并加盖公章）。</w:t>
            </w:r>
          </w:p>
        </w:tc>
        <w:tc>
          <w:tcPr>
            <w:tcW w:w="1578" w:type="dxa"/>
            <w:vAlign w:val="center"/>
          </w:tcPr>
          <w:p>
            <w:pPr>
              <w:tabs>
                <w:tab w:val="left" w:pos="1080"/>
              </w:tabs>
              <w:snapToGrid w:val="0"/>
              <w:spacing w:after="0" w:line="240" w:lineRule="auto"/>
              <w:rPr>
                <w:rFonts w:hint="eastAsia" w:ascii="宋体" w:hAnsi="宋体" w:cs="宋体"/>
                <w:color w:val="auto"/>
                <w:sz w:val="24"/>
                <w:highlight w:val="none"/>
              </w:rPr>
            </w:pPr>
            <w:r>
              <w:rPr>
                <w:rFonts w:hint="eastAsia" w:ascii="宋体" w:hAnsi="宋体" w:cs="宋体"/>
                <w:color w:val="auto"/>
                <w:sz w:val="24"/>
                <w:highlight w:val="none"/>
              </w:rPr>
              <w:t xml:space="preserve">提供证明文件的电子件或电子证照加盖投标人公章；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2081" w:type="dxa"/>
            <w:vAlign w:val="center"/>
          </w:tcPr>
          <w:p>
            <w:pPr>
              <w:tabs>
                <w:tab w:val="left" w:pos="1080"/>
              </w:tabs>
              <w:snapToGrid w:val="0"/>
              <w:rPr>
                <w:rFonts w:hint="eastAsia" w:ascii="宋体" w:hAnsi="宋体" w:cs="宋体"/>
                <w:color w:val="auto"/>
                <w:sz w:val="24"/>
                <w:highlight w:val="none"/>
              </w:rPr>
            </w:pPr>
            <w:r>
              <w:rPr>
                <w:rFonts w:hint="eastAsia" w:ascii="宋体" w:hAnsi="宋体" w:cs="宋体"/>
                <w:color w:val="auto"/>
                <w:sz w:val="24"/>
                <w:highlight w:val="none"/>
              </w:rPr>
              <w:t>获取招标文件</w:t>
            </w:r>
          </w:p>
        </w:tc>
        <w:tc>
          <w:tcPr>
            <w:tcW w:w="4864" w:type="dxa"/>
            <w:vAlign w:val="center"/>
          </w:tcPr>
          <w:p>
            <w:pPr>
              <w:tabs>
                <w:tab w:val="left" w:pos="1080"/>
              </w:tabs>
              <w:snapToGrid w:val="0"/>
              <w:spacing w:after="0" w:line="240" w:lineRule="atLeast"/>
              <w:rPr>
                <w:rFonts w:hint="eastAsia" w:ascii="宋体" w:hAnsi="宋体" w:cs="宋体"/>
                <w:color w:val="auto"/>
                <w:kern w:val="0"/>
                <w:sz w:val="24"/>
                <w:highlight w:val="none"/>
              </w:rPr>
            </w:pPr>
            <w:r>
              <w:rPr>
                <w:rFonts w:hint="eastAsia" w:ascii="宋体" w:hAnsi="宋体" w:cs="宋体"/>
                <w:color w:val="auto"/>
                <w:kern w:val="0"/>
                <w:sz w:val="24"/>
                <w:highlight w:val="none"/>
              </w:rPr>
              <w:t>在规定期限内通过北京市政府采购电子交易平台获取所参与包的招标文件。</w:t>
            </w:r>
          </w:p>
          <w:p>
            <w:pPr>
              <w:tabs>
                <w:tab w:val="left" w:pos="1080"/>
              </w:tabs>
              <w:snapToGrid w:val="0"/>
              <w:spacing w:after="0" w:line="240" w:lineRule="atLeast"/>
              <w:rPr>
                <w:rFonts w:hint="eastAsia" w:ascii="宋体" w:hAnsi="宋体" w:cs="宋体"/>
                <w:color w:val="auto"/>
                <w:sz w:val="24"/>
                <w:highlight w:val="none"/>
              </w:rPr>
            </w:pPr>
            <w:r>
              <w:rPr>
                <w:rFonts w:hint="eastAsia" w:ascii="宋体" w:hAnsi="宋体" w:cs="宋体"/>
                <w:color w:val="auto"/>
                <w:kern w:val="0"/>
                <w:sz w:val="24"/>
                <w:highlight w:val="none"/>
              </w:rPr>
              <w:t>注：如本项目接受联合体，且供应商为联合体时，联合体中任一成员获取文件即视为满足要求。</w:t>
            </w:r>
          </w:p>
        </w:tc>
        <w:tc>
          <w:tcPr>
            <w:tcW w:w="1578" w:type="dxa"/>
            <w:vAlign w:val="center"/>
          </w:tcPr>
          <w:p>
            <w:pPr>
              <w:tabs>
                <w:tab w:val="left" w:pos="1080"/>
              </w:tabs>
              <w:snapToGrid w:val="0"/>
              <w:spacing w:after="0" w:line="240" w:lineRule="auto"/>
              <w:rPr>
                <w:rFonts w:hint="eastAsia" w:ascii="宋体" w:hAnsi="宋体" w:cs="宋体"/>
                <w:color w:val="auto"/>
                <w:sz w:val="24"/>
                <w:highlight w:val="none"/>
              </w:rPr>
            </w:pPr>
          </w:p>
        </w:tc>
      </w:t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05"/>
    </w:tbl>
    <w:p>
      <w:pPr>
        <w:widowControl/>
        <w:jc w:val="left"/>
        <w:rPr>
          <w:rFonts w:hint="eastAsia" w:ascii="宋体" w:hAnsi="宋体" w:cs="宋体"/>
          <w:color w:val="auto"/>
          <w:sz w:val="24"/>
          <w:highlight w:val="none"/>
        </w:rPr>
      </w:pPr>
      <w:bookmarkStart w:id="714" w:name="_Toc353873940"/>
      <w:bookmarkStart w:id="715" w:name="_Toc353825550"/>
      <w:bookmarkStart w:id="716" w:name="_Toc127151779"/>
      <w:bookmarkStart w:id="717" w:name="_Toc127161490"/>
      <w:bookmarkStart w:id="718" w:name="_Toc226965858"/>
      <w:r>
        <w:rPr>
          <w:rFonts w:hint="eastAsia" w:ascii="宋体" w:hAnsi="宋体" w:cs="宋体"/>
          <w:color w:val="auto"/>
          <w:sz w:val="24"/>
          <w:highlight w:val="none"/>
        </w:rPr>
        <w:br w:type="page"/>
      </w:r>
    </w:p>
    <w:p>
      <w:pPr>
        <w:spacing w:line="360" w:lineRule="auto"/>
        <w:jc w:val="center"/>
        <w:outlineLvl w:val="0"/>
        <w:rPr>
          <w:rFonts w:hint="eastAsia" w:ascii="宋体" w:hAnsi="宋体" w:cs="宋体"/>
          <w:b/>
          <w:color w:val="auto"/>
          <w:sz w:val="36"/>
          <w:szCs w:val="36"/>
          <w:highlight w:val="none"/>
        </w:rPr>
      </w:pPr>
      <w:bookmarkStart w:id="719" w:name="_Toc192872478"/>
      <w:r>
        <w:rPr>
          <w:rFonts w:hint="eastAsia" w:ascii="宋体" w:hAnsi="宋体" w:cs="宋体"/>
          <w:b/>
          <w:color w:val="auto"/>
          <w:sz w:val="36"/>
          <w:szCs w:val="36"/>
          <w:highlight w:val="none"/>
        </w:rPr>
        <w:t xml:space="preserve">第四章   </w:t>
      </w:r>
      <w:bookmarkEnd w:id="714"/>
      <w:bookmarkEnd w:id="715"/>
      <w:bookmarkEnd w:id="716"/>
      <w:bookmarkEnd w:id="717"/>
      <w:bookmarkEnd w:id="718"/>
      <w:bookmarkStart w:id="720" w:name="_Hlt164229061"/>
      <w:bookmarkEnd w:id="720"/>
      <w:r>
        <w:rPr>
          <w:rFonts w:hint="eastAsia" w:ascii="宋体" w:hAnsi="宋体" w:cs="宋体"/>
          <w:b/>
          <w:color w:val="auto"/>
          <w:sz w:val="36"/>
          <w:szCs w:val="36"/>
          <w:highlight w:val="none"/>
        </w:rPr>
        <w:t>评标方法和评标标准</w:t>
      </w:r>
      <w:bookmarkEnd w:id="719"/>
    </w:p>
    <w:p>
      <w:pPr>
        <w:tabs>
          <w:tab w:val="left" w:pos="360"/>
          <w:tab w:val="left" w:pos="900"/>
        </w:tabs>
        <w:snapToGrid w:val="0"/>
        <w:spacing w:line="360" w:lineRule="auto"/>
        <w:jc w:val="center"/>
        <w:outlineLvl w:val="1"/>
        <w:rPr>
          <w:rFonts w:hint="eastAsia" w:ascii="宋体" w:hAnsi="宋体" w:cs="宋体"/>
          <w:b/>
          <w:color w:val="auto"/>
          <w:highlight w:val="none"/>
        </w:rPr>
      </w:pPr>
      <w:r>
        <w:rPr>
          <w:rFonts w:hint="eastAsia" w:ascii="宋体" w:hAnsi="宋体" w:cs="宋体"/>
          <w:b/>
          <w:color w:val="auto"/>
          <w:sz w:val="24"/>
          <w:highlight w:val="none"/>
        </w:rPr>
        <w:t>一、评标方法</w:t>
      </w:r>
    </w:p>
    <w:p>
      <w:pPr>
        <w:numPr>
          <w:ilvl w:val="0"/>
          <w:numId w:val="18"/>
        </w:numPr>
        <w:tabs>
          <w:tab w:val="left" w:pos="360"/>
        </w:tabs>
        <w:snapToGrid w:val="0"/>
        <w:spacing w:line="360" w:lineRule="auto"/>
        <w:outlineLvl w:val="1"/>
        <w:rPr>
          <w:rFonts w:hint="eastAsia" w:ascii="宋体" w:hAnsi="宋体" w:cs="宋体"/>
          <w:color w:val="auto"/>
          <w:sz w:val="24"/>
          <w:highlight w:val="none"/>
        </w:rPr>
      </w:pPr>
      <w:bookmarkStart w:id="721" w:name="_Toc164351635"/>
      <w:bookmarkStart w:id="722" w:name="_Toc151193929"/>
      <w:bookmarkStart w:id="723" w:name="_Toc127151541"/>
      <w:bookmarkStart w:id="724" w:name="_Toc149720834"/>
      <w:bookmarkStart w:id="725" w:name="_Toc305158809"/>
      <w:bookmarkStart w:id="726" w:name="_Toc226965731"/>
      <w:bookmarkStart w:id="727" w:name="_Toc226309785"/>
      <w:bookmarkStart w:id="728" w:name="_Toc305158883"/>
      <w:bookmarkStart w:id="729" w:name="_Toc150774641"/>
      <w:bookmarkStart w:id="730" w:name="_Toc265228379"/>
      <w:bookmarkStart w:id="731" w:name="_Toc151193639"/>
      <w:bookmarkStart w:id="732" w:name="_Toc150509292"/>
      <w:bookmarkStart w:id="733" w:name="_Toc151193711"/>
      <w:bookmarkStart w:id="734" w:name="_Toc151193855"/>
      <w:bookmarkStart w:id="735" w:name="_Toc164229236"/>
      <w:bookmarkStart w:id="736" w:name="_Toc142311043"/>
      <w:bookmarkStart w:id="737" w:name="_Toc127161455"/>
      <w:bookmarkStart w:id="738" w:name="_Toc151190168"/>
      <w:bookmarkStart w:id="739" w:name="_Toc226337237"/>
      <w:bookmarkStart w:id="740" w:name="_Toc264969231"/>
      <w:bookmarkStart w:id="741" w:name="_Toc150774746"/>
      <w:bookmarkStart w:id="742" w:name="_Toc151193783"/>
      <w:bookmarkStart w:id="743" w:name="_Toc150480779"/>
      <w:bookmarkStart w:id="744" w:name="_Toc164608655"/>
      <w:bookmarkStart w:id="745" w:name="_Toc195842906"/>
      <w:bookmarkStart w:id="746" w:name="_Toc164608810"/>
      <w:bookmarkStart w:id="747" w:name="_Toc127151742"/>
      <w:bookmarkStart w:id="748" w:name="_Toc164229382"/>
      <w:bookmarkStart w:id="749" w:name="_Toc226965814"/>
      <w:bookmarkStart w:id="750" w:name="_Toc353873941"/>
      <w:bookmarkStart w:id="751" w:name="_Toc353825551"/>
      <w:bookmarkStart w:id="752" w:name="_Toc142311057"/>
      <w:bookmarkStart w:id="753" w:name="_Toc353825545"/>
      <w:bookmarkStart w:id="754" w:name="_Toc150480793"/>
      <w:bookmarkStart w:id="755" w:name="_Toc150774760"/>
      <w:bookmarkStart w:id="756" w:name="_Toc264969245"/>
      <w:bookmarkStart w:id="757" w:name="_Toc265228393"/>
      <w:bookmarkStart w:id="758" w:name="_Toc353873665"/>
      <w:bookmarkStart w:id="759" w:name="_Toc353873935"/>
      <w:bookmarkStart w:id="760" w:name="_Toc226965828"/>
      <w:bookmarkStart w:id="761" w:name="_Toc305158823"/>
      <w:bookmarkStart w:id="762" w:name="_Toc226337251"/>
      <w:bookmarkStart w:id="763" w:name="_Toc127151555"/>
      <w:bookmarkStart w:id="764" w:name="_Toc195842920"/>
      <w:bookmarkStart w:id="765" w:name="_Toc305158897"/>
      <w:r>
        <w:rPr>
          <w:rFonts w:hint="eastAsia" w:ascii="宋体" w:hAnsi="宋体" w:cs="宋体"/>
          <w:color w:val="auto"/>
          <w:sz w:val="24"/>
          <w:highlight w:val="none"/>
        </w:rPr>
        <w:t>投标文件的符合性审查</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pPr>
        <w:numPr>
          <w:ilvl w:val="1"/>
          <w:numId w:val="18"/>
        </w:numPr>
        <w:tabs>
          <w:tab w:val="left" w:pos="1080"/>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评标委员会对资格审查合格的投标人的投标文件进行符合性审查，以确定其是否满足招标文件的实质性要求。</w:t>
      </w:r>
      <w:bookmarkStart w:id="766" w:name="_Toc520356167"/>
    </w:p>
    <w:p>
      <w:pPr>
        <w:numPr>
          <w:ilvl w:val="1"/>
          <w:numId w:val="18"/>
        </w:numPr>
        <w:tabs>
          <w:tab w:val="left" w:pos="1080"/>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66"/>
      <w:r>
        <w:rPr>
          <w:rFonts w:hint="eastAsia" w:ascii="宋体" w:hAnsi="宋体" w:cs="宋体"/>
          <w:color w:val="auto"/>
          <w:sz w:val="24"/>
          <w:highlight w:val="none"/>
        </w:rPr>
        <w:t>要求的，</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auto"/>
          <w:sz w:val="24"/>
          <w:highlight w:val="none"/>
        </w:rPr>
      </w:pPr>
      <w:r>
        <w:rPr>
          <w:rFonts w:hint="eastAsia" w:ascii="宋体" w:hAnsi="宋体" w:cs="宋体"/>
          <w:b/>
          <w:color w:val="auto"/>
          <w:sz w:val="24"/>
          <w:highlight w:val="none"/>
        </w:rPr>
        <w:t>符合性审查要求</w:t>
      </w:r>
    </w:p>
    <w:tbl>
      <w:tblPr>
        <w:tblStyle w:val="47"/>
        <w:tblW w:w="89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746"/>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722" w:type="dxa"/>
            <w:vAlign w:val="center"/>
          </w:tcPr>
          <w:p>
            <w:pPr>
              <w:widowControl/>
              <w:spacing w:after="0" w:line="24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序号</w:t>
            </w:r>
          </w:p>
        </w:tc>
        <w:tc>
          <w:tcPr>
            <w:tcW w:w="1746" w:type="dxa"/>
            <w:vAlign w:val="center"/>
          </w:tcPr>
          <w:p>
            <w:pPr>
              <w:widowControl/>
              <w:spacing w:after="0" w:line="24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审查因素</w:t>
            </w:r>
          </w:p>
        </w:tc>
        <w:tc>
          <w:tcPr>
            <w:tcW w:w="6475" w:type="dxa"/>
            <w:vAlign w:val="center"/>
          </w:tcPr>
          <w:p>
            <w:pPr>
              <w:widowControl/>
              <w:spacing w:after="0" w:line="24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22" w:type="dxa"/>
            <w:vAlign w:val="center"/>
          </w:tcPr>
          <w:p>
            <w:pPr>
              <w:widowControl/>
              <w:spacing w:after="0" w:line="240" w:lineRule="auto"/>
              <w:jc w:val="center"/>
              <w:rPr>
                <w:rFonts w:hint="eastAsia" w:ascii="宋体" w:hAnsi="宋体" w:cs="宋体"/>
                <w:color w:val="auto"/>
                <w:kern w:val="0"/>
                <w:sz w:val="24"/>
                <w:highlight w:val="none"/>
              </w:rPr>
            </w:pPr>
            <w:bookmarkStart w:id="767" w:name="_Hlk196842304"/>
            <w:r>
              <w:rPr>
                <w:rFonts w:hint="eastAsia" w:ascii="宋体" w:hAnsi="宋体" w:cs="宋体"/>
                <w:color w:val="auto"/>
                <w:kern w:val="0"/>
                <w:sz w:val="24"/>
                <w:highlight w:val="none"/>
              </w:rPr>
              <w:t>1</w:t>
            </w:r>
          </w:p>
        </w:tc>
        <w:tc>
          <w:tcPr>
            <w:tcW w:w="1746" w:type="dxa"/>
            <w:vAlign w:val="center"/>
          </w:tcPr>
          <w:p>
            <w:pPr>
              <w:widowControl/>
              <w:spacing w:after="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授权委托书</w:t>
            </w:r>
          </w:p>
        </w:tc>
        <w:tc>
          <w:tcPr>
            <w:tcW w:w="6475" w:type="dxa"/>
            <w:vAlign w:val="center"/>
          </w:tcPr>
          <w:p>
            <w:pPr>
              <w:widowControl/>
              <w:spacing w:after="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按招标文件要求提供授权委托书；</w:t>
            </w:r>
          </w:p>
        </w:tc>
      </w:tr>
      <w:bookmarkEnd w:id="7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0" w:hRule="atLeast"/>
          <w:jc w:val="center"/>
        </w:trPr>
        <w:tc>
          <w:tcPr>
            <w:tcW w:w="722" w:type="dxa"/>
            <w:vAlign w:val="center"/>
          </w:tcPr>
          <w:p>
            <w:pPr>
              <w:widowControl/>
              <w:spacing w:after="0" w:line="24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1746" w:type="dxa"/>
            <w:vAlign w:val="center"/>
          </w:tcPr>
          <w:p>
            <w:pPr>
              <w:widowControl/>
              <w:spacing w:after="0" w:line="240" w:lineRule="auto"/>
              <w:jc w:val="left"/>
              <w:rPr>
                <w:rFonts w:hint="eastAsia" w:ascii="宋体" w:hAnsi="宋体" w:cs="宋体"/>
                <w:color w:val="auto"/>
                <w:kern w:val="0"/>
                <w:sz w:val="24"/>
                <w:highlight w:val="none"/>
              </w:rPr>
            </w:pPr>
            <w:bookmarkStart w:id="768" w:name="OLE_LINK13"/>
            <w:r>
              <w:rPr>
                <w:rFonts w:hint="eastAsia" w:ascii="宋体" w:hAnsi="宋体" w:cs="宋体"/>
                <w:color w:val="auto"/>
                <w:kern w:val="0"/>
                <w:sz w:val="24"/>
                <w:highlight w:val="none"/>
              </w:rPr>
              <w:t>投标完整性</w:t>
            </w:r>
            <w:bookmarkEnd w:id="768"/>
          </w:p>
        </w:tc>
        <w:tc>
          <w:tcPr>
            <w:tcW w:w="6475" w:type="dxa"/>
            <w:vAlign w:val="center"/>
          </w:tcPr>
          <w:p>
            <w:pPr>
              <w:widowControl/>
              <w:spacing w:after="0" w:line="240" w:lineRule="auto"/>
              <w:jc w:val="left"/>
              <w:rPr>
                <w:rFonts w:hint="eastAsia" w:ascii="宋体" w:hAnsi="宋体" w:cs="宋体"/>
                <w:color w:val="auto"/>
                <w:kern w:val="0"/>
                <w:sz w:val="24"/>
                <w:highlight w:val="none"/>
              </w:rPr>
            </w:pPr>
            <w:r>
              <w:rPr>
                <w:rFonts w:hint="eastAsia" w:ascii="宋体" w:hAnsi="宋体" w:cs="宋体"/>
                <w:color w:val="auto"/>
                <w:sz w:val="24"/>
                <w:highlight w:val="none"/>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s="宋体"/>
                <w:color w:val="auto"/>
                <w:kern w:val="0"/>
                <w:sz w:val="24"/>
                <w:highlight w:val="none"/>
              </w:rPr>
            </w:pPr>
            <w:bookmarkStart w:id="769" w:name="_Hlk196842154"/>
            <w:r>
              <w:rPr>
                <w:rFonts w:hint="eastAsia" w:ascii="宋体" w:hAnsi="宋体" w:cs="宋体"/>
                <w:color w:val="auto"/>
                <w:kern w:val="0"/>
                <w:sz w:val="24"/>
                <w:highlight w:val="none"/>
              </w:rPr>
              <w:t>3</w:t>
            </w:r>
          </w:p>
        </w:tc>
        <w:tc>
          <w:tcPr>
            <w:tcW w:w="1746" w:type="dxa"/>
            <w:vAlign w:val="center"/>
          </w:tcPr>
          <w:p>
            <w:pPr>
              <w:widowControl/>
              <w:spacing w:after="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投标报价</w:t>
            </w:r>
          </w:p>
        </w:tc>
        <w:tc>
          <w:tcPr>
            <w:tcW w:w="6475" w:type="dxa"/>
            <w:vAlign w:val="center"/>
          </w:tcPr>
          <w:p>
            <w:pPr>
              <w:widowControl/>
              <w:spacing w:after="0" w:line="240" w:lineRule="auto"/>
              <w:jc w:val="left"/>
              <w:rPr>
                <w:rFonts w:hint="eastAsia" w:ascii="宋体" w:hAnsi="宋体" w:cs="宋体"/>
                <w:color w:val="auto"/>
                <w:kern w:val="0"/>
                <w:sz w:val="24"/>
                <w:highlight w:val="none"/>
              </w:rPr>
            </w:pPr>
            <w:bookmarkStart w:id="770" w:name="OLE_LINK28"/>
            <w:r>
              <w:rPr>
                <w:rFonts w:hint="eastAsia" w:ascii="宋体" w:hAnsi="宋体" w:cs="宋体"/>
                <w:color w:val="auto"/>
                <w:kern w:val="0"/>
                <w:sz w:val="24"/>
                <w:highlight w:val="none"/>
              </w:rPr>
              <w:t>投标报价未</w:t>
            </w:r>
            <w:r>
              <w:rPr>
                <w:rFonts w:hint="eastAsia" w:ascii="宋体" w:hAnsi="宋体" w:cs="宋体"/>
                <w:color w:val="auto"/>
                <w:sz w:val="24"/>
                <w:highlight w:val="none"/>
              </w:rPr>
              <w:t>超过招标文件中规定的项目/采购包预算金额或者项目/采购包最高限价</w:t>
            </w:r>
            <w:r>
              <w:rPr>
                <w:rFonts w:hint="eastAsia" w:ascii="宋体" w:hAnsi="宋体" w:cs="宋体"/>
                <w:color w:val="auto"/>
                <w:kern w:val="0"/>
                <w:sz w:val="24"/>
                <w:highlight w:val="none"/>
              </w:rPr>
              <w:t>；</w:t>
            </w:r>
            <w:bookmarkEnd w:id="770"/>
          </w:p>
        </w:tc>
      </w:tr>
      <w:bookmarkEnd w:id="7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1746" w:type="dxa"/>
            <w:vAlign w:val="center"/>
          </w:tcPr>
          <w:p>
            <w:pPr>
              <w:widowControl/>
              <w:spacing w:after="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报价唯一性</w:t>
            </w:r>
          </w:p>
        </w:tc>
        <w:tc>
          <w:tcPr>
            <w:tcW w:w="6475" w:type="dxa"/>
            <w:vAlign w:val="center"/>
          </w:tcPr>
          <w:p>
            <w:pPr>
              <w:widowControl/>
              <w:spacing w:after="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投标文件未</w:t>
            </w:r>
            <w:r>
              <w:rPr>
                <w:rFonts w:hint="eastAsia" w:ascii="宋体" w:hAnsi="宋体" w:cs="宋体"/>
                <w:color w:val="auto"/>
                <w:sz w:val="24"/>
                <w:highlight w:val="none"/>
              </w:rPr>
              <w:t>出现可选择性或可调整的报价（招标文件另有规定的除外）</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s="宋体"/>
                <w:color w:val="auto"/>
                <w:kern w:val="0"/>
                <w:sz w:val="24"/>
                <w:highlight w:val="none"/>
              </w:rPr>
            </w:pPr>
            <w:bookmarkStart w:id="771" w:name="_Hlk196842161"/>
            <w:r>
              <w:rPr>
                <w:rFonts w:hint="eastAsia" w:ascii="宋体" w:hAnsi="宋体" w:cs="宋体"/>
                <w:color w:val="auto"/>
                <w:kern w:val="0"/>
                <w:sz w:val="24"/>
                <w:highlight w:val="none"/>
              </w:rPr>
              <w:t>5</w:t>
            </w:r>
          </w:p>
        </w:tc>
        <w:tc>
          <w:tcPr>
            <w:tcW w:w="1746" w:type="dxa"/>
            <w:vAlign w:val="center"/>
          </w:tcPr>
          <w:p>
            <w:pPr>
              <w:widowControl/>
              <w:spacing w:after="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投标有效期</w:t>
            </w:r>
          </w:p>
        </w:tc>
        <w:tc>
          <w:tcPr>
            <w:tcW w:w="6475" w:type="dxa"/>
            <w:vAlign w:val="center"/>
          </w:tcPr>
          <w:p>
            <w:pPr>
              <w:widowControl/>
              <w:spacing w:after="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投标文件中承诺的投标有效期满足招标文件中载明的投标有效期的；</w:t>
            </w:r>
          </w:p>
        </w:tc>
      </w:tr>
      <w:bookmarkEnd w:id="77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s="宋体"/>
                <w:color w:val="auto"/>
                <w:kern w:val="0"/>
                <w:sz w:val="24"/>
                <w:highlight w:val="none"/>
              </w:rPr>
            </w:pPr>
            <w:bookmarkStart w:id="772" w:name="_Hlk201755809"/>
            <w:r>
              <w:rPr>
                <w:rFonts w:hint="eastAsia" w:ascii="宋体" w:hAnsi="宋体" w:cs="宋体"/>
                <w:color w:val="auto"/>
                <w:kern w:val="0"/>
                <w:sz w:val="24"/>
                <w:highlight w:val="none"/>
              </w:rPr>
              <w:t>6</w:t>
            </w:r>
          </w:p>
        </w:tc>
        <w:tc>
          <w:tcPr>
            <w:tcW w:w="1746" w:type="dxa"/>
            <w:vAlign w:val="center"/>
          </w:tcPr>
          <w:p>
            <w:pPr>
              <w:widowControl/>
              <w:spacing w:after="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实质性格式</w:t>
            </w:r>
          </w:p>
        </w:tc>
        <w:tc>
          <w:tcPr>
            <w:tcW w:w="6475" w:type="dxa"/>
            <w:vAlign w:val="center"/>
          </w:tcPr>
          <w:p>
            <w:pPr>
              <w:widowControl/>
              <w:spacing w:after="0" w:line="240" w:lineRule="auto"/>
              <w:jc w:val="left"/>
              <w:rPr>
                <w:rFonts w:hint="eastAsia" w:ascii="宋体" w:hAnsi="宋体" w:cs="宋体"/>
                <w:color w:val="auto"/>
                <w:kern w:val="0"/>
                <w:sz w:val="24"/>
                <w:highlight w:val="none"/>
              </w:rPr>
            </w:pPr>
            <w:bookmarkStart w:id="773" w:name="OLE_LINK55"/>
            <w:r>
              <w:rPr>
                <w:rFonts w:hint="eastAsia" w:ascii="宋体" w:hAnsi="宋体" w:cs="宋体"/>
                <w:color w:val="auto"/>
                <w:kern w:val="0"/>
                <w:sz w:val="24"/>
                <w:highlight w:val="none"/>
              </w:rPr>
              <w:t>标记为“实质性格式”的文件均按招标文件要求提供且签署、盖章的；</w:t>
            </w:r>
            <w:bookmarkEnd w:id="773"/>
          </w:p>
        </w:tc>
      </w:tr>
      <w:bookmarkEnd w:id="7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7</w:t>
            </w:r>
          </w:p>
        </w:tc>
        <w:tc>
          <w:tcPr>
            <w:tcW w:w="1746" w:type="dxa"/>
            <w:vAlign w:val="center"/>
          </w:tcPr>
          <w:p>
            <w:pPr>
              <w:widowControl/>
              <w:spacing w:after="0" w:line="240" w:lineRule="auto"/>
              <w:jc w:val="left"/>
              <w:rPr>
                <w:rFonts w:hint="eastAsia" w:ascii="宋体" w:hAnsi="宋体" w:cs="宋体"/>
                <w:color w:val="auto"/>
                <w:kern w:val="0"/>
                <w:sz w:val="24"/>
                <w:highlight w:val="none"/>
              </w:rPr>
            </w:pPr>
            <w:bookmarkStart w:id="774" w:name="OLE_LINK24"/>
            <w:r>
              <w:rPr>
                <w:rFonts w:hint="eastAsia" w:ascii="宋体" w:hAnsi="宋体" w:cs="宋体"/>
                <w:color w:val="auto"/>
                <w:sz w:val="24"/>
                <w:highlight w:val="none"/>
              </w:rPr>
              <w:t>★号技术参数响应</w:t>
            </w:r>
            <w:bookmarkEnd w:id="774"/>
            <w:r>
              <w:rPr>
                <w:rFonts w:hint="eastAsia" w:ascii="宋体" w:hAnsi="宋体" w:cs="宋体"/>
                <w:color w:val="auto"/>
                <w:sz w:val="24"/>
                <w:highlight w:val="none"/>
              </w:rPr>
              <w:t xml:space="preserve"> </w:t>
            </w:r>
          </w:p>
        </w:tc>
        <w:tc>
          <w:tcPr>
            <w:tcW w:w="6475" w:type="dxa"/>
            <w:vAlign w:val="center"/>
          </w:tcPr>
          <w:p>
            <w:pPr>
              <w:widowControl/>
              <w:spacing w:after="0" w:line="240" w:lineRule="auto"/>
              <w:jc w:val="left"/>
              <w:rPr>
                <w:rFonts w:hint="eastAsia" w:ascii="宋体" w:hAnsi="宋体" w:cs="宋体"/>
                <w:color w:val="auto"/>
                <w:kern w:val="0"/>
                <w:sz w:val="24"/>
                <w:highlight w:val="none"/>
              </w:rPr>
            </w:pPr>
            <w:r>
              <w:rPr>
                <w:rFonts w:hint="eastAsia" w:ascii="宋体" w:hAnsi="宋体" w:cs="宋体"/>
                <w:color w:val="auto"/>
                <w:sz w:val="24"/>
                <w:highlight w:val="none"/>
              </w:rPr>
              <w:t>投标文件满足招标文件《采购需求》中★号技术参数要求；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8</w:t>
            </w:r>
          </w:p>
        </w:tc>
        <w:tc>
          <w:tcPr>
            <w:tcW w:w="1746" w:type="dxa"/>
            <w:vAlign w:val="center"/>
          </w:tcPr>
          <w:p>
            <w:pPr>
              <w:widowControl/>
              <w:spacing w:after="0" w:line="240" w:lineRule="auto"/>
              <w:jc w:val="left"/>
              <w:rPr>
                <w:rFonts w:hint="eastAsia" w:ascii="宋体" w:hAnsi="宋体" w:cs="宋体"/>
                <w:color w:val="auto"/>
                <w:sz w:val="24"/>
                <w:highlight w:val="none"/>
              </w:rPr>
            </w:pPr>
            <w:r>
              <w:rPr>
                <w:rFonts w:hint="eastAsia" w:ascii="宋体" w:hAnsi="宋体" w:cs="宋体"/>
                <w:color w:val="auto"/>
                <w:sz w:val="24"/>
                <w:highlight w:val="none"/>
              </w:rPr>
              <w:t>报价的修正（如有）</w:t>
            </w:r>
          </w:p>
        </w:tc>
        <w:tc>
          <w:tcPr>
            <w:tcW w:w="6475" w:type="dxa"/>
            <w:vAlign w:val="center"/>
          </w:tcPr>
          <w:p>
            <w:pPr>
              <w:widowControl/>
              <w:spacing w:after="0" w:line="240" w:lineRule="auto"/>
              <w:jc w:val="left"/>
              <w:rPr>
                <w:rFonts w:hint="eastAsia" w:ascii="宋体" w:hAnsi="宋体" w:cs="宋体"/>
                <w:color w:val="auto"/>
                <w:sz w:val="24"/>
                <w:highlight w:val="none"/>
              </w:rPr>
            </w:pPr>
            <w:bookmarkStart w:id="775" w:name="OLE_LINK54"/>
            <w:r>
              <w:rPr>
                <w:rFonts w:hint="eastAsia" w:ascii="宋体" w:hAnsi="宋体" w:cs="宋体"/>
                <w:color w:val="auto"/>
                <w:sz w:val="24"/>
                <w:highlight w:val="none"/>
              </w:rPr>
              <w:t>不涉及报价修正，或投标文件报价出现前后不一致时，投标人对修正后的报价予以确认；（如有）</w:t>
            </w:r>
            <w:bookmarkEnd w:id="7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s="宋体"/>
                <w:color w:val="auto"/>
                <w:kern w:val="0"/>
                <w:sz w:val="24"/>
                <w:highlight w:val="none"/>
              </w:rPr>
            </w:pPr>
            <w:bookmarkStart w:id="776" w:name="_Hlk201755829"/>
            <w:r>
              <w:rPr>
                <w:rFonts w:hint="eastAsia" w:ascii="宋体" w:hAnsi="宋体" w:cs="宋体"/>
                <w:color w:val="auto"/>
                <w:kern w:val="0"/>
                <w:sz w:val="24"/>
                <w:highlight w:val="none"/>
              </w:rPr>
              <w:t>9</w:t>
            </w:r>
          </w:p>
        </w:tc>
        <w:tc>
          <w:tcPr>
            <w:tcW w:w="1746" w:type="dxa"/>
            <w:vAlign w:val="center"/>
          </w:tcPr>
          <w:p>
            <w:pPr>
              <w:widowControl/>
              <w:spacing w:after="0" w:line="240" w:lineRule="auto"/>
              <w:jc w:val="left"/>
              <w:rPr>
                <w:rFonts w:hint="eastAsia" w:ascii="宋体" w:hAnsi="宋体" w:cs="宋体"/>
                <w:color w:val="auto"/>
                <w:kern w:val="0"/>
                <w:sz w:val="24"/>
                <w:highlight w:val="none"/>
              </w:rPr>
            </w:pPr>
            <w:bookmarkStart w:id="777" w:name="OLE_LINK18"/>
            <w:r>
              <w:rPr>
                <w:rFonts w:hint="eastAsia" w:ascii="宋体" w:hAnsi="宋体" w:cs="宋体"/>
                <w:color w:val="auto"/>
                <w:kern w:val="0"/>
                <w:sz w:val="24"/>
                <w:highlight w:val="none"/>
              </w:rPr>
              <w:t>进口产品</w:t>
            </w:r>
            <w:bookmarkEnd w:id="777"/>
            <w:r>
              <w:rPr>
                <w:rFonts w:hint="eastAsia" w:ascii="宋体" w:hAnsi="宋体" w:cs="宋体"/>
                <w:color w:val="auto"/>
                <w:sz w:val="24"/>
                <w:highlight w:val="none"/>
              </w:rPr>
              <w:t xml:space="preserve"> </w:t>
            </w:r>
          </w:p>
        </w:tc>
        <w:tc>
          <w:tcPr>
            <w:tcW w:w="6475" w:type="dxa"/>
            <w:vAlign w:val="center"/>
          </w:tcPr>
          <w:p>
            <w:pPr>
              <w:widowControl/>
              <w:spacing w:after="0" w:line="240" w:lineRule="auto"/>
              <w:jc w:val="left"/>
              <w:rPr>
                <w:rFonts w:hint="eastAsia" w:ascii="宋体" w:hAnsi="宋体" w:cs="宋体"/>
                <w:color w:val="auto"/>
                <w:kern w:val="0"/>
                <w:sz w:val="24"/>
                <w:highlight w:val="none"/>
              </w:rPr>
            </w:pPr>
            <w:bookmarkStart w:id="778" w:name="OLE_LINK26"/>
            <w:r>
              <w:rPr>
                <w:rFonts w:hint="eastAsia" w:ascii="宋体" w:hAnsi="宋体" w:cs="宋体"/>
                <w:color w:val="auto"/>
                <w:kern w:val="0"/>
                <w:sz w:val="24"/>
                <w:highlight w:val="none"/>
              </w:rPr>
              <w:t>招标文件不接受进口产品投标的内容时，投标人所投产品不含进口产品；</w:t>
            </w:r>
            <w:bookmarkEnd w:id="778"/>
          </w:p>
        </w:tc>
      </w:tr>
      <w:bookmarkEnd w:id="7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w:t>
            </w:r>
          </w:p>
        </w:tc>
        <w:tc>
          <w:tcPr>
            <w:tcW w:w="1746" w:type="dxa"/>
            <w:vAlign w:val="center"/>
          </w:tcPr>
          <w:p>
            <w:pPr>
              <w:widowControl/>
              <w:spacing w:after="0" w:line="240" w:lineRule="auto"/>
              <w:jc w:val="left"/>
              <w:rPr>
                <w:rFonts w:hint="eastAsia" w:ascii="宋体" w:hAnsi="宋体" w:cs="宋体"/>
                <w:color w:val="auto"/>
                <w:kern w:val="0"/>
                <w:sz w:val="24"/>
                <w:highlight w:val="none"/>
              </w:rPr>
            </w:pPr>
            <w:bookmarkStart w:id="779" w:name="OLE_LINK19"/>
            <w:r>
              <w:rPr>
                <w:rFonts w:hint="eastAsia" w:ascii="宋体" w:hAnsi="宋体" w:cs="宋体"/>
                <w:color w:val="auto"/>
                <w:kern w:val="0"/>
                <w:sz w:val="24"/>
                <w:highlight w:val="none"/>
              </w:rPr>
              <w:t>公平竞争</w:t>
            </w:r>
            <w:bookmarkEnd w:id="779"/>
          </w:p>
        </w:tc>
        <w:tc>
          <w:tcPr>
            <w:tcW w:w="6475" w:type="dxa"/>
            <w:vAlign w:val="center"/>
          </w:tcPr>
          <w:p>
            <w:pPr>
              <w:widowControl/>
              <w:spacing w:after="0" w:line="240" w:lineRule="auto"/>
              <w:jc w:val="left"/>
              <w:rPr>
                <w:rFonts w:hint="eastAsia" w:ascii="宋体" w:hAnsi="宋体" w:cs="宋体"/>
                <w:color w:val="auto"/>
                <w:kern w:val="0"/>
                <w:sz w:val="24"/>
                <w:highlight w:val="none"/>
              </w:rPr>
            </w:pPr>
            <w:bookmarkStart w:id="780" w:name="OLE_LINK25"/>
            <w:r>
              <w:rPr>
                <w:rFonts w:hint="eastAsia" w:ascii="宋体" w:hAnsi="宋体" w:cs="宋体"/>
                <w:color w:val="auto"/>
                <w:sz w:val="24"/>
                <w:highlight w:val="none"/>
              </w:rPr>
              <w:t>投标人遵循公平竞争的原则，不存在恶意串通，妨碍其他投标人的竞争行为，不存在损害采购人或者其他投标人的合法权益情形的；</w:t>
            </w:r>
            <w:bookmarkEnd w:id="7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s="宋体"/>
                <w:dstrike/>
                <w:color w:val="auto"/>
                <w:kern w:val="0"/>
                <w:sz w:val="24"/>
                <w:highlight w:val="none"/>
              </w:rPr>
            </w:pPr>
            <w:bookmarkStart w:id="781" w:name="_Hlk196842191"/>
            <w:r>
              <w:rPr>
                <w:rFonts w:hint="eastAsia" w:ascii="宋体" w:hAnsi="宋体" w:cs="宋体"/>
                <w:color w:val="auto"/>
                <w:kern w:val="0"/>
                <w:sz w:val="24"/>
                <w:highlight w:val="none"/>
              </w:rPr>
              <w:t>11</w:t>
            </w:r>
          </w:p>
        </w:tc>
        <w:tc>
          <w:tcPr>
            <w:tcW w:w="1746" w:type="dxa"/>
            <w:vAlign w:val="center"/>
          </w:tcPr>
          <w:p>
            <w:pPr>
              <w:widowControl/>
              <w:spacing w:after="0" w:line="240" w:lineRule="auto"/>
              <w:jc w:val="left"/>
              <w:rPr>
                <w:rFonts w:hint="eastAsia" w:ascii="宋体" w:hAnsi="宋体" w:cs="宋体"/>
                <w:dstrike/>
                <w:color w:val="auto"/>
                <w:kern w:val="0"/>
                <w:sz w:val="24"/>
                <w:highlight w:val="none"/>
              </w:rPr>
            </w:pPr>
            <w:r>
              <w:rPr>
                <w:rFonts w:hint="eastAsia" w:ascii="宋体" w:hAnsi="宋体" w:cs="宋体"/>
                <w:color w:val="auto"/>
                <w:kern w:val="0"/>
                <w:sz w:val="24"/>
                <w:highlight w:val="none"/>
              </w:rPr>
              <w:t>国家有关部门对投标人的投标产品有强制性规定或要求的</w:t>
            </w:r>
            <w:r>
              <w:rPr>
                <w:rFonts w:hint="eastAsia" w:ascii="宋体" w:hAnsi="宋体" w:cs="宋体"/>
                <w:color w:val="auto"/>
                <w:sz w:val="24"/>
                <w:highlight w:val="none"/>
              </w:rPr>
              <w:t>（如有）</w:t>
            </w:r>
          </w:p>
        </w:tc>
        <w:tc>
          <w:tcPr>
            <w:tcW w:w="6475" w:type="dxa"/>
            <w:vAlign w:val="center"/>
          </w:tcPr>
          <w:p>
            <w:pPr>
              <w:widowControl/>
              <w:adjustRightInd w:val="0"/>
              <w:snapToGrid w:val="0"/>
              <w:spacing w:after="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国家有关部门对投标人的投标产品有强制性规定或要求的（如相应技术、安全、节能和环保等），投标人的投标产品应符合相应规定或要求，并提供证明文件电子件：</w:t>
            </w:r>
          </w:p>
          <w:p>
            <w:pPr>
              <w:widowControl/>
              <w:adjustRightInd w:val="0"/>
              <w:snapToGrid w:val="0"/>
              <w:spacing w:after="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1）采购的产品若属于《节能产品政府采购品目清单》范围中政府强制采购产品，则投标人所报产品必须获得国家确定的认证机构出具的、处于有效期之内的节能产品认证证书；</w:t>
            </w:r>
          </w:p>
          <w:p>
            <w:pPr>
              <w:widowControl/>
              <w:adjustRightInd w:val="0"/>
              <w:snapToGrid w:val="0"/>
              <w:spacing w:after="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 </w:t>
            </w:r>
          </w:p>
          <w:p>
            <w:pPr>
              <w:widowControl/>
              <w:adjustRightInd w:val="0"/>
              <w:snapToGrid w:val="0"/>
              <w:spacing w:after="0" w:line="240" w:lineRule="auto"/>
              <w:jc w:val="left"/>
              <w:rPr>
                <w:rFonts w:hint="eastAsia" w:ascii="宋体" w:hAnsi="宋体" w:cs="宋体"/>
                <w:dstrike/>
                <w:color w:val="auto"/>
                <w:sz w:val="24"/>
                <w:highlight w:val="none"/>
              </w:rPr>
            </w:pPr>
            <w:r>
              <w:rPr>
                <w:rFonts w:hint="eastAsia" w:ascii="宋体" w:hAnsi="宋体" w:cs="宋体"/>
                <w:color w:val="auto"/>
                <w:kern w:val="0"/>
                <w:sz w:val="24"/>
                <w:highlight w:val="none"/>
              </w:rPr>
              <w:t>3）项目中涉及涂料、胶黏剂、油墨、清洗剂等挥发性有机物产品，且属于强制性标准的，供应商应执行符合本市和国家的 VOCs 含量限制标准。</w:t>
            </w:r>
          </w:p>
        </w:tc>
      </w:tr>
      <w:bookmarkEnd w:id="78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22" w:type="dxa"/>
            <w:vAlign w:val="center"/>
          </w:tcPr>
          <w:p>
            <w:pPr>
              <w:widowControl/>
              <w:spacing w:after="0" w:line="240" w:lineRule="auto"/>
              <w:jc w:val="center"/>
              <w:rPr>
                <w:rFonts w:hint="eastAsia" w:ascii="宋体" w:hAnsi="宋体" w:cs="宋体"/>
                <w:color w:val="auto"/>
                <w:kern w:val="0"/>
                <w:sz w:val="24"/>
                <w:highlight w:val="none"/>
              </w:rPr>
            </w:pPr>
            <w:bookmarkStart w:id="782" w:name="_Hlk196842245"/>
            <w:r>
              <w:rPr>
                <w:rFonts w:hint="eastAsia" w:ascii="宋体" w:hAnsi="宋体" w:cs="宋体"/>
                <w:color w:val="auto"/>
                <w:kern w:val="0"/>
                <w:sz w:val="24"/>
                <w:highlight w:val="none"/>
              </w:rPr>
              <w:t>12</w:t>
            </w:r>
          </w:p>
        </w:tc>
        <w:tc>
          <w:tcPr>
            <w:tcW w:w="1746" w:type="dxa"/>
            <w:vAlign w:val="center"/>
          </w:tcPr>
          <w:p>
            <w:pPr>
              <w:widowControl/>
              <w:spacing w:after="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串通投标</w:t>
            </w:r>
          </w:p>
        </w:tc>
        <w:tc>
          <w:tcPr>
            <w:tcW w:w="6475" w:type="dxa"/>
            <w:vAlign w:val="center"/>
          </w:tcPr>
          <w:p>
            <w:pPr>
              <w:widowControl/>
              <w:spacing w:after="0" w:line="240" w:lineRule="auto"/>
              <w:jc w:val="left"/>
              <w:rPr>
                <w:rFonts w:hint="eastAsia" w:ascii="宋体" w:hAnsi="宋体" w:cs="宋体"/>
                <w:color w:val="auto"/>
                <w:kern w:val="0"/>
                <w:sz w:val="24"/>
                <w:highlight w:val="none"/>
              </w:rPr>
            </w:pPr>
            <w:r>
              <w:rPr>
                <w:rFonts w:hint="eastAsia" w:ascii="宋体" w:hAnsi="宋体" w:cs="宋体"/>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bookmarkEnd w:id="78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22" w:type="dxa"/>
            <w:vAlign w:val="center"/>
          </w:tcPr>
          <w:p>
            <w:pPr>
              <w:widowControl/>
              <w:spacing w:after="0" w:line="24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13</w:t>
            </w:r>
          </w:p>
        </w:tc>
        <w:tc>
          <w:tcPr>
            <w:tcW w:w="1746" w:type="dxa"/>
            <w:vAlign w:val="center"/>
          </w:tcPr>
          <w:p>
            <w:pPr>
              <w:widowControl/>
              <w:spacing w:after="0" w:line="240" w:lineRule="auto"/>
              <w:jc w:val="left"/>
              <w:rPr>
                <w:rFonts w:hint="eastAsia" w:ascii="宋体" w:hAnsi="宋体" w:cs="宋体"/>
                <w:color w:val="auto"/>
                <w:kern w:val="0"/>
                <w:sz w:val="24"/>
                <w:highlight w:val="none"/>
              </w:rPr>
            </w:pPr>
            <w:bookmarkStart w:id="783" w:name="OLE_LINK22"/>
            <w:r>
              <w:rPr>
                <w:rFonts w:hint="eastAsia" w:ascii="宋体" w:hAnsi="宋体" w:cs="宋体"/>
                <w:color w:val="auto"/>
                <w:kern w:val="0"/>
                <w:sz w:val="24"/>
                <w:highlight w:val="none"/>
              </w:rPr>
              <w:t>附加条件</w:t>
            </w:r>
            <w:bookmarkEnd w:id="783"/>
          </w:p>
        </w:tc>
        <w:tc>
          <w:tcPr>
            <w:tcW w:w="6475" w:type="dxa"/>
            <w:vAlign w:val="center"/>
          </w:tcPr>
          <w:p>
            <w:pPr>
              <w:widowControl/>
              <w:spacing w:after="0" w:line="240" w:lineRule="auto"/>
              <w:jc w:val="left"/>
              <w:rPr>
                <w:rFonts w:hint="eastAsia" w:ascii="宋体" w:hAnsi="宋体" w:cs="宋体"/>
                <w:color w:val="auto"/>
                <w:sz w:val="24"/>
                <w:highlight w:val="none"/>
              </w:rPr>
            </w:pPr>
            <w:r>
              <w:rPr>
                <w:rFonts w:hint="eastAsia" w:ascii="宋体" w:hAnsi="宋体" w:cs="宋体"/>
                <w:color w:val="auto"/>
                <w:sz w:val="24"/>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s="宋体"/>
                <w:color w:val="auto"/>
                <w:kern w:val="0"/>
                <w:sz w:val="24"/>
                <w:highlight w:val="none"/>
              </w:rPr>
            </w:pPr>
            <w:bookmarkStart w:id="784" w:name="_Hlk201755858"/>
            <w:r>
              <w:rPr>
                <w:rFonts w:hint="eastAsia" w:ascii="宋体" w:hAnsi="宋体" w:cs="宋体"/>
                <w:color w:val="auto"/>
                <w:kern w:val="0"/>
                <w:sz w:val="24"/>
                <w:highlight w:val="none"/>
              </w:rPr>
              <w:t>14</w:t>
            </w:r>
          </w:p>
        </w:tc>
        <w:tc>
          <w:tcPr>
            <w:tcW w:w="1746" w:type="dxa"/>
            <w:vAlign w:val="center"/>
          </w:tcPr>
          <w:p>
            <w:pPr>
              <w:widowControl/>
              <w:spacing w:after="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其他无效情形</w:t>
            </w:r>
          </w:p>
        </w:tc>
        <w:tc>
          <w:tcPr>
            <w:tcW w:w="6475" w:type="dxa"/>
            <w:vAlign w:val="center"/>
          </w:tcPr>
          <w:p>
            <w:pPr>
              <w:widowControl/>
              <w:spacing w:after="0" w:line="240" w:lineRule="auto"/>
              <w:jc w:val="left"/>
              <w:rPr>
                <w:rFonts w:hint="eastAsia" w:ascii="宋体" w:hAnsi="宋体" w:cs="宋体"/>
                <w:color w:val="auto"/>
                <w:sz w:val="24"/>
                <w:highlight w:val="none"/>
              </w:rPr>
            </w:pPr>
            <w:r>
              <w:rPr>
                <w:rFonts w:hint="eastAsia" w:ascii="宋体" w:hAnsi="宋体" w:cs="宋体"/>
                <w:color w:val="auto"/>
                <w:sz w:val="24"/>
                <w:highlight w:val="none"/>
              </w:rPr>
              <w:t>投标人、投标文件不存在不符合法律、法规和招标文件规定的其他无效情形。</w:t>
            </w:r>
          </w:p>
        </w:tc>
      </w:tr>
      <w:bookmarkEnd w:id="784"/>
    </w:tbl>
    <w:p>
      <w:pPr>
        <w:numPr>
          <w:ilvl w:val="0"/>
          <w:numId w:val="18"/>
        </w:numPr>
        <w:tabs>
          <w:tab w:val="left" w:pos="360"/>
        </w:tabs>
        <w:snapToGrid w:val="0"/>
        <w:spacing w:line="360" w:lineRule="auto"/>
        <w:outlineLvl w:val="1"/>
        <w:rPr>
          <w:rFonts w:hint="eastAsia" w:ascii="宋体" w:hAnsi="宋体" w:cs="宋体"/>
          <w:color w:val="auto"/>
          <w:sz w:val="24"/>
          <w:highlight w:val="none"/>
        </w:rPr>
      </w:pPr>
      <w:r>
        <w:rPr>
          <w:rFonts w:hint="eastAsia" w:ascii="宋体" w:hAnsi="宋体" w:cs="宋体"/>
          <w:color w:val="auto"/>
          <w:sz w:val="24"/>
          <w:highlight w:val="none"/>
        </w:rPr>
        <w:t>投标文件有关事项的澄清或者说明</w:t>
      </w:r>
    </w:p>
    <w:p>
      <w:pPr>
        <w:numPr>
          <w:ilvl w:val="1"/>
          <w:numId w:val="18"/>
        </w:numPr>
        <w:tabs>
          <w:tab w:val="left" w:pos="1080"/>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电子形式，并加盖公章，或者由法定代表人或其授权的代表签章或签字，在北京市政府采购电子交易平台系统中按评标委员会规定的回复时间内完成澄清回复。投标人的澄清、说明或者补正不得超出投标文件的范围或者改变投标文件的实质性内容。澄清文件将作为投标文件内容的一部分。</w:t>
      </w:r>
    </w:p>
    <w:p>
      <w:pPr>
        <w:numPr>
          <w:ilvl w:val="1"/>
          <w:numId w:val="18"/>
        </w:numPr>
        <w:tabs>
          <w:tab w:val="left" w:pos="1080"/>
        </w:tabs>
        <w:snapToGrid w:val="0"/>
        <w:spacing w:line="360" w:lineRule="auto"/>
        <w:ind w:left="1077" w:hanging="720"/>
        <w:rPr>
          <w:rFonts w:hint="eastAsia" w:ascii="宋体" w:hAnsi="宋体" w:cs="宋体"/>
          <w:color w:val="auto"/>
          <w:sz w:val="24"/>
          <w:highlight w:val="none"/>
        </w:rPr>
      </w:pPr>
      <w:bookmarkStart w:id="785" w:name="_Hlk220085436"/>
      <w:r>
        <w:rPr>
          <w:rFonts w:hint="eastAsia" w:ascii="宋体" w:hAnsi="宋体" w:cs="宋体"/>
          <w:color w:val="auto"/>
          <w:sz w:val="24"/>
          <w:highlight w:val="none"/>
        </w:rPr>
        <w:t>异常低价处理</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cs="宋体"/>
          <w:color w:val="auto"/>
          <w:sz w:val="24"/>
          <w:highlight w:val="none"/>
        </w:rPr>
      </w:pPr>
      <w:r>
        <w:rPr>
          <w:rFonts w:hint="eastAsia" w:ascii="宋体" w:hAnsi="宋体" w:cs="宋体"/>
          <w:color w:val="auto"/>
          <w:sz w:val="24"/>
          <w:highlight w:val="none"/>
        </w:rPr>
        <w:t xml:space="preserve"> 政府采购评审中出现下列情形之一的，评审委员会应当启动异常低价投标（响应）审查程序：</w:t>
      </w:r>
    </w:p>
    <w:p>
      <w:pPr>
        <w:tabs>
          <w:tab w:val="left" w:pos="1589"/>
          <w:tab w:val="left" w:pos="1701"/>
          <w:tab w:val="left" w:pos="2035"/>
          <w:tab w:val="left" w:pos="2114"/>
        </w:tabs>
        <w:snapToGrid w:val="0"/>
        <w:spacing w:line="360" w:lineRule="auto"/>
        <w:ind w:left="1843" w:hanging="2"/>
        <w:rPr>
          <w:rFonts w:hint="eastAsia" w:ascii="宋体" w:hAnsi="宋体" w:cs="宋体"/>
          <w:color w:val="auto"/>
          <w:sz w:val="24"/>
          <w:highlight w:val="none"/>
        </w:rPr>
      </w:pPr>
      <w:r>
        <w:rPr>
          <w:rFonts w:hint="eastAsia" w:ascii="宋体" w:hAnsi="宋体" w:cs="宋体"/>
          <w:color w:val="auto"/>
          <w:sz w:val="24"/>
          <w:highlight w:val="none"/>
        </w:rPr>
        <w:t>（1）投标（响应）报价低于全部通过符合性审查供应商投标（响应）报价平均值50%的，即投标（响应）报价&lt;全部通过符合性审查供应商投标（响应）报价平均值×50%；</w:t>
      </w:r>
    </w:p>
    <w:p>
      <w:pPr>
        <w:tabs>
          <w:tab w:val="left" w:pos="1589"/>
          <w:tab w:val="left" w:pos="1701"/>
          <w:tab w:val="left" w:pos="2035"/>
          <w:tab w:val="left" w:pos="2114"/>
        </w:tabs>
        <w:snapToGrid w:val="0"/>
        <w:spacing w:line="360" w:lineRule="auto"/>
        <w:ind w:left="1843" w:hanging="2"/>
        <w:rPr>
          <w:rFonts w:hint="eastAsia" w:ascii="宋体" w:hAnsi="宋体" w:cs="宋体"/>
          <w:color w:val="auto"/>
          <w:sz w:val="24"/>
          <w:highlight w:val="none"/>
        </w:rPr>
      </w:pPr>
      <w:r>
        <w:rPr>
          <w:rFonts w:hint="eastAsia" w:ascii="宋体" w:hAnsi="宋体" w:cs="宋体"/>
          <w:color w:val="auto"/>
          <w:sz w:val="24"/>
          <w:highlight w:val="none"/>
        </w:rPr>
        <w:t>（2）投标（响应）报价低于通过符合性审查的次低报价供应商投标（响应）报价50%的，即投标（响应）报价&lt;通过符合性审查的次低报价供应商投标（响应）报价×50%；</w:t>
      </w:r>
    </w:p>
    <w:p>
      <w:pPr>
        <w:tabs>
          <w:tab w:val="left" w:pos="1589"/>
          <w:tab w:val="left" w:pos="1701"/>
          <w:tab w:val="left" w:pos="2035"/>
          <w:tab w:val="left" w:pos="2114"/>
        </w:tabs>
        <w:snapToGrid w:val="0"/>
        <w:spacing w:line="360" w:lineRule="auto"/>
        <w:ind w:left="1843" w:hanging="2"/>
        <w:rPr>
          <w:rFonts w:hint="eastAsia" w:ascii="宋体" w:hAnsi="宋体" w:cs="宋体"/>
          <w:color w:val="auto"/>
          <w:sz w:val="24"/>
          <w:highlight w:val="none"/>
        </w:rPr>
      </w:pPr>
      <w:r>
        <w:rPr>
          <w:rFonts w:hint="eastAsia" w:ascii="宋体" w:hAnsi="宋体" w:cs="宋体"/>
          <w:color w:val="auto"/>
          <w:sz w:val="24"/>
          <w:highlight w:val="none"/>
        </w:rPr>
        <w:t>（3）投标（响应）报价低于采购项目最高限价45%的，即投标（响应）报价&lt;采购项目最高限价×45%；未设定最高限价的采购项目，以采购项目预算金额作为最高限价；</w:t>
      </w:r>
    </w:p>
    <w:p>
      <w:pPr>
        <w:tabs>
          <w:tab w:val="left" w:pos="1589"/>
          <w:tab w:val="left" w:pos="1701"/>
          <w:tab w:val="left" w:pos="2035"/>
          <w:tab w:val="left" w:pos="2114"/>
        </w:tabs>
        <w:snapToGrid w:val="0"/>
        <w:spacing w:line="360" w:lineRule="auto"/>
        <w:ind w:left="1843" w:hanging="2"/>
        <w:rPr>
          <w:rFonts w:hint="eastAsia" w:ascii="宋体" w:hAnsi="宋体" w:cs="宋体"/>
          <w:color w:val="auto"/>
          <w:sz w:val="24"/>
          <w:highlight w:val="none"/>
        </w:rPr>
      </w:pPr>
      <w:r>
        <w:rPr>
          <w:rFonts w:hint="eastAsia" w:ascii="宋体" w:hAnsi="宋体" w:cs="宋体"/>
          <w:color w:val="auto"/>
          <w:sz w:val="24"/>
          <w:highlight w:val="none"/>
        </w:rPr>
        <w:t>（4）评审委员会基于专业判断，认为供应商报价过低，有可能影响产品质量或者不能诚信履约的其他情形。</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cs="宋体"/>
          <w:color w:val="auto"/>
          <w:sz w:val="24"/>
          <w:highlight w:val="none"/>
        </w:rPr>
      </w:pPr>
      <w:r>
        <w:rPr>
          <w:rFonts w:hint="eastAsia" w:ascii="宋体" w:hAnsi="宋体" w:cs="宋体"/>
          <w:color w:val="auto"/>
          <w:sz w:val="24"/>
          <w:highlight w:val="none"/>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cs="宋体"/>
          <w:color w:val="auto"/>
          <w:sz w:val="24"/>
          <w:highlight w:val="none"/>
        </w:rPr>
      </w:pPr>
      <w:r>
        <w:rPr>
          <w:rFonts w:hint="eastAsia" w:ascii="宋体" w:hAnsi="宋体" w:cs="宋体"/>
          <w:color w:val="auto"/>
          <w:sz w:val="24"/>
          <w:highlight w:val="none"/>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宋体" w:hAnsi="宋体" w:cs="宋体"/>
          <w:b/>
          <w:bCs/>
          <w:color w:val="auto"/>
          <w:sz w:val="24"/>
          <w:highlight w:val="none"/>
        </w:rPr>
        <w:t>无效投标（响应）</w:t>
      </w:r>
      <w:r>
        <w:rPr>
          <w:rFonts w:hint="eastAsia" w:ascii="宋体" w:hAnsi="宋体" w:cs="宋体"/>
          <w:color w:val="auto"/>
          <w:sz w:val="24"/>
          <w:highlight w:val="none"/>
        </w:rPr>
        <w:t>处理。</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cs="宋体"/>
          <w:color w:val="auto"/>
          <w:sz w:val="24"/>
          <w:highlight w:val="none"/>
        </w:rPr>
      </w:pPr>
      <w:bookmarkStart w:id="786" w:name="_Hlk190337965"/>
      <w:r>
        <w:rPr>
          <w:rFonts w:hint="eastAsia" w:ascii="宋体" w:hAnsi="宋体" w:cs="宋体"/>
          <w:color w:val="auto"/>
          <w:sz w:val="24"/>
          <w:highlight w:val="none"/>
        </w:rPr>
        <w:t xml:space="preserve"> 上述投标（响应）报价指按照本章2.4修正后的报价</w:t>
      </w:r>
      <w:bookmarkEnd w:id="786"/>
      <w:r>
        <w:rPr>
          <w:rFonts w:hint="eastAsia" w:ascii="宋体" w:hAnsi="宋体" w:cs="宋体"/>
          <w:color w:val="auto"/>
          <w:sz w:val="24"/>
          <w:highlight w:val="none"/>
        </w:rPr>
        <w:t>。</w:t>
      </w:r>
    </w:p>
    <w:bookmarkEnd w:id="785"/>
    <w:p>
      <w:pPr>
        <w:numPr>
          <w:ilvl w:val="1"/>
          <w:numId w:val="18"/>
        </w:numPr>
        <w:tabs>
          <w:tab w:val="left" w:pos="1080"/>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pPr>
        <w:numPr>
          <w:ilvl w:val="1"/>
          <w:numId w:val="18"/>
        </w:numPr>
        <w:tabs>
          <w:tab w:val="left" w:pos="1080"/>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投标文件报价出现前后不一致的，按照下列规定修正：</w:t>
      </w:r>
    </w:p>
    <w:p>
      <w:pPr>
        <w:numPr>
          <w:ilvl w:val="2"/>
          <w:numId w:val="18"/>
        </w:numPr>
        <w:tabs>
          <w:tab w:val="left" w:pos="1080"/>
          <w:tab w:val="left" w:pos="1589"/>
          <w:tab w:val="left" w:pos="2035"/>
          <w:tab w:val="left" w:pos="2114"/>
        </w:tabs>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color w:val="auto"/>
          <w:sz w:val="24"/>
          <w:highlight w:val="none"/>
          <w:u w:val="single"/>
        </w:rPr>
      </w:pPr>
      <w:r>
        <w:rPr>
          <w:rFonts w:hint="eastAsia" w:ascii="宋体" w:hAnsi="宋体" w:cs="宋体"/>
          <w:color w:val="auto"/>
          <w:sz w:val="24"/>
          <w:highlight w:val="none"/>
        </w:rPr>
        <w:t>□有，具体规定为：______________</w:t>
      </w:r>
    </w:p>
    <w:p>
      <w:pPr>
        <w:tabs>
          <w:tab w:val="left" w:pos="1080"/>
          <w:tab w:val="left" w:pos="1589"/>
          <w:tab w:val="left" w:pos="2035"/>
          <w:tab w:val="left" w:pos="2114"/>
        </w:tabs>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■无，按下述2.4.2-2.4.7项规定修正。</w:t>
      </w:r>
    </w:p>
    <w:p>
      <w:pPr>
        <w:numPr>
          <w:ilvl w:val="2"/>
          <w:numId w:val="18"/>
        </w:numPr>
        <w:tabs>
          <w:tab w:val="left" w:pos="2035"/>
          <w:tab w:val="left" w:pos="2114"/>
          <w:tab w:val="left" w:pos="2977"/>
        </w:tabs>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单独递交的开标一览表（报价表）与投标文件中开标一览表（报价表）内容不一致的，以单独递交的开标一览表（报价表）为准；</w:t>
      </w:r>
    </w:p>
    <w:p>
      <w:pPr>
        <w:numPr>
          <w:ilvl w:val="2"/>
          <w:numId w:val="18"/>
        </w:numPr>
        <w:tabs>
          <w:tab w:val="left" w:pos="2035"/>
          <w:tab w:val="left" w:pos="2114"/>
          <w:tab w:val="left" w:pos="2977"/>
        </w:tabs>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投标文件中开标一览表（报价表）内容与投标文件中相应内容不一致的，以开标一览表（报价表）为准；</w:t>
      </w:r>
    </w:p>
    <w:p>
      <w:pPr>
        <w:numPr>
          <w:ilvl w:val="2"/>
          <w:numId w:val="18"/>
        </w:numPr>
        <w:tabs>
          <w:tab w:val="left" w:pos="2035"/>
          <w:tab w:val="left" w:pos="2114"/>
          <w:tab w:val="left" w:pos="2977"/>
        </w:tabs>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大写金额和小写金额不一致的，以大写金额为准；</w:t>
      </w:r>
    </w:p>
    <w:p>
      <w:pPr>
        <w:numPr>
          <w:ilvl w:val="2"/>
          <w:numId w:val="18"/>
        </w:numPr>
        <w:tabs>
          <w:tab w:val="left" w:pos="2035"/>
          <w:tab w:val="left" w:pos="2114"/>
          <w:tab w:val="left" w:pos="2977"/>
        </w:tabs>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单价金额小数点或者百分比有明显错位的，以开标一览表的总价为准，并修改单价；</w:t>
      </w:r>
    </w:p>
    <w:p>
      <w:pPr>
        <w:numPr>
          <w:ilvl w:val="2"/>
          <w:numId w:val="18"/>
        </w:numPr>
        <w:tabs>
          <w:tab w:val="left" w:pos="2035"/>
          <w:tab w:val="left" w:pos="2114"/>
          <w:tab w:val="left" w:pos="2977"/>
        </w:tabs>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总价金额与按单价汇总金额不一致的，以单价金额计算结果为准。</w:t>
      </w:r>
    </w:p>
    <w:p>
      <w:pPr>
        <w:numPr>
          <w:ilvl w:val="2"/>
          <w:numId w:val="18"/>
        </w:numPr>
        <w:tabs>
          <w:tab w:val="left" w:pos="1080"/>
          <w:tab w:val="left" w:pos="1589"/>
          <w:tab w:val="left" w:pos="2035"/>
          <w:tab w:val="left" w:pos="2114"/>
        </w:tabs>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同时出现两种以上不一致的，按照前款规定的顺序修正。修正后的报价经投标人书面确认后产生约束力，投标人不确认的，其</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pPr>
        <w:numPr>
          <w:ilvl w:val="1"/>
          <w:numId w:val="18"/>
        </w:numPr>
        <w:tabs>
          <w:tab w:val="left" w:pos="1080"/>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落实政府采购政策的价格调整：只有符合第二章《投标人须知》5.2条规定情形的，可以享受中小企业扶持政策，用扣除后的价格参加评审；否则，评标时价格不予扣除。</w:t>
      </w:r>
    </w:p>
    <w:p>
      <w:pPr>
        <w:numPr>
          <w:ilvl w:val="2"/>
          <w:numId w:val="18"/>
        </w:numPr>
        <w:tabs>
          <w:tab w:val="left" w:pos="1080"/>
          <w:tab w:val="left" w:pos="1589"/>
          <w:tab w:val="left" w:pos="2035"/>
        </w:tabs>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对于未预留份额专门面向中小企业采购的采购项目，以及预留份额项目中的非预留部分采购包，对小微企业报价给予</w:t>
      </w:r>
      <w:r>
        <w:rPr>
          <w:rFonts w:hint="eastAsia" w:ascii="宋体" w:hAnsi="宋体" w:cs="宋体"/>
          <w:color w:val="auto"/>
          <w:sz w:val="24"/>
          <w:highlight w:val="none"/>
          <w:u w:val="single"/>
        </w:rPr>
        <w:t>10%</w:t>
      </w:r>
      <w:r>
        <w:rPr>
          <w:rFonts w:hint="eastAsia" w:ascii="宋体" w:hAnsi="宋体" w:cs="宋体"/>
          <w:color w:val="auto"/>
          <w:sz w:val="24"/>
          <w:highlight w:val="none"/>
        </w:rPr>
        <w:t>的扣除，用扣除后的价格参加评审。</w:t>
      </w:r>
    </w:p>
    <w:p>
      <w:pPr>
        <w:numPr>
          <w:ilvl w:val="2"/>
          <w:numId w:val="18"/>
        </w:numPr>
        <w:tabs>
          <w:tab w:val="left" w:pos="1080"/>
          <w:tab w:val="left" w:pos="1589"/>
          <w:tab w:val="left" w:pos="2035"/>
        </w:tabs>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highlight w:val="none"/>
          <w:u w:val="single"/>
        </w:rPr>
        <w:t>4</w:t>
      </w:r>
      <w:r>
        <w:rPr>
          <w:rFonts w:hint="eastAsia" w:ascii="宋体" w:hAnsi="宋体" w:cs="宋体"/>
          <w:color w:val="auto"/>
          <w:sz w:val="24"/>
          <w:highlight w:val="none"/>
        </w:rPr>
        <w:t>%的扣除，用扣除后的价格参加评审。</w:t>
      </w:r>
    </w:p>
    <w:p>
      <w:pPr>
        <w:numPr>
          <w:ilvl w:val="2"/>
          <w:numId w:val="18"/>
        </w:numPr>
        <w:tabs>
          <w:tab w:val="left" w:pos="1080"/>
          <w:tab w:val="left" w:pos="1589"/>
          <w:tab w:val="left" w:pos="2035"/>
        </w:tabs>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组成联合体或者接受分包的小微企业与联合体内其他企业、分包企业之间存在直接控股、管理关系的，不享受价格扣除优惠政策。</w:t>
      </w:r>
    </w:p>
    <w:p>
      <w:pPr>
        <w:numPr>
          <w:ilvl w:val="2"/>
          <w:numId w:val="18"/>
        </w:numPr>
        <w:tabs>
          <w:tab w:val="left" w:pos="1080"/>
          <w:tab w:val="left" w:pos="1589"/>
          <w:tab w:val="left" w:pos="2035"/>
        </w:tabs>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价格扣除比例对小型企业和微型企业同等对待，不作区分。</w:t>
      </w:r>
    </w:p>
    <w:p>
      <w:pPr>
        <w:numPr>
          <w:ilvl w:val="2"/>
          <w:numId w:val="18"/>
        </w:numPr>
        <w:tabs>
          <w:tab w:val="left" w:pos="1080"/>
          <w:tab w:val="left" w:pos="1589"/>
          <w:tab w:val="left" w:pos="2035"/>
        </w:tabs>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中小企业参加政府采购活动，应当按照招标文件给定的格式出具《中小企业声明函》，否则不得享受相关中小企业扶持政策。</w:t>
      </w:r>
    </w:p>
    <w:p>
      <w:pPr>
        <w:numPr>
          <w:ilvl w:val="2"/>
          <w:numId w:val="18"/>
        </w:numPr>
        <w:tabs>
          <w:tab w:val="left" w:pos="1080"/>
          <w:tab w:val="left" w:pos="1589"/>
          <w:tab w:val="left" w:pos="2035"/>
        </w:tabs>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监狱企业提供了由省级以上监狱管理局（北京市含教育矫治局）、戒毒管理局（含新疆生产建设兵团）出具的属于监狱企业的证明文件的，视同小微企业。</w:t>
      </w:r>
    </w:p>
    <w:p>
      <w:pPr>
        <w:numPr>
          <w:ilvl w:val="2"/>
          <w:numId w:val="18"/>
        </w:numPr>
        <w:tabs>
          <w:tab w:val="left" w:pos="1080"/>
          <w:tab w:val="left" w:pos="1589"/>
          <w:tab w:val="left" w:pos="2035"/>
        </w:tabs>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残疾人福利性单位按招标文件要求提供了《残疾人福利性单位声明函》（见附件）的，视同小微企业。</w:t>
      </w:r>
    </w:p>
    <w:p>
      <w:pPr>
        <w:numPr>
          <w:ilvl w:val="2"/>
          <w:numId w:val="18"/>
        </w:numPr>
        <w:tabs>
          <w:tab w:val="left" w:pos="1080"/>
          <w:tab w:val="left" w:pos="1589"/>
          <w:tab w:val="left" w:pos="2014"/>
          <w:tab w:val="clear" w:pos="1980"/>
        </w:tabs>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若投标人同时属于小型或微型企业、监狱企业、残疾人福利性单位中的两种及以上，将不重复享受小微企业价格扣减的优惠政策。</w:t>
      </w:r>
    </w:p>
    <w:p>
      <w:pPr>
        <w:numPr>
          <w:ilvl w:val="1"/>
          <w:numId w:val="18"/>
        </w:numPr>
        <w:tabs>
          <w:tab w:val="left" w:pos="1080"/>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支持本国产品政府采购的价格调整：只有符合第二章《投标人须知》5.2条规定情形的，可以享受本国产品支持政策，用扣除后的价格参加评审；否则，评标时价格不予扣除。</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宋体" w:hAnsi="宋体" w:cs="宋体"/>
          <w:color w:val="auto"/>
          <w:sz w:val="24"/>
          <w:highlight w:val="none"/>
        </w:rPr>
      </w:pPr>
      <w:r>
        <w:rPr>
          <w:rFonts w:hint="eastAsia" w:ascii="宋体" w:hAnsi="宋体" w:cs="宋体"/>
          <w:color w:val="auto"/>
          <w:sz w:val="24"/>
          <w:highlight w:val="none"/>
        </w:rPr>
        <w:t>本项目既有本国产品又有非本国产品参与竞争的，依法对本国产品给予价格评审优惠，对本国产品的报价给予20%的价格扣除，用扣除后的价格参与评审。</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宋体" w:hAnsi="宋体" w:cs="宋体"/>
          <w:color w:val="auto"/>
          <w:sz w:val="24"/>
          <w:highlight w:val="none"/>
        </w:rPr>
      </w:pPr>
      <w:r>
        <w:rPr>
          <w:rFonts w:hint="eastAsia" w:ascii="宋体" w:hAnsi="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宋体" w:hAnsi="宋体" w:cs="宋体"/>
          <w:color w:val="auto"/>
          <w:sz w:val="24"/>
          <w:highlight w:val="none"/>
        </w:rPr>
      </w:pPr>
      <w:r>
        <w:rPr>
          <w:rFonts w:hint="eastAsia" w:ascii="宋体" w:hAnsi="宋体" w:cs="宋体"/>
          <w:color w:val="auto"/>
          <w:sz w:val="24"/>
          <w:highlight w:val="none"/>
        </w:rPr>
        <w:t>供应商提供本国产品参加政府采购活动的，应当按照招标文件给定的格式出具《关于符合本国产品标准的声明函》或提供财政部会同有关部门规定的有关证明文件，否则视为非本国产品。</w:t>
      </w:r>
    </w:p>
    <w:p>
      <w:pPr>
        <w:numPr>
          <w:ilvl w:val="0"/>
          <w:numId w:val="18"/>
        </w:numPr>
        <w:tabs>
          <w:tab w:val="left" w:pos="360"/>
        </w:tabs>
        <w:snapToGrid w:val="0"/>
        <w:spacing w:line="360" w:lineRule="auto"/>
        <w:outlineLvl w:val="1"/>
        <w:rPr>
          <w:rFonts w:hint="eastAsia" w:ascii="宋体" w:hAnsi="宋体" w:cs="宋体"/>
          <w:color w:val="auto"/>
          <w:sz w:val="24"/>
          <w:highlight w:val="none"/>
        </w:rPr>
      </w:pPr>
      <w:r>
        <w:rPr>
          <w:rFonts w:hint="eastAsia" w:ascii="宋体" w:hAnsi="宋体" w:cs="宋体"/>
          <w:color w:val="auto"/>
          <w:sz w:val="24"/>
          <w:highlight w:val="none"/>
        </w:rPr>
        <w:t>投标文件的比较和评价</w:t>
      </w:r>
      <w:bookmarkEnd w:id="750"/>
      <w:bookmarkEnd w:id="751"/>
    </w:p>
    <w:p>
      <w:pPr>
        <w:numPr>
          <w:ilvl w:val="1"/>
          <w:numId w:val="18"/>
        </w:numPr>
        <w:tabs>
          <w:tab w:val="left" w:pos="1080"/>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pPr>
        <w:numPr>
          <w:ilvl w:val="1"/>
          <w:numId w:val="18"/>
        </w:numPr>
        <w:tabs>
          <w:tab w:val="left" w:pos="1080"/>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评标方法和评标标准</w:t>
      </w:r>
    </w:p>
    <w:p>
      <w:pPr>
        <w:numPr>
          <w:ilvl w:val="2"/>
          <w:numId w:val="18"/>
        </w:numPr>
        <w:tabs>
          <w:tab w:val="left" w:pos="1080"/>
          <w:tab w:val="left" w:pos="1589"/>
          <w:tab w:val="left" w:pos="2035"/>
        </w:tabs>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本项目采用的评标方法为：</w:t>
      </w:r>
    </w:p>
    <w:p>
      <w:pPr>
        <w:tabs>
          <w:tab w:val="left" w:pos="900"/>
          <w:tab w:val="left" w:pos="1589"/>
          <w:tab w:val="left" w:pos="1701"/>
        </w:tabs>
        <w:snapToGrid w:val="0"/>
        <w:spacing w:line="360" w:lineRule="auto"/>
        <w:ind w:left="1985"/>
        <w:rPr>
          <w:rFonts w:hint="eastAsia" w:ascii="宋体" w:hAnsi="宋体" w:cs="宋体"/>
          <w:color w:val="auto"/>
          <w:sz w:val="24"/>
          <w:highlight w:val="none"/>
        </w:rPr>
      </w:pPr>
      <w:r>
        <w:rPr>
          <w:rFonts w:hint="eastAsia" w:ascii="宋体" w:hAnsi="宋体" w:cs="宋体"/>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color w:val="auto"/>
          <w:sz w:val="24"/>
          <w:highlight w:val="none"/>
        </w:rPr>
      </w:pPr>
      <w:r>
        <w:rPr>
          <w:rFonts w:hint="eastAsia" w:ascii="宋体" w:hAnsi="宋体" w:cs="宋体"/>
          <w:color w:val="auto"/>
          <w:sz w:val="24"/>
          <w:highlight w:val="none"/>
        </w:rPr>
        <w:t>□最低评标价法，指投标文件满足招标文件全部实质性要求，且投标报价最低的投标人为中标候选人的评标方法。</w:t>
      </w:r>
    </w:p>
    <w:p>
      <w:pPr>
        <w:numPr>
          <w:ilvl w:val="2"/>
          <w:numId w:val="18"/>
        </w:numPr>
        <w:tabs>
          <w:tab w:val="left" w:pos="1080"/>
          <w:tab w:val="left" w:pos="1589"/>
          <w:tab w:val="left" w:pos="2035"/>
        </w:tabs>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pPr>
        <w:tabs>
          <w:tab w:val="left" w:pos="1080"/>
          <w:tab w:val="left" w:pos="1589"/>
          <w:tab w:val="left" w:pos="2035"/>
        </w:tabs>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□随机抽取</w:t>
      </w:r>
    </w:p>
    <w:p>
      <w:pPr>
        <w:tabs>
          <w:tab w:val="left" w:pos="1080"/>
          <w:tab w:val="left" w:pos="1589"/>
          <w:tab w:val="left" w:pos="2035"/>
        </w:tabs>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■其他方式，具体要求：__</w:t>
      </w:r>
      <w:r>
        <w:rPr>
          <w:rFonts w:hint="eastAsia" w:ascii="宋体" w:hAnsi="宋体" w:cs="宋体"/>
          <w:color w:val="auto"/>
          <w:sz w:val="24"/>
          <w:highlight w:val="none"/>
          <w:u w:val="single"/>
        </w:rPr>
        <w:t>_/</w:t>
      </w:r>
      <w:r>
        <w:rPr>
          <w:rFonts w:hint="eastAsia" w:ascii="宋体" w:hAnsi="宋体" w:cs="宋体"/>
          <w:color w:val="auto"/>
          <w:sz w:val="24"/>
          <w:highlight w:val="none"/>
        </w:rPr>
        <w:t>__</w:t>
      </w:r>
    </w:p>
    <w:p>
      <w:pPr>
        <w:numPr>
          <w:ilvl w:val="2"/>
          <w:numId w:val="18"/>
        </w:numPr>
        <w:tabs>
          <w:tab w:val="left" w:pos="1080"/>
          <w:tab w:val="left" w:pos="1589"/>
          <w:tab w:val="left" w:pos="2035"/>
        </w:tabs>
        <w:snapToGrid w:val="0"/>
        <w:spacing w:line="360" w:lineRule="auto"/>
        <w:ind w:left="2035"/>
        <w:rPr>
          <w:rFonts w:hint="eastAsia" w:ascii="宋体" w:hAnsi="宋体" w:cs="宋体"/>
          <w:color w:val="auto"/>
          <w:sz w:val="24"/>
          <w:highlight w:val="none"/>
        </w:rPr>
      </w:pPr>
      <w:r>
        <w:rPr>
          <w:rFonts w:hint="eastAsia" w:ascii="宋体" w:hAnsi="宋体" w:cs="宋体"/>
          <w:color w:val="auto"/>
          <w:sz w:val="24"/>
          <w:highlight w:val="none"/>
        </w:rPr>
        <w:t>非政府强制采购的节能产品或环境标志产品，依据品目清单和认证证书实施政府优先采购。优先采购的具体规定</w:t>
      </w:r>
      <w:r>
        <w:rPr>
          <w:rFonts w:hint="eastAsia" w:ascii="宋体" w:hAnsi="宋体" w:cs="宋体"/>
          <w:color w:val="auto"/>
          <w:sz w:val="24"/>
          <w:highlight w:val="none"/>
          <w:u w:val="single"/>
        </w:rPr>
        <w:t>详见评分细则</w:t>
      </w:r>
      <w:r>
        <w:rPr>
          <w:rFonts w:hint="eastAsia" w:ascii="宋体" w:hAnsi="宋体" w:cs="宋体"/>
          <w:color w:val="auto"/>
          <w:sz w:val="24"/>
          <w:highlight w:val="none"/>
        </w:rPr>
        <w:t>。</w:t>
      </w:r>
    </w:p>
    <w:p>
      <w:pPr>
        <w:numPr>
          <w:ilvl w:val="0"/>
          <w:numId w:val="18"/>
        </w:numPr>
        <w:tabs>
          <w:tab w:val="left" w:pos="360"/>
        </w:tabs>
        <w:snapToGrid w:val="0"/>
        <w:spacing w:line="360" w:lineRule="auto"/>
        <w:outlineLvl w:val="1"/>
        <w:rPr>
          <w:rFonts w:hint="eastAsia" w:ascii="宋体" w:hAnsi="宋体" w:cs="宋体"/>
          <w:color w:val="auto"/>
          <w:sz w:val="24"/>
          <w:highlight w:val="none"/>
        </w:rPr>
      </w:pPr>
      <w:r>
        <w:rPr>
          <w:rFonts w:hint="eastAsia" w:ascii="宋体" w:hAnsi="宋体" w:cs="宋体"/>
          <w:color w:val="auto"/>
          <w:sz w:val="24"/>
          <w:highlight w:val="none"/>
        </w:rPr>
        <w:t>确定</w:t>
      </w:r>
      <w:bookmarkStart w:id="787" w:name="_Toc142311048"/>
      <w:bookmarkStart w:id="788" w:name="_Toc164351640"/>
      <w:bookmarkStart w:id="789" w:name="_Toc151193788"/>
      <w:bookmarkStart w:id="790" w:name="_Toc265228384"/>
      <w:bookmarkStart w:id="791" w:name="_Toc305158814"/>
      <w:bookmarkStart w:id="792" w:name="_Toc150509297"/>
      <w:bookmarkStart w:id="793" w:name="_Toc226309790"/>
      <w:bookmarkStart w:id="794" w:name="_Toc151190173"/>
      <w:bookmarkStart w:id="795" w:name="_Toc226965736"/>
      <w:bookmarkStart w:id="796" w:name="_Toc195842911"/>
      <w:bookmarkStart w:id="797" w:name="_Toc149720839"/>
      <w:bookmarkStart w:id="798" w:name="_Toc164608815"/>
      <w:bookmarkStart w:id="799" w:name="_Toc151193644"/>
      <w:bookmarkStart w:id="800" w:name="_Toc151193860"/>
      <w:bookmarkStart w:id="801" w:name="_Toc151193716"/>
      <w:bookmarkStart w:id="802" w:name="_Toc226965819"/>
      <w:bookmarkStart w:id="803" w:name="_Toc127161460"/>
      <w:bookmarkStart w:id="804" w:name="_Toc150774751"/>
      <w:bookmarkStart w:id="805" w:name="_Toc150774646"/>
      <w:bookmarkStart w:id="806" w:name="_Toc226337242"/>
      <w:bookmarkStart w:id="807" w:name="_Toc127151747"/>
      <w:bookmarkStart w:id="808" w:name="_Toc127151546"/>
      <w:bookmarkStart w:id="809" w:name="_Toc164608660"/>
      <w:bookmarkStart w:id="810" w:name="_Toc264969236"/>
      <w:bookmarkStart w:id="811" w:name="_Toc164229241"/>
      <w:bookmarkStart w:id="812" w:name="_Toc305158888"/>
      <w:bookmarkStart w:id="813" w:name="_Ref467307010"/>
      <w:bookmarkStart w:id="814" w:name="_Toc150480784"/>
      <w:bookmarkStart w:id="815" w:name="_Toc151193934"/>
      <w:bookmarkStart w:id="816" w:name="_Toc520356170"/>
      <w:bookmarkStart w:id="817" w:name="_Toc164229387"/>
      <w:r>
        <w:rPr>
          <w:rFonts w:hint="eastAsia" w:ascii="宋体" w:hAnsi="宋体" w:cs="宋体"/>
          <w:color w:val="auto"/>
          <w:sz w:val="24"/>
          <w:highlight w:val="none"/>
        </w:rPr>
        <w:t>中标候选人名单</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pPr>
        <w:numPr>
          <w:ilvl w:val="1"/>
          <w:numId w:val="18"/>
        </w:numPr>
        <w:tabs>
          <w:tab w:val="left" w:pos="1080"/>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3"/>
        <w:tabs>
          <w:tab w:val="left" w:pos="900"/>
          <w:tab w:val="left" w:pos="2127"/>
        </w:tabs>
        <w:adjustRightInd w:val="0"/>
        <w:snapToGrid w:val="0"/>
        <w:spacing w:line="360" w:lineRule="auto"/>
        <w:ind w:left="993" w:firstLine="136" w:firstLineChars="57"/>
        <w:rPr>
          <w:rFonts w:hAnsi="宋体" w:cs="宋体"/>
          <w:color w:val="auto"/>
          <w:sz w:val="24"/>
          <w:szCs w:val="24"/>
          <w:highlight w:val="none"/>
        </w:rPr>
      </w:pPr>
      <w:r>
        <w:rPr>
          <w:rFonts w:hint="eastAsia" w:hAnsi="宋体" w:cs="宋体"/>
          <w:color w:val="auto"/>
          <w:sz w:val="24"/>
          <w:szCs w:val="24"/>
          <w:highlight w:val="none"/>
        </w:rPr>
        <w:t>□随机抽取</w:t>
      </w:r>
    </w:p>
    <w:p>
      <w:pPr>
        <w:pStyle w:val="23"/>
        <w:tabs>
          <w:tab w:val="left" w:pos="900"/>
          <w:tab w:val="left" w:pos="2127"/>
        </w:tabs>
        <w:adjustRightInd w:val="0"/>
        <w:snapToGrid w:val="0"/>
        <w:spacing w:line="360" w:lineRule="auto"/>
        <w:ind w:left="993" w:firstLine="136" w:firstLineChars="57"/>
        <w:rPr>
          <w:rFonts w:hAnsi="宋体" w:cs="宋体"/>
          <w:color w:val="auto"/>
          <w:sz w:val="24"/>
          <w:szCs w:val="24"/>
          <w:highlight w:val="none"/>
        </w:rPr>
      </w:pPr>
      <w:r>
        <w:rPr>
          <w:rFonts w:hAnsi="宋体" w:cs="宋体"/>
          <w:color w:val="auto"/>
          <w:sz w:val="24"/>
          <w:highlight w:val="none"/>
        </w:rPr>
        <w:t>■</w:t>
      </w:r>
      <w:r>
        <w:rPr>
          <w:rFonts w:hint="eastAsia" w:hAnsi="宋体" w:cs="宋体"/>
          <w:color w:val="auto"/>
          <w:sz w:val="24"/>
          <w:szCs w:val="24"/>
          <w:highlight w:val="none"/>
        </w:rPr>
        <w:t>其他方式，具体要求：</w:t>
      </w:r>
      <w:r>
        <w:rPr>
          <w:rFonts w:hint="eastAsia" w:hAnsi="宋体" w:cs="宋体"/>
          <w:color w:val="auto"/>
          <w:sz w:val="24"/>
          <w:szCs w:val="24"/>
          <w:highlight w:val="none"/>
          <w:u w:val="single"/>
        </w:rPr>
        <w:t>_</w:t>
      </w:r>
      <w:r>
        <w:rPr>
          <w:rFonts w:hAnsi="宋体" w:cs="宋体"/>
          <w:color w:val="auto"/>
          <w:sz w:val="24"/>
          <w:szCs w:val="24"/>
          <w:highlight w:val="none"/>
          <w:u w:val="single"/>
        </w:rPr>
        <w:t>按投标报价由低到高顺序排列。得分且投标报价相同的，按量化指标（技术评分）由高到低顺序排列。</w:t>
      </w:r>
      <w:r>
        <w:rPr>
          <w:rFonts w:hint="eastAsia" w:hAnsi="宋体" w:cs="宋体"/>
          <w:color w:val="auto"/>
          <w:sz w:val="24"/>
          <w:szCs w:val="24"/>
          <w:highlight w:val="none"/>
          <w:u w:val="single"/>
        </w:rPr>
        <w:t>_</w:t>
      </w:r>
    </w:p>
    <w:p>
      <w:pPr>
        <w:numPr>
          <w:ilvl w:val="1"/>
          <w:numId w:val="18"/>
        </w:numPr>
        <w:tabs>
          <w:tab w:val="left" w:pos="1080"/>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8"/>
        </w:numPr>
        <w:tabs>
          <w:tab w:val="left" w:pos="1080"/>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8"/>
        </w:numPr>
        <w:tabs>
          <w:tab w:val="left" w:pos="1080"/>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评标委员会要对评分汇总情况进行复核，特别是对排名第一的、报价最低的、投标或响应文件被认定为无效的情形进行重点复核。</w:t>
      </w:r>
    </w:p>
    <w:p>
      <w:pPr>
        <w:numPr>
          <w:ilvl w:val="1"/>
          <w:numId w:val="18"/>
        </w:numPr>
        <w:tabs>
          <w:tab w:val="left" w:pos="1080"/>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评标委员会将根据各投标人的评标排序，依次推荐本项目（各采购包）的中标候选人，起草并签署评标报告。本项目（各采购包）评标委员会共（各）推荐_</w:t>
      </w:r>
      <w:r>
        <w:rPr>
          <w:rFonts w:hint="eastAsia" w:ascii="宋体" w:hAnsi="宋体" w:cs="宋体"/>
          <w:color w:val="auto"/>
          <w:sz w:val="24"/>
          <w:highlight w:val="none"/>
          <w:u w:val="single"/>
        </w:rPr>
        <w:t>3</w:t>
      </w:r>
      <w:r>
        <w:rPr>
          <w:rFonts w:hint="eastAsia" w:ascii="宋体" w:hAnsi="宋体" w:cs="宋体"/>
          <w:color w:val="auto"/>
          <w:sz w:val="24"/>
          <w:highlight w:val="none"/>
        </w:rPr>
        <w:t>_名中标候选人。</w:t>
      </w:r>
    </w:p>
    <w:p>
      <w:pPr>
        <w:numPr>
          <w:ilvl w:val="0"/>
          <w:numId w:val="18"/>
        </w:numPr>
        <w:tabs>
          <w:tab w:val="left" w:pos="360"/>
        </w:tabs>
        <w:snapToGrid w:val="0"/>
        <w:spacing w:line="360" w:lineRule="auto"/>
        <w:outlineLvl w:val="1"/>
        <w:rPr>
          <w:rFonts w:hint="eastAsia" w:ascii="宋体" w:hAnsi="宋体" w:cs="宋体"/>
          <w:color w:val="auto"/>
          <w:sz w:val="24"/>
          <w:highlight w:val="none"/>
        </w:rPr>
      </w:pPr>
      <w:r>
        <w:rPr>
          <w:rFonts w:hint="eastAsia" w:ascii="宋体" w:hAnsi="宋体" w:cs="宋体"/>
          <w:color w:val="auto"/>
          <w:sz w:val="24"/>
          <w:highlight w:val="none"/>
        </w:rPr>
        <w:t>报告违法行为</w:t>
      </w:r>
    </w:p>
    <w:p>
      <w:pPr>
        <w:numPr>
          <w:ilvl w:val="1"/>
          <w:numId w:val="18"/>
        </w:numPr>
        <w:tabs>
          <w:tab w:val="left" w:pos="1080"/>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评标委员会在评标过程中发现投标人有行贿、提供虚假材料或者串通等违法行为时，应当及时向财政部门报告。</w:t>
      </w:r>
    </w:p>
    <w:p>
      <w:pPr>
        <w:widowControl/>
        <w:jc w:val="left"/>
        <w:rPr>
          <w:rFonts w:hint="eastAsia" w:ascii="宋体" w:hAnsi="宋体" w:cs="宋体"/>
          <w:b/>
          <w:color w:val="auto"/>
          <w:sz w:val="24"/>
          <w:highlight w:val="none"/>
        </w:rPr>
      </w:pPr>
      <w:r>
        <w:rPr>
          <w:rFonts w:hint="eastAsia" w:ascii="宋体" w:hAnsi="宋体" w:cs="宋体"/>
          <w:b/>
          <w:color w:val="auto"/>
          <w:sz w:val="24"/>
          <w:highlight w:val="none"/>
        </w:rPr>
        <w:br w:type="page"/>
      </w:r>
    </w:p>
    <w:p>
      <w:pPr>
        <w:tabs>
          <w:tab w:val="left" w:pos="360"/>
          <w:tab w:val="left" w:pos="900"/>
        </w:tabs>
        <w:snapToGrid w:val="0"/>
        <w:spacing w:after="0" w:line="360" w:lineRule="auto"/>
        <w:jc w:val="center"/>
        <w:outlineLvl w:val="1"/>
        <w:rPr>
          <w:rFonts w:hint="eastAsia" w:ascii="宋体" w:hAnsi="宋体" w:cs="宋体"/>
          <w:b/>
          <w:color w:val="auto"/>
          <w:highlight w:val="none"/>
        </w:rPr>
      </w:pPr>
      <w:r>
        <w:rPr>
          <w:rFonts w:hint="eastAsia" w:ascii="宋体" w:hAnsi="宋体" w:cs="宋体"/>
          <w:b/>
          <w:color w:val="auto"/>
          <w:sz w:val="24"/>
          <w:highlight w:val="none"/>
        </w:rPr>
        <w:t>二、评标标准</w:t>
      </w:r>
    </w:p>
    <w:p>
      <w:pPr>
        <w:pStyle w:val="3"/>
        <w:spacing w:before="0" w:after="0"/>
        <w:jc w:val="left"/>
        <w:rPr>
          <w:rFonts w:hint="eastAsia" w:ascii="宋体" w:hAnsi="宋体" w:eastAsia="宋体" w:cs="宋体"/>
          <w:b w:val="0"/>
          <w:bCs/>
          <w:color w:val="auto"/>
          <w:sz w:val="24"/>
          <w:highlight w:val="none"/>
        </w:rPr>
      </w:pPr>
      <w:r>
        <w:rPr>
          <w:rFonts w:hint="eastAsia" w:ascii="宋体" w:hAnsi="宋体" w:eastAsia="宋体" w:cs="宋体"/>
          <w:color w:val="auto"/>
          <w:sz w:val="24"/>
          <w:highlight w:val="none"/>
        </w:rPr>
        <w:t>价格评分标准（共30分）</w:t>
      </w:r>
    </w:p>
    <w:tbl>
      <w:tblPr>
        <w:tblStyle w:val="47"/>
        <w:tblW w:w="8255" w:type="dxa"/>
        <w:jc w:val="center"/>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350"/>
        <w:gridCol w:w="947"/>
        <w:gridCol w:w="5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jc w:val="center"/>
        </w:trPr>
        <w:tc>
          <w:tcPr>
            <w:tcW w:w="698"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350"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评分内容</w:t>
            </w:r>
          </w:p>
        </w:tc>
        <w:tc>
          <w:tcPr>
            <w:tcW w:w="947"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满分</w:t>
            </w:r>
          </w:p>
        </w:tc>
        <w:tc>
          <w:tcPr>
            <w:tcW w:w="5260"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698"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350"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投标报价</w:t>
            </w:r>
          </w:p>
        </w:tc>
        <w:tc>
          <w:tcPr>
            <w:tcW w:w="947"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30</w:t>
            </w:r>
          </w:p>
        </w:tc>
        <w:tc>
          <w:tcPr>
            <w:tcW w:w="5260" w:type="dxa"/>
            <w:vAlign w:val="center"/>
          </w:tcPr>
          <w:p>
            <w:pPr>
              <w:tabs>
                <w:tab w:val="left" w:pos="420"/>
              </w:tabs>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基准价=满足招标文件要求且投标价格最低的投标报价</w:t>
            </w:r>
          </w:p>
          <w:p>
            <w:pPr>
              <w:tabs>
                <w:tab w:val="left" w:pos="420"/>
              </w:tabs>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其他投标人的价格分按照下列公式计算：</w:t>
            </w:r>
          </w:p>
          <w:p>
            <w:pPr>
              <w:tabs>
                <w:tab w:val="left" w:pos="420"/>
                <w:tab w:val="left" w:pos="540"/>
                <w:tab w:val="left" w:pos="6045"/>
              </w:tabs>
              <w:adjustRightInd w:val="0"/>
              <w:snapToGrid w:val="0"/>
              <w:spacing w:after="0" w:line="240" w:lineRule="atLeast"/>
              <w:rPr>
                <w:rFonts w:hint="eastAsia" w:ascii="宋体" w:hAnsi="宋体" w:cs="宋体"/>
                <w:b/>
                <w:bCs/>
                <w:color w:val="auto"/>
                <w:sz w:val="24"/>
                <w:highlight w:val="none"/>
              </w:rPr>
            </w:pPr>
            <w:r>
              <w:rPr>
                <w:rFonts w:hint="eastAsia" w:ascii="宋体" w:hAnsi="宋体" w:cs="宋体"/>
                <w:b/>
                <w:bCs/>
                <w:color w:val="auto"/>
                <w:sz w:val="24"/>
                <w:highlight w:val="none"/>
              </w:rPr>
              <w:t>投标报价得分=（评标基准价 / 投标报价）×30</w:t>
            </w:r>
          </w:p>
        </w:tc>
      </w:tr>
    </w:tbl>
    <w:p>
      <w:pPr>
        <w:spacing w:after="0" w:line="360" w:lineRule="auto"/>
        <w:jc w:val="left"/>
        <w:rPr>
          <w:rFonts w:hint="eastAsia" w:ascii="宋体" w:hAnsi="宋体" w:cs="宋体"/>
          <w:b/>
          <w:color w:val="auto"/>
          <w:sz w:val="24"/>
          <w:highlight w:val="none"/>
        </w:rPr>
      </w:pPr>
      <w:bookmarkStart w:id="818" w:name="OLE_LINK31"/>
      <w:r>
        <w:rPr>
          <w:rFonts w:hint="eastAsia" w:ascii="宋体" w:hAnsi="宋体" w:cs="宋体"/>
          <w:b/>
          <w:color w:val="auto"/>
          <w:sz w:val="24"/>
          <w:highlight w:val="none"/>
        </w:rPr>
        <w:t>投标人实力和信誉详细评分表</w:t>
      </w:r>
      <w:bookmarkEnd w:id="818"/>
      <w:r>
        <w:rPr>
          <w:rFonts w:hint="eastAsia" w:ascii="宋体" w:hAnsi="宋体" w:cs="宋体"/>
          <w:b/>
          <w:color w:val="auto"/>
          <w:sz w:val="24"/>
          <w:highlight w:val="none"/>
        </w:rPr>
        <w:t>（30分）</w:t>
      </w:r>
    </w:p>
    <w:tbl>
      <w:tblPr>
        <w:tblStyle w:val="47"/>
        <w:tblW w:w="79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708"/>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blHeader/>
          <w:jc w:val="center"/>
        </w:trPr>
        <w:tc>
          <w:tcPr>
            <w:tcW w:w="704" w:type="dxa"/>
            <w:vAlign w:val="center"/>
          </w:tcPr>
          <w:p>
            <w:pPr>
              <w:tabs>
                <w:tab w:val="left" w:pos="420"/>
              </w:tabs>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276" w:type="dxa"/>
            <w:vAlign w:val="center"/>
          </w:tcPr>
          <w:p>
            <w:pPr>
              <w:tabs>
                <w:tab w:val="left" w:pos="420"/>
              </w:tabs>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评分内容</w:t>
            </w:r>
          </w:p>
        </w:tc>
        <w:tc>
          <w:tcPr>
            <w:tcW w:w="708" w:type="dxa"/>
            <w:vAlign w:val="center"/>
          </w:tcPr>
          <w:p>
            <w:pPr>
              <w:tabs>
                <w:tab w:val="left" w:pos="420"/>
              </w:tabs>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满分</w:t>
            </w:r>
          </w:p>
        </w:tc>
        <w:tc>
          <w:tcPr>
            <w:tcW w:w="5245" w:type="dxa"/>
            <w:vAlign w:val="center"/>
          </w:tcPr>
          <w:p>
            <w:pPr>
              <w:tabs>
                <w:tab w:val="left" w:pos="420"/>
              </w:tabs>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704" w:type="dxa"/>
            <w:vAlign w:val="center"/>
          </w:tcPr>
          <w:p>
            <w:pPr>
              <w:tabs>
                <w:tab w:val="left" w:pos="420"/>
              </w:tabs>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产品的稳定性</w:t>
            </w:r>
          </w:p>
        </w:tc>
        <w:tc>
          <w:tcPr>
            <w:tcW w:w="708"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5245"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rPr>
                <w:rFonts w:hint="eastAsia" w:ascii="宋体" w:hAnsi="宋体" w:cs="宋体"/>
                <w:color w:val="auto"/>
                <w:sz w:val="24"/>
                <w:highlight w:val="none"/>
              </w:rPr>
            </w:pPr>
            <w:bookmarkStart w:id="819" w:name="OLE_LINK17"/>
            <w:r>
              <w:rPr>
                <w:rFonts w:hint="eastAsia" w:ascii="宋体" w:hAnsi="宋体" w:cs="宋体"/>
                <w:b/>
                <w:bCs/>
                <w:color w:val="auto"/>
                <w:sz w:val="24"/>
                <w:highlight w:val="none"/>
              </w:rPr>
              <w:t>所投核心产品</w:t>
            </w:r>
            <w:r>
              <w:rPr>
                <w:rFonts w:hint="eastAsia" w:ascii="宋体" w:hAnsi="宋体" w:cs="宋体"/>
                <w:color w:val="auto"/>
                <w:sz w:val="24"/>
                <w:highlight w:val="none"/>
              </w:rPr>
              <w:t>自2023年1月1日以来生产大于10个（含10个）批次得6分；</w:t>
            </w:r>
          </w:p>
          <w:p>
            <w:pPr>
              <w:tabs>
                <w:tab w:val="left" w:pos="420"/>
              </w:tabs>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生产超过5个批次，小于10个批次得3分；</w:t>
            </w:r>
          </w:p>
          <w:p>
            <w:pPr>
              <w:tabs>
                <w:tab w:val="left" w:pos="420"/>
              </w:tabs>
              <w:adjustRightInd w:val="0"/>
              <w:snapToGrid w:val="0"/>
              <w:spacing w:after="0" w:line="240" w:lineRule="atLeast"/>
              <w:rPr>
                <w:rFonts w:hint="eastAsia" w:ascii="宋体" w:hAnsi="宋体" w:cs="宋体"/>
                <w:color w:val="auto"/>
                <w:sz w:val="24"/>
                <w:highlight w:val="none"/>
                <w:lang w:eastAsia="zh-CN"/>
              </w:rPr>
            </w:pPr>
            <w:r>
              <w:rPr>
                <w:rFonts w:hint="eastAsia" w:ascii="宋体" w:hAnsi="宋体" w:cs="宋体"/>
                <w:color w:val="auto"/>
                <w:sz w:val="24"/>
                <w:highlight w:val="none"/>
              </w:rPr>
              <w:t>生产超过3个批次，小于5个批次得1分</w:t>
            </w:r>
            <w:r>
              <w:rPr>
                <w:rFonts w:hint="eastAsia" w:ascii="宋体" w:hAnsi="宋体" w:cs="宋体"/>
                <w:color w:val="auto"/>
                <w:sz w:val="24"/>
                <w:highlight w:val="none"/>
                <w:lang w:eastAsia="zh-CN"/>
              </w:rPr>
              <w:t>；</w:t>
            </w:r>
          </w:p>
          <w:p>
            <w:pPr>
              <w:tabs>
                <w:tab w:val="left" w:pos="420"/>
              </w:tabs>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小于3个批次或不提供的不得分。</w:t>
            </w:r>
          </w:p>
          <w:p>
            <w:pPr>
              <w:tabs>
                <w:tab w:val="left" w:pos="420"/>
              </w:tabs>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（根据投标单位提供的生产批号证明材料评审）</w:t>
            </w:r>
            <w:bookmarkEnd w:id="8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704" w:type="dxa"/>
            <w:vAlign w:val="center"/>
          </w:tcPr>
          <w:p>
            <w:pPr>
              <w:tabs>
                <w:tab w:val="left" w:pos="420"/>
              </w:tabs>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rPr>
                <w:rFonts w:hint="eastAsia" w:ascii="宋体" w:hAnsi="宋体" w:cs="宋体"/>
                <w:color w:val="auto"/>
                <w:sz w:val="24"/>
                <w:highlight w:val="none"/>
              </w:rPr>
            </w:pPr>
            <w:bookmarkStart w:id="820" w:name="OLE_LINK32"/>
            <w:r>
              <w:rPr>
                <w:rFonts w:hint="eastAsia" w:ascii="宋体" w:hAnsi="宋体" w:cs="宋体"/>
                <w:color w:val="auto"/>
                <w:sz w:val="24"/>
                <w:highlight w:val="none"/>
              </w:rPr>
              <w:t>团队能力</w:t>
            </w:r>
            <w:bookmarkEnd w:id="820"/>
          </w:p>
        </w:tc>
        <w:tc>
          <w:tcPr>
            <w:tcW w:w="708"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5245"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rPr>
                <w:rFonts w:hint="eastAsia" w:ascii="宋体" w:hAnsi="宋体" w:cs="宋体"/>
                <w:color w:val="auto"/>
                <w:sz w:val="24"/>
                <w:highlight w:val="none"/>
                <w:lang w:eastAsia="zh-CN"/>
              </w:rPr>
            </w:pPr>
            <w:bookmarkStart w:id="821" w:name="OLE_LINK39"/>
            <w:r>
              <w:rPr>
                <w:rFonts w:hint="eastAsia" w:ascii="宋体" w:hAnsi="宋体" w:cs="宋体"/>
                <w:color w:val="auto"/>
                <w:sz w:val="24"/>
                <w:highlight w:val="none"/>
              </w:rPr>
              <w:t>团队人员具备相关研发能力，了解产品性能，可以随时为采购人提供技术服务且能力强，经验丰富，人员配置完善，完全满足采购需求得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p>
          <w:p>
            <w:pPr>
              <w:tabs>
                <w:tab w:val="left" w:pos="420"/>
              </w:tabs>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技术团队人员专业性低，能力差，人员配置无法满足需求得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p>
            <w:pPr>
              <w:tabs>
                <w:tab w:val="left" w:pos="420"/>
              </w:tabs>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无技术服务团队得0分。</w:t>
            </w:r>
            <w:bookmarkEnd w:id="8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704" w:type="dxa"/>
            <w:vAlign w:val="center"/>
          </w:tcPr>
          <w:p>
            <w:pPr>
              <w:tabs>
                <w:tab w:val="left" w:pos="420"/>
              </w:tabs>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业绩</w:t>
            </w:r>
          </w:p>
        </w:tc>
        <w:tc>
          <w:tcPr>
            <w:tcW w:w="708"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p>
        </w:tc>
        <w:tc>
          <w:tcPr>
            <w:tcW w:w="5245"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jc w:val="left"/>
              <w:rPr>
                <w:rFonts w:hint="eastAsia" w:ascii="宋体" w:hAnsi="宋体" w:eastAsia="宋体" w:cs="宋体"/>
                <w:color w:val="auto"/>
                <w:sz w:val="24"/>
                <w:highlight w:val="none"/>
                <w:lang w:eastAsia="zh-CN"/>
              </w:rPr>
            </w:pPr>
            <w:bookmarkStart w:id="822" w:name="OLE_LINK38"/>
            <w:r>
              <w:rPr>
                <w:rFonts w:hint="eastAsia" w:ascii="宋体" w:hAnsi="宋体" w:cs="宋体"/>
                <w:color w:val="auto"/>
                <w:sz w:val="24"/>
                <w:highlight w:val="none"/>
              </w:rPr>
              <w:t>投标单位自2023年1月1日以来与本项目所采购货物同类的采购业绩，每1个得1分，满分为</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分（以合同电子件等相关证明材料为审核依据</w:t>
            </w:r>
            <w:bookmarkEnd w:id="822"/>
            <w:r>
              <w:rPr>
                <w:rFonts w:hint="eastAsia" w:ascii="宋体" w:hAnsi="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1" w:hRule="atLeast"/>
          <w:jc w:val="center"/>
        </w:trPr>
        <w:tc>
          <w:tcPr>
            <w:tcW w:w="704" w:type="dxa"/>
            <w:vAlign w:val="center"/>
          </w:tcPr>
          <w:p>
            <w:pPr>
              <w:tabs>
                <w:tab w:val="left" w:pos="420"/>
              </w:tabs>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服务方案</w:t>
            </w:r>
          </w:p>
        </w:tc>
        <w:tc>
          <w:tcPr>
            <w:tcW w:w="708"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5245"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napToGrid w:val="0"/>
              <w:spacing w:after="0"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1.供货方案（0-5分）：</w:t>
            </w:r>
          </w:p>
          <w:p>
            <w:pPr>
              <w:numPr>
                <w:ilvl w:val="255"/>
                <w:numId w:val="0"/>
              </w:numPr>
              <w:adjustRightInd w:val="0"/>
              <w:snapToGrid w:val="0"/>
              <w:spacing w:after="0" w:line="240" w:lineRule="atLeast"/>
              <w:rPr>
                <w:rFonts w:hint="eastAsia" w:ascii="宋体" w:hAnsi="宋体" w:cs="宋体"/>
                <w:color w:val="auto"/>
                <w:sz w:val="24"/>
                <w:highlight w:val="none"/>
              </w:rPr>
            </w:pPr>
            <w:bookmarkStart w:id="823" w:name="OLE_LINK37"/>
            <w:r>
              <w:rPr>
                <w:rFonts w:hint="eastAsia" w:ascii="宋体" w:hAnsi="宋体" w:cs="宋体"/>
                <w:color w:val="auto"/>
                <w:sz w:val="24"/>
                <w:highlight w:val="none"/>
              </w:rPr>
              <w:t>完全满足项目要求，供货及时，方案全面、细致得5分；</w:t>
            </w:r>
          </w:p>
          <w:p>
            <w:pPr>
              <w:numPr>
                <w:ilvl w:val="255"/>
                <w:numId w:val="0"/>
              </w:numPr>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方案基本满足要求，缺乏针对性得2分；</w:t>
            </w:r>
          </w:p>
          <w:p>
            <w:pPr>
              <w:numPr>
                <w:ilvl w:val="255"/>
                <w:numId w:val="0"/>
              </w:numPr>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存在交货延迟、方案欠缺等问题得1分；</w:t>
            </w:r>
          </w:p>
          <w:p>
            <w:pPr>
              <w:numPr>
                <w:ilvl w:val="255"/>
                <w:numId w:val="0"/>
              </w:numPr>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不满足项目要求不得分。</w:t>
            </w:r>
          </w:p>
          <w:bookmarkEnd w:id="823"/>
          <w:p>
            <w:pPr>
              <w:numPr>
                <w:ilvl w:val="255"/>
                <w:numId w:val="0"/>
              </w:numPr>
              <w:adjustRightInd w:val="0"/>
              <w:snapToGrid w:val="0"/>
              <w:spacing w:after="0"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2.</w:t>
            </w:r>
            <w:bookmarkStart w:id="824" w:name="OLE_LINK33"/>
            <w:r>
              <w:rPr>
                <w:rFonts w:hint="eastAsia" w:ascii="宋体" w:hAnsi="宋体" w:cs="宋体"/>
                <w:color w:val="auto"/>
                <w:sz w:val="24"/>
                <w:highlight w:val="none"/>
              </w:rPr>
              <w:t>包装及运输方案</w:t>
            </w:r>
            <w:bookmarkEnd w:id="824"/>
            <w:r>
              <w:rPr>
                <w:rFonts w:hint="eastAsia" w:ascii="宋体" w:hAnsi="宋体" w:cs="宋体"/>
                <w:color w:val="auto"/>
                <w:sz w:val="24"/>
                <w:highlight w:val="none"/>
              </w:rPr>
              <w:t>（0-5分）：</w:t>
            </w:r>
          </w:p>
          <w:p>
            <w:pPr>
              <w:numPr>
                <w:ilvl w:val="255"/>
                <w:numId w:val="0"/>
              </w:numPr>
              <w:adjustRightInd w:val="0"/>
              <w:snapToGrid w:val="0"/>
              <w:spacing w:after="0" w:line="240" w:lineRule="atLeast"/>
              <w:rPr>
                <w:rFonts w:hint="eastAsia" w:ascii="宋体" w:hAnsi="宋体" w:cs="宋体"/>
                <w:color w:val="auto"/>
                <w:sz w:val="24"/>
                <w:highlight w:val="none"/>
              </w:rPr>
            </w:pPr>
            <w:bookmarkStart w:id="825" w:name="OLE_LINK36"/>
            <w:r>
              <w:rPr>
                <w:rFonts w:hint="eastAsia" w:ascii="宋体" w:hAnsi="宋体" w:cs="宋体"/>
                <w:color w:val="auto"/>
                <w:sz w:val="24"/>
                <w:highlight w:val="none"/>
              </w:rPr>
              <w:t>完全满足项目要求，包装及运输方案全面、细致得5分；</w:t>
            </w:r>
          </w:p>
          <w:p>
            <w:pPr>
              <w:numPr>
                <w:ilvl w:val="255"/>
                <w:numId w:val="0"/>
              </w:numPr>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方案基本满足要求，缺乏针对性得2分；</w:t>
            </w:r>
          </w:p>
          <w:p>
            <w:pPr>
              <w:numPr>
                <w:ilvl w:val="255"/>
                <w:numId w:val="0"/>
              </w:numPr>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方案欠缺，包装质量差得1分；</w:t>
            </w:r>
          </w:p>
          <w:p>
            <w:pPr>
              <w:numPr>
                <w:ilvl w:val="255"/>
                <w:numId w:val="0"/>
              </w:numPr>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不满足项目要求，0分。</w:t>
            </w:r>
          </w:p>
          <w:bookmarkEnd w:id="825"/>
          <w:p>
            <w:pPr>
              <w:numPr>
                <w:ilvl w:val="255"/>
                <w:numId w:val="0"/>
              </w:numPr>
              <w:adjustRightInd w:val="0"/>
              <w:snapToGrid w:val="0"/>
              <w:spacing w:after="0"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3.</w:t>
            </w:r>
            <w:bookmarkStart w:id="826" w:name="OLE_LINK34"/>
            <w:r>
              <w:rPr>
                <w:rFonts w:hint="eastAsia" w:ascii="宋体" w:hAnsi="宋体" w:cs="宋体"/>
                <w:color w:val="auto"/>
                <w:sz w:val="24"/>
                <w:highlight w:val="none"/>
              </w:rPr>
              <w:t>质量保证方案</w:t>
            </w:r>
            <w:bookmarkEnd w:id="826"/>
            <w:r>
              <w:rPr>
                <w:rFonts w:hint="eastAsia" w:ascii="宋体" w:hAnsi="宋体" w:cs="宋体"/>
                <w:color w:val="auto"/>
                <w:sz w:val="24"/>
                <w:highlight w:val="none"/>
              </w:rPr>
              <w:t>（0-5分）：</w:t>
            </w:r>
          </w:p>
          <w:p>
            <w:pPr>
              <w:numPr>
                <w:ilvl w:val="255"/>
                <w:numId w:val="0"/>
              </w:numPr>
              <w:adjustRightInd w:val="0"/>
              <w:snapToGrid w:val="0"/>
              <w:spacing w:after="0" w:line="240" w:lineRule="atLeast"/>
              <w:rPr>
                <w:rFonts w:hint="eastAsia" w:ascii="宋体" w:hAnsi="宋体" w:cs="宋体"/>
                <w:color w:val="auto"/>
                <w:sz w:val="24"/>
                <w:highlight w:val="none"/>
              </w:rPr>
            </w:pPr>
            <w:bookmarkStart w:id="827" w:name="OLE_LINK35"/>
            <w:r>
              <w:rPr>
                <w:rFonts w:hint="eastAsia" w:ascii="宋体" w:hAnsi="宋体" w:cs="宋体"/>
                <w:color w:val="auto"/>
                <w:sz w:val="24"/>
                <w:highlight w:val="none"/>
              </w:rPr>
              <w:t>完全满足项目要求，质保方案全面、可行得5分；方案基本满足要求，缺乏针对性得2分；</w:t>
            </w:r>
          </w:p>
          <w:p>
            <w:pPr>
              <w:numPr>
                <w:ilvl w:val="255"/>
                <w:numId w:val="0"/>
              </w:numPr>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方案欠缺得1分；</w:t>
            </w:r>
          </w:p>
          <w:p>
            <w:pPr>
              <w:numPr>
                <w:ilvl w:val="255"/>
                <w:numId w:val="0"/>
              </w:numPr>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不满足项目要求，0分。</w:t>
            </w:r>
            <w:bookmarkEnd w:id="827"/>
          </w:p>
        </w:tc>
      </w:tr>
    </w:tbl>
    <w:p>
      <w:pPr>
        <w:spacing w:after="0" w:line="240" w:lineRule="atLeast"/>
        <w:rPr>
          <w:rFonts w:hint="eastAsia" w:ascii="宋体" w:hAnsi="宋体" w:cs="宋体"/>
          <w:b/>
          <w:color w:val="auto"/>
          <w:sz w:val="24"/>
          <w:highlight w:val="none"/>
        </w:rPr>
      </w:pPr>
    </w:p>
    <w:p>
      <w:pPr>
        <w:spacing w:after="0" w:line="240" w:lineRule="atLeast"/>
        <w:rPr>
          <w:rFonts w:hint="eastAsia" w:ascii="宋体" w:hAnsi="宋体" w:cs="宋体"/>
          <w:b/>
          <w:color w:val="auto"/>
          <w:sz w:val="24"/>
          <w:highlight w:val="none"/>
        </w:rPr>
      </w:pPr>
      <w:bookmarkStart w:id="828" w:name="OLE_LINK9"/>
    </w:p>
    <w:p>
      <w:pPr>
        <w:spacing w:after="0" w:line="240" w:lineRule="atLeast"/>
        <w:rPr>
          <w:rFonts w:hint="eastAsia" w:ascii="宋体" w:hAnsi="宋体" w:cs="宋体"/>
          <w:b/>
          <w:color w:val="auto"/>
          <w:sz w:val="24"/>
          <w:highlight w:val="none"/>
        </w:rPr>
      </w:pPr>
      <w:r>
        <w:rPr>
          <w:rFonts w:hint="eastAsia" w:ascii="宋体" w:hAnsi="宋体" w:cs="宋体"/>
          <w:b/>
          <w:color w:val="auto"/>
          <w:sz w:val="24"/>
          <w:highlight w:val="none"/>
        </w:rPr>
        <w:t>货物的技术性能</w:t>
      </w:r>
      <w:bookmarkEnd w:id="828"/>
      <w:r>
        <w:rPr>
          <w:rFonts w:hint="eastAsia" w:ascii="宋体" w:hAnsi="宋体" w:cs="宋体"/>
          <w:b/>
          <w:color w:val="auto"/>
          <w:sz w:val="24"/>
          <w:highlight w:val="none"/>
        </w:rPr>
        <w:t>（25分）</w:t>
      </w:r>
    </w:p>
    <w:tbl>
      <w:tblPr>
        <w:tblStyle w:val="47"/>
        <w:tblW w:w="8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747"/>
        <w:gridCol w:w="5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704" w:type="dxa"/>
            <w:vAlign w:val="center"/>
          </w:tcPr>
          <w:p>
            <w:pPr>
              <w:tabs>
                <w:tab w:val="left" w:pos="420"/>
              </w:tabs>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序号</w:t>
            </w:r>
          </w:p>
        </w:tc>
        <w:tc>
          <w:tcPr>
            <w:tcW w:w="1276" w:type="dxa"/>
            <w:vAlign w:val="center"/>
          </w:tcPr>
          <w:p>
            <w:pPr>
              <w:tabs>
                <w:tab w:val="left" w:pos="420"/>
              </w:tabs>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评分内容</w:t>
            </w:r>
          </w:p>
        </w:tc>
        <w:tc>
          <w:tcPr>
            <w:tcW w:w="747" w:type="dxa"/>
            <w:vAlign w:val="center"/>
          </w:tcPr>
          <w:p>
            <w:pPr>
              <w:tabs>
                <w:tab w:val="left" w:pos="420"/>
              </w:tabs>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满分</w:t>
            </w:r>
          </w:p>
        </w:tc>
        <w:tc>
          <w:tcPr>
            <w:tcW w:w="5915" w:type="dxa"/>
            <w:vAlign w:val="center"/>
          </w:tcPr>
          <w:p>
            <w:pPr>
              <w:tabs>
                <w:tab w:val="left" w:pos="420"/>
              </w:tabs>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5" w:hRule="atLeast"/>
          <w:jc w:val="center"/>
        </w:trPr>
        <w:tc>
          <w:tcPr>
            <w:tcW w:w="704" w:type="dxa"/>
            <w:vAlign w:val="center"/>
          </w:tcPr>
          <w:p>
            <w:pPr>
              <w:tabs>
                <w:tab w:val="left" w:pos="420"/>
              </w:tabs>
              <w:adjustRightInd w:val="0"/>
              <w:snapToGrid w:val="0"/>
              <w:spacing w:after="0" w:line="240" w:lineRule="atLeast"/>
              <w:jc w:val="center"/>
              <w:rPr>
                <w:rFonts w:hint="eastAsia" w:ascii="宋体" w:hAnsi="宋体" w:cs="宋体"/>
                <w:color w:val="auto"/>
                <w:sz w:val="24"/>
                <w:highlight w:val="none"/>
              </w:rPr>
            </w:pPr>
            <w:bookmarkStart w:id="829" w:name="_Hlk196842591"/>
            <w:r>
              <w:rPr>
                <w:rFonts w:hint="eastAsia" w:ascii="宋体" w:hAnsi="宋体" w:cs="宋体"/>
                <w:color w:val="auto"/>
                <w:sz w:val="24"/>
                <w:highlight w:val="none"/>
              </w:rPr>
              <w:t>1</w:t>
            </w:r>
          </w:p>
        </w:tc>
        <w:tc>
          <w:tcPr>
            <w:tcW w:w="1276" w:type="dxa"/>
            <w:vAlign w:val="center"/>
          </w:tcPr>
          <w:p>
            <w:pPr>
              <w:tabs>
                <w:tab w:val="left" w:pos="420"/>
              </w:tabs>
              <w:adjustRightInd w:val="0"/>
              <w:snapToGrid w:val="0"/>
              <w:spacing w:after="0" w:line="240" w:lineRule="atLeast"/>
              <w:rPr>
                <w:rFonts w:hint="eastAsia" w:ascii="宋体" w:hAnsi="宋体" w:cs="宋体"/>
                <w:color w:val="auto"/>
                <w:sz w:val="24"/>
                <w:highlight w:val="none"/>
              </w:rPr>
            </w:pPr>
            <w:bookmarkStart w:id="830" w:name="OLE_LINK16"/>
            <w:r>
              <w:rPr>
                <w:rFonts w:hint="eastAsia" w:ascii="宋体" w:hAnsi="宋体" w:cs="宋体"/>
                <w:color w:val="auto"/>
                <w:sz w:val="24"/>
                <w:highlight w:val="none"/>
              </w:rPr>
              <w:t>货物的技术参数</w:t>
            </w:r>
            <w:bookmarkEnd w:id="830"/>
          </w:p>
        </w:tc>
        <w:tc>
          <w:tcPr>
            <w:tcW w:w="747" w:type="dxa"/>
            <w:tcBorders>
              <w:bottom w:val="nil"/>
            </w:tcBorders>
            <w:vAlign w:val="center"/>
          </w:tcPr>
          <w:p>
            <w:pPr>
              <w:tabs>
                <w:tab w:val="left" w:pos="420"/>
              </w:tabs>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20</w:t>
            </w:r>
          </w:p>
        </w:tc>
        <w:tc>
          <w:tcPr>
            <w:tcW w:w="5915" w:type="dxa"/>
            <w:vAlign w:val="center"/>
          </w:tcPr>
          <w:p>
            <w:pPr>
              <w:tabs>
                <w:tab w:val="left" w:pos="420"/>
              </w:tabs>
              <w:adjustRightInd w:val="0"/>
              <w:snapToGrid w:val="0"/>
              <w:spacing w:after="0" w:line="240" w:lineRule="atLeast"/>
              <w:rPr>
                <w:rFonts w:hint="eastAsia" w:ascii="宋体" w:hAnsi="宋体" w:cs="宋体"/>
                <w:b/>
                <w:bCs/>
                <w:color w:val="auto"/>
                <w:sz w:val="24"/>
                <w:highlight w:val="none"/>
              </w:rPr>
            </w:pPr>
            <w:r>
              <w:rPr>
                <w:rFonts w:hint="eastAsia" w:ascii="宋体" w:hAnsi="宋体" w:cs="宋体"/>
                <w:b/>
                <w:bCs/>
                <w:color w:val="auto"/>
                <w:sz w:val="24"/>
                <w:highlight w:val="none"/>
              </w:rPr>
              <w:t>标注“★”的为实质性条款，任一项负偏离按无效投标处理。“▲”项参数每有一项负偏离或者未进行实质性应答扣2分；其他一般性参数，每有一项存在负偏离或者未进行实质性应答扣1分；扣完为止。</w:t>
            </w:r>
          </w:p>
          <w:p>
            <w:pPr>
              <w:tabs>
                <w:tab w:val="left" w:pos="420"/>
              </w:tabs>
              <w:adjustRightInd w:val="0"/>
              <w:snapToGrid w:val="0"/>
              <w:spacing w:after="0" w:line="240" w:lineRule="atLeast"/>
              <w:rPr>
                <w:rFonts w:hint="eastAsia" w:ascii="宋体" w:hAnsi="宋体" w:cs="宋体"/>
                <w:b/>
                <w:bCs/>
                <w:color w:val="auto"/>
                <w:sz w:val="24"/>
                <w:highlight w:val="none"/>
              </w:rPr>
            </w:pPr>
            <w:r>
              <w:rPr>
                <w:rFonts w:hint="eastAsia" w:ascii="宋体" w:hAnsi="宋体" w:cs="宋体"/>
                <w:b/>
                <w:bCs/>
                <w:color w:val="auto"/>
                <w:sz w:val="24"/>
                <w:highlight w:val="none"/>
              </w:rPr>
              <w:t xml:space="preserve">“★”和“▲”重要条款需要提供证明材料。 </w:t>
            </w:r>
          </w:p>
        </w:tc>
      </w:tr>
      <w:bookmarkEnd w:id="8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704" w:type="dxa"/>
            <w:vAlign w:val="center"/>
          </w:tcPr>
          <w:p>
            <w:pPr>
              <w:tabs>
                <w:tab w:val="left" w:pos="420"/>
              </w:tabs>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性能验证试验报告</w:t>
            </w: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5915"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rPr>
                <w:rFonts w:hint="eastAsia" w:ascii="宋体" w:hAnsi="宋体" w:eastAsia="宋体" w:cs="宋体"/>
                <w:color w:val="auto"/>
                <w:sz w:val="24"/>
                <w:highlight w:val="none"/>
                <w:lang w:eastAsia="zh-CN"/>
              </w:rPr>
            </w:pPr>
            <w:bookmarkStart w:id="831" w:name="OLE_LINK40"/>
            <w:r>
              <w:rPr>
                <w:rFonts w:hint="eastAsia" w:ascii="宋体" w:hAnsi="宋体" w:cs="宋体"/>
                <w:b/>
                <w:bCs/>
                <w:color w:val="auto"/>
                <w:sz w:val="24"/>
                <w:highlight w:val="none"/>
              </w:rPr>
              <w:t>所投核心产品</w:t>
            </w:r>
            <w:r>
              <w:rPr>
                <w:rFonts w:hint="eastAsia" w:ascii="宋体" w:hAnsi="宋体" w:cs="宋体"/>
                <w:color w:val="auto"/>
                <w:sz w:val="24"/>
                <w:highlight w:val="none"/>
              </w:rPr>
              <w:t>能够提交自2023年1月1日以来的5家及以上不同的具备CNAS资质的实验室出具的证明，其参数符合招标文件要求的合格性能验证试验报告得5分</w:t>
            </w:r>
            <w:r>
              <w:rPr>
                <w:rFonts w:hint="eastAsia" w:ascii="宋体" w:hAnsi="宋体" w:cs="宋体"/>
                <w:color w:val="auto"/>
                <w:sz w:val="24"/>
                <w:highlight w:val="none"/>
                <w:lang w:eastAsia="zh-CN"/>
              </w:rPr>
              <w:t>；</w:t>
            </w:r>
          </w:p>
          <w:p>
            <w:pPr>
              <w:tabs>
                <w:tab w:val="left" w:pos="420"/>
              </w:tabs>
              <w:adjustRightInd w:val="0"/>
              <w:snapToGrid w:val="0"/>
              <w:spacing w:after="0" w:line="240" w:lineRule="atLeast"/>
              <w:rPr>
                <w:rFonts w:hint="eastAsia" w:ascii="宋体" w:hAnsi="宋体" w:cs="宋体"/>
                <w:color w:val="auto"/>
                <w:sz w:val="24"/>
                <w:highlight w:val="none"/>
                <w:lang w:eastAsia="zh-CN"/>
              </w:rPr>
            </w:pPr>
            <w:r>
              <w:rPr>
                <w:rFonts w:hint="eastAsia" w:ascii="宋体" w:hAnsi="宋体" w:cs="宋体"/>
                <w:color w:val="auto"/>
                <w:sz w:val="24"/>
                <w:highlight w:val="none"/>
              </w:rPr>
              <w:t>提交3-4家不同的具备CNAS资质的的实验室出具的证明，其参数符合招标文件要求的合格性能验证试验报告,得2分</w:t>
            </w:r>
            <w:r>
              <w:rPr>
                <w:rFonts w:hint="eastAsia" w:ascii="宋体" w:hAnsi="宋体" w:cs="宋体"/>
                <w:color w:val="auto"/>
                <w:sz w:val="24"/>
                <w:highlight w:val="none"/>
                <w:lang w:eastAsia="zh-CN"/>
              </w:rPr>
              <w:t>；</w:t>
            </w:r>
          </w:p>
          <w:p>
            <w:pPr>
              <w:tabs>
                <w:tab w:val="left" w:pos="420"/>
              </w:tabs>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未提交不得分。</w:t>
            </w:r>
            <w:bookmarkEnd w:id="831"/>
          </w:p>
        </w:tc>
      </w:tr>
    </w:tbl>
    <w:p>
      <w:pPr>
        <w:keepNext w:val="0"/>
        <w:keepLines w:val="0"/>
        <w:pageBreakBefore w:val="0"/>
        <w:widowControl w:val="0"/>
        <w:kinsoku/>
        <w:wordWrap/>
        <w:overflowPunct/>
        <w:topLinePunct w:val="0"/>
        <w:autoSpaceDE/>
        <w:autoSpaceDN/>
        <w:bidi w:val="0"/>
        <w:adjustRightInd/>
        <w:snapToGrid/>
        <w:spacing w:after="0" w:line="279" w:lineRule="auto"/>
        <w:textAlignment w:val="auto"/>
        <w:rPr>
          <w:rFonts w:hint="eastAsia" w:ascii="宋体" w:hAnsi="宋体" w:cs="宋体"/>
          <w:b/>
          <w:color w:val="auto"/>
          <w:sz w:val="24"/>
          <w:highlight w:val="none"/>
        </w:rPr>
      </w:pPr>
      <w:bookmarkStart w:id="832" w:name="OLE_LINK43"/>
      <w:r>
        <w:rPr>
          <w:rFonts w:hint="eastAsia" w:ascii="宋体" w:hAnsi="宋体" w:cs="宋体"/>
          <w:b/>
          <w:color w:val="auto"/>
          <w:sz w:val="24"/>
          <w:highlight w:val="none"/>
        </w:rPr>
        <w:t>售后服务质量</w:t>
      </w:r>
      <w:bookmarkEnd w:id="832"/>
      <w:r>
        <w:rPr>
          <w:rFonts w:hint="eastAsia" w:ascii="宋体" w:hAnsi="宋体" w:cs="宋体"/>
          <w:b/>
          <w:color w:val="auto"/>
          <w:sz w:val="24"/>
          <w:highlight w:val="none"/>
        </w:rPr>
        <w:t>（15分）</w:t>
      </w:r>
    </w:p>
    <w:tbl>
      <w:tblPr>
        <w:tblStyle w:val="47"/>
        <w:tblW w:w="88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79"/>
        <w:gridCol w:w="755"/>
        <w:gridCol w:w="6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blHeader/>
          <w:jc w:val="center"/>
        </w:trPr>
        <w:tc>
          <w:tcPr>
            <w:tcW w:w="701" w:type="dxa"/>
            <w:vAlign w:val="center"/>
          </w:tcPr>
          <w:p>
            <w:pPr>
              <w:tabs>
                <w:tab w:val="left" w:pos="420"/>
              </w:tabs>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序号</w:t>
            </w:r>
          </w:p>
        </w:tc>
        <w:tc>
          <w:tcPr>
            <w:tcW w:w="1279" w:type="dxa"/>
            <w:vAlign w:val="center"/>
          </w:tcPr>
          <w:p>
            <w:pPr>
              <w:tabs>
                <w:tab w:val="left" w:pos="420"/>
              </w:tabs>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评分内容</w:t>
            </w:r>
          </w:p>
        </w:tc>
        <w:tc>
          <w:tcPr>
            <w:tcW w:w="755" w:type="dxa"/>
            <w:vAlign w:val="center"/>
          </w:tcPr>
          <w:p>
            <w:pPr>
              <w:tabs>
                <w:tab w:val="left" w:pos="420"/>
              </w:tabs>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满分</w:t>
            </w:r>
          </w:p>
        </w:tc>
        <w:tc>
          <w:tcPr>
            <w:tcW w:w="6131" w:type="dxa"/>
            <w:vAlign w:val="center"/>
          </w:tcPr>
          <w:p>
            <w:pPr>
              <w:tabs>
                <w:tab w:val="left" w:pos="420"/>
              </w:tabs>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01" w:type="dxa"/>
            <w:vAlign w:val="center"/>
          </w:tcPr>
          <w:p>
            <w:pPr>
              <w:tabs>
                <w:tab w:val="left" w:pos="420"/>
              </w:tabs>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279" w:type="dxa"/>
            <w:vAlign w:val="center"/>
          </w:tcPr>
          <w:p>
            <w:pPr>
              <w:tabs>
                <w:tab w:val="left" w:pos="420"/>
              </w:tabs>
              <w:adjustRightInd w:val="0"/>
              <w:snapToGrid w:val="0"/>
              <w:spacing w:after="0" w:line="240" w:lineRule="atLeast"/>
              <w:rPr>
                <w:rFonts w:hint="eastAsia" w:ascii="宋体" w:hAnsi="宋体" w:cs="宋体"/>
                <w:color w:val="auto"/>
                <w:sz w:val="24"/>
                <w:highlight w:val="none"/>
              </w:rPr>
            </w:pPr>
            <w:bookmarkStart w:id="833" w:name="OLE_LINK15"/>
            <w:r>
              <w:rPr>
                <w:rFonts w:hint="eastAsia" w:ascii="宋体" w:hAnsi="宋体" w:cs="宋体"/>
                <w:color w:val="auto"/>
                <w:sz w:val="24"/>
                <w:highlight w:val="none"/>
              </w:rPr>
              <w:t>售后服务响应、产品质量跟踪监控。</w:t>
            </w:r>
            <w:bookmarkEnd w:id="833"/>
          </w:p>
        </w:tc>
        <w:tc>
          <w:tcPr>
            <w:tcW w:w="755" w:type="dxa"/>
            <w:vAlign w:val="center"/>
          </w:tcPr>
          <w:p>
            <w:pPr>
              <w:tabs>
                <w:tab w:val="left" w:pos="420"/>
              </w:tabs>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6131" w:type="dxa"/>
            <w:vAlign w:val="center"/>
          </w:tcPr>
          <w:p>
            <w:pPr>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根据招标要求和投标技术响应情况,对供应商提供的售后及服务方案进行评审:</w:t>
            </w:r>
          </w:p>
          <w:p>
            <w:pPr>
              <w:numPr>
                <w:ilvl w:val="255"/>
                <w:numId w:val="0"/>
              </w:numPr>
              <w:tabs>
                <w:tab w:val="left" w:pos="860"/>
              </w:tabs>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1.售后服务方案满足招标文件要求（0-4分）：</w:t>
            </w:r>
          </w:p>
          <w:p>
            <w:pPr>
              <w:adjustRightInd w:val="0"/>
              <w:snapToGrid w:val="0"/>
              <w:spacing w:after="0" w:line="240" w:lineRule="atLeast"/>
              <w:rPr>
                <w:rFonts w:hint="eastAsia" w:ascii="宋体" w:hAnsi="宋体" w:cs="宋体"/>
                <w:color w:val="auto"/>
                <w:sz w:val="24"/>
                <w:highlight w:val="none"/>
              </w:rPr>
            </w:pPr>
            <w:bookmarkStart w:id="834" w:name="OLE_LINK48"/>
            <w:r>
              <w:rPr>
                <w:rFonts w:hint="eastAsia" w:ascii="宋体" w:hAnsi="宋体" w:cs="宋体"/>
                <w:color w:val="auto"/>
                <w:sz w:val="24"/>
                <w:highlight w:val="none"/>
              </w:rPr>
              <w:t>售后服务方案完善，满足招标文件要求，具备满足接到供货通知2h到货的紧急供货能力，并提供齐全的机构规模、人员、保障到货方案的相关证明材料，得4分；</w:t>
            </w:r>
          </w:p>
          <w:p>
            <w:pPr>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售后服务方案完善，常驻机构和机构规模、人员、保障到货方案的相关证明材料略有欠缺得1分；</w:t>
            </w:r>
          </w:p>
          <w:p>
            <w:pPr>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 xml:space="preserve">售后服务方案不完善，不具备接到供货通知2h到货的能力和机构的规模、人员、保障到货方案的相关证明材料，不得分。 </w:t>
            </w:r>
          </w:p>
          <w:bookmarkEnd w:id="834"/>
          <w:p>
            <w:pPr>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2.</w:t>
            </w:r>
            <w:bookmarkStart w:id="835" w:name="OLE_LINK44"/>
            <w:r>
              <w:rPr>
                <w:rFonts w:hint="eastAsia" w:ascii="宋体" w:hAnsi="宋体" w:cs="宋体"/>
                <w:color w:val="auto"/>
                <w:sz w:val="24"/>
                <w:highlight w:val="none"/>
              </w:rPr>
              <w:t>售后服务承诺</w:t>
            </w:r>
            <w:bookmarkEnd w:id="835"/>
            <w:r>
              <w:rPr>
                <w:rFonts w:hint="eastAsia" w:ascii="宋体" w:hAnsi="宋体" w:cs="宋体"/>
                <w:color w:val="auto"/>
                <w:sz w:val="24"/>
                <w:highlight w:val="none"/>
              </w:rPr>
              <w:t>(0-3分):</w:t>
            </w:r>
          </w:p>
          <w:p>
            <w:pPr>
              <w:adjustRightInd w:val="0"/>
              <w:snapToGrid w:val="0"/>
              <w:spacing w:after="0" w:line="240" w:lineRule="atLeast"/>
              <w:rPr>
                <w:rFonts w:hint="eastAsia" w:ascii="宋体" w:hAnsi="宋体" w:cs="宋体"/>
                <w:color w:val="auto"/>
                <w:sz w:val="24"/>
                <w:highlight w:val="none"/>
                <w:lang w:eastAsia="zh-CN"/>
              </w:rPr>
            </w:pPr>
            <w:bookmarkStart w:id="836" w:name="OLE_LINK47"/>
            <w:r>
              <w:rPr>
                <w:rFonts w:hint="eastAsia" w:ascii="宋体" w:hAnsi="宋体" w:cs="宋体"/>
                <w:color w:val="auto"/>
                <w:sz w:val="24"/>
                <w:highlight w:val="none"/>
              </w:rPr>
              <w:t>提出有效的售后服务承诺得3分</w:t>
            </w:r>
            <w:r>
              <w:rPr>
                <w:rFonts w:hint="eastAsia" w:ascii="宋体" w:hAnsi="宋体" w:cs="宋体"/>
                <w:color w:val="auto"/>
                <w:sz w:val="24"/>
                <w:highlight w:val="none"/>
                <w:lang w:eastAsia="zh-CN"/>
              </w:rPr>
              <w:t>；</w:t>
            </w:r>
          </w:p>
          <w:p>
            <w:pPr>
              <w:adjustRightInd w:val="0"/>
              <w:snapToGrid w:val="0"/>
              <w:spacing w:after="0" w:line="240" w:lineRule="atLeast"/>
              <w:rPr>
                <w:rFonts w:hint="eastAsia" w:ascii="宋体" w:hAnsi="宋体" w:cs="宋体"/>
                <w:color w:val="auto"/>
                <w:sz w:val="24"/>
                <w:highlight w:val="none"/>
                <w:lang w:eastAsia="zh-CN"/>
              </w:rPr>
            </w:pPr>
            <w:r>
              <w:rPr>
                <w:rFonts w:hint="eastAsia" w:ascii="宋体" w:hAnsi="宋体" w:cs="宋体"/>
                <w:color w:val="auto"/>
                <w:sz w:val="24"/>
                <w:highlight w:val="none"/>
              </w:rPr>
              <w:t>售后服务承诺未完全贴合项目实际得1分</w:t>
            </w:r>
            <w:r>
              <w:rPr>
                <w:rFonts w:hint="eastAsia" w:ascii="宋体" w:hAnsi="宋体" w:cs="宋体"/>
                <w:color w:val="auto"/>
                <w:sz w:val="24"/>
                <w:highlight w:val="none"/>
                <w:lang w:eastAsia="zh-CN"/>
              </w:rPr>
              <w:t>；</w:t>
            </w:r>
          </w:p>
          <w:p>
            <w:pPr>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未提出售后服务承诺不得分。</w:t>
            </w:r>
          </w:p>
          <w:bookmarkEnd w:id="836"/>
          <w:p>
            <w:pPr>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3.售后服务响应及处理周期（0-4分）：</w:t>
            </w:r>
          </w:p>
          <w:p>
            <w:pPr>
              <w:adjustRightInd w:val="0"/>
              <w:snapToGrid w:val="0"/>
              <w:spacing w:after="0" w:line="240" w:lineRule="atLeast"/>
              <w:rPr>
                <w:rFonts w:hint="eastAsia" w:ascii="宋体" w:hAnsi="宋体" w:cs="宋体"/>
                <w:color w:val="auto"/>
                <w:sz w:val="24"/>
                <w:highlight w:val="none"/>
              </w:rPr>
            </w:pPr>
            <w:bookmarkStart w:id="837" w:name="OLE_LINK46"/>
            <w:r>
              <w:rPr>
                <w:rFonts w:hint="eastAsia" w:ascii="宋体" w:hAnsi="宋体" w:cs="宋体"/>
                <w:color w:val="auto"/>
                <w:sz w:val="24"/>
                <w:highlight w:val="none"/>
              </w:rPr>
              <w:t>在接到通知后1小时内到达现场并迅速解决问题得4分；</w:t>
            </w:r>
          </w:p>
          <w:p>
            <w:pPr>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接到通知后2小时内到达现场并解决问题得1分；</w:t>
            </w:r>
          </w:p>
          <w:p>
            <w:pPr>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无法及时到达现场且无法解决问题的0分。</w:t>
            </w:r>
          </w:p>
          <w:bookmarkEnd w:id="837"/>
          <w:p>
            <w:pPr>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4.技术支持与培训</w:t>
            </w:r>
            <w:r>
              <w:rPr>
                <w:rFonts w:hint="eastAsia" w:ascii="宋体" w:hAnsi="宋体" w:cs="宋体"/>
                <w:color w:val="auto"/>
                <w:sz w:val="24"/>
                <w:highlight w:val="none"/>
                <w:lang w:val="en-US" w:eastAsia="zh-CN"/>
              </w:rPr>
              <w:t>方案</w:t>
            </w:r>
            <w:r>
              <w:rPr>
                <w:rFonts w:hint="eastAsia" w:ascii="宋体" w:hAnsi="宋体" w:cs="宋体"/>
                <w:color w:val="auto"/>
                <w:sz w:val="24"/>
                <w:highlight w:val="none"/>
              </w:rPr>
              <w:t>（0-4分）</w:t>
            </w:r>
          </w:p>
          <w:p>
            <w:pPr>
              <w:tabs>
                <w:tab w:val="left" w:pos="420"/>
              </w:tabs>
              <w:adjustRightInd w:val="0"/>
              <w:snapToGrid w:val="0"/>
              <w:spacing w:after="0" w:line="240" w:lineRule="atLeast"/>
              <w:rPr>
                <w:rFonts w:hint="eastAsia" w:ascii="宋体" w:hAnsi="宋体" w:cs="宋体"/>
                <w:color w:val="auto"/>
                <w:sz w:val="24"/>
                <w:highlight w:val="none"/>
              </w:rPr>
            </w:pPr>
            <w:bookmarkStart w:id="838" w:name="OLE_LINK14"/>
            <w:r>
              <w:rPr>
                <w:rFonts w:hint="eastAsia" w:ascii="宋体" w:hAnsi="宋体" w:cs="宋体"/>
                <w:color w:val="auto"/>
                <w:sz w:val="24"/>
                <w:highlight w:val="none"/>
              </w:rPr>
              <w:t>如遇重要技术问题，具有有效解决问题的能力并及时解决，得4分；</w:t>
            </w:r>
          </w:p>
          <w:p>
            <w:pPr>
              <w:tabs>
                <w:tab w:val="left" w:pos="420"/>
              </w:tabs>
              <w:adjustRightInd w:val="0"/>
              <w:snapToGrid w:val="0"/>
              <w:spacing w:after="0" w:line="240" w:lineRule="atLeast"/>
              <w:rPr>
                <w:rFonts w:hint="eastAsia" w:ascii="宋体" w:hAnsi="宋体" w:cs="宋体"/>
                <w:color w:val="auto"/>
                <w:sz w:val="24"/>
                <w:highlight w:val="none"/>
                <w:lang w:eastAsia="zh-CN"/>
              </w:rPr>
            </w:pPr>
            <w:r>
              <w:rPr>
                <w:rFonts w:hint="eastAsia" w:ascii="宋体" w:hAnsi="宋体" w:cs="宋体"/>
                <w:color w:val="auto"/>
                <w:sz w:val="24"/>
                <w:highlight w:val="none"/>
              </w:rPr>
              <w:t>解决问题能力欠佳得1分</w:t>
            </w:r>
            <w:r>
              <w:rPr>
                <w:rFonts w:hint="eastAsia" w:ascii="宋体" w:hAnsi="宋体" w:cs="宋体"/>
                <w:color w:val="auto"/>
                <w:sz w:val="24"/>
                <w:highlight w:val="none"/>
                <w:lang w:eastAsia="zh-CN"/>
              </w:rPr>
              <w:t>；</w:t>
            </w:r>
          </w:p>
          <w:p>
            <w:pPr>
              <w:tabs>
                <w:tab w:val="left" w:pos="420"/>
              </w:tabs>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不具备有效解决问题的能力不得分</w:t>
            </w:r>
            <w:bookmarkEnd w:id="838"/>
            <w:r>
              <w:rPr>
                <w:rFonts w:hint="eastAsia" w:ascii="宋体" w:hAnsi="宋体" w:cs="宋体"/>
                <w:color w:val="auto"/>
                <w:sz w:val="24"/>
                <w:highlight w:val="none"/>
              </w:rPr>
              <w:t>。</w:t>
            </w:r>
          </w:p>
        </w:tc>
      </w:tr>
    </w:tbl>
    <w:p>
      <w:pPr>
        <w:rPr>
          <w:rFonts w:hint="eastAsia" w:ascii="宋体" w:hAnsi="宋体" w:cs="宋体"/>
          <w:color w:val="auto"/>
          <w:szCs w:val="21"/>
          <w:highlight w:val="none"/>
        </w:rPr>
      </w:pPr>
      <w:r>
        <w:rPr>
          <w:rFonts w:hint="eastAsia" w:ascii="宋体" w:hAnsi="宋体" w:cs="宋体"/>
          <w:color w:val="auto"/>
          <w:szCs w:val="21"/>
          <w:highlight w:val="none"/>
        </w:rPr>
        <w:t>注：业绩证明材料须提供合同电子件（至少要包括合同首页、采购内容清单页、双方盖章签字页，并加盖投标人电子章）电子件，所有电子件应清晰，评标小组有权决定业绩是否对本项目的采购有指导意义，能否满足本项目的要求。</w:t>
      </w:r>
    </w:p>
    <w:p>
      <w:pPr>
        <w:rPr>
          <w:rFonts w:hint="eastAsia" w:ascii="宋体" w:hAnsi="宋体" w:cs="宋体"/>
          <w:b/>
          <w:color w:val="auto"/>
          <w:sz w:val="24"/>
          <w:highlight w:val="none"/>
        </w:rPr>
        <w:sectPr>
          <w:pgSz w:w="11901" w:h="16817"/>
          <w:pgMar w:top="1418" w:right="1474" w:bottom="1418" w:left="1474" w:header="851" w:footer="992" w:gutter="0"/>
          <w:cols w:space="720" w:num="1"/>
          <w:docGrid w:linePitch="340" w:charSpace="0"/>
        </w:sectPr>
      </w:pPr>
    </w:p>
    <w:p>
      <w:pPr>
        <w:pStyle w:val="23"/>
        <w:spacing w:line="360" w:lineRule="auto"/>
        <w:jc w:val="center"/>
        <w:outlineLvl w:val="0"/>
        <w:rPr>
          <w:rFonts w:hAnsi="宋体" w:cs="宋体"/>
          <w:b/>
          <w:color w:val="auto"/>
          <w:sz w:val="36"/>
          <w:szCs w:val="36"/>
          <w:highlight w:val="none"/>
        </w:rPr>
      </w:pPr>
      <w:bookmarkStart w:id="839" w:name="_Toc192872479"/>
      <w:r>
        <w:rPr>
          <w:rFonts w:hAnsi="宋体" w:cs="宋体"/>
          <w:b/>
          <w:color w:val="auto"/>
          <w:sz w:val="36"/>
          <w:szCs w:val="36"/>
          <w:highlight w:val="none"/>
        </w:rPr>
        <w:t>第五章   采购需求</w:t>
      </w:r>
      <w:bookmarkEnd w:id="839"/>
    </w:p>
    <w:p>
      <w:pPr>
        <w:pStyle w:val="187"/>
        <w:numPr>
          <w:ilvl w:val="0"/>
          <w:numId w:val="19"/>
        </w:numPr>
        <w:spacing w:after="0"/>
        <w:ind w:firstLineChars="0"/>
        <w:contextualSpacing/>
        <w:rPr>
          <w:rFonts w:hint="eastAsia" w:cs="宋体"/>
          <w:b w:val="0"/>
          <w:color w:val="auto"/>
          <w:sz w:val="24"/>
          <w:szCs w:val="24"/>
          <w:highlight w:val="none"/>
        </w:rPr>
      </w:pPr>
      <w:r>
        <w:rPr>
          <w:rFonts w:hint="eastAsia" w:cs="宋体"/>
          <w:color w:val="auto"/>
          <w:sz w:val="24"/>
          <w:szCs w:val="24"/>
          <w:highlight w:val="none"/>
        </w:rPr>
        <w:t>货物需求一览表</w:t>
      </w:r>
    </w:p>
    <w:tbl>
      <w:tblPr>
        <w:tblStyle w:val="47"/>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98"/>
        <w:gridCol w:w="1983"/>
        <w:gridCol w:w="1069"/>
        <w:gridCol w:w="697"/>
        <w:gridCol w:w="9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序号</w:t>
            </w:r>
          </w:p>
        </w:tc>
        <w:tc>
          <w:tcPr>
            <w:tcW w:w="1983" w:type="dxa"/>
            <w:shd w:val="clear" w:color="auto" w:fill="FFFFFF" w:themeFill="background1"/>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标的名称</w:t>
            </w:r>
          </w:p>
        </w:tc>
        <w:tc>
          <w:tcPr>
            <w:tcW w:w="1069" w:type="dxa"/>
            <w:shd w:val="clear" w:color="auto" w:fill="FFFFFF" w:themeFill="background1"/>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规格</w:t>
            </w:r>
          </w:p>
        </w:tc>
        <w:tc>
          <w:tcPr>
            <w:tcW w:w="697"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tc>
        <w:tc>
          <w:tcPr>
            <w:tcW w:w="9723" w:type="dxa"/>
            <w:shd w:val="clear" w:color="auto" w:fill="FFFFFF" w:themeFill="background1"/>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医用外科口罩（独立包装）</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50个/盒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0"/>
                <w:szCs w:val="20"/>
                <w:highlight w:val="none"/>
                <w:lang w:bidi="ar"/>
              </w:rPr>
              <w:t>20</w:t>
            </w:r>
            <w:r>
              <w:rPr>
                <w:rFonts w:hint="eastAsia" w:ascii="宋体" w:hAnsi="宋体" w:eastAsia="宋体" w:cs="宋体"/>
                <w:color w:val="auto"/>
                <w:kern w:val="0"/>
                <w:sz w:val="18"/>
                <w:szCs w:val="18"/>
                <w:highlight w:val="none"/>
                <w:lang w:bidi="ar"/>
              </w:rPr>
              <w:t>盒</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1.材质：无纺布+医用熔喷布；</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★2.无菌：环氧乙烷灭菌；</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3.性能：医用外科；</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★4.独立包装；</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5.尺寸：17.5*9.5cm；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6.50个/盒。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高压灭菌袋（10L)</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500个/箱，45*55cm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8箱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18"/>
                <w:szCs w:val="18"/>
                <w:highlight w:val="none"/>
                <w:lang w:bidi="ar"/>
              </w:rPr>
              <w:t>★1.材质：聚丙烯;</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2.可耐高温121℃;</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★3.尺寸：45*55cm;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4.规格：500个/箱。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bookmarkStart w:id="840" w:name="_Hlk193385387"/>
            <w:r>
              <w:rPr>
                <w:rFonts w:hint="eastAsia" w:ascii="宋体" w:hAnsi="宋体" w:eastAsia="宋体" w:cs="宋体"/>
                <w:color w:val="auto"/>
                <w:kern w:val="0"/>
                <w:sz w:val="24"/>
                <w:highlight w:val="none"/>
              </w:rPr>
              <w:t>3</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0.2ml荧光PCR96孔板</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10块/盒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15盒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18"/>
                <w:szCs w:val="18"/>
                <w:highlight w:val="none"/>
                <w:lang w:bidi="ar"/>
              </w:rPr>
              <w:t>1.磨砂表面，在实时荧光定量PCR应用中使热循环加热基座的干扰荧光较小化;</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2.筛选后去除了自发荧光反应板;</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3.特有的设计隔绝周围空气，帮助保证孔与孔之间的温度均一性;</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★4.适用于ABI ViiA7和QuantStudio7荧光定量PCR仪。</w:t>
            </w:r>
          </w:p>
        </w:tc>
      </w:tr>
      <w:bookmarkEnd w:id="8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0.2ml荧光PCR96孔板覆膜</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100张/盒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5盒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1.压力敏感的粘性盖膜对每个孔均提供了密封;</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2.不影响样品读数;</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3.按压密封：对准反应板后按压密封;</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4.简单易用—不会粘在手套上;</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★5.适用于ABI ViiA7和QuantStudio7荧光定量PCR仪。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PCR通用透明封板膜</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100块/盒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18"/>
                <w:szCs w:val="18"/>
                <w:highlight w:val="none"/>
                <w:lang w:bidi="ar"/>
              </w:rPr>
              <w:t>1.微孔板热封膜适合从PCR和实时荧光定量PCR到ELISA和细胞培养的多种应用;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2.厚度：60 µm;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3.无菌:否;</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4.应用:临床诊断。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N95口罩</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20个/盒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13盒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18"/>
                <w:szCs w:val="18"/>
                <w:highlight w:val="none"/>
                <w:lang w:bidi="ar"/>
              </w:rPr>
              <w:t>1.产品部件不含任何天然橡胶成分；</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2.NIOSH标准，N95；</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3.用于职业性医护人员的呼吸防护，防护某些致病微和物颗粒。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84消毒液（500g)</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30瓶/箱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4箱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18"/>
                <w:szCs w:val="18"/>
                <w:highlight w:val="none"/>
                <w:lang w:bidi="ar"/>
              </w:rPr>
              <w:t>1.有效氯含量：4-4.99%；</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2.可杀灭肠道致病菌、化脓菌球菌。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蒸馏水</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4.5L/瓶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80瓶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18"/>
                <w:szCs w:val="18"/>
                <w:highlight w:val="none"/>
                <w:lang w:bidi="ar"/>
              </w:rPr>
              <w:t>1.蒸馏熟水制法。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1250ul无菌盒装滤芯吸头</w:t>
            </w:r>
          </w:p>
        </w:tc>
        <w:tc>
          <w:tcPr>
            <w:tcW w:w="1069" w:type="dxa"/>
            <w:shd w:val="clear" w:color="auto" w:fill="FFFFFF" w:themeFill="background1"/>
            <w:vAlign w:val="center"/>
          </w:tcPr>
          <w:p>
            <w:pPr>
              <w:widowControl/>
              <w:jc w:val="both"/>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96支</w:t>
            </w:r>
            <w:r>
              <w:rPr>
                <w:rFonts w:hint="eastAsia" w:ascii="宋体" w:hAnsi="宋体" w:cs="宋体"/>
                <w:color w:val="auto"/>
                <w:kern w:val="0"/>
                <w:sz w:val="20"/>
                <w:szCs w:val="20"/>
                <w:highlight w:val="none"/>
                <w:lang w:val="en-US" w:eastAsia="zh-CN" w:bidi="ar"/>
              </w:rPr>
              <w:t>/</w:t>
            </w:r>
            <w:r>
              <w:rPr>
                <w:rFonts w:hint="eastAsia" w:ascii="宋体" w:hAnsi="宋体" w:eastAsia="宋体" w:cs="宋体"/>
                <w:color w:val="auto"/>
                <w:kern w:val="0"/>
                <w:sz w:val="20"/>
                <w:szCs w:val="20"/>
                <w:highlight w:val="none"/>
                <w:lang w:bidi="ar"/>
              </w:rPr>
              <w:t>盒</w:t>
            </w:r>
            <w:r>
              <w:rPr>
                <w:rFonts w:hint="eastAsia" w:ascii="宋体" w:hAnsi="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50盒</w:t>
            </w:r>
            <w:r>
              <w:rPr>
                <w:rFonts w:hint="eastAsia" w:ascii="宋体" w:hAnsi="宋体" w:cs="宋体"/>
                <w:color w:val="auto"/>
                <w:kern w:val="0"/>
                <w:sz w:val="20"/>
                <w:szCs w:val="20"/>
                <w:highlight w:val="none"/>
                <w:lang w:val="en-US" w:eastAsia="zh-CN" w:bidi="ar"/>
              </w:rPr>
              <w:t>/</w:t>
            </w:r>
            <w:r>
              <w:rPr>
                <w:rFonts w:hint="eastAsia" w:ascii="宋体" w:hAnsi="宋体" w:eastAsia="宋体" w:cs="宋体"/>
                <w:color w:val="auto"/>
                <w:kern w:val="0"/>
                <w:sz w:val="20"/>
                <w:szCs w:val="20"/>
                <w:highlight w:val="none"/>
                <w:lang w:bidi="ar"/>
              </w:rPr>
              <w:t xml:space="preserve">箱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6箱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18"/>
                <w:szCs w:val="18"/>
                <w:highlight w:val="none"/>
                <w:lang w:bidi="ar"/>
              </w:rPr>
              <w:t>1.优质原料，PP材质；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2.无菌，无DNA/RNA酶，无热源。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10ul滤芯吸头</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50盒/箱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6箱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18"/>
                <w:szCs w:val="18"/>
                <w:highlight w:val="none"/>
                <w:lang w:bidi="ar"/>
              </w:rPr>
              <w:t>1.优质原料，PP材质；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2.无菌，无DNA/RNA酶，无热源；</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3.带滤芯加长吸头。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w:t>
            </w:r>
          </w:p>
        </w:tc>
        <w:tc>
          <w:tcPr>
            <w:tcW w:w="1983" w:type="dxa"/>
            <w:shd w:val="clear" w:color="auto" w:fill="FFFFFF" w:themeFill="background1"/>
            <w:vAlign w:val="center"/>
          </w:tcPr>
          <w:p>
            <w:pPr>
              <w:widowControl/>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b/>
                <w:bCs/>
                <w:color w:val="auto"/>
                <w:kern w:val="0"/>
                <w:sz w:val="20"/>
                <w:szCs w:val="20"/>
                <w:highlight w:val="none"/>
                <w:lang w:bidi="ar"/>
              </w:rPr>
              <w:t>盒装滤芯吸头（200ul）</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val="en-US" w:eastAsia="zh-CN" w:bidi="ar"/>
              </w:rPr>
              <w:t>核心产品）</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50盒/箱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10箱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18"/>
                <w:szCs w:val="18"/>
                <w:highlight w:val="none"/>
                <w:lang w:bidi="ar"/>
              </w:rPr>
              <w:t>1.优质原料，PP材质；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2.无菌，无DNA/RNA酶，无热源。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医用脱脂棉球</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0.4g/颗，100g/袋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150袋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1.符合 YY 0330-2023《医用脱脂棉》、医疗器械相关法规；</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2.二类（无菌）医疗器械，具备医疗器械注册证 / 备案凭证；</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3.采用 100% 优质医用级原棉，经除杂、脱脂、漂白、清洗、干燥、成型、灭菌（环氧乙烷灭菌，残留量≤10μg/g）工艺；无荧光剂、无色素、无有害化学残留，纤维柔软，易分层，不掉絮；</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4.吸水量：每克吸水≥23g，下沉时间≤10 秒，吸水迅速均匀；酸碱度：中性，无酸碱性刺激；醚中可溶物、水中可溶物、硫酸盐灰分均符合 YY 0330-2023 限量要求；</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5.适用范围：适用于皮肤消毒前擦拭、创面清洁、药液蘸取、医疗器械表面预处理；严禁用于眼部、耳道深部等敏感黏膜的直接填充；</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6.规格与包装：0.4g / 粒、100g/袋；</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7.储存与保质期：密封避光，置于阴凉干燥、无菌款保质期 2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低温记号笔</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4个/包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18"/>
                <w:szCs w:val="18"/>
                <w:highlight w:val="none"/>
                <w:lang w:bidi="ar"/>
              </w:rPr>
              <w:t>1.耐低温-80℃；</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2.急速快干、大容量墨水；</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3.可适用于玻璃、塑料、金属等大多数材质表面。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5ml离心管（圆底连盖）</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500支/盒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18"/>
                <w:szCs w:val="18"/>
                <w:highlight w:val="none"/>
                <w:lang w:bidi="ar"/>
              </w:rPr>
              <w:t>1.规格参数：容积 5mL，圆底设计，带有盖子，盖体与管身贴合紧密，无漏液风险；</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2.材质要求：采用医用级 PP（聚丙烯）材质，透明无杂质；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3.物理性能：管身壁厚均匀，无毛刺、无裂痕，抗压性强，离心时不易破损；盖体密封性好，可防止样品泄漏、污染；</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4.标识设计：管身带有清晰刻度（0.5-5mL），可标记样品信息，便于实验区分与追溯；</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5.适用范围：适用于生物样品离心、储存、分装，适配实验室细胞培养、核酸提取、微生物检测等实验。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连体医用一次性防护服（含脚套）</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50件/箱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2箱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18"/>
                <w:szCs w:val="18"/>
                <w:highlight w:val="none"/>
                <w:lang w:bidi="ar"/>
              </w:rPr>
              <w:t>1.执行标准：符合 GB 19082-2009《医用一次性防护服技术要求》，贴合最新医用防护规范要求；</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结构设计：连体一体式结构，脚套与防护服不可拆卸、一体化成型，覆盖脚踝至足底，鞋头带加强层（防穿刺、防撞击），袖口、脚踝口、帽子面部及腰部采用弹性收口，确保贴合严密无空隙，穿脱便捷且防护无死角；</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3.材质要求：采用覆膜无纺布或聚丙烯覆聚乙烯透气膜复合面料，经针缝加工 + EVA 胶条密封处理，无粘连、裂缝、孔洞等缺陷，兼具阻隔性与透气性，主体材质≥50gsm；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4.防护性能：关键部位静水压不低于 10Kpa，表面抗湿性不小于 4 级，抗合成血液穿透性不低于 GB 19082-2009 5 级要求，对非油性颗粒过滤效率≥95%，可有效阻隔细菌、病毒、体液及气溶胶；</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5.无菌与安全：经环氧乙烷或钴 60 辐射灭菌，无菌保证水平 SAL≥10⁻⁶，无菌检查阴性；环氧乙烷残留量不超过 10μg/g，无皮肤刺激、致敏性，无细菌、真菌、支原体污染；</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6.物理性能：关键部位材料干态纵向断裂强力≥130N、横向≥60N，湿态断裂强力与干态一致；干态纵向断裂伸长率≥60%、横向≥80%，湿态纵向≥55%、横向≥80%，耐磨、抗撕裂，不易破损；</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7.规格与包装：规格含 170cm、175cm、180cm，适配不同身高；独立密封包装；</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8.保质期≥2 年，供货时剩余效期≥总保质期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16</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一次性细菌接种环（10ul）</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1000支/箱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3箱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18"/>
                <w:szCs w:val="18"/>
                <w:highlight w:val="none"/>
                <w:lang w:bidi="ar"/>
              </w:rPr>
              <w:t>1.规格参数：接种环容积精准为 10μL，误差≤±10%，环径均匀，适配微生物接种、涂片操作；</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2.医用级 PP 材质，无毒性、无异味，不与微生物、培养基发生反应；</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3.无菌性能：经环氧乙烷或钴 60 辐射灭菌，无菌检查阴性，无细菌、真菌、支原体污染；</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4.物理性能：环部光滑无毛刺、无裂痕，杆部坚硬不易弯曲、折断，手持舒适，操作便捷；</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5.适用于细菌接种、菌落分离、微生物涂片、菌种传代等实验，适配临床微生物检测、科研实验室使用；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6.包装规格：独立无菌包装；</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7.室温干燥避光储存，远离潮湿、污染环境；</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8.保质期≥2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100mm培养皿</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500个/箱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4箱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18"/>
                <w:szCs w:val="18"/>
                <w:highlight w:val="none"/>
                <w:lang w:bidi="ar"/>
              </w:rPr>
              <w:t>1.细胞培养级；</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2.规格参数：直径 100mm，高度 15-18mm，底壁厚度均匀，适配常规细胞培养、微生物培养操作；</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3.材质要求：采用医用级高透明聚苯乙烯（PS）材质，无毒性、无异味，透光性好，便于观察细胞 / 菌落生长状态；</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4.无菌性能：经环氧乙烷或钴 60 辐射灭菌，无菌保证水平 SAL≥10⁻⁶，无菌检查阴性，无细菌、真菌、支原体及核酸酶污染；</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5.物理性能：皿底平整、光滑无毛刺，抗压性强，不易破碎、变形，耐高温（≤121℃）、耐低温（≥-20℃）；</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6.适用范围：适用于哺乳动物细胞培养、微生物菌落培养、细胞克隆、药敏试验等实验，适配科研及临床实验室使用；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7.包装规格：独立无菌包装，20 个</w:t>
            </w:r>
            <w:r>
              <w:rPr>
                <w:rFonts w:hint="eastAsia" w:ascii="宋体" w:hAnsi="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bidi="ar"/>
              </w:rPr>
              <w:t>袋</w:t>
            </w:r>
            <w:r>
              <w:rPr>
                <w:rFonts w:hint="eastAsia" w:ascii="宋体" w:hAnsi="宋体" w:cs="宋体"/>
                <w:color w:val="auto"/>
                <w:kern w:val="0"/>
                <w:sz w:val="18"/>
                <w:szCs w:val="18"/>
                <w:highlight w:val="none"/>
                <w:lang w:val="en-US" w:eastAsia="zh-CN" w:bidi="ar"/>
              </w:rPr>
              <w:t>,</w:t>
            </w:r>
            <w:r>
              <w:rPr>
                <w:rFonts w:hint="eastAsia" w:ascii="宋体" w:hAnsi="宋体" w:eastAsia="宋体" w:cs="宋体"/>
                <w:color w:val="auto"/>
                <w:kern w:val="0"/>
                <w:sz w:val="20"/>
                <w:szCs w:val="20"/>
                <w:highlight w:val="none"/>
                <w:lang w:bidi="ar"/>
              </w:rPr>
              <w:t>500个/箱</w:t>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8.保质期≥2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高纯二氧化碳</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40升/瓶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1.纯度：99.9%；</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2.规格：40L；</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3.培养箱专用二氧化碳。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一次性透明聚乙烯试管（12mm*75mm）</w:t>
            </w:r>
          </w:p>
        </w:tc>
        <w:tc>
          <w:tcPr>
            <w:tcW w:w="1069" w:type="dxa"/>
            <w:shd w:val="clear" w:color="auto" w:fill="FFFFFF" w:themeFill="background1"/>
            <w:vAlign w:val="center"/>
          </w:tcPr>
          <w:p>
            <w:pPr>
              <w:widowControl/>
              <w:jc w:val="both"/>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1000支</w:t>
            </w:r>
            <w:r>
              <w:rPr>
                <w:rFonts w:hint="eastAsia" w:ascii="宋体" w:hAnsi="宋体" w:cs="宋体"/>
                <w:color w:val="auto"/>
                <w:kern w:val="0"/>
                <w:sz w:val="20"/>
                <w:szCs w:val="20"/>
                <w:highlight w:val="none"/>
                <w:lang w:val="en-US" w:eastAsia="zh-CN" w:bidi="ar"/>
              </w:rPr>
              <w:t>/</w:t>
            </w:r>
            <w:r>
              <w:rPr>
                <w:rFonts w:hint="eastAsia" w:ascii="宋体" w:hAnsi="宋体" w:eastAsia="宋体" w:cs="宋体"/>
                <w:color w:val="auto"/>
                <w:kern w:val="0"/>
                <w:sz w:val="20"/>
                <w:szCs w:val="20"/>
                <w:highlight w:val="none"/>
                <w:lang w:bidi="ar"/>
              </w:rPr>
              <w:t xml:space="preserve">箱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3箱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1.材质：聚苯乙烯；</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2.每箱数量：1000支/箱；</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3.容积（公制）：5ml。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5ml外旋冻存管</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50个/包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10包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1.PP（聚丙烯）材质；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2.圆底 自立式 外旋密盖；</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3.灭菌 大包装 硅胶垫圈。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2ml翻盖式PC冻存管盒</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1个/包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25包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1.规格 100 孔 / 10×10 ，掀盖式；</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2.孔径精准适配 2ml 冻存管，翻盖带限位结构，单手可开合，防盖脱落；盒盖有 1–100 数字编号，便于样本定位；</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3.材质要求：通体医用级高纯度 PC 材质，无杂质、高透明 / 多色可选；</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4.温度耐受：耐受范围 -80℃，可反复冻融，低温下不脆裂、不变形</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5.物理性能：壁厚均匀，抗压抗摔；盒底有导流槽 / 漏液孔，防止冷凝水 / 液氮积液。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丁腈手套（S号）</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100个/盒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30盒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1.材质：丁腈;</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★2.性能：无粉加厚、微麻表面、高效防滑;</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3.保质期：3年以上;</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4.规格：100个/盒;</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5.型号：S号。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丁腈手套（M号）</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100个/盒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40盒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1.材质：丁腈;</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★2.性能：无粉加厚、微麻表面、高效防滑；</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3.保质期：3年以上；</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4.规格：100个/盒；</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5.型号：M号。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丁腈手套（L号）</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100个/盒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20盒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1.材质：丁腈；</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★2.性能：无粉加厚、微麻表面、高效防滑；</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3.保质期：3年以上；</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4.规格：100个/盒；</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5.型号：L号。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紫色丁腈加长手套（M号）</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50只/盒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20盒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 颜色为均匀深紫色（magenta），无杂色、无异味、无杂质，符合 ISO 10993 生物相容性要求及 FDA 21 CFR 177.2600 食品接触标准。</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2.采用高纯度合成丁腈橡胶（丙烯腈 - 丁二烯共聚物）制成，无天然乳胶、无硅酮成分，无硫化促进剂，降低皮肤过敏风险；</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★3.加长手套（M 号），总长度≥300mm（12 英寸）</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4.无粉设计（powder-free），经双重氯化处理，穿戴顺滑不粘手，可支持双层佩戴；指尖纹理处理（textured fingertips），增强抓握力，适配玻璃器皿、实验器械等精细操作，避免打滑。</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5.耐磨、抗撕裂、抗穿刺，不易破损，符合 ASTM D412、ASTM D6319 标准要求。</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6.防护性能：无孔洞（AQL≤0.65，按 ISO 2859-1 抽样标准），防水性符合 ASTM D5151 标准（无渗漏）；可有效阻隔酸碱、有机溶剂、体液及化疗药物飞溅，符合 EN ISO 374-1 Type B 化学飞溅防护、EN ISO 374-5 微生物与病毒防护要求，适配实验室、生物制药等场景。</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7.无皮肤刺激、致敏性，经 ASTM D6978-05 检测，可用于化疗药物操作，符合 USP 800 指南要求。</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8.包装与效期：50只/盒，保质期≥3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PE手套</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50包/箱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3箱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1.材质：PE。</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★2.性能：高效防渗液、防滑不易破。</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3.保质期：3年以上。</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4.规格：100只/包</w:t>
            </w:r>
            <w:r>
              <w:rPr>
                <w:rFonts w:hint="eastAsia" w:ascii="宋体" w:hAnsi="宋体" w:cs="宋体"/>
                <w:color w:val="auto"/>
                <w:kern w:val="0"/>
                <w:sz w:val="18"/>
                <w:szCs w:val="18"/>
                <w:highlight w:val="none"/>
                <w:lang w:eastAsia="zh-CN" w:bidi="ar"/>
              </w:rPr>
              <w:t>；</w:t>
            </w:r>
            <w:r>
              <w:rPr>
                <w:rFonts w:hint="eastAsia" w:ascii="宋体" w:hAnsi="宋体" w:eastAsia="宋体" w:cs="宋体"/>
                <w:color w:val="auto"/>
                <w:kern w:val="0"/>
                <w:sz w:val="20"/>
                <w:szCs w:val="20"/>
                <w:highlight w:val="none"/>
                <w:lang w:bidi="ar"/>
              </w:rPr>
              <w:t>50包/箱</w:t>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5.型号：M号。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27</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75cm2细胞培养瓶</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100个/箱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3箱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1.细胞培养级；</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2.培养面积精准 75cm</w:t>
            </w:r>
            <w:r>
              <w:rPr>
                <w:rStyle w:val="372"/>
                <w:rFonts w:hint="eastAsia" w:ascii="宋体" w:hAnsi="宋体" w:eastAsia="宋体" w:cs="宋体"/>
                <w:color w:val="auto"/>
                <w:highlight w:val="none"/>
                <w:lang w:bidi="ar"/>
              </w:rPr>
              <w:t>²</w:t>
            </w:r>
            <w:r>
              <w:rPr>
                <w:rFonts w:hint="eastAsia" w:ascii="宋体" w:hAnsi="宋体" w:eastAsia="宋体" w:cs="宋体"/>
                <w:color w:val="auto"/>
                <w:kern w:val="0"/>
                <w:sz w:val="18"/>
                <w:szCs w:val="18"/>
                <w:highlight w:val="none"/>
                <w:lang w:bidi="ar"/>
              </w:rPr>
              <w:t>，瓶身容积≥60mL；</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3.材质要求：采用光学级高透明原生聚苯乙烯（PS）制成，无毒性、无异味，透光性优良，便于显微镜下观察细胞生长状态；无 RNase/DNase/ 内毒素污染，非致</w:t>
            </w:r>
            <w:r>
              <w:rPr>
                <w:rFonts w:hint="eastAsia" w:ascii="宋体" w:hAnsi="宋体" w:cs="宋体"/>
                <w:color w:val="auto"/>
                <w:kern w:val="0"/>
                <w:sz w:val="18"/>
                <w:szCs w:val="18"/>
                <w:highlight w:val="none"/>
                <w:lang w:eastAsia="zh-CN" w:bidi="ar"/>
              </w:rPr>
              <w:t>热源</w:t>
            </w:r>
            <w:r>
              <w:rPr>
                <w:rFonts w:hint="eastAsia" w:ascii="宋体" w:hAnsi="宋体" w:eastAsia="宋体" w:cs="宋体"/>
                <w:color w:val="auto"/>
                <w:kern w:val="0"/>
                <w:sz w:val="18"/>
                <w:szCs w:val="18"/>
                <w:highlight w:val="none"/>
                <w:lang w:bidi="ar"/>
              </w:rPr>
              <w:t>（nonpyrogenic），符合 GMP 及生物相容性相关要求；</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4.结构设计：U 型或长方形瓶身，斜颈（canted neck）设计，肩部圆润符合人体工学，便于抓握、开盖及细胞刮取，可适配最大 50mL 移液管操作；带透气盖（滤膜孔径 0.22μm，HDPE 材质，橙色），平衡瓶内外气压、保证气体交换同时防止污染；瓶身带清晰刻度（20-200mL）及批号印刷，便于加液、样本追溯，贴壁型经TC 表面处理，增强细胞贴壁能力，悬浮型可按需提供；</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5.无菌性能：经 γ 射线（钴 60）辐射灭菌，100% 完整性检测，无菌保证水平 SAL≥10⁻⁶，无菌检查阴性，无细菌、真菌、支原体污染，符合医用级无菌标准，可直接用于细胞培养；</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6.物理性能：瓶身壁厚均匀，无毛刺、无裂痕，抗压性强，不易破碎、变形；盖体与瓶身贴合紧密，无漏液风险；</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7.室温干燥避光储存，保质期≥2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521"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眼科剪（10cm直尖头）</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1把/包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25包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1.医用级，长度精准 10cm（误差≤±0.2cm）；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2.直柄直尖头设计，尖头锋利、刃口细密，适配眼科及精细手术 / 实验操作，符合 GB/T 1220-2007 不锈钢标准；</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3.采用医用级 304 不锈钢制成，无杂质、无毛刺，耐腐蚀、不易生锈，表面经抛光处理，光滑易清洁，无毒性、无致敏性，符合医用器械生物相容性要求；</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4.刃口性能：刃口经高频淬火处理，硬度≥50HRC，锋利度高，可轻松剪切组织、缝线（4-0 号线及以下），剪切过程无卡顿、无卷刃，刃口闭合紧密，无间隙、不打滑；</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5.无菌与安全：可重复灭菌使用，灭菌后性能无衰减，符合医用无菌器械标准。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29</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14G金属穿刺针(2.1*150)</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1个/包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10包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1.型号 14G，针管外径 2.1mm、长度 150mm（误差≤±0.3mm），针管内径适配 14G 标准，直型针身，尖头设计（斜面刃口），符合医用穿刺针通用标准；</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2.材质要求：采用医用级 304 不锈钢制成，无杂质、无毛刺，耐腐蚀、不易生锈，表面经抛光处理，生物相容性优良，无毒性、无致敏性，符合 GB/T 1220-2007 标准；</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3.结构设计：针身笔直，壁厚均匀（≥0.2mm），抗压性强，不易弯曲、折断；针尾带连接接口；</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4.适配注射器、引流管等，连接紧密，无漏液风险。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背心袋（26x42cm，加厚）</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50个/包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10包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★1.材质：可降解材质；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2.颜色：白色；</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3.尺寸：20cm*42cm；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4.50个/包。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背心袋（30x48cm，加厚）</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50个/包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10包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★1.材质：可降解材质；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2.颜色：白色；</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3.尺寸：30cm*48cm；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4.50个/包。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厌氧产气袋</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10个/包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5包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1.符合微生物培养用耗材行业标准；</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2.规格适配：适配 2.5L、3.5L 密封培养罐及 350mL 培养袋，无需额外添加催化剂，即开即用；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3.产气性能：30-60 分钟内将密闭环境氧气浓度降至 0.1% 以下，产生 21% 左右二氧化碳，满足厌氧菌生长需求；</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4.材质安全：采用医用级透气无纺布，无有毒有害成分，无溶出物，不影响微生物培养效果；</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5.无菌标准：经环氧乙烷灭菌，无菌保证水平 SAL≥10⁻⁶，无细菌、支原体污染，符合医用级要求；</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6.稳定性：未开封室温干燥储存，保质期≥2 年；开封后有效作用时间≥72 小时，产气效果稳定。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33</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75%酒精</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30瓶/箱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2箱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1.符合 GB/T 26373-2020《乙醇消毒剂卫生标准》；</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2.核心参数：酒精体积分数 75%±5%，纯度≥99.5%，无杂质、无异味，无甲醇等有害残留物（甲醇含量≤0.05%）；</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3.消毒性能：对金黄色葡萄球菌、大肠杆菌、白色念珠菌等常见致病菌杀灭率≥99.99%，可快速杀灭细菌、病毒，适配皮肤、物体表面消毒；</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4.安全性能：易燃液体，闪点≤13℃，无腐蚀性、无刺激性，符合医用级安全标准，皮肤接触无明显刺激反应；</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5.适用于皮肤表面消毒、医疗器械（非侵入性）消毒、实验室及办公区域物体表面消毒，禁止用于黏膜、眼部消毒；</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6.密封避光储存，保质期≥2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DNase/RNase-free ddH2O</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10x1ml/包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30包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1.无RNase/DNase；</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2.无热源；</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 xml:space="preserve">3.颗粒物&lt;1/ml；                                                       </w:t>
            </w:r>
          </w:p>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4.无细菌。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液氮</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50L/罐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10罐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1.工业级≥99.99%，无杂质、无异味，不含水分、油污及有害气体，氧含量≤5ppm；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2.适用于细胞、菌种、血清等生物样本超低温冻存。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甘油(AR)</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500ML/瓶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5瓶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1.可用于菌种保藏；</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2.高纯度、高保湿；</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3.触感浓厚；</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4.500ml/瓶。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37</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PET防护面罩/面屏</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10个/箱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3箱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1、符合 GB 14866—2023《眼面防护具通用技术规范》；</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2、材质要求：采用食品级 PET 树脂，厚度 0.18-0.3mm（偏差≤±0.01mm），无毒性、无异味，韧性强、抗冲击，符合 GB/T 17931—2018 标准；</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3、光学性能：可见光透射比≥89%，雾度≤3%，无视觉畸变，双面防雾涂层，500 次摩擦后透光率保持率≥85%；</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4、防护性能：可防飞沫、粉尘、轻微腐蚀液体，微生物阻隔效率≥99.9%，1kg 钢球 1.3m 撞击无破裂；</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5、结构设计：佩戴舒适，可调节松紧，额头带透气海绵，面屏全覆盖面部无盲区，适配不同头围；</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6、无菌要求（医用级）：环氧乙烷灭菌，SAL≥10⁻⁶，环氧乙烷残留量≤10μg/g，无菌检查合格。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38</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医用一次性防护服（带脚套）</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1件/袋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100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1.执行标准：符合 GB 19082-2009《医用一次性防护服技术要求》，贴合最新医用防护规范要求；</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结构设计：连体一体式结构，脚套与防护服不可拆卸、一体化成型，覆盖脚踝至足底，鞋头带加强层（防穿刺、防撞击），袖口、脚踝口、帽子面部及腰部采用弹性收口，确保贴合严密无空隙，穿脱便捷且防护无死角；</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3.材质要求：采用覆膜无纺布或聚丙烯覆聚乙烯透气膜复合面料，经针缝加工 + EVA 胶条密封处理，无粘连、裂缝、孔洞等缺陷，兼具阻隔性与透气性，主体材质≥50gsm；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4.防护性能：关键部位静水压不低于 10Kpa，表面抗湿性不小于 4 级，抗合成血液穿透性不低于 GB 19082-2009 5 级要求，对非油性颗粒过滤效率≥95%，可有效阻隔细菌、病毒、体液及气溶胶；</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5.无菌与安全：经环氧乙烷或钴 60 辐射灭菌，无菌保证水平 SAL≥10⁻⁶，无菌检查阴性；环氧乙烷残留量不超过 10μg/g，无皮肤刺激、致敏性，无细菌、真菌、支原体污染；</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6.物理性能：关键部位材料干态纵向断裂强力≥130N、横向≥60N，湿态断裂强力与干态一致；干态纵向断裂伸长率≥60%、横向≥80%，湿态纵向≥55%、横向≥80%，耐磨、抗撕裂，不易破损；</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7.规格与包装：规格含 170cm、175cm、180cm，适配不同身高；独立密封包装；</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8.保质期≥2年，供货时剩余效期≥总保质期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39</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衣领袖口清洁剂</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400g *4瓶/箱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3箱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1.符合 GB/T 30798-2014 洗涤用品安全技术规范；</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2.含三重生物酶与高活性氧复配体系，活性氧含量≥9%，领口汗渍袖口血渍黄去除率≥95%，陈年黄渍去除率≥92%，无需强力搓洗即可彻底去污；</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3.喷雾型；</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4.材质安全：配方无磷、无氯、无荧光剂，重金属未检出，pH 值 7.2-7.5（中性），温和无刺激，符合 GB31701-2015 婴幼儿纺织品 A 类认证，敏感肌、母婴可用；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 xml:space="preserve">5.适用范围：适配实验室白大褂等常见面料，可清除衣领袖口汗渍、血渍、奶渍等顽固黄渍。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40</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智能分析系统卡盒</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24份/盒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12盒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1.可用于对动物的唾液、鼻液、血拭子、粪便、病变组织样品、环境样品、精液等样本中病原核酸（DNA/RNA）进行定性检测；</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2.适用于搭载MAOPA™的Unigen™全封闭智能分析系统，可实现“样本进、结果出”；</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3.卡盒内含有核酸提取试剂、荧光PCR基础反应液和内标；</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4.一体化设计的检测卡盒，样本核酸的提取纯化采用磁珠法；</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5.规格:24份/盒。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氨苄西林药敏纸片</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10ug/片，20片/瓶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10</w:t>
            </w:r>
            <w:r>
              <w:rPr>
                <w:rFonts w:hint="eastAsia" w:ascii="宋体" w:hAnsi="宋体" w:cs="宋体"/>
                <w:color w:val="auto"/>
                <w:kern w:val="0"/>
                <w:sz w:val="20"/>
                <w:szCs w:val="20"/>
                <w:highlight w:val="none"/>
                <w:lang w:val="en-US" w:eastAsia="zh-CN" w:bidi="ar"/>
              </w:rPr>
              <w:t>瓶</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1.药物含量‌：氨苄西林含量为10μg/片；</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2.外观要求‌：纸片两面都清晰印有抗生素编码缩写；纸片呈圆形，边缘无缺口，表面平滑，无裂痕;</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3.适用方法‌：适用于纸片扩散法药敏试验;</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4.有效期‌：产品有效期应不少于12个月;</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5.包装规格‌：20片/瓶‌。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青霉素药敏纸片</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10IU/片，20片/瓶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10</w:t>
            </w:r>
            <w:r>
              <w:rPr>
                <w:rFonts w:hint="eastAsia" w:ascii="宋体" w:hAnsi="宋体" w:cs="宋体"/>
                <w:color w:val="auto"/>
                <w:kern w:val="0"/>
                <w:sz w:val="20"/>
                <w:szCs w:val="20"/>
                <w:highlight w:val="none"/>
                <w:lang w:val="en-US" w:eastAsia="zh-CN" w:bidi="ar"/>
              </w:rPr>
              <w:t>瓶</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1.药物含量‌：青霉素含量为10IU/片；</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2.外观要求‌：纸片两面都清晰印有抗生素编码缩写；纸片呈圆形，边缘无缺口，表面平滑，无裂痕;</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3.适用方法‌：适用于纸片扩散法药敏试验;</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4.有效期‌：产品有效期应不少于12个月;</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5.包装规格‌：20片/瓶‌。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卡那霉素药敏纸片</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30ug/片，20片/瓶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10</w:t>
            </w:r>
            <w:r>
              <w:rPr>
                <w:rFonts w:hint="eastAsia" w:ascii="宋体" w:hAnsi="宋体" w:cs="宋体"/>
                <w:color w:val="auto"/>
                <w:kern w:val="0"/>
                <w:sz w:val="20"/>
                <w:szCs w:val="20"/>
                <w:highlight w:val="none"/>
                <w:lang w:val="en-US" w:eastAsia="zh-CN" w:bidi="ar"/>
              </w:rPr>
              <w:t>瓶</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1.药物含量‌：卡那霉素含量为30μg/片；</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2.外观要求‌：纸片两面都清晰印有抗生素编码缩写；纸片呈圆形，边缘无缺口，表面平滑，无裂痕;</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3.适用方法‌：适用于纸片扩散法药敏试验;</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4.有效期‌：产品有效期应不少于12个月;</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5.包装规格‌：20片/瓶‌。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链霉素药敏纸片</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10ug/片，20片/瓶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10</w:t>
            </w:r>
            <w:r>
              <w:rPr>
                <w:rFonts w:hint="eastAsia" w:ascii="宋体" w:hAnsi="宋体" w:cs="宋体"/>
                <w:color w:val="auto"/>
                <w:kern w:val="0"/>
                <w:sz w:val="20"/>
                <w:szCs w:val="20"/>
                <w:highlight w:val="none"/>
                <w:lang w:val="en-US" w:eastAsia="zh-CN" w:bidi="ar"/>
              </w:rPr>
              <w:t>瓶</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1.药物含量‌：链霉素含量为10μg/片；</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2.外观要求‌：纸片两面都清晰印有抗生素编码缩写；纸片呈圆形，边缘无缺口，表面平滑，无裂痕;</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3.适用方法‌：适用于纸片扩散法药敏试验;</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4.有效期‌：产品有效期应不少于12个月;</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5.包装规格‌：20片/瓶‌。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45</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四环素药敏纸片</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30ug/片，20片/瓶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10</w:t>
            </w:r>
            <w:r>
              <w:rPr>
                <w:rFonts w:hint="eastAsia" w:ascii="宋体" w:hAnsi="宋体" w:cs="宋体"/>
                <w:color w:val="auto"/>
                <w:kern w:val="0"/>
                <w:sz w:val="20"/>
                <w:szCs w:val="20"/>
                <w:highlight w:val="none"/>
                <w:lang w:val="en-US" w:eastAsia="zh-CN" w:bidi="ar"/>
              </w:rPr>
              <w:t>瓶</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1.药物含量‌：四环素含量为30μg/片；</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2.外观要求‌：纸片两面都清晰印有抗生素编码缩写；纸片呈圆形，边缘无缺口，表面平滑，无裂痕;</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3.适用方法‌：适用于纸片扩散法药敏试验;</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4.有效期‌：产品有效期应不少于12个月;</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5.包装规格‌：20片/瓶‌。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红霉素药敏纸片</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15 ug/片，20片/瓶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10</w:t>
            </w:r>
            <w:r>
              <w:rPr>
                <w:rFonts w:hint="eastAsia" w:ascii="宋体" w:hAnsi="宋体" w:cs="宋体"/>
                <w:color w:val="auto"/>
                <w:kern w:val="0"/>
                <w:sz w:val="20"/>
                <w:szCs w:val="20"/>
                <w:highlight w:val="none"/>
                <w:lang w:val="en-US" w:eastAsia="zh-CN" w:bidi="ar"/>
              </w:rPr>
              <w:t>瓶</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1.药物含量‌：红霉素含量为15μg/片；</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2.外观要求‌：纸片两面都清晰印有抗生素编码缩写；纸片呈圆形，边缘无缺口，表面平滑，无裂痕;</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3.适用方法‌：适用于纸片扩散法药敏试验;</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4.有效期‌：产品有效期应不少于12个月;</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5.包装规格‌：20片/瓶‌。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47</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新霉素药敏纸片</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30ug/片，20片/瓶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10</w:t>
            </w:r>
            <w:r>
              <w:rPr>
                <w:rFonts w:hint="eastAsia" w:ascii="宋体" w:hAnsi="宋体" w:cs="宋体"/>
                <w:color w:val="auto"/>
                <w:kern w:val="0"/>
                <w:sz w:val="20"/>
                <w:szCs w:val="20"/>
                <w:highlight w:val="none"/>
                <w:lang w:val="en-US" w:eastAsia="zh-CN" w:bidi="ar"/>
              </w:rPr>
              <w:t>瓶</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1.药物含量‌：新霉素含量为30μg/片；</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2.外观要求‌：纸片两面都清晰印有抗生素编码缩写；纸片呈圆形，边缘无缺口，表面平滑，无裂痕;</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3.适用方法‌：适用于纸片扩散法药敏试验;</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4.有效期‌：产品有效期应不少于12个月;</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5.包装规格‌：20片/瓶‌。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48</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头孢哌酮药敏纸片</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75ug/片，20片/瓶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12</w:t>
            </w:r>
            <w:r>
              <w:rPr>
                <w:rFonts w:hint="eastAsia" w:ascii="宋体" w:hAnsi="宋体" w:cs="宋体"/>
                <w:color w:val="auto"/>
                <w:kern w:val="0"/>
                <w:sz w:val="20"/>
                <w:szCs w:val="20"/>
                <w:highlight w:val="none"/>
                <w:lang w:val="en-US" w:eastAsia="zh-CN" w:bidi="ar"/>
              </w:rPr>
              <w:t>瓶</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1.药物含量‌：头孢哌酮含量为75μg/片；</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2.外观要求‌：纸片两面都清晰印有抗生素编码缩写；纸片呈圆形，边缘无缺口，表面平滑，无裂痕;</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3.适用方法‌：适用于纸片扩散法药敏试验;</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4.有效期‌：产品有效期应不少于12个月;</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5.包装规格‌：20片/瓶‌。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49</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头孢噻肟药敏纸片</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30ug/片，20片/瓶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12</w:t>
            </w:r>
            <w:r>
              <w:rPr>
                <w:rFonts w:hint="eastAsia" w:ascii="宋体" w:hAnsi="宋体" w:cs="宋体"/>
                <w:color w:val="auto"/>
                <w:kern w:val="0"/>
                <w:sz w:val="20"/>
                <w:szCs w:val="20"/>
                <w:highlight w:val="none"/>
                <w:lang w:val="en-US" w:eastAsia="zh-CN" w:bidi="ar"/>
              </w:rPr>
              <w:t>瓶</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1.药物含量‌：头孢噻肟含量为30μg/片；</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2.外观要求‌：纸片两面都清晰印有抗生素编码缩写；纸片呈圆形，边缘无缺口，表面平滑，无裂痕;</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3.适用方法‌：适用于纸片扩散法药敏试验;</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4.有效期‌：产品有效期应不少于12个月;</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5.包装规格‌：20片/瓶‌。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头孢噻吩药敏纸片</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30ug/片，20片/瓶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12</w:t>
            </w:r>
            <w:r>
              <w:rPr>
                <w:rFonts w:hint="eastAsia" w:ascii="宋体" w:hAnsi="宋体" w:cs="宋体"/>
                <w:color w:val="auto"/>
                <w:kern w:val="0"/>
                <w:sz w:val="20"/>
                <w:szCs w:val="20"/>
                <w:highlight w:val="none"/>
                <w:lang w:val="en-US" w:eastAsia="zh-CN" w:bidi="ar"/>
              </w:rPr>
              <w:t>瓶</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1.药物含量‌：头孢噻吩含量为30μg/片；</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2.外观要求‌：纸片两面都清晰印有抗生素编码缩写；纸片呈圆形，边缘无缺口，表面平滑，无裂痕;</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3.适用方法‌：适用于纸片扩散法药敏试验;</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4.有效期‌：产品有效期应不少于12个月;</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5.包装规格‌：20片/瓶‌。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51</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头孢他啶药敏纸片</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30ug/片，20片/瓶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12</w:t>
            </w:r>
            <w:r>
              <w:rPr>
                <w:rFonts w:hint="eastAsia" w:ascii="宋体" w:hAnsi="宋体" w:cs="宋体"/>
                <w:color w:val="auto"/>
                <w:kern w:val="0"/>
                <w:sz w:val="20"/>
                <w:szCs w:val="20"/>
                <w:highlight w:val="none"/>
                <w:lang w:val="en-US" w:eastAsia="zh-CN" w:bidi="ar"/>
              </w:rPr>
              <w:t>瓶</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1.药物含量‌：头孢他啶含量为30μg/片；</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2.外观要求‌：纸片两面都清晰印有抗生素编码缩写；纸片呈圆形，边缘无缺口，表面平滑，无裂痕;</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3.适用方法‌：适用于纸片扩散法药敏试验;</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4.有效期‌：产品有效期应不少于12个月;</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5.包装规格‌：20片/瓶‌。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52</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头孢羟氨苄药敏纸片</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30μg/片，20片/瓶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20</w:t>
            </w:r>
            <w:r>
              <w:rPr>
                <w:rFonts w:hint="eastAsia" w:ascii="宋体" w:hAnsi="宋体" w:cs="宋体"/>
                <w:color w:val="auto"/>
                <w:kern w:val="0"/>
                <w:sz w:val="20"/>
                <w:szCs w:val="20"/>
                <w:highlight w:val="none"/>
                <w:lang w:val="en-US" w:eastAsia="zh-CN" w:bidi="ar"/>
              </w:rPr>
              <w:t>瓶</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1.药物含量‌：头孢羟氨苄含量为30μg/片；</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2.外观要求‌：纸片两面都清晰印有抗生素编码缩写；纸片呈圆形，边缘无缺口，表面平滑，无裂痕;</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3.适用方法‌：适用于纸片扩散法药敏试验;</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4.有效期‌：产品有效期应不少于12个月;</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5.包装规格‌：20片/瓶‌。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53</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多粘菌素B药敏纸片</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300IU/片，20片/瓶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40</w:t>
            </w:r>
            <w:r>
              <w:rPr>
                <w:rFonts w:hint="eastAsia" w:ascii="宋体" w:hAnsi="宋体" w:cs="宋体"/>
                <w:color w:val="auto"/>
                <w:kern w:val="0"/>
                <w:sz w:val="20"/>
                <w:szCs w:val="20"/>
                <w:highlight w:val="none"/>
                <w:lang w:val="en-US" w:eastAsia="zh-CN" w:bidi="ar"/>
              </w:rPr>
              <w:t>瓶</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1.药物含量‌：多粘菌素B含量为300IU/片；</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2.外观要求‌：纸片两面都清晰印有抗生素编码缩写；纸片呈圆形，边缘无缺口，表面平滑，无裂痕;</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3.适用方法‌：适用于纸片扩散法药敏试验;</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4.有效期‌：产品有效期应不少于12个月;</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5.包装规格‌：20片/瓶‌。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54</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环丙沙星药敏纸片</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5ug/片，20片/瓶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12</w:t>
            </w:r>
            <w:r>
              <w:rPr>
                <w:rFonts w:hint="eastAsia" w:ascii="宋体" w:hAnsi="宋体" w:cs="宋体"/>
                <w:color w:val="auto"/>
                <w:kern w:val="0"/>
                <w:sz w:val="20"/>
                <w:szCs w:val="20"/>
                <w:highlight w:val="none"/>
                <w:lang w:val="en-US" w:eastAsia="zh-CN" w:bidi="ar"/>
              </w:rPr>
              <w:t>瓶</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1.药物含量‌：环丙沙星含量为5μg/片；</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2.外观要求‌：纸片两面都清晰印有抗生素编码缩写；纸片呈圆形，边缘无缺口，表面平滑，无裂痕;</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3.适用方法‌：适用于纸片扩散法药敏试验;</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4.有效期‌：产品有效期应不少于12个月;</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5.包装规格‌：20片/瓶‌。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55</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阿莫西林药敏纸片</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10ug/片，20片/瓶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16</w:t>
            </w:r>
            <w:r>
              <w:rPr>
                <w:rFonts w:hint="eastAsia" w:ascii="宋体" w:hAnsi="宋体" w:cs="宋体"/>
                <w:color w:val="auto"/>
                <w:kern w:val="0"/>
                <w:sz w:val="20"/>
                <w:szCs w:val="20"/>
                <w:highlight w:val="none"/>
                <w:lang w:val="en-US" w:eastAsia="zh-CN" w:bidi="ar"/>
              </w:rPr>
              <w:t>瓶</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1.药物含量‌：阿莫西林含量为10μg/片；</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2.外观要求‌：纸片两面都清晰印有抗生素编码缩写；纸片呈圆形，边缘无缺口，表面平滑，无裂痕;</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3.适用方法‌：适用于纸片扩散法药敏试验;</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4.有效期‌：产品有效期应不少于12个月;</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5.包装规格‌：20片/瓶‌。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56</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庆大霉素药敏纸片</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10ug/片，20片/瓶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10</w:t>
            </w:r>
            <w:r>
              <w:rPr>
                <w:rFonts w:hint="eastAsia" w:ascii="宋体" w:hAnsi="宋体" w:cs="宋体"/>
                <w:color w:val="auto"/>
                <w:kern w:val="0"/>
                <w:sz w:val="20"/>
                <w:szCs w:val="20"/>
                <w:highlight w:val="none"/>
                <w:lang w:val="en-US" w:eastAsia="zh-CN" w:bidi="ar"/>
              </w:rPr>
              <w:t>瓶</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1.药物含量‌：庆大霉素含量为10μg/片；</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2.外观要求‌：纸片两面都清晰印有抗生素编码缩写；纸片呈圆形，边缘无缺口，表面平滑，无裂痕;</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3.适用方法‌：适用于纸片扩散法药敏试验;</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4.有效期‌：产品有效期应不少于12个月;</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5.包装规格‌：20片/瓶‌。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57</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新生霉素药敏纸片</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5μg/片，20片/瓶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20</w:t>
            </w:r>
            <w:r>
              <w:rPr>
                <w:rFonts w:hint="eastAsia" w:ascii="宋体" w:hAnsi="宋体" w:cs="宋体"/>
                <w:color w:val="auto"/>
                <w:kern w:val="0"/>
                <w:sz w:val="20"/>
                <w:szCs w:val="20"/>
                <w:highlight w:val="none"/>
                <w:lang w:val="en-US" w:eastAsia="zh-CN" w:bidi="ar"/>
              </w:rPr>
              <w:t>瓶</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1.药物含量‌：新生霉素含量为5μg/片；</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2.外观要求‌：纸片两面都清晰印有抗生素编码缩写；纸片呈圆形，边缘无缺口，表面平滑，无裂痕;</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3.适用方法‌：适用于纸片扩散法药敏试验;</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4.有效期‌：产品有效期应不少于12个月;</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5.包装规格‌：20片/瓶‌。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58</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一次性细菌接种环（10ul）</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1000支/箱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cs="宋体"/>
                <w:color w:val="auto"/>
                <w:kern w:val="0"/>
                <w:sz w:val="20"/>
                <w:szCs w:val="20"/>
                <w:highlight w:val="none"/>
                <w:lang w:val="en-US" w:eastAsia="zh-CN" w:bidi="ar"/>
              </w:rPr>
              <w:t>2箱</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1.规格参数：接种环容积精准为 10μL，误差≤±10%，环径均匀，适配微生物接种、涂片操作；</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2.医用级 PP 材质，无毒性、无异味，不与微生物、培养基发生反应；</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3.无菌性能：经环氧乙烷或钴 60 辐射灭菌，无菌检查阴性，无细菌、真菌、支原体污染；</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4.物理性能：环部光滑无毛刺、无裂痕，杆部坚硬不易弯曲、折断，手持舒适，操作便捷；</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5.适用于细菌接种、菌落分离、微生物涂片、菌种传代等实验，适配临床微生物检测、科研实验室使用；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6.包装规格：独立无菌包装；</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7.室温干燥避光储存，远离潮湿、污染环境；保质期≥2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59</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100mm培养皿</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500个/箱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cs="宋体"/>
                <w:color w:val="auto"/>
                <w:kern w:val="0"/>
                <w:sz w:val="20"/>
                <w:szCs w:val="20"/>
                <w:highlight w:val="none"/>
                <w:lang w:val="en-US" w:eastAsia="zh-CN" w:bidi="ar"/>
              </w:rPr>
              <w:t>2箱</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1.细胞培养级；</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2.规格参数：直径 100mm，高度 15-18mm，底壁厚度均匀，适配常规细胞培养、微生物培养操作；</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3.材质要求：采用医用级高透明聚苯乙烯（PS）材质，无毒性、无异味，透光性好，便于观察细胞 / 菌落生长状态；</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4.无菌性能：经环氧乙烷或钴 60 辐射灭菌，无菌保证水平 SAL≥10⁻⁶，无菌检查阴性，无细菌、真菌、支原体及核酸酶污染；</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5.物理性能：皿底平整、光滑无毛刺，抗压性强，不易破碎、变形，耐高温（≤121℃）、耐低温（≥-20℃）；</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6.适用范围：适用于哺乳动物细胞培养、微生物菌落培养、细胞克隆、药敏试验等实验，适配科研及临床实验室使用；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7.包装规格：独立无菌包装，20 个/袋</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val="en-US" w:eastAsia="zh-CN" w:bidi="ar"/>
              </w:rPr>
              <w:t>散装</w:t>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8.保质期≥2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60</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10ml吸头</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10包/箱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2</w:t>
            </w:r>
            <w:r>
              <w:rPr>
                <w:rFonts w:hint="eastAsia" w:ascii="宋体" w:hAnsi="宋体" w:cs="宋体"/>
                <w:color w:val="auto"/>
                <w:kern w:val="0"/>
                <w:sz w:val="20"/>
                <w:szCs w:val="20"/>
                <w:highlight w:val="none"/>
                <w:lang w:val="en-US" w:eastAsia="zh-CN" w:bidi="ar"/>
              </w:rPr>
              <w:t>箱</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1.优质原料，PP材质；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2.适用于Eppendorf/Thermo/Dragonlab等品牌移液器；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3.内壁光滑，液体残留降到最低.确保吸液的准确性；</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4.优化孔径，具有良好的柔韧度.密封性和兼容性；</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▲5.无热源、无DNA酶、无RNA酶；</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6.具有良好的透明度，方便使用时观察液面；</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7.规格：10包/箱。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61</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200ul盒装吸头</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96支／盒，50 盒／箱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10</w:t>
            </w:r>
            <w:r>
              <w:rPr>
                <w:rFonts w:hint="eastAsia" w:ascii="宋体" w:hAnsi="宋体" w:cs="宋体"/>
                <w:color w:val="auto"/>
                <w:kern w:val="0"/>
                <w:sz w:val="20"/>
                <w:szCs w:val="20"/>
                <w:highlight w:val="none"/>
                <w:lang w:val="en-US" w:eastAsia="zh-CN" w:bidi="ar"/>
              </w:rPr>
              <w:t>箱</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widowControl/>
              <w:numPr>
                <w:ilvl w:val="0"/>
                <w:numId w:val="20"/>
              </w:numPr>
              <w:adjustRightInd w:val="0"/>
              <w:snapToGrid w:val="0"/>
              <w:spacing w:after="0" w:line="279" w:lineRule="auto"/>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优质原料，PP材质；                                   </w:t>
            </w:r>
          </w:p>
          <w:p>
            <w:pPr>
              <w:widowControl/>
              <w:numPr>
                <w:ilvl w:val="0"/>
                <w:numId w:val="20"/>
              </w:numPr>
              <w:adjustRightInd w:val="0"/>
              <w:snapToGrid w:val="0"/>
              <w:spacing w:after="0" w:line="279" w:lineRule="auto"/>
              <w:ind w:left="0" w:leftChars="0" w:firstLine="0" w:firstLineChars="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适用于Eppendorf/Thermo/Dragonlab等品牌移液器；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▲3.无菌，无DNA/RNA酶，无热源；</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4.规格：96支/盒，50盒/箱。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62</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300ul无菌盒装吸头</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96支/盒，10盒/包，5包/箱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5</w:t>
            </w:r>
            <w:r>
              <w:rPr>
                <w:rFonts w:hint="eastAsia" w:ascii="宋体" w:hAnsi="宋体" w:cs="宋体"/>
                <w:color w:val="auto"/>
                <w:kern w:val="0"/>
                <w:sz w:val="20"/>
                <w:szCs w:val="20"/>
                <w:highlight w:val="none"/>
                <w:lang w:val="en-US" w:eastAsia="zh-CN" w:bidi="ar"/>
              </w:rPr>
              <w:t>箱</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1、材料：PP（聚丙烯）</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2、颜色：无色</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3、容积：300ul</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▲4、技术要求：无 DNA 酶、RNA 酶、DNA、ATP、PCR 抑制剂和</w:t>
            </w:r>
            <w:r>
              <w:rPr>
                <w:rFonts w:hint="eastAsia" w:ascii="宋体" w:hAnsi="宋体" w:cs="宋体"/>
                <w:color w:val="auto"/>
                <w:kern w:val="0"/>
                <w:sz w:val="18"/>
                <w:szCs w:val="18"/>
                <w:highlight w:val="none"/>
                <w:lang w:eastAsia="zh-CN" w:bidi="ar"/>
              </w:rPr>
              <w:t>热源</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5、产品特点：微点设计吸头尖、刻度标记、通用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6、规格：96支/盒，10盒/包，5包/箱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63</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1.5ml离心管</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500支/盒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2</w:t>
            </w:r>
            <w:r>
              <w:rPr>
                <w:rFonts w:hint="eastAsia" w:ascii="宋体" w:hAnsi="宋体" w:cs="宋体"/>
                <w:color w:val="auto"/>
                <w:kern w:val="0"/>
                <w:sz w:val="20"/>
                <w:szCs w:val="20"/>
                <w:highlight w:val="none"/>
                <w:lang w:val="en-US" w:eastAsia="zh-CN" w:bidi="ar"/>
              </w:rPr>
              <w:t>盒</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1.微管由耐化学品的聚丙烯制成;</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▲2.不含 RNase/DNase，非</w:t>
            </w:r>
            <w:r>
              <w:rPr>
                <w:rFonts w:hint="eastAsia" w:ascii="宋体" w:hAnsi="宋体" w:cs="宋体"/>
                <w:color w:val="auto"/>
                <w:kern w:val="0"/>
                <w:sz w:val="18"/>
                <w:szCs w:val="18"/>
                <w:highlight w:val="none"/>
                <w:lang w:eastAsia="zh-CN" w:bidi="ar"/>
              </w:rPr>
              <w:t>热源</w:t>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3.最大离心力为 14,000 RCF;</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4.表面可实现超低截留率，确保最佳精度.准确度和最大的样品回收率；</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5.规格：</w:t>
            </w:r>
            <w:r>
              <w:rPr>
                <w:rFonts w:hint="eastAsia" w:ascii="宋体" w:hAnsi="宋体" w:eastAsia="宋体" w:cs="宋体"/>
                <w:color w:val="auto"/>
                <w:kern w:val="0"/>
                <w:sz w:val="20"/>
                <w:szCs w:val="20"/>
                <w:highlight w:val="none"/>
                <w:lang w:bidi="ar"/>
              </w:rPr>
              <w:t>500支/盒</w:t>
            </w:r>
            <w:r>
              <w:rPr>
                <w:rFonts w:hint="eastAsia" w:ascii="宋体" w:hAnsi="宋体" w:eastAsia="宋体" w:cs="宋体"/>
                <w:color w:val="auto"/>
                <w:kern w:val="0"/>
                <w:sz w:val="18"/>
                <w:szCs w:val="1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64</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2ml离心管</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500个/包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包</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widowControl/>
              <w:numPr>
                <w:ilvl w:val="0"/>
                <w:numId w:val="21"/>
              </w:numPr>
              <w:adjustRightInd w:val="0"/>
              <w:snapToGrid w:val="0"/>
              <w:spacing w:after="0" w:line="279" w:lineRule="auto"/>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优质原料，PP材质；                                   </w:t>
            </w:r>
          </w:p>
          <w:p>
            <w:pPr>
              <w:widowControl/>
              <w:numPr>
                <w:ilvl w:val="0"/>
                <w:numId w:val="21"/>
              </w:numPr>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适用于Eppendorf/Thermo/Dragonlab等品牌移液器；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▲3.无菌，无DNA/RNA酶，无热源；</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4.规格：</w:t>
            </w:r>
            <w:r>
              <w:rPr>
                <w:rFonts w:hint="eastAsia" w:ascii="宋体" w:hAnsi="宋体" w:eastAsia="宋体" w:cs="宋体"/>
                <w:color w:val="auto"/>
                <w:kern w:val="0"/>
                <w:sz w:val="20"/>
                <w:szCs w:val="20"/>
                <w:highlight w:val="none"/>
                <w:lang w:bidi="ar"/>
              </w:rPr>
              <w:t>500个/包</w:t>
            </w:r>
            <w:r>
              <w:rPr>
                <w:rFonts w:hint="eastAsia" w:ascii="宋体" w:hAnsi="宋体" w:eastAsia="宋体" w:cs="宋体"/>
                <w:color w:val="auto"/>
                <w:kern w:val="0"/>
                <w:sz w:val="18"/>
                <w:szCs w:val="1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65</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5ml离心管</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250支/盒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w:t>
            </w:r>
            <w:r>
              <w:rPr>
                <w:rFonts w:hint="eastAsia" w:ascii="宋体" w:hAnsi="宋体" w:eastAsia="宋体" w:cs="宋体"/>
                <w:color w:val="auto"/>
                <w:kern w:val="0"/>
                <w:sz w:val="18"/>
                <w:szCs w:val="18"/>
                <w:highlight w:val="none"/>
                <w:lang w:bidi="ar"/>
              </w:rPr>
              <w:t>盒</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1、材料：PP（聚丙烯）</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2、外形：尖形底，螺口盖</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3、温度范围：-80℃-121℃，可在121℃/15psi灭菌15分钟</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4、包装：250支/盒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66</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10mL离心管</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250支/盒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2</w:t>
            </w:r>
            <w:r>
              <w:rPr>
                <w:rFonts w:hint="eastAsia" w:ascii="宋体" w:hAnsi="宋体" w:eastAsia="宋体" w:cs="宋体"/>
                <w:color w:val="auto"/>
                <w:kern w:val="0"/>
                <w:sz w:val="18"/>
                <w:szCs w:val="18"/>
                <w:highlight w:val="none"/>
                <w:lang w:bidi="ar"/>
              </w:rPr>
              <w:t>盒</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1、材料：PP（聚丙烯）</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2、外形：尖形底，螺口盖</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3、温度范围：-80℃-121℃，可在121℃/15psi灭菌15分钟</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4、包装：250支/盒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67</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15ml离心管</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50支/包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20包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1、材料：PP（聚丙烯）</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2、外形：尖形底，螺口盖</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3、温度范围：-80℃-121℃，可在121℃/15psi灭菌15分钟</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4、包装：50支/包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68</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50ml离心管</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25支/包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20包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1、材料：PP（聚丙烯）</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2、外形：尖形底，螺口盖</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3、温度范围：-80℃-120℃，可在120℃/15psi灭菌15分钟</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4、包装：25</w:t>
            </w:r>
            <w:r>
              <w:rPr>
                <w:rFonts w:hint="eastAsia" w:ascii="宋体" w:hAnsi="宋体" w:cs="宋体"/>
                <w:color w:val="auto"/>
                <w:kern w:val="0"/>
                <w:sz w:val="18"/>
                <w:szCs w:val="18"/>
                <w:highlight w:val="none"/>
                <w:lang w:val="en-US" w:eastAsia="zh-CN" w:bidi="ar"/>
              </w:rPr>
              <w:t>支</w:t>
            </w:r>
            <w:r>
              <w:rPr>
                <w:rFonts w:hint="eastAsia" w:ascii="宋体" w:hAnsi="宋体" w:eastAsia="宋体" w:cs="宋体"/>
                <w:color w:val="auto"/>
                <w:kern w:val="0"/>
                <w:sz w:val="18"/>
                <w:szCs w:val="18"/>
                <w:highlight w:val="none"/>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69</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10ml一次性移液管</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200个/箱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1箱</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1、材质：聚苯乙烯</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2、独立全塑包装</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3、伽马射线灭菌</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4、每个包装都有独立的货号批号标识，便于质量追踪和溯源</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▲5、无菌、无热源，无DNA酶，无RNA酶</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6、规格：200个/箱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70</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25ML一次性移液管</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200个/箱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1箱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1、材质：聚苯乙烯</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2、独立全塑包装</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3、伽马射线灭菌</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4、每个包装都有独立的货号批号标识，便于质量追踪和溯源</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▲5、无菌、无热源，无DNA酶，无RNA酶</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6、规格：200个/箱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71</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1*PBS缓冲液PH7.2-7.4,0.01M</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500ml/瓶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50</w:t>
            </w:r>
            <w:r>
              <w:rPr>
                <w:rFonts w:hint="eastAsia" w:ascii="宋体" w:hAnsi="宋体" w:cs="宋体"/>
                <w:color w:val="auto"/>
                <w:kern w:val="0"/>
                <w:sz w:val="20"/>
                <w:szCs w:val="20"/>
                <w:highlight w:val="none"/>
                <w:lang w:val="en-US" w:eastAsia="zh-CN" w:bidi="ar"/>
              </w:rPr>
              <w:t>瓶</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1、性状：透明液体</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2、规格：500ml，pH:7.2-7.4</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3、储存条件：常温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72</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纯净水</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5.5L/桶，4桶/箱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20箱 </w:t>
            </w:r>
          </w:p>
        </w:tc>
        <w:tc>
          <w:tcPr>
            <w:tcW w:w="9723" w:type="dxa"/>
            <w:shd w:val="clear" w:color="auto" w:fill="FFFFFF" w:themeFill="background1"/>
            <w:vAlign w:val="center"/>
          </w:tcPr>
          <w:p>
            <w:pPr>
              <w:widowControl/>
              <w:numPr>
                <w:ilvl w:val="0"/>
                <w:numId w:val="22"/>
              </w:numPr>
              <w:adjustRightInd w:val="0"/>
              <w:snapToGrid w:val="0"/>
              <w:spacing w:after="0" w:line="279" w:lineRule="auto"/>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电导率（25℃）≤10 μS/cm    </w:t>
            </w:r>
          </w:p>
          <w:p>
            <w:pPr>
              <w:widowControl/>
              <w:numPr>
                <w:ilvl w:val="0"/>
                <w:numId w:val="22"/>
              </w:numPr>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 xml:space="preserve">▲菌落总数：≤100 CFU/mL      </w:t>
            </w:r>
          </w:p>
          <w:p>
            <w:pPr>
              <w:widowControl/>
              <w:numPr>
                <w:ilvl w:val="0"/>
                <w:numId w:val="22"/>
              </w:numPr>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 xml:space="preserve">储存条件：常温              </w:t>
            </w:r>
          </w:p>
          <w:p>
            <w:pPr>
              <w:widowControl/>
              <w:numPr>
                <w:ilvl w:val="0"/>
                <w:numId w:val="22"/>
              </w:numPr>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规格：5.5L/桶，4桶/箱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73</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消毒液</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1.8L/瓶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10</w:t>
            </w:r>
            <w:r>
              <w:rPr>
                <w:rFonts w:hint="eastAsia" w:ascii="宋体" w:hAnsi="宋体" w:cs="宋体"/>
                <w:color w:val="auto"/>
                <w:kern w:val="0"/>
                <w:sz w:val="20"/>
                <w:szCs w:val="20"/>
                <w:highlight w:val="none"/>
                <w:lang w:val="en-US" w:eastAsia="zh-CN" w:bidi="ar"/>
              </w:rPr>
              <w:t>瓶</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1、性状：透明液体</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2、规格：1.8L/瓶</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3、用途：杀菌、消毒、除螨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4、成分：对氯间二甲苯酚</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5、有限期：3年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74</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三折装擦手纸</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20包/箱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10箱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1、原料成分：原生浆</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2、强韧吸水</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3、20包/箱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75</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抽纸巾S号</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24包/箱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10箱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1.原料成分：原生浆；</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2.强韧吸水.零刺激性；</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3.规格：24包/箱。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76</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医疗垃圾袋70*80cm*2.5S</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只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500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1、材质：PE复合</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2、颜色：黄色</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3、尺寸：70*80*2.5s或者70*80*5s</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4、手提平口</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5、耐135℃高温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77</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一次性丁腈手套加长款（S）</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100个/盒,10盒/箱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5</w:t>
            </w:r>
            <w:r>
              <w:rPr>
                <w:rFonts w:hint="eastAsia" w:ascii="宋体" w:hAnsi="宋体" w:cs="宋体"/>
                <w:color w:val="auto"/>
                <w:kern w:val="0"/>
                <w:sz w:val="20"/>
                <w:szCs w:val="20"/>
                <w:highlight w:val="none"/>
                <w:lang w:val="en-US" w:eastAsia="zh-CN" w:bidi="ar"/>
              </w:rPr>
              <w:t>箱</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1、精选丁腈橡胶，不含乳胶蛋白，敏感肌适用                                                                  2、特殊无粉处理，杜绝粉尘污染与吸入隐患</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3、12 寸加长，覆盖手腕及部分小臂</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4、质地柔韧有弹性，贴合手部不束缚，精细操作无压力</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5、耐穿刺、耐酸碱，可抵御尖锐物体与常见酸碱腐蚀                                                                   6、储存条件：室温储存，存放于阴凉干燥处，避免阳光直射                                                             7、有效期：5年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78</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一次性透明加样槽（通用）</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20只/包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20</w:t>
            </w:r>
            <w:r>
              <w:rPr>
                <w:rFonts w:hint="eastAsia" w:ascii="宋体" w:hAnsi="宋体" w:cs="宋体"/>
                <w:color w:val="auto"/>
                <w:kern w:val="0"/>
                <w:sz w:val="20"/>
                <w:szCs w:val="20"/>
                <w:highlight w:val="none"/>
                <w:lang w:val="en-US" w:eastAsia="zh-CN" w:bidi="ar"/>
              </w:rPr>
              <w:t>0包</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numPr>
                <w:ilvl w:val="0"/>
                <w:numId w:val="23"/>
              </w:numPr>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材质：优质PE材质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 xml:space="preserve">2、独立全塑包装                                                                                                  3、尺寸：宽33mm，长118mm，高28mm ，外边长134mm，外边宽53mm                                                      4、颜色：透明 </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5、8/12道移液枪可用                                                                                                      6、规格：单个50ml，20</w:t>
            </w:r>
            <w:r>
              <w:rPr>
                <w:rFonts w:hint="eastAsia" w:ascii="宋体" w:hAnsi="宋体" w:cs="宋体"/>
                <w:color w:val="auto"/>
                <w:kern w:val="0"/>
                <w:sz w:val="18"/>
                <w:szCs w:val="18"/>
                <w:highlight w:val="none"/>
                <w:lang w:val="en-US" w:eastAsia="zh-CN" w:bidi="ar"/>
              </w:rPr>
              <w:t>只</w:t>
            </w:r>
            <w:r>
              <w:rPr>
                <w:rFonts w:hint="eastAsia" w:ascii="宋体" w:hAnsi="宋体" w:eastAsia="宋体" w:cs="宋体"/>
                <w:color w:val="auto"/>
                <w:kern w:val="0"/>
                <w:sz w:val="18"/>
                <w:szCs w:val="18"/>
                <w:highlight w:val="none"/>
                <w:lang w:bidi="ar"/>
              </w:rPr>
              <w:t xml:space="preserve">/包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79</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通用透明封板膜</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100块/盒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10</w:t>
            </w:r>
            <w:r>
              <w:rPr>
                <w:rFonts w:hint="eastAsia" w:ascii="宋体" w:hAnsi="宋体" w:cs="宋体"/>
                <w:color w:val="auto"/>
                <w:kern w:val="0"/>
                <w:sz w:val="20"/>
                <w:szCs w:val="20"/>
                <w:highlight w:val="none"/>
                <w:lang w:val="en-US" w:eastAsia="zh-CN" w:bidi="ar"/>
              </w:rPr>
              <w:t>盒</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1、材质：聚丙烯</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2、用于48孔、96孔、384孔PCR板和酶标板等微孔板使用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3、尺寸：142mm×80mm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4、性能：高粘性，密封性强，减少交叉污染，防止泄露</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▲5、无DNA酶，无RNA酶</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6、规格：100块/盒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80</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医疗利器盒（3升）</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个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20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1、材质：聚丙烯（PP）</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2、容积：3L</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3、尺寸：圆形：直径16.2cm，高17.1cm；或方形：20.0cm（长度）* 16.2cm（宽度）* 12.5cm（高度）</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4、特点：耐穿刺、不渗漏、不易破裂、易清洗</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5、应用：用于放置实验室各类使用过的小型耗材，密封盖可完全封闭，方便废弃物的处理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81</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10ml枪头通用枪头盒</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个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40 </w:t>
            </w:r>
          </w:p>
        </w:tc>
        <w:tc>
          <w:tcPr>
            <w:tcW w:w="9723" w:type="dxa"/>
            <w:shd w:val="clear" w:color="auto" w:fill="FFFFFF" w:themeFill="background1"/>
            <w:vAlign w:val="center"/>
          </w:tcPr>
          <w:p>
            <w:pPr>
              <w:keepNext w:val="0"/>
              <w:keepLines w:val="0"/>
              <w:pageBreakBefore w:val="0"/>
              <w:widowControl/>
              <w:numPr>
                <w:ilvl w:val="0"/>
                <w:numId w:val="24"/>
              </w:numPr>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材质：优质聚丙烯（PP）                                                                                              2、要求：孔径规范、内壁光滑，耐醇类温和有机物质                                                                             3、规格：匹配10ml枪头使用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82</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一次性无菌口罩</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50个/盒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20</w:t>
            </w:r>
            <w:r>
              <w:rPr>
                <w:rFonts w:hint="eastAsia" w:ascii="宋体" w:hAnsi="宋体" w:cs="宋体"/>
                <w:color w:val="auto"/>
                <w:kern w:val="0"/>
                <w:sz w:val="20"/>
                <w:szCs w:val="20"/>
                <w:highlight w:val="none"/>
                <w:lang w:val="en-US" w:eastAsia="zh-CN" w:bidi="ar"/>
              </w:rPr>
              <w:t>盒</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1.材质：无纺布+医用熔喷布；</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2.无菌：环氧乙烷灭菌；</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3.性能：医用外科；</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4.独立包装</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5.尺寸：17.5*9.5cm；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6.规格：50个/盒。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83</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塑料液体瓶</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50ml/个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50个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1、材质：医用级 / 实验室级 聚丙烯（PP）或高密度聚乙烯 HDPE</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2、颜色：透明 / 半透明，便于观察液面</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3、瓶身：无划痕、无气泡、无杂质、无异味</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4、规格：50 mL</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5、瓶口：标准螺纹口，密封可靠</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6、瓶盖：配防漏螺旋盖，可带内塞 / PE 垫片</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7、瓶身：壁厚均匀，不易变形、无渗漏</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8、耐温：-20℃～120℃，可冷藏、水浴加热</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9、耐化学性：耐常规水溶液、缓冲液、酸碱中等浓度试剂</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10、无溶出、无吸附、不干扰检测</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11、密封性：倒置、运输不漏液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84</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塑料液体瓶</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100ml/个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50个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1、材质：医用级 / 实验室级 聚丙烯（PP）或高密度聚乙烯 HDPE</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2、颜色：透明 / 半透明，便于观察液面</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3、瓶身：无划痕、无气泡、无杂质、无异味</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4、规格：100 mL</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5、瓶口：标准螺纹口，密封可靠</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6、瓶盖：配防漏螺旋盖，可带内塞 / PE 垫片</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7、瓶身：壁厚均匀，不易变形、无渗漏</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8、耐温：-20℃～120℃，可冷藏、水浴加热</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9、耐化学性：耐常规水溶液、缓冲液、酸碱中等浓度试剂</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10、无溶出、无吸附、不干扰检测</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11、密封性：倒置、运输不漏液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85</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平板凝集实验卡</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张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200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1、长22cm 宽14.5cm 厚0.4mm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2、板上有50 个圆孔直径为1.75cm，每个圆孔下面有对应的阿拉伯数字</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3、每个圆孔之间左右间距0.4cm，上下间距1.15cm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4、圆孔内凹0.1mm 每个圆孔都有覆膜</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 xml:space="preserve">5、生产厂家必须有《兽药生产质量管理规范》（GMP）证书和兽药生产许可证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86</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白大褂（夏季薄款）</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16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1、款式：长袖白大褂，翻领、暗扣 / 纽扣开合，胸前双口袋，侧缝口袋，收腰合身</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2、季节：夏季薄款，透气、轻薄、不闷汗</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3、面料：成分：涤棉混纺（TC/CVC），推荐 65% 涤 35% 棉 或 50% 涤 50% 棉</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4、克重：180–220 g/m</w:t>
            </w:r>
            <w:r>
              <w:rPr>
                <w:rStyle w:val="373"/>
                <w:rFonts w:hint="default"/>
                <w:color w:val="auto"/>
                <w:highlight w:val="none"/>
                <w:lang w:bidi="ar"/>
              </w:rPr>
              <w:t>²</w:t>
            </w:r>
            <w:r>
              <w:rPr>
                <w:rFonts w:hint="eastAsia" w:ascii="宋体" w:hAnsi="宋体" w:eastAsia="宋体" w:cs="宋体"/>
                <w:color w:val="auto"/>
                <w:kern w:val="0"/>
                <w:sz w:val="18"/>
                <w:szCs w:val="18"/>
                <w:highlight w:val="none"/>
                <w:lang w:bidi="ar"/>
              </w:rPr>
              <w:t>，薄而不透、挺括不皱</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5、特性：透气、吸汗、耐磨、易洗快干、不起球、不泛黄</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6、颜色：纯白色，无色差、不发灰</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7、尺码：S/M/L/XL/XXL 齐全，标准版型</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8、做工：走线平整、无跳线、无线头、纽扣牢固、袖口平整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87</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标准分液管standard tube dispensing cassette</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个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▲1.适配于赛默飞Multidrop Combi分液器，与分液器配合使用（提供有效的证明材料）；</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2.塑料盖结构，40 cm 长硅胶管，以及内径为 0.5 mm 的聚丙烯</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 xml:space="preserve">3.分液头适用于 5 </w:t>
            </w:r>
            <w:r>
              <w:rPr>
                <w:rStyle w:val="374"/>
                <w:rFonts w:hint="default"/>
                <w:color w:val="auto"/>
                <w:highlight w:val="none"/>
                <w:lang w:bidi="ar"/>
              </w:rPr>
              <w:t>µ</w:t>
            </w:r>
            <w:r>
              <w:rPr>
                <w:rFonts w:hint="eastAsia" w:ascii="宋体" w:hAnsi="宋体" w:eastAsia="宋体" w:cs="宋体"/>
                <w:color w:val="auto"/>
                <w:kern w:val="0"/>
                <w:sz w:val="18"/>
                <w:szCs w:val="18"/>
                <w:highlight w:val="none"/>
                <w:lang w:bidi="ar"/>
              </w:rPr>
              <w:t>L 至 2.5 mL 的分液体积范围；</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 xml:space="preserve">4.分液头擅长于 20 </w:t>
            </w:r>
            <w:r>
              <w:rPr>
                <w:rStyle w:val="374"/>
                <w:rFonts w:hint="default"/>
                <w:color w:val="auto"/>
                <w:highlight w:val="none"/>
                <w:lang w:bidi="ar"/>
              </w:rPr>
              <w:t>µ</w:t>
            </w:r>
            <w:r>
              <w:rPr>
                <w:rFonts w:hint="eastAsia" w:ascii="宋体" w:hAnsi="宋体" w:eastAsia="宋体" w:cs="宋体"/>
                <w:color w:val="auto"/>
                <w:kern w:val="0"/>
                <w:sz w:val="18"/>
                <w:szCs w:val="18"/>
                <w:highlight w:val="none"/>
                <w:lang w:bidi="ar"/>
              </w:rPr>
              <w:t>L 及以上的分液体积；</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5.管路可实现大体积高速分液；</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6.远离仪器的自动化系统。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88</w:t>
            </w:r>
          </w:p>
        </w:tc>
        <w:tc>
          <w:tcPr>
            <w:tcW w:w="198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新洁尔灭消毒液</w:t>
            </w:r>
          </w:p>
        </w:tc>
        <w:tc>
          <w:tcPr>
            <w:tcW w:w="1069"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500ml/瓶，30瓶/箱 </w:t>
            </w:r>
          </w:p>
        </w:tc>
        <w:tc>
          <w:tcPr>
            <w:tcW w:w="697"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箱</w:t>
            </w:r>
            <w:r>
              <w:rPr>
                <w:rFonts w:hint="eastAsia" w:ascii="宋体" w:hAnsi="宋体" w:eastAsia="宋体" w:cs="宋体"/>
                <w:color w:val="auto"/>
                <w:kern w:val="0"/>
                <w:sz w:val="20"/>
                <w:szCs w:val="20"/>
                <w:highlight w:val="none"/>
                <w:lang w:bidi="ar"/>
              </w:rPr>
              <w:t xml:space="preserve">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1、主要有效成分含量：苯扎溴铵含量为10g/L～12g/L。</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2、剂型：常温下为无色透明液体，振摇后有泡沫。</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3、规格：500ml/瓶，30瓶/箱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89</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黑色封板膜</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100块/盒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1、适用于 PCR 板、深孔板、酶标板等微孔板的避光密封、防挥发、防污染。                                                        2、颜色与遮光性：纯黑色，完全遮光，不透光、不反光                                                                3、材质：医用 / 实验室级聚丙烯（PP）或聚酯（PET）复合膜，无荧光、无析出、不干扰检测                                        4、规格/尺寸：适配标准 96 孔板 / 384 孔板，尺寸：约125mm×85mm（可按实际板型微调）                                          5、粘性与密封性：低 / 中粘性医用压敏胶，密封牢固，不溢液、不脱胶、不翘边，可穿刺、可重复封贴                                 6、耐热与耐化学性：耐温：-20℃～120℃，适配 PCR、冷藏、孵育，耐有机溶剂、耐酸碱，不溶解、不变形                             7、洁净要求：无尘、无纤维、无杂质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90</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4.6毫升48孔透明深孔板</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5块/包，10包/箱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3箱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1、型号规格：孔数：48 孔</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2、单孔容积：4.6 mL</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3、材质：医用级透明聚丙烯 PP</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4、外观：高透明，便于观察液面与沉淀</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5、尺寸与孔型：符合 ANSI/SLAS 标准 footprint，适配标准自动化设备</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6、孔型：圆底 / 锥底可选（常规建议圆底），孔口平整，适配标准封板膜 / 封板垫</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7、理化性能：耐温：-80℃ ～ 120℃，可低温冷冻、高温孵育、短时高温灭菌</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8、耐化学性：耐常规酸碱、有机溶剂、醇类、裂解液、提取试剂</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9、无泄漏、无变形、无脆裂</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10、洁净与生物安全：无 DNase、无 RNase，无热源（内毒素），无尘、无杂质、无荧光干扰</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11、密封性与兼容性：可配合粘性封板膜使用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12、孔边高，不易交叉污染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91</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带灯放大镜</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个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5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1、放大倍数：5～10 倍，视野清晰、不变形</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2、镜片：光学级玻璃镜片，高透光，无划痕、无气泡</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3、光源：内置 LED 环形灯 / 侧灯，亮度均匀、无眩光，可调节亮度，光线柔和不刺眼</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4、供电：USB 充电 / 干电池两用，续航稳定</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5、材质：镜身：ABS 工程塑料，轻便耐用；手柄：防滑、握持舒适</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6、结构：可手持，可带支架（优先支持立式 / 台式），重心稳定，不易倾倒</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7、尺寸：镜片直径 ≥50mm，方便观察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92</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一次性鞋套</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100只/包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10包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1、材质：全新料聚丙烯（PP）无纺布，不掉屑、不发尘</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2、克重：≥25 g/m</w:t>
            </w:r>
            <w:r>
              <w:rPr>
                <w:rStyle w:val="374"/>
                <w:rFonts w:hint="default"/>
                <w:color w:val="auto"/>
                <w:highlight w:val="none"/>
                <w:lang w:bidi="ar"/>
              </w:rPr>
              <w:t>²</w:t>
            </w:r>
            <w:r>
              <w:rPr>
                <w:rFonts w:hint="eastAsia" w:ascii="宋体" w:hAnsi="宋体" w:eastAsia="宋体" w:cs="宋体"/>
                <w:color w:val="auto"/>
                <w:kern w:val="0"/>
                <w:sz w:val="18"/>
                <w:szCs w:val="18"/>
                <w:highlight w:val="none"/>
                <w:lang w:bidi="ar"/>
              </w:rPr>
              <w:t>，韧性好，不易破损</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3、款式：均码，弹力收口，穿戴方便</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4、尺寸：长度≥40 cm，覆盖脚面及脚踝</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5、外观：洁净、无异味、无破洞、无污渍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93</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一次性头帽</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20顶/包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20包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1、材质：优质聚丙烯（PP）无纺布，柔软、透气、不掉屑。</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2、款式：圆帽 / 条形帽（蘑菇帽），全覆盖式。</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3、尺寸：均码，弹性收口，适配不同头围。</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4、松紧：帽口弹性适中，不松垮、不勒头。</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5、重量：无纺布克重 ≥10 g/m</w:t>
            </w:r>
            <w:r>
              <w:rPr>
                <w:rStyle w:val="374"/>
                <w:rFonts w:hint="default"/>
                <w:color w:val="auto"/>
                <w:highlight w:val="none"/>
                <w:lang w:bidi="ar"/>
              </w:rPr>
              <w:t>²</w:t>
            </w:r>
            <w:r>
              <w:rPr>
                <w:rFonts w:hint="eastAsia" w:ascii="宋体" w:hAnsi="宋体" w:eastAsia="宋体" w:cs="宋体"/>
                <w:color w:val="auto"/>
                <w:kern w:val="0"/>
                <w:sz w:val="18"/>
                <w:szCs w:val="18"/>
                <w:highlight w:val="none"/>
                <w:lang w:bidi="ar"/>
              </w:rPr>
              <w:t>，牢固不易破。</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6、包装密封，标识清晰：产品名称、规格、数量、生产日期、有效期、生产厂家。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94</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耐酸碱橡胶手套S号</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1双/包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10包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1、产品符合GB/T 18857-2022《耐化学腐蚀橡胶手套》</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2、材质：天然橡胶 / 丁腈橡胶，耐酸碱、耐有机溶剂。</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3、厚度：≥0.12 mm，有韧性，不易破损。</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4、长度：≥280 mm（手腕以上防护），加长型优先≥350 mm。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5、表面：麻面 / 微麻面，防滑，不影响操作。</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6、尺寸：S码，标注清晰，尺码标准。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95</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耐酸碱橡胶手套M号</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1双/包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5 包</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1、产品符合GB/T 18857-2022《耐化学腐蚀橡胶手套》</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2、材质：天然橡胶 / 丁腈橡胶，耐酸碱、耐有机溶剂</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3、厚度：≥0.12 mm，有韧性，不易破损</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4、长度：≥280 mm（手腕以上防护），加长型优先≥350 mm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5、表面：麻面 / 微麻面，防滑，不影响操作</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6、尺寸：M码，标注清晰，尺码标准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96</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50ml离心管</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25支/包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20包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1、材料：PP（聚丙烯）</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2、外形：尖形底，螺口盖</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3、温度范围：-80℃-120℃，可在120℃/15psi灭菌15分钟</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4、包装：25</w:t>
            </w:r>
            <w:r>
              <w:rPr>
                <w:rFonts w:hint="eastAsia" w:ascii="宋体" w:hAnsi="宋体" w:cs="宋体"/>
                <w:color w:val="auto"/>
                <w:kern w:val="0"/>
                <w:sz w:val="18"/>
                <w:szCs w:val="18"/>
                <w:highlight w:val="none"/>
                <w:lang w:val="en-US" w:eastAsia="zh-CN" w:bidi="ar"/>
              </w:rPr>
              <w:t>支</w:t>
            </w:r>
            <w:r>
              <w:rPr>
                <w:rFonts w:hint="eastAsia" w:ascii="宋体" w:hAnsi="宋体" w:eastAsia="宋体" w:cs="宋体"/>
                <w:color w:val="auto"/>
                <w:kern w:val="0"/>
                <w:sz w:val="18"/>
                <w:szCs w:val="18"/>
                <w:highlight w:val="none"/>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97</w:t>
            </w:r>
          </w:p>
        </w:tc>
        <w:tc>
          <w:tcPr>
            <w:tcW w:w="1983"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医用酒精湿巾</w:t>
            </w:r>
          </w:p>
        </w:tc>
        <w:tc>
          <w:tcPr>
            <w:tcW w:w="1069"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60抽/包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20包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18"/>
                <w:szCs w:val="18"/>
                <w:highlight w:val="none"/>
                <w:lang w:bidi="ar"/>
              </w:rPr>
              <w:t>1、乙醇浓度：75%±5%（v/v）</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2、材质：医用纯水刺无纺布，不掉屑、无荧光剂、无添加剂</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3、规格尺寸：单片≥150mm×200mm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4、包装：独立铝箔单片包装，密封性良好，无漏液、无挥发</w:t>
            </w:r>
          </w:p>
        </w:tc>
      </w:tr>
    </w:tbl>
    <w:p>
      <w:pPr>
        <w:spacing w:before="240" w:beforeLines="100"/>
        <w:rPr>
          <w:rFonts w:hint="eastAsia" w:ascii="宋体" w:hAnsi="宋体" w:cs="宋体"/>
          <w:b/>
          <w:color w:val="auto"/>
          <w:sz w:val="24"/>
          <w:highlight w:val="none"/>
        </w:rPr>
        <w:sectPr>
          <w:footerReference r:id="rId9" w:type="default"/>
          <w:pgSz w:w="16840" w:h="11907" w:orient="landscape"/>
          <w:pgMar w:top="1797" w:right="1440" w:bottom="1797" w:left="1440" w:header="851" w:footer="851" w:gutter="0"/>
          <w:cols w:space="720" w:num="1"/>
          <w:docGrid w:linePitch="462" w:charSpace="0"/>
        </w:sectPr>
      </w:pPr>
    </w:p>
    <w:p>
      <w:pPr>
        <w:spacing w:before="240" w:beforeLines="100"/>
        <w:rPr>
          <w:rFonts w:hint="eastAsia" w:ascii="宋体" w:hAnsi="宋体" w:cs="宋体"/>
          <w:color w:val="auto"/>
          <w:sz w:val="24"/>
          <w:highlight w:val="none"/>
        </w:rPr>
      </w:pPr>
      <w:bookmarkStart w:id="841" w:name="_Toc192872480"/>
      <w:r>
        <w:rPr>
          <w:rFonts w:hint="eastAsia" w:ascii="宋体" w:hAnsi="宋体" w:cs="宋体"/>
          <w:b/>
          <w:color w:val="auto"/>
          <w:sz w:val="24"/>
          <w:highlight w:val="none"/>
        </w:rPr>
        <w:t>二、商务要求</w:t>
      </w:r>
      <w:r>
        <w:rPr>
          <w:rFonts w:hint="eastAsia" w:ascii="宋体" w:hAnsi="宋体" w:cs="宋体"/>
          <w:color w:val="auto"/>
          <w:sz w:val="24"/>
          <w:highlight w:val="none"/>
        </w:rPr>
        <w:t>：</w:t>
      </w:r>
    </w:p>
    <w:p>
      <w:pPr>
        <w:spacing w:before="240" w:beforeLines="100"/>
        <w:rPr>
          <w:rFonts w:hint="eastAsia" w:ascii="宋体" w:hAnsi="宋体"/>
          <w:color w:val="auto"/>
          <w:sz w:val="24"/>
          <w:highlight w:val="none"/>
        </w:rPr>
      </w:pPr>
      <w:r>
        <w:rPr>
          <w:rFonts w:hint="eastAsia" w:ascii="宋体" w:hAnsi="宋体"/>
          <w:color w:val="auto"/>
          <w:sz w:val="24"/>
          <w:highlight w:val="none"/>
        </w:rPr>
        <w:t>1.交付（实施）的时间（期限）和地点（范围）</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供货时间：合同签署后按</w:t>
      </w:r>
      <w:r>
        <w:rPr>
          <w:rFonts w:hint="eastAsia" w:ascii="宋体" w:hAnsi="宋体"/>
          <w:color w:val="auto"/>
          <w:sz w:val="24"/>
          <w:highlight w:val="none"/>
          <w:lang w:val="en-US" w:eastAsia="zh-CN"/>
        </w:rPr>
        <w:t>采购人</w:t>
      </w:r>
      <w:r>
        <w:rPr>
          <w:rFonts w:hint="eastAsia" w:ascii="宋体" w:hAnsi="宋体"/>
          <w:color w:val="auto"/>
          <w:sz w:val="24"/>
          <w:highlight w:val="none"/>
        </w:rPr>
        <w:t>通知时间供货。</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出库单（随货单）：</w:t>
      </w:r>
      <w:r>
        <w:rPr>
          <w:rFonts w:hint="eastAsia" w:ascii="宋体" w:hAnsi="宋体"/>
          <w:color w:val="auto"/>
          <w:sz w:val="24"/>
          <w:highlight w:val="none"/>
          <w:lang w:val="en-US" w:eastAsia="zh-CN"/>
        </w:rPr>
        <w:t>投标单位</w:t>
      </w:r>
      <w:r>
        <w:rPr>
          <w:rFonts w:hint="eastAsia" w:ascii="宋体" w:hAnsi="宋体"/>
          <w:color w:val="auto"/>
          <w:sz w:val="24"/>
          <w:highlight w:val="none"/>
        </w:rPr>
        <w:t>在货物出库时须填写出库单（或装箱单），详细写明货物品种、数量、包装规格、批号、有效期和准确的出库时间，并将装箱单封装在某一箱内，在该箱明显标注“内有清单”字样。由物流公司送货的，应同时提供《随货单》等详细记录货物承运、运输和中转情况的单据，并保证货物的运输过程符合货物储存的温度。</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交货程序：</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根据需求情况，向</w:t>
      </w:r>
      <w:r>
        <w:rPr>
          <w:rFonts w:hint="eastAsia" w:ascii="宋体" w:hAnsi="宋体"/>
          <w:color w:val="auto"/>
          <w:sz w:val="24"/>
          <w:highlight w:val="none"/>
          <w:lang w:val="en-US" w:eastAsia="zh-CN"/>
        </w:rPr>
        <w:t>投标单位</w:t>
      </w:r>
      <w:r>
        <w:rPr>
          <w:rFonts w:hint="eastAsia" w:ascii="宋体" w:hAnsi="宋体"/>
          <w:color w:val="auto"/>
          <w:sz w:val="24"/>
          <w:highlight w:val="none"/>
        </w:rPr>
        <w:t>提出供货通知，明确货物的品名、数量和交货时间、地点、方式。</w:t>
      </w:r>
      <w:r>
        <w:rPr>
          <w:rFonts w:hint="eastAsia" w:ascii="宋体" w:hAnsi="宋体"/>
          <w:color w:val="auto"/>
          <w:sz w:val="24"/>
          <w:highlight w:val="none"/>
          <w:lang w:val="en-US" w:eastAsia="zh-CN"/>
        </w:rPr>
        <w:t>投标单位</w:t>
      </w:r>
      <w:r>
        <w:rPr>
          <w:rFonts w:hint="eastAsia" w:ascii="宋体" w:hAnsi="宋体"/>
          <w:color w:val="auto"/>
          <w:sz w:val="24"/>
          <w:highlight w:val="none"/>
        </w:rPr>
        <w:t>接到供货通知2日内或按</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要求的时限，将货物运达</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库房并将货物卸到指定位置。货物从</w:t>
      </w:r>
      <w:r>
        <w:rPr>
          <w:rFonts w:hint="eastAsia" w:ascii="宋体" w:hAnsi="宋体"/>
          <w:color w:val="auto"/>
          <w:sz w:val="24"/>
          <w:highlight w:val="none"/>
          <w:lang w:val="en-US" w:eastAsia="zh-CN"/>
        </w:rPr>
        <w:t>投标单位</w:t>
      </w:r>
      <w:r>
        <w:rPr>
          <w:rFonts w:hint="eastAsia" w:ascii="宋体" w:hAnsi="宋体"/>
          <w:color w:val="auto"/>
          <w:sz w:val="24"/>
          <w:highlight w:val="none"/>
        </w:rPr>
        <w:t>库房出库到运达</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 xml:space="preserve">库房的时间不超过2小时。 </w:t>
      </w:r>
      <w:r>
        <w:rPr>
          <w:rFonts w:hint="eastAsia" w:ascii="宋体" w:hAnsi="宋体"/>
          <w:color w:val="auto"/>
          <w:sz w:val="24"/>
          <w:highlight w:val="none"/>
          <w:lang w:val="en-US" w:eastAsia="zh-CN"/>
        </w:rPr>
        <w:t>投标单位</w:t>
      </w:r>
      <w:r>
        <w:rPr>
          <w:rFonts w:hint="eastAsia" w:ascii="宋体" w:hAnsi="宋体"/>
          <w:color w:val="auto"/>
          <w:sz w:val="24"/>
          <w:highlight w:val="none"/>
        </w:rPr>
        <w:t>应做好</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通知紧急供货的应急预案，并承诺在紧急供货要求下实现2小时内供货。</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交货期：</w:t>
      </w:r>
      <w:r>
        <w:rPr>
          <w:rFonts w:hint="eastAsia" w:ascii="宋体" w:hAnsi="宋体"/>
          <w:color w:val="auto"/>
          <w:sz w:val="24"/>
          <w:highlight w:val="none"/>
          <w:lang w:val="en-US" w:eastAsia="zh-CN"/>
        </w:rPr>
        <w:t>投标单位</w:t>
      </w:r>
      <w:r>
        <w:rPr>
          <w:rFonts w:hint="eastAsia" w:ascii="宋体" w:hAnsi="宋体"/>
          <w:color w:val="auto"/>
          <w:sz w:val="24"/>
          <w:highlight w:val="none"/>
        </w:rPr>
        <w:t>应在签订合同后15天内具备供货能力。</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根据需要向</w:t>
      </w:r>
      <w:r>
        <w:rPr>
          <w:rFonts w:hint="eastAsia" w:ascii="宋体" w:hAnsi="宋体"/>
          <w:color w:val="auto"/>
          <w:sz w:val="24"/>
          <w:highlight w:val="none"/>
          <w:lang w:val="en-US" w:eastAsia="zh-CN"/>
        </w:rPr>
        <w:t>投标单位</w:t>
      </w:r>
      <w:r>
        <w:rPr>
          <w:rFonts w:hint="eastAsia" w:ascii="宋体" w:hAnsi="宋体"/>
          <w:color w:val="auto"/>
          <w:sz w:val="24"/>
          <w:highlight w:val="none"/>
        </w:rPr>
        <w:t>发出供货通知，</w:t>
      </w:r>
      <w:r>
        <w:rPr>
          <w:rFonts w:hint="eastAsia" w:ascii="宋体" w:hAnsi="宋体"/>
          <w:color w:val="auto"/>
          <w:sz w:val="24"/>
          <w:highlight w:val="none"/>
          <w:lang w:val="en-US" w:eastAsia="zh-CN"/>
        </w:rPr>
        <w:t>投标单位</w:t>
      </w:r>
      <w:r>
        <w:rPr>
          <w:rFonts w:hint="eastAsia" w:ascii="宋体" w:hAnsi="宋体"/>
          <w:color w:val="auto"/>
          <w:sz w:val="24"/>
          <w:highlight w:val="none"/>
        </w:rPr>
        <w:t>收到通知后3天内完成供货。如遇极端天气等客观因素，影响到货时间的，</w:t>
      </w:r>
      <w:r>
        <w:rPr>
          <w:rFonts w:hint="eastAsia" w:ascii="宋体" w:hAnsi="宋体"/>
          <w:color w:val="auto"/>
          <w:sz w:val="24"/>
          <w:highlight w:val="none"/>
          <w:lang w:val="en-US" w:eastAsia="zh-CN"/>
        </w:rPr>
        <w:t>投标单位</w:t>
      </w:r>
      <w:r>
        <w:rPr>
          <w:rFonts w:hint="eastAsia" w:ascii="宋体" w:hAnsi="宋体"/>
          <w:color w:val="auto"/>
          <w:sz w:val="24"/>
          <w:highlight w:val="none"/>
        </w:rPr>
        <w:t>须向</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书面说明，交货期可延长5天。</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货物相关资料：</w:t>
      </w:r>
      <w:r>
        <w:rPr>
          <w:rFonts w:hint="eastAsia" w:ascii="宋体" w:hAnsi="宋体"/>
          <w:color w:val="auto"/>
          <w:sz w:val="24"/>
          <w:highlight w:val="none"/>
          <w:lang w:val="en-US" w:eastAsia="zh-CN"/>
        </w:rPr>
        <w:t>投标单位</w:t>
      </w:r>
      <w:r>
        <w:rPr>
          <w:rFonts w:hint="eastAsia" w:ascii="宋体" w:hAnsi="宋体"/>
          <w:color w:val="auto"/>
          <w:sz w:val="24"/>
          <w:highlight w:val="none"/>
        </w:rPr>
        <w:t>应随货物向</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交付产品的检验报告。</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交货地点：北京市动物疫病预防控制中心内指定位置。</w:t>
      </w:r>
    </w:p>
    <w:p>
      <w:pPr>
        <w:rPr>
          <w:rFonts w:hint="eastAsia" w:ascii="宋体" w:hAnsi="宋体"/>
          <w:color w:val="auto"/>
          <w:sz w:val="24"/>
          <w:highlight w:val="none"/>
        </w:rPr>
      </w:pPr>
      <w:r>
        <w:rPr>
          <w:rFonts w:hint="eastAsia" w:ascii="宋体" w:hAnsi="宋体"/>
          <w:color w:val="auto"/>
          <w:sz w:val="24"/>
          <w:highlight w:val="none"/>
        </w:rPr>
        <w:t>2.付款条件（进度和方式）</w:t>
      </w:r>
    </w:p>
    <w:p>
      <w:pPr>
        <w:suppressAutoHyphens/>
        <w:spacing w:line="276" w:lineRule="auto"/>
        <w:ind w:firstLine="480" w:firstLineChars="200"/>
        <w:rPr>
          <w:rFonts w:hint="eastAsia" w:ascii="宋体" w:hAnsi="宋体"/>
          <w:color w:val="auto"/>
          <w:sz w:val="24"/>
          <w:highlight w:val="none"/>
        </w:rPr>
      </w:pPr>
      <w:r>
        <w:rPr>
          <w:rFonts w:hint="eastAsia" w:ascii="宋体" w:hAnsi="宋体"/>
          <w:color w:val="auto"/>
          <w:sz w:val="24"/>
          <w:highlight w:val="none"/>
        </w:rPr>
        <w:t>本项目分批次进行供货。合同签署后</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预付50%货款，全部到货、验收、入库后</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支付剩余50%尾款。</w:t>
      </w:r>
    </w:p>
    <w:p>
      <w:pPr>
        <w:rPr>
          <w:rFonts w:hint="eastAsia" w:ascii="宋体" w:hAnsi="宋体"/>
          <w:color w:val="auto"/>
          <w:sz w:val="24"/>
          <w:highlight w:val="none"/>
        </w:rPr>
      </w:pPr>
      <w:r>
        <w:rPr>
          <w:rFonts w:hint="eastAsia" w:ascii="宋体" w:hAnsi="宋体"/>
          <w:color w:val="auto"/>
          <w:sz w:val="24"/>
          <w:highlight w:val="none"/>
        </w:rPr>
        <w:t>3.包装和运输（如适用，须满足《关于印发〈商品包装政府采购需求标准（试行）〉、〈快递包装政府采购需求标准（试行）〉的通知》（财办库﹝2020﹞123 号））</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有特殊包装要求的物品，应按照物品说明书和外包装标志执行。</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运输：由</w:t>
      </w:r>
      <w:r>
        <w:rPr>
          <w:rFonts w:hint="eastAsia" w:ascii="宋体" w:hAnsi="宋体"/>
          <w:color w:val="auto"/>
          <w:sz w:val="24"/>
          <w:highlight w:val="none"/>
          <w:lang w:val="en-US" w:eastAsia="zh-CN"/>
        </w:rPr>
        <w:t>投标单位</w:t>
      </w:r>
      <w:r>
        <w:rPr>
          <w:rFonts w:hint="eastAsia" w:ascii="宋体" w:hAnsi="宋体"/>
          <w:color w:val="auto"/>
          <w:sz w:val="24"/>
          <w:highlight w:val="none"/>
        </w:rPr>
        <w:t>将货物运送到</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指定地点，</w:t>
      </w:r>
      <w:bookmarkStart w:id="842" w:name="_Hlk192870579"/>
      <w:r>
        <w:rPr>
          <w:rFonts w:hint="eastAsia" w:ascii="宋体" w:hAnsi="宋体"/>
          <w:color w:val="auto"/>
          <w:sz w:val="24"/>
          <w:highlight w:val="none"/>
          <w:lang w:val="en-US" w:eastAsia="zh-CN"/>
        </w:rPr>
        <w:t>投标单位</w:t>
      </w:r>
      <w:r>
        <w:rPr>
          <w:rFonts w:hint="eastAsia" w:ascii="宋体" w:hAnsi="宋体"/>
          <w:color w:val="auto"/>
          <w:sz w:val="24"/>
          <w:highlight w:val="none"/>
        </w:rPr>
        <w:t>负责办理冷链运输，</w:t>
      </w:r>
      <w:bookmarkStart w:id="843" w:name="_Hlk192869502"/>
      <w:r>
        <w:rPr>
          <w:rFonts w:hint="eastAsia" w:ascii="宋体" w:hAnsi="宋体"/>
          <w:color w:val="auto"/>
          <w:sz w:val="24"/>
          <w:highlight w:val="none"/>
        </w:rPr>
        <w:t>保证运输手续和操作符合</w:t>
      </w:r>
      <w:bookmarkStart w:id="844" w:name="OLE_LINK1"/>
      <w:r>
        <w:rPr>
          <w:rFonts w:hint="eastAsia" w:ascii="宋体" w:hAnsi="宋体"/>
          <w:color w:val="auto"/>
          <w:sz w:val="24"/>
          <w:highlight w:val="none"/>
        </w:rPr>
        <w:t>采购人要求和</w:t>
      </w:r>
      <w:bookmarkEnd w:id="844"/>
      <w:r>
        <w:rPr>
          <w:rFonts w:hint="eastAsia" w:ascii="宋体" w:hAnsi="宋体"/>
          <w:color w:val="auto"/>
          <w:sz w:val="24"/>
          <w:highlight w:val="none"/>
        </w:rPr>
        <w:t>相关行业规定</w:t>
      </w:r>
      <w:bookmarkEnd w:id="842"/>
      <w:bookmarkEnd w:id="843"/>
      <w:r>
        <w:rPr>
          <w:rFonts w:hint="eastAsia" w:ascii="宋体" w:hAnsi="宋体"/>
          <w:color w:val="auto"/>
          <w:sz w:val="24"/>
          <w:highlight w:val="none"/>
        </w:rPr>
        <w:t>。有关运输的一切费用由</w:t>
      </w:r>
      <w:r>
        <w:rPr>
          <w:rFonts w:hint="eastAsia" w:ascii="宋体" w:hAnsi="宋体"/>
          <w:color w:val="auto"/>
          <w:sz w:val="24"/>
          <w:highlight w:val="none"/>
          <w:lang w:val="en-US" w:eastAsia="zh-CN"/>
        </w:rPr>
        <w:t>投标单位</w:t>
      </w:r>
      <w:r>
        <w:rPr>
          <w:rFonts w:hint="eastAsia" w:ascii="宋体" w:hAnsi="宋体"/>
          <w:color w:val="auto"/>
          <w:sz w:val="24"/>
          <w:highlight w:val="none"/>
        </w:rPr>
        <w:t>承担。所有货物运抵现场的日期为交货日期。</w:t>
      </w:r>
    </w:p>
    <w:p>
      <w:pPr>
        <w:rPr>
          <w:rFonts w:hint="eastAsia" w:ascii="宋体" w:hAnsi="宋体"/>
          <w:color w:val="auto"/>
          <w:sz w:val="24"/>
          <w:highlight w:val="none"/>
        </w:rPr>
      </w:pPr>
    </w:p>
    <w:p>
      <w:pPr>
        <w:rPr>
          <w:rFonts w:hint="eastAsia" w:ascii="宋体" w:hAnsi="宋体"/>
          <w:color w:val="auto"/>
          <w:sz w:val="24"/>
          <w:highlight w:val="none"/>
        </w:rPr>
      </w:pPr>
      <w:r>
        <w:rPr>
          <w:rFonts w:hint="eastAsia" w:ascii="宋体" w:hAnsi="宋体"/>
          <w:color w:val="auto"/>
          <w:sz w:val="24"/>
          <w:highlight w:val="none"/>
        </w:rPr>
        <w:t>4.售后服务</w:t>
      </w:r>
    </w:p>
    <w:p>
      <w:pPr>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投标单位</w:t>
      </w:r>
      <w:r>
        <w:rPr>
          <w:rFonts w:hint="eastAsia" w:ascii="宋体" w:hAnsi="宋体"/>
          <w:color w:val="auto"/>
          <w:sz w:val="24"/>
          <w:highlight w:val="none"/>
        </w:rPr>
        <w:t>根据招标文件向</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提供相应的售后服务。如遇相关技术问题，</w:t>
      </w:r>
      <w:r>
        <w:rPr>
          <w:rFonts w:hint="eastAsia" w:ascii="宋体" w:hAnsi="宋体"/>
          <w:color w:val="auto"/>
          <w:sz w:val="24"/>
          <w:highlight w:val="none"/>
          <w:lang w:val="en-US" w:eastAsia="zh-CN"/>
        </w:rPr>
        <w:t>投标单位</w:t>
      </w:r>
      <w:r>
        <w:rPr>
          <w:rFonts w:hint="eastAsia" w:ascii="宋体" w:hAnsi="宋体"/>
          <w:color w:val="auto"/>
          <w:sz w:val="24"/>
          <w:highlight w:val="none"/>
        </w:rPr>
        <w:t>须在2小时内及时响应，并提出解决方案，组织技术人员予以及时解决。</w:t>
      </w:r>
      <w:r>
        <w:rPr>
          <w:rFonts w:hint="eastAsia" w:ascii="宋体" w:hAnsi="宋体"/>
          <w:color w:val="auto"/>
          <w:sz w:val="24"/>
          <w:highlight w:val="none"/>
          <w:lang w:val="en-US" w:eastAsia="zh-CN"/>
        </w:rPr>
        <w:t>合同履行期</w:t>
      </w:r>
      <w:r>
        <w:rPr>
          <w:rFonts w:hint="eastAsia" w:ascii="宋体" w:hAnsi="宋体"/>
          <w:color w:val="auto"/>
          <w:sz w:val="24"/>
          <w:highlight w:val="none"/>
        </w:rPr>
        <w:t>内</w:t>
      </w:r>
      <w:r>
        <w:rPr>
          <w:rFonts w:hint="eastAsia" w:ascii="宋体" w:hAnsi="宋体"/>
          <w:color w:val="auto"/>
          <w:sz w:val="24"/>
          <w:highlight w:val="none"/>
          <w:lang w:val="en-US" w:eastAsia="zh-CN"/>
        </w:rPr>
        <w:t>提供的所有货物均需保证</w:t>
      </w:r>
      <w:r>
        <w:rPr>
          <w:rFonts w:hint="eastAsia" w:ascii="宋体" w:hAnsi="宋体"/>
          <w:color w:val="auto"/>
          <w:sz w:val="24"/>
          <w:highlight w:val="none"/>
        </w:rPr>
        <w:t>满足技术参数要求</w:t>
      </w:r>
      <w:r>
        <w:rPr>
          <w:rFonts w:hint="eastAsia" w:ascii="宋体" w:hAnsi="宋体"/>
          <w:color w:val="auto"/>
          <w:sz w:val="24"/>
          <w:highlight w:val="none"/>
          <w:lang w:val="en-US" w:eastAsia="zh-CN"/>
        </w:rPr>
        <w:t>及采购人的使用要求</w:t>
      </w:r>
      <w:r>
        <w:rPr>
          <w:rFonts w:hint="eastAsia" w:ascii="宋体" w:hAnsi="宋体"/>
          <w:color w:val="auto"/>
          <w:sz w:val="24"/>
          <w:highlight w:val="none"/>
        </w:rPr>
        <w:t>。</w:t>
      </w:r>
    </w:p>
    <w:p>
      <w:pPr>
        <w:rPr>
          <w:rFonts w:hint="eastAsia" w:ascii="宋体" w:hAnsi="宋体"/>
          <w:b/>
          <w:bCs/>
          <w:color w:val="auto"/>
          <w:sz w:val="24"/>
          <w:highlight w:val="none"/>
        </w:rPr>
      </w:pPr>
      <w:r>
        <w:rPr>
          <w:rFonts w:hint="eastAsia" w:ascii="宋体" w:hAnsi="宋体"/>
          <w:b/>
          <w:bCs/>
          <w:color w:val="auto"/>
          <w:sz w:val="24"/>
          <w:highlight w:val="none"/>
        </w:rPr>
        <w:t>三、技术要求</w:t>
      </w:r>
    </w:p>
    <w:p>
      <w:pPr>
        <w:spacing w:before="240" w:beforeLines="100" w:line="360" w:lineRule="auto"/>
        <w:rPr>
          <w:rFonts w:hint="eastAsia" w:ascii="宋体" w:hAnsi="宋体"/>
          <w:color w:val="auto"/>
          <w:sz w:val="24"/>
          <w:highlight w:val="none"/>
        </w:rPr>
      </w:pPr>
      <w:r>
        <w:rPr>
          <w:rFonts w:hint="eastAsia" w:ascii="宋体" w:hAnsi="宋体"/>
          <w:color w:val="auto"/>
          <w:sz w:val="24"/>
          <w:highlight w:val="none"/>
        </w:rPr>
        <w:t>1.基本要求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1.1采购标的需实现的功能或者目标</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此次采购货物设备是采购人经过论证评审后确实所需，投标人所投设备应符合采购人的实际需求，</w:t>
      </w:r>
      <w:r>
        <w:rPr>
          <w:rFonts w:hint="eastAsia" w:ascii="宋体" w:hAnsi="宋体" w:cs="宋体"/>
          <w:color w:val="auto"/>
          <w:sz w:val="24"/>
          <w:highlight w:val="none"/>
          <w:shd w:val="clear" w:color="auto" w:fill="FFFFFF"/>
        </w:rPr>
        <w:t>应满足重大动物疫病应急预案和相关技术方案的要求</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1.2需执行的国家相关标准、行业标准、地方标准或者其他标准、规范</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产品须</w:t>
      </w:r>
      <w:r>
        <w:rPr>
          <w:rFonts w:hint="eastAsia" w:ascii="宋体" w:hAnsi="宋体" w:cs="宋体"/>
          <w:color w:val="auto"/>
          <w:sz w:val="24"/>
          <w:highlight w:val="none"/>
        </w:rPr>
        <w:t>符</w:t>
      </w:r>
      <w:r>
        <w:rPr>
          <w:rFonts w:hint="eastAsia" w:ascii="宋体" w:hAnsi="宋体" w:cs="宋体"/>
          <w:color w:val="auto"/>
          <w:sz w:val="24"/>
          <w:highlight w:val="none"/>
          <w:shd w:val="clear" w:color="auto" w:fill="FFFFFF"/>
        </w:rPr>
        <w:t>合国家《兽药质量标准》最新版要求</w:t>
      </w:r>
      <w:r>
        <w:rPr>
          <w:rFonts w:hint="eastAsia" w:ascii="宋体" w:hAnsi="宋体"/>
          <w:color w:val="auto"/>
          <w:sz w:val="24"/>
          <w:highlight w:val="none"/>
        </w:rPr>
        <w:t>。</w:t>
      </w:r>
    </w:p>
    <w:p>
      <w:pPr>
        <w:spacing w:line="360" w:lineRule="auto"/>
        <w:rPr>
          <w:rFonts w:hint="eastAsia" w:ascii="宋体" w:hAnsi="宋体"/>
          <w:color w:val="auto"/>
          <w:sz w:val="24"/>
          <w:highlight w:val="none"/>
        </w:rPr>
      </w:pPr>
      <w:r>
        <w:rPr>
          <w:rFonts w:hint="eastAsia" w:ascii="宋体" w:hAnsi="宋体"/>
          <w:color w:val="auto"/>
          <w:sz w:val="24"/>
          <w:highlight w:val="none"/>
        </w:rPr>
        <w:t>2.服务内容及要求/货物技术要求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2.1 采购标的需满足的性能、材料、结构、外观、质量、安全、技术规格、物理特性等要求</w:t>
      </w:r>
    </w:p>
    <w:p>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shd w:val="clear" w:color="auto" w:fill="FFFFFF"/>
        </w:rPr>
        <w:t>在投标文件中详细说明所提供货物的技术规格和参数，并提供佐证材料。供货方应保证货物是全新的、未使用过的，完全符合合同规定的质量、规格和性能要求的正品。</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2.2 采购标的需满足的服务标准、期限、效率等要求</w:t>
      </w:r>
    </w:p>
    <w:p>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shd w:val="clear" w:color="auto" w:fill="FFFFFF"/>
        </w:rPr>
        <w:t>在货物最终验收后的质量保证期内，供货方应对产品的所有质量问题（包括但不限于因设计、工艺或材料的缺陷而发生的任何故障等）负全责，因质量问题所产生的故障、事故、人身损害、经济损失等责任均由供货方承担，由此产生的所有费用也均由供货方负担。</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2.3 为落实政府采购政策需满足的要求</w:t>
      </w:r>
    </w:p>
    <w:p>
      <w:pPr>
        <w:widowControl/>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本项目需要落实的政府采购政策如节约能源、保护环境、促进中小企业及监狱企业发展、促进残疾人就业、扶持不发达地区和少数民族地区、使用信用记录结果等，根据本项目的特点和需求，具体落实情况详见招标文件其他章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2.4 采购标的的其他技术、服务等要求</w:t>
      </w:r>
    </w:p>
    <w:p>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shd w:val="clear" w:color="auto" w:fill="FFFFFF"/>
        </w:rPr>
        <w:t>投标人应保证采购人在使用该货物或其任何一部分时，不受第三方提出侵犯其专利权﹑商标权﹑版权和工业设计权等知识产权的指控﹐一旦任何第三方提出侵权指控，供货方必须对可能发生的后果承担全部责任。</w:t>
      </w:r>
    </w:p>
    <w:p>
      <w:pPr>
        <w:spacing w:line="360" w:lineRule="auto"/>
        <w:ind w:firstLine="480" w:firstLineChars="200"/>
        <w:rPr>
          <w:rFonts w:hint="eastAsia" w:ascii="宋体" w:hAnsi="宋体" w:eastAsia="宋体" w:cs="宋体"/>
          <w:color w:val="auto"/>
          <w:sz w:val="24"/>
          <w:highlight w:val="none"/>
          <w:shd w:val="clear" w:color="auto" w:fill="FFFFFF"/>
          <w:lang w:eastAsia="zh-CN"/>
        </w:rPr>
      </w:pPr>
      <w:r>
        <w:rPr>
          <w:rFonts w:hint="eastAsia" w:ascii="宋体" w:hAnsi="宋体"/>
          <w:color w:val="auto"/>
          <w:sz w:val="24"/>
          <w:highlight w:val="none"/>
        </w:rPr>
        <w:t>2.5 需由供应商提供设计方案、解决方案或者组织方案的采购项目，应当说明采购标的的功能、应用场景、目标等基本要求</w:t>
      </w:r>
      <w:r>
        <w:rPr>
          <w:rFonts w:hint="eastAsia" w:ascii="宋体" w:hAnsi="宋体"/>
          <w:color w:val="auto"/>
          <w:sz w:val="24"/>
          <w:highlight w:val="none"/>
          <w:lang w:eastAsia="zh-CN"/>
        </w:rPr>
        <w:t>：</w:t>
      </w:r>
    </w:p>
    <w:p>
      <w:pPr>
        <w:ind w:firstLine="480" w:firstLineChars="200"/>
        <w:rPr>
          <w:rFonts w:hint="eastAsia" w:ascii="宋体" w:hAnsi="宋体" w:cs="宋体"/>
          <w:color w:val="auto"/>
          <w:sz w:val="24"/>
          <w:highlight w:val="none"/>
          <w:shd w:val="clear" w:color="auto" w:fill="FFFFFF"/>
        </w:rPr>
      </w:pPr>
      <w:r>
        <w:rPr>
          <w:rFonts w:hint="eastAsia" w:ascii="宋体" w:hAnsi="宋体"/>
          <w:color w:val="auto"/>
          <w:sz w:val="24"/>
          <w:highlight w:val="none"/>
        </w:rPr>
        <w:t>所投货物为成熟的产品，已在动物防疫中使用，并得到验证，受使用者认可。</w:t>
      </w:r>
    </w:p>
    <w:p>
      <w:pPr>
        <w:rPr>
          <w:rFonts w:hint="eastAsia" w:ascii="宋体" w:hAnsi="宋体"/>
          <w:color w:val="auto"/>
          <w:sz w:val="24"/>
          <w:highlight w:val="none"/>
        </w:rPr>
      </w:pPr>
      <w:r>
        <w:rPr>
          <w:rFonts w:hint="eastAsia" w:ascii="宋体" w:hAnsi="宋体"/>
          <w:color w:val="auto"/>
          <w:sz w:val="24"/>
          <w:highlight w:val="none"/>
        </w:rPr>
        <w:t>3.验收标准</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到货时，</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检查包装并随机打开外包装进行感官检查。如货物不满足以下任意一条要求的，可以退货，造成的全部损失由</w:t>
      </w:r>
      <w:r>
        <w:rPr>
          <w:rFonts w:hint="eastAsia" w:ascii="宋体" w:hAnsi="宋体"/>
          <w:color w:val="auto"/>
          <w:sz w:val="24"/>
          <w:highlight w:val="none"/>
          <w:lang w:val="en-US" w:eastAsia="zh-CN"/>
        </w:rPr>
        <w:t>投标单位</w:t>
      </w:r>
      <w:r>
        <w:rPr>
          <w:rFonts w:hint="eastAsia" w:ascii="宋体" w:hAnsi="宋体"/>
          <w:color w:val="auto"/>
          <w:sz w:val="24"/>
          <w:highlight w:val="none"/>
        </w:rPr>
        <w:t>承担。</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1）货物内、外包装完整，不得破损，且符合包装有关规定。包装有破损的，</w:t>
      </w:r>
      <w:r>
        <w:rPr>
          <w:rFonts w:hint="eastAsia" w:ascii="宋体" w:hAnsi="宋体"/>
          <w:color w:val="auto"/>
          <w:sz w:val="24"/>
          <w:highlight w:val="none"/>
          <w:lang w:val="en-US" w:eastAsia="zh-CN"/>
        </w:rPr>
        <w:t>采购人</w:t>
      </w:r>
      <w:r>
        <w:rPr>
          <w:rFonts w:hint="eastAsia" w:ascii="宋体" w:hAnsi="宋体"/>
          <w:color w:val="auto"/>
          <w:sz w:val="24"/>
          <w:highlight w:val="none"/>
        </w:rPr>
        <w:t>可要求整箱退货或者整批退货。</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2）货物生产厂家、品名、数量、规格符合项目合同和《出库单》。</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3）货物的批次检验报告符合兽医药管理、动物防疫相关要求和本项目招标文件要求，满足投标文件承诺。</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4）到货时或到货后，</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可随时对货物随机抽验，货物应符合本合同约定的质量要求。</w:t>
      </w:r>
    </w:p>
    <w:p>
      <w:pPr>
        <w:pStyle w:val="23"/>
        <w:spacing w:line="360" w:lineRule="auto"/>
        <w:jc w:val="center"/>
        <w:rPr>
          <w:rFonts w:hAnsi="宋体" w:cs="宋体"/>
          <w:b/>
          <w:color w:val="auto"/>
          <w:sz w:val="36"/>
          <w:szCs w:val="36"/>
          <w:highlight w:val="none"/>
        </w:rPr>
        <w:sectPr>
          <w:pgSz w:w="11907" w:h="16840"/>
          <w:pgMar w:top="1440" w:right="1797" w:bottom="1440" w:left="1797" w:header="851" w:footer="851" w:gutter="0"/>
          <w:cols w:space="720" w:num="1"/>
          <w:docGrid w:linePitch="462" w:charSpace="0"/>
        </w:sectPr>
      </w:pPr>
    </w:p>
    <w:p>
      <w:pPr>
        <w:pStyle w:val="23"/>
        <w:spacing w:line="360" w:lineRule="auto"/>
        <w:jc w:val="center"/>
        <w:outlineLvl w:val="0"/>
        <w:rPr>
          <w:rFonts w:hAnsi="宋体" w:cs="宋体"/>
          <w:b/>
          <w:color w:val="auto"/>
          <w:sz w:val="36"/>
          <w:szCs w:val="36"/>
          <w:highlight w:val="none"/>
        </w:rPr>
      </w:pPr>
      <w:r>
        <w:rPr>
          <w:rFonts w:hAnsi="宋体" w:cs="宋体"/>
          <w:b/>
          <w:color w:val="auto"/>
          <w:sz w:val="36"/>
          <w:szCs w:val="36"/>
          <w:highlight w:val="none"/>
        </w:rPr>
        <w:t>第六章   拟签订的合同文本</w:t>
      </w:r>
      <w:bookmarkEnd w:id="841"/>
    </w:p>
    <w:p>
      <w:pPr>
        <w:pStyle w:val="17"/>
        <w:spacing w:after="0"/>
        <w:jc w:val="center"/>
        <w:rPr>
          <w:rFonts w:hint="eastAsia" w:cs="宋体"/>
          <w:b/>
          <w:bCs/>
          <w:color w:val="auto"/>
          <w:spacing w:val="-20"/>
          <w:kern w:val="44"/>
          <w:sz w:val="48"/>
          <w:szCs w:val="48"/>
          <w:highlight w:val="none"/>
        </w:rPr>
      </w:pPr>
      <w:bookmarkStart w:id="845" w:name="_Toc3995"/>
    </w:p>
    <w:p>
      <w:pPr>
        <w:pStyle w:val="17"/>
        <w:spacing w:after="0"/>
        <w:jc w:val="center"/>
        <w:rPr>
          <w:rFonts w:hint="eastAsia" w:cs="宋体"/>
          <w:b/>
          <w:bCs/>
          <w:color w:val="auto"/>
          <w:spacing w:val="-20"/>
          <w:kern w:val="44"/>
          <w:sz w:val="48"/>
          <w:szCs w:val="48"/>
          <w:highlight w:val="none"/>
        </w:rPr>
      </w:pPr>
    </w:p>
    <w:p>
      <w:pPr>
        <w:pStyle w:val="17"/>
        <w:spacing w:after="0"/>
        <w:jc w:val="center"/>
        <w:rPr>
          <w:rFonts w:hint="eastAsia" w:cs="宋体"/>
          <w:b/>
          <w:bCs/>
          <w:color w:val="auto"/>
          <w:spacing w:val="-20"/>
          <w:kern w:val="44"/>
          <w:sz w:val="48"/>
          <w:szCs w:val="48"/>
          <w:highlight w:val="none"/>
        </w:rPr>
      </w:pPr>
    </w:p>
    <w:p>
      <w:pPr>
        <w:pStyle w:val="17"/>
        <w:spacing w:after="0"/>
        <w:jc w:val="center"/>
        <w:rPr>
          <w:rFonts w:hint="eastAsia" w:cs="宋体"/>
          <w:b/>
          <w:bCs/>
          <w:color w:val="auto"/>
          <w:spacing w:val="-20"/>
          <w:kern w:val="44"/>
          <w:sz w:val="48"/>
          <w:szCs w:val="48"/>
          <w:highlight w:val="none"/>
        </w:rPr>
      </w:pPr>
    </w:p>
    <w:p>
      <w:pPr>
        <w:pStyle w:val="17"/>
        <w:spacing w:after="0"/>
        <w:jc w:val="center"/>
        <w:rPr>
          <w:rFonts w:hint="eastAsia" w:cs="宋体"/>
          <w:b/>
          <w:bCs/>
          <w:color w:val="auto"/>
          <w:spacing w:val="-20"/>
          <w:kern w:val="44"/>
          <w:sz w:val="48"/>
          <w:szCs w:val="48"/>
          <w:highlight w:val="none"/>
        </w:rPr>
      </w:pPr>
    </w:p>
    <w:p>
      <w:pPr>
        <w:pStyle w:val="17"/>
        <w:spacing w:after="0"/>
        <w:jc w:val="center"/>
        <w:rPr>
          <w:rFonts w:hint="eastAsia" w:cs="宋体"/>
          <w:b/>
          <w:bCs/>
          <w:color w:val="auto"/>
          <w:spacing w:val="-20"/>
          <w:kern w:val="44"/>
          <w:sz w:val="48"/>
          <w:szCs w:val="48"/>
          <w:highlight w:val="none"/>
        </w:rPr>
      </w:pPr>
      <w:r>
        <w:rPr>
          <w:rFonts w:hint="eastAsia" w:cs="宋体"/>
          <w:b/>
          <w:bCs/>
          <w:color w:val="auto"/>
          <w:spacing w:val="-20"/>
          <w:kern w:val="44"/>
          <w:sz w:val="48"/>
          <w:szCs w:val="48"/>
          <w:highlight w:val="none"/>
        </w:rPr>
        <w:t>政府采购货物买卖合同</w:t>
      </w:r>
    </w:p>
    <w:p>
      <w:pPr>
        <w:pStyle w:val="17"/>
        <w:spacing w:after="0"/>
        <w:jc w:val="center"/>
        <w:rPr>
          <w:rFonts w:hint="eastAsia" w:cs="宋体"/>
          <w:b/>
          <w:bCs/>
          <w:color w:val="auto"/>
          <w:spacing w:val="-20"/>
          <w:kern w:val="44"/>
          <w:sz w:val="48"/>
          <w:szCs w:val="48"/>
          <w:highlight w:val="none"/>
        </w:rPr>
      </w:pPr>
      <w:r>
        <w:rPr>
          <w:rFonts w:hint="eastAsia" w:cs="宋体"/>
          <w:b/>
          <w:bCs/>
          <w:color w:val="auto"/>
          <w:spacing w:val="-20"/>
          <w:kern w:val="44"/>
          <w:sz w:val="48"/>
          <w:szCs w:val="48"/>
          <w:highlight w:val="none"/>
        </w:rPr>
        <w:t>（试行）</w:t>
      </w:r>
    </w:p>
    <w:p>
      <w:pPr>
        <w:rPr>
          <w:rFonts w:hint="eastAsia" w:ascii="宋体" w:hAnsi="宋体" w:cs="宋体"/>
          <w:b/>
          <w:bCs/>
          <w:color w:val="auto"/>
          <w:spacing w:val="-20"/>
          <w:kern w:val="44"/>
          <w:sz w:val="40"/>
          <w:szCs w:val="40"/>
          <w:highlight w:val="none"/>
        </w:rPr>
      </w:pPr>
    </w:p>
    <w:p>
      <w:pPr>
        <w:rPr>
          <w:rFonts w:hint="eastAsia" w:ascii="宋体" w:hAnsi="宋体" w:cs="宋体"/>
          <w:b/>
          <w:bCs/>
          <w:color w:val="auto"/>
          <w:spacing w:val="-20"/>
          <w:kern w:val="44"/>
          <w:sz w:val="40"/>
          <w:szCs w:val="40"/>
          <w:highlight w:val="none"/>
        </w:rPr>
      </w:pPr>
    </w:p>
    <w:p>
      <w:pPr>
        <w:rPr>
          <w:rFonts w:hint="eastAsia" w:ascii="宋体" w:hAnsi="宋体" w:cs="宋体"/>
          <w:b/>
          <w:bCs/>
          <w:color w:val="auto"/>
          <w:spacing w:val="-20"/>
          <w:kern w:val="44"/>
          <w:sz w:val="40"/>
          <w:szCs w:val="40"/>
          <w:highlight w:val="none"/>
        </w:rPr>
      </w:pPr>
    </w:p>
    <w:p>
      <w:pPr>
        <w:spacing w:line="360" w:lineRule="auto"/>
        <w:ind w:left="420" w:leftChars="200"/>
        <w:rPr>
          <w:rFonts w:hint="eastAsia" w:ascii="宋体" w:hAnsi="宋体" w:cs="宋体"/>
          <w:color w:val="auto"/>
          <w:sz w:val="32"/>
          <w:szCs w:val="32"/>
          <w:highlight w:val="none"/>
        </w:rPr>
      </w:pPr>
      <w:r>
        <w:rPr>
          <w:rFonts w:hint="eastAsia" w:ascii="宋体" w:hAnsi="宋体" w:cs="宋体"/>
          <w:color w:val="auto"/>
          <w:kern w:val="0"/>
          <w:sz w:val="32"/>
          <w:szCs w:val="32"/>
          <w:highlight w:val="none"/>
        </w:rPr>
        <w:t>项目名称：</w:t>
      </w:r>
      <w:r>
        <w:rPr>
          <w:rFonts w:hint="eastAsia" w:ascii="宋体" w:hAnsi="宋体" w:cs="宋体"/>
          <w:color w:val="auto"/>
          <w:sz w:val="32"/>
          <w:szCs w:val="32"/>
          <w:highlight w:val="none"/>
          <w:u w:val="single"/>
        </w:rPr>
        <w:t xml:space="preserve">                             </w:t>
      </w:r>
    </w:p>
    <w:p>
      <w:pPr>
        <w:spacing w:line="360" w:lineRule="auto"/>
        <w:ind w:left="420" w:leftChars="20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合同编号：</w:t>
      </w:r>
      <w:r>
        <w:rPr>
          <w:rFonts w:hint="eastAsia" w:ascii="宋体" w:hAnsi="宋体" w:cs="宋体"/>
          <w:color w:val="auto"/>
          <w:sz w:val="32"/>
          <w:szCs w:val="32"/>
          <w:highlight w:val="none"/>
          <w:u w:val="single"/>
        </w:rPr>
        <w:t xml:space="preserve">                             </w:t>
      </w:r>
    </w:p>
    <w:p>
      <w:pPr>
        <w:spacing w:line="360" w:lineRule="auto"/>
        <w:ind w:left="420" w:leftChars="200"/>
        <w:rPr>
          <w:rFonts w:hint="eastAsia" w:ascii="宋体" w:hAnsi="宋体" w:cs="宋体"/>
          <w:color w:val="auto"/>
          <w:sz w:val="32"/>
          <w:szCs w:val="32"/>
          <w:highlight w:val="none"/>
        </w:rPr>
      </w:pPr>
      <w:r>
        <w:rPr>
          <w:rFonts w:hint="eastAsia" w:ascii="宋体" w:hAnsi="宋体" w:cs="宋体"/>
          <w:color w:val="auto"/>
          <w:sz w:val="32"/>
          <w:szCs w:val="32"/>
          <w:highlight w:val="none"/>
        </w:rPr>
        <w:t>甲    方：</w:t>
      </w:r>
      <w:r>
        <w:rPr>
          <w:rFonts w:hint="eastAsia" w:ascii="宋体" w:hAnsi="宋体" w:cs="宋体"/>
          <w:color w:val="auto"/>
          <w:sz w:val="32"/>
          <w:szCs w:val="32"/>
          <w:highlight w:val="none"/>
          <w:u w:val="single"/>
        </w:rPr>
        <w:t xml:space="preserve">                             </w:t>
      </w:r>
    </w:p>
    <w:p>
      <w:pPr>
        <w:spacing w:line="360" w:lineRule="auto"/>
        <w:ind w:left="420" w:leftChars="20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乙    方：</w:t>
      </w:r>
      <w:r>
        <w:rPr>
          <w:rFonts w:hint="eastAsia" w:ascii="宋体" w:hAnsi="宋体" w:cs="宋体"/>
          <w:color w:val="auto"/>
          <w:sz w:val="32"/>
          <w:szCs w:val="32"/>
          <w:highlight w:val="none"/>
          <w:u w:val="single"/>
        </w:rPr>
        <w:t xml:space="preserve">                             </w:t>
      </w:r>
    </w:p>
    <w:p>
      <w:pPr>
        <w:spacing w:line="360" w:lineRule="auto"/>
        <w:ind w:left="420" w:leftChars="200"/>
        <w:rPr>
          <w:rFonts w:hint="eastAsia" w:ascii="宋体" w:hAnsi="宋体" w:cs="宋体"/>
          <w:color w:val="auto"/>
          <w:sz w:val="32"/>
          <w:szCs w:val="32"/>
          <w:highlight w:val="none"/>
        </w:rPr>
      </w:pPr>
      <w:r>
        <w:rPr>
          <w:rFonts w:hint="eastAsia" w:ascii="宋体" w:hAnsi="宋体" w:cs="宋体"/>
          <w:color w:val="auto"/>
          <w:sz w:val="32"/>
          <w:szCs w:val="32"/>
          <w:highlight w:val="none"/>
        </w:rPr>
        <w:t>签订时间：</w:t>
      </w:r>
      <w:r>
        <w:rPr>
          <w:rFonts w:hint="eastAsia" w:ascii="宋体" w:hAnsi="宋体" w:cs="宋体"/>
          <w:color w:val="auto"/>
          <w:sz w:val="32"/>
          <w:szCs w:val="32"/>
          <w:highlight w:val="none"/>
          <w:u w:val="single"/>
        </w:rPr>
        <w:t xml:space="preserve">                             </w:t>
      </w:r>
    </w:p>
    <w:p>
      <w:pPr>
        <w:rPr>
          <w:rFonts w:hint="eastAsia" w:ascii="宋体" w:hAnsi="宋体" w:cs="宋体"/>
          <w:color w:val="auto"/>
          <w:highlight w:val="none"/>
        </w:rPr>
      </w:pPr>
    </w:p>
    <w:p>
      <w:pP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p>
    <w:p>
      <w:pPr>
        <w:rPr>
          <w:rFonts w:hint="eastAsia" w:ascii="宋体" w:hAnsi="宋体" w:cs="宋体"/>
          <w:color w:val="auto"/>
          <w:sz w:val="44"/>
          <w:szCs w:val="44"/>
          <w:highlight w:val="none"/>
        </w:rPr>
      </w:pPr>
    </w:p>
    <w:p>
      <w:pPr>
        <w:rPr>
          <w:rFonts w:hint="eastAsia" w:ascii="宋体" w:hAnsi="宋体" w:cs="宋体"/>
          <w:color w:val="auto"/>
          <w:sz w:val="44"/>
          <w:szCs w:val="44"/>
          <w:highlight w:val="none"/>
        </w:rPr>
      </w:pPr>
    </w:p>
    <w:p>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使 用 说 明</w:t>
      </w:r>
    </w:p>
    <w:p>
      <w:pPr>
        <w:ind w:firstLine="640" w:firstLineChars="200"/>
        <w:rPr>
          <w:rFonts w:hint="eastAsia" w:ascii="宋体" w:hAnsi="宋体" w:cs="宋体"/>
          <w:color w:val="auto"/>
          <w:sz w:val="32"/>
          <w:szCs w:val="32"/>
          <w:highlight w:val="none"/>
        </w:rPr>
      </w:pPr>
    </w:p>
    <w:p>
      <w:pPr>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1.本合同标准文本适用于购买现成货物的采购项目，不包括需要供应商定制开发、创新研发的货物采购项目。</w:t>
      </w:r>
    </w:p>
    <w:p>
      <w:pPr>
        <w:rPr>
          <w:rFonts w:hint="eastAsia" w:ascii="宋体" w:hAnsi="宋体" w:cs="宋体"/>
          <w:color w:val="auto"/>
          <w:sz w:val="44"/>
          <w:szCs w:val="44"/>
          <w:highlight w:val="none"/>
        </w:rPr>
      </w:pPr>
      <w:r>
        <w:rPr>
          <w:rFonts w:hint="eastAsia" w:ascii="宋体" w:hAnsi="宋体" w:cs="宋体"/>
          <w:color w:val="auto"/>
          <w:sz w:val="44"/>
          <w:szCs w:val="44"/>
          <w:highlight w:val="none"/>
        </w:rPr>
        <w:t xml:space="preserve">   </w:t>
      </w:r>
      <w:r>
        <w:rPr>
          <w:rFonts w:hint="eastAsia" w:ascii="宋体" w:hAnsi="宋体" w:cs="宋体"/>
          <w:color w:val="auto"/>
          <w:sz w:val="32"/>
          <w:szCs w:val="32"/>
          <w:highlight w:val="none"/>
        </w:rPr>
        <w:t>2.本合同标准文本为政府采购货物买卖合同编制提供参考，可以结合采购项目具体情况，对文本作必要的调整修订后使用。</w:t>
      </w:r>
    </w:p>
    <w:p>
      <w:pPr>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3.本合同标准文本各条款中，如涉及填写多家供应商、制造商，多种采购标的、分包主要内容等信息的，可根据采购项目具体情况添加信息项。</w:t>
      </w:r>
    </w:p>
    <w:p>
      <w:pPr>
        <w:ind w:firstLine="880" w:firstLineChars="200"/>
        <w:rPr>
          <w:rFonts w:hint="eastAsia" w:ascii="宋体" w:hAnsi="宋体" w:cs="宋体"/>
          <w:color w:val="auto"/>
          <w:sz w:val="44"/>
          <w:szCs w:val="44"/>
          <w:highlight w:val="none"/>
        </w:rPr>
        <w:sectPr>
          <w:pgSz w:w="11906" w:h="16838"/>
          <w:pgMar w:top="1440" w:right="1800" w:bottom="1440" w:left="1800" w:header="851" w:footer="992" w:gutter="0"/>
          <w:cols w:space="425" w:num="1"/>
          <w:docGrid w:type="lines" w:linePitch="312" w:charSpace="0"/>
        </w:sectPr>
      </w:pPr>
    </w:p>
    <w:bookmarkEnd w:id="845"/>
    <w:p>
      <w:pPr>
        <w:rPr>
          <w:rFonts w:hint="eastAsia" w:ascii="宋体" w:hAnsi="宋体" w:cs="宋体"/>
          <w:color w:val="auto"/>
          <w:sz w:val="28"/>
          <w:szCs w:val="28"/>
          <w:highlight w:val="none"/>
        </w:rPr>
      </w:pPr>
      <w:bookmarkStart w:id="846" w:name="_Toc22209"/>
    </w:p>
    <w:p>
      <w:pPr>
        <w:pStyle w:val="3"/>
        <w:snapToGrid w:val="0"/>
        <w:spacing w:line="400" w:lineRule="exact"/>
        <w:rPr>
          <w:rFonts w:hint="eastAsia" w:ascii="宋体" w:hAnsi="宋体" w:eastAsia="宋体" w:cs="宋体"/>
          <w:b w:val="0"/>
          <w:bCs/>
          <w:color w:val="auto"/>
          <w:sz w:val="28"/>
          <w:szCs w:val="28"/>
          <w:highlight w:val="none"/>
        </w:rPr>
      </w:pPr>
      <w:r>
        <w:rPr>
          <w:rFonts w:hint="eastAsia" w:ascii="宋体" w:hAnsi="宋体" w:eastAsia="宋体" w:cs="宋体"/>
          <w:b w:val="0"/>
          <w:color w:val="auto"/>
          <w:sz w:val="28"/>
          <w:szCs w:val="28"/>
          <w:highlight w:val="none"/>
        </w:rPr>
        <w:t>第一节 政府采购合同协议书</w:t>
      </w:r>
      <w:bookmarkEnd w:id="846"/>
    </w:p>
    <w:p>
      <w:pPr>
        <w:rPr>
          <w:rFonts w:hint="eastAsia" w:ascii="宋体" w:hAnsi="宋体" w:cs="宋体"/>
          <w:b/>
          <w:bCs/>
          <w:color w:val="auto"/>
          <w:sz w:val="28"/>
          <w:szCs w:val="28"/>
          <w:highlight w:val="none"/>
        </w:rPr>
      </w:pPr>
    </w:p>
    <w:p>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甲方（全称）：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（采购人、受采购人委托签订合同的单位或采购</w:t>
      </w:r>
      <w:r>
        <w:rPr>
          <w:rFonts w:hint="eastAsia" w:ascii="宋体" w:hAnsi="宋体" w:cs="宋体"/>
          <w:color w:val="auto"/>
          <w:szCs w:val="21"/>
          <w:highlight w:val="none"/>
        </w:rPr>
        <w:tab/>
      </w:r>
      <w:r>
        <w:rPr>
          <w:rFonts w:hint="eastAsia" w:ascii="宋体" w:hAnsi="宋体" w:cs="宋体"/>
          <w:color w:val="auto"/>
          <w:szCs w:val="21"/>
          <w:highlight w:val="none"/>
        </w:rPr>
        <w:t xml:space="preserve">                                   文件约定的合同甲方）</w:t>
      </w:r>
    </w:p>
    <w:p>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乙方1（全称）：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w:t>
      </w:r>
    </w:p>
    <w:p>
      <w:pPr>
        <w:spacing w:line="400" w:lineRule="exact"/>
        <w:rPr>
          <w:rFonts w:hint="eastAsia" w:ascii="宋体" w:hAnsi="宋体" w:cs="宋体"/>
          <w:color w:val="auto"/>
          <w:highlight w:val="none"/>
        </w:rPr>
      </w:pPr>
    </w:p>
    <w:p>
      <w:pPr>
        <w:pStyle w:val="18"/>
        <w:adjustRightInd w:val="0"/>
        <w:snapToGrid w:val="0"/>
        <w:spacing w:after="0"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25"/>
        </w:num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项目信息</w:t>
      </w:r>
    </w:p>
    <w:p>
      <w:pPr>
        <w:pStyle w:val="18"/>
        <w:numPr>
          <w:ilvl w:val="0"/>
          <w:numId w:val="26"/>
        </w:numPr>
        <w:adjustRightInd w:val="0"/>
        <w:snapToGrid w:val="0"/>
        <w:spacing w:after="0" w:line="400" w:lineRule="exact"/>
        <w:ind w:firstLine="480" w:firstLineChars="200"/>
        <w:rPr>
          <w:rFonts w:hint="eastAsia"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pPr>
        <w:pStyle w:val="18"/>
        <w:numPr>
          <w:ilvl w:val="255"/>
          <w:numId w:val="0"/>
        </w:numPr>
        <w:tabs>
          <w:tab w:val="left" w:pos="999"/>
        </w:tabs>
        <w:adjustRightInd w:val="0"/>
        <w:snapToGri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采购项目编号：</w:t>
      </w:r>
      <w:r>
        <w:rPr>
          <w:rFonts w:hint="eastAsia" w:ascii="宋体" w:hAnsi="宋体" w:cs="宋体"/>
          <w:color w:val="auto"/>
          <w:szCs w:val="21"/>
          <w:highlight w:val="none"/>
          <w:u w:val="single"/>
        </w:rPr>
        <w:t xml:space="preserve">                                          </w:t>
      </w:r>
    </w:p>
    <w:p>
      <w:pPr>
        <w:pStyle w:val="18"/>
        <w:adjustRightInd w:val="0"/>
        <w:snapToGrid w:val="0"/>
        <w:spacing w:after="0" w:line="400" w:lineRule="exact"/>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（2）采购计划编号：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（3）项目内容：</w:t>
      </w:r>
    </w:p>
    <w:p>
      <w:pPr>
        <w:adjustRightInd w:val="0"/>
        <w:snapToGrid w:val="0"/>
        <w:spacing w:line="400" w:lineRule="exact"/>
        <w:ind w:firstLine="1080" w:firstLineChars="45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采购标的的技术要求、商务要求具体见附件。</w:t>
      </w:r>
    </w:p>
    <w:p>
      <w:pPr>
        <w:pStyle w:val="363"/>
        <w:numPr>
          <w:ilvl w:val="255"/>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4</w:t>
      </w:r>
      <w:r>
        <w:rPr>
          <w:rFonts w:hint="eastAsia" w:ascii="宋体" w:hAnsi="宋体" w:eastAsia="宋体" w:cs="宋体"/>
          <w:color w:val="auto"/>
          <w:sz w:val="24"/>
          <w:szCs w:val="24"/>
          <w:highlight w:val="none"/>
        </w:rPr>
        <w:t>）政府采购组织形式：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iCs/>
          <w:color w:val="auto"/>
          <w:sz w:val="28"/>
          <w:szCs w:val="24"/>
          <w:highlight w:val="none"/>
        </w:rPr>
        <w:t>■</w:t>
      </w:r>
      <w:r>
        <w:rPr>
          <w:rFonts w:hint="eastAsia" w:ascii="宋体" w:hAnsi="宋体" w:eastAsia="宋体" w:cs="宋体"/>
          <w:color w:val="auto"/>
          <w:sz w:val="24"/>
          <w:szCs w:val="24"/>
          <w:highlight w:val="none"/>
        </w:rPr>
        <w:t>分散采购</w:t>
      </w:r>
    </w:p>
    <w:p>
      <w:pPr>
        <w:pStyle w:val="363"/>
        <w:numPr>
          <w:ilvl w:val="255"/>
          <w:numId w:val="0"/>
        </w:numPr>
        <w:snapToGri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5</w:t>
      </w:r>
      <w:r>
        <w:rPr>
          <w:rFonts w:hint="eastAsia" w:ascii="宋体" w:hAnsi="宋体" w:eastAsia="宋体" w:cs="宋体"/>
          <w:color w:val="auto"/>
          <w:sz w:val="24"/>
          <w:szCs w:val="24"/>
          <w:highlight w:val="none"/>
        </w:rPr>
        <w:t>）政府采购方式：</w:t>
      </w:r>
      <w:r>
        <w:rPr>
          <w:rFonts w:hint="eastAsia" w:ascii="宋体" w:hAnsi="宋体" w:eastAsia="宋体" w:cs="宋体"/>
          <w:iCs/>
          <w:color w:val="auto"/>
          <w:sz w:val="28"/>
          <w:szCs w:val="24"/>
          <w:highlight w:val="none"/>
        </w:rPr>
        <w:t>■</w:t>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pPr>
        <w:pStyle w:val="363"/>
        <w:numPr>
          <w:ilvl w:val="255"/>
          <w:numId w:val="0"/>
        </w:numPr>
        <w:snapToGrid w:val="0"/>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8"/>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pPr>
        <w:pStyle w:val="363"/>
        <w:numPr>
          <w:ilvl w:val="255"/>
          <w:numId w:val="0"/>
        </w:numPr>
        <w:snapToGrid w:val="0"/>
        <w:ind w:firstLine="42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8"/>
          <w:szCs w:val="24"/>
          <w:highlight w:val="none"/>
        </w:rPr>
        <w:t xml:space="preserve"> （</w:t>
      </w:r>
      <w:r>
        <w:rPr>
          <w:rFonts w:hint="eastAsia" w:ascii="宋体" w:hAnsi="宋体" w:eastAsia="宋体" w:cs="宋体"/>
          <w:color w:val="auto"/>
          <w:sz w:val="28"/>
          <w:szCs w:val="24"/>
          <w:highlight w:val="none"/>
          <w:lang w:val="en"/>
        </w:rPr>
        <w:t>6</w:t>
      </w:r>
      <w:r>
        <w:rPr>
          <w:rFonts w:hint="eastAsia" w:ascii="宋体" w:hAnsi="宋体" w:eastAsia="宋体" w:cs="宋体"/>
          <w:color w:val="auto"/>
          <w:sz w:val="28"/>
          <w:szCs w:val="24"/>
          <w:highlight w:val="none"/>
        </w:rPr>
        <w:t>）</w:t>
      </w:r>
      <w:r>
        <w:rPr>
          <w:rFonts w:hint="eastAsia" w:ascii="宋体" w:hAnsi="宋体" w:eastAsia="宋体" w:cs="宋体"/>
          <w:color w:val="auto"/>
          <w:kern w:val="2"/>
          <w:sz w:val="24"/>
          <w:szCs w:val="24"/>
          <w:highlight w:val="none"/>
        </w:rPr>
        <w:t>中标（成交）采购标的制造商是否为中小企业：</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 xml:space="preserve">是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pPr>
        <w:numPr>
          <w:ilvl w:val="255"/>
          <w:numId w:val="0"/>
        </w:numPr>
        <w:adjustRightInd w:val="0"/>
        <w:snapToGrid w:val="0"/>
        <w:spacing w:line="400" w:lineRule="exact"/>
        <w:rPr>
          <w:rFonts w:hint="eastAsia" w:ascii="宋体" w:hAnsi="宋体" w:cs="宋体"/>
          <w:iCs/>
          <w:color w:val="auto"/>
          <w:sz w:val="24"/>
          <w:szCs w:val="24"/>
          <w:highlight w:val="none"/>
        </w:rPr>
      </w:pPr>
      <w:r>
        <w:rPr>
          <w:rFonts w:hint="eastAsia" w:ascii="宋体" w:hAnsi="宋体" w:cs="宋体"/>
          <w:color w:val="auto"/>
          <w:sz w:val="24"/>
          <w:szCs w:val="24"/>
          <w:highlight w:val="none"/>
        </w:rPr>
        <w:t xml:space="preserve">         本合同是否为专门面向中小企业的采购合同（中小企业预留合同）：</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是    ■否</w:t>
      </w:r>
    </w:p>
    <w:p>
      <w:pPr>
        <w:numPr>
          <w:ilvl w:val="255"/>
          <w:numId w:val="0"/>
        </w:numPr>
        <w:adjustRightInd w:val="0"/>
        <w:snapToGrid w:val="0"/>
        <w:spacing w:line="400" w:lineRule="exact"/>
        <w:rPr>
          <w:rFonts w:hint="eastAsia" w:ascii="宋体" w:hAnsi="宋体" w:cs="宋体"/>
          <w:iCs/>
          <w:color w:val="auto"/>
          <w:sz w:val="24"/>
          <w:szCs w:val="24"/>
          <w:highlight w:val="none"/>
        </w:rPr>
      </w:pPr>
      <w:r>
        <w:rPr>
          <w:rFonts w:hint="eastAsia" w:ascii="宋体" w:hAnsi="宋体" w:cs="宋体"/>
          <w:color w:val="auto"/>
          <w:sz w:val="24"/>
          <w:szCs w:val="32"/>
          <w:highlight w:val="none"/>
        </w:rPr>
        <w:t xml:space="preserve">         若本项目不专门面向中小企业采购，是否给予小微企业评审优惠：</w:t>
      </w:r>
      <w:r>
        <w:rPr>
          <w:rFonts w:hint="eastAsia" w:ascii="宋体" w:hAnsi="宋体" w:cs="宋体"/>
          <w:iCs/>
          <w:color w:val="auto"/>
          <w:sz w:val="24"/>
          <w:szCs w:val="24"/>
          <w:highlight w:val="none"/>
        </w:rPr>
        <w:t xml:space="preserve">■是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否</w:t>
      </w:r>
    </w:p>
    <w:p>
      <w:pPr>
        <w:numPr>
          <w:ilvl w:val="255"/>
          <w:numId w:val="0"/>
        </w:numPr>
        <w:adjustRightInd w:val="0"/>
        <w:snapToGrid w:val="0"/>
        <w:spacing w:line="400" w:lineRule="exact"/>
        <w:rPr>
          <w:rFonts w:hint="eastAsia" w:ascii="宋体" w:hAnsi="宋体" w:cs="宋体"/>
          <w:iCs/>
          <w:color w:val="auto"/>
          <w:sz w:val="24"/>
          <w:szCs w:val="24"/>
          <w:highlight w:val="none"/>
        </w:rPr>
      </w:pPr>
      <w:r>
        <w:rPr>
          <w:rFonts w:hint="eastAsia" w:ascii="宋体" w:hAnsi="宋体" w:cs="宋体"/>
          <w:color w:val="auto"/>
          <w:sz w:val="24"/>
          <w:szCs w:val="32"/>
          <w:highlight w:val="none"/>
        </w:rPr>
        <w:t xml:space="preserve">         中标（成交）采购标的制造商是否为残疾人福利性单位：</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是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否</w:t>
      </w:r>
    </w:p>
    <w:p>
      <w:pPr>
        <w:snapToGrid w:val="0"/>
        <w:spacing w:line="400" w:lineRule="exact"/>
        <w:rPr>
          <w:rFonts w:hint="eastAsia" w:ascii="宋体" w:hAnsi="宋体" w:cs="宋体"/>
          <w:color w:val="auto"/>
          <w:sz w:val="24"/>
          <w:szCs w:val="32"/>
          <w:highlight w:val="none"/>
        </w:rPr>
      </w:pPr>
      <w:r>
        <w:rPr>
          <w:rFonts w:hint="eastAsia" w:ascii="宋体" w:hAnsi="宋体" w:cs="宋体"/>
          <w:color w:val="auto"/>
          <w:sz w:val="24"/>
          <w:szCs w:val="32"/>
          <w:highlight w:val="none"/>
        </w:rPr>
        <w:t xml:space="preserve">         中标（成交）采购标的制造商是否为监狱企业：</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是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否</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
        </w:rPr>
        <w:t>7</w:t>
      </w:r>
      <w:r>
        <w:rPr>
          <w:rFonts w:hint="eastAsia" w:ascii="宋体" w:hAnsi="宋体" w:cs="宋体"/>
          <w:color w:val="auto"/>
          <w:sz w:val="24"/>
          <w:szCs w:val="24"/>
          <w:highlight w:val="none"/>
        </w:rPr>
        <w:t>）合同是否分包：</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是       ■否</w:t>
      </w:r>
    </w:p>
    <w:p>
      <w:pPr>
        <w:numPr>
          <w:ilvl w:val="255"/>
          <w:numId w:val="0"/>
        </w:numPr>
        <w:adjustRightInd w:val="0"/>
        <w:snapToGrid w:val="0"/>
        <w:spacing w:line="400" w:lineRule="exact"/>
        <w:rPr>
          <w:rFonts w:hint="eastAsia" w:ascii="宋体" w:hAnsi="宋体" w:cs="宋体"/>
          <w:iCs/>
          <w:color w:val="auto"/>
          <w:sz w:val="24"/>
          <w:szCs w:val="24"/>
          <w:highlight w:val="none"/>
        </w:rPr>
      </w:pPr>
      <w:r>
        <w:rPr>
          <w:rFonts w:hint="eastAsia" w:ascii="宋体" w:hAnsi="宋体" w:cs="宋体"/>
          <w:color w:val="auto"/>
          <w:sz w:val="24"/>
          <w:szCs w:val="24"/>
          <w:highlight w:val="none"/>
        </w:rPr>
        <w:t xml:space="preserve">    （</w:t>
      </w:r>
      <w:r>
        <w:rPr>
          <w:rFonts w:ascii="宋体" w:hAnsi="宋体" w:cs="宋体"/>
          <w:color w:val="auto"/>
          <w:sz w:val="24"/>
          <w:szCs w:val="24"/>
          <w:highlight w:val="none"/>
          <w:lang w:val="en"/>
        </w:rPr>
        <w:t>8</w:t>
      </w:r>
      <w:r>
        <w:rPr>
          <w:rFonts w:hint="eastAsia" w:ascii="宋体" w:hAnsi="宋体" w:cs="宋体"/>
          <w:color w:val="auto"/>
          <w:sz w:val="24"/>
          <w:szCs w:val="24"/>
          <w:highlight w:val="none"/>
        </w:rPr>
        <w:t>）中标（成交）供应商是否为外商投资企业：</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是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否</w:t>
      </w:r>
    </w:p>
    <w:p>
      <w:pPr>
        <w:pStyle w:val="363"/>
        <w:tabs>
          <w:tab w:val="left" w:pos="1340"/>
        </w:tabs>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pPr>
        <w:numPr>
          <w:ilvl w:val="255"/>
          <w:numId w:val="0"/>
        </w:num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lang w:val="en"/>
        </w:rPr>
        <w:t>9</w:t>
      </w:r>
      <w:r>
        <w:rPr>
          <w:rFonts w:hint="eastAsia" w:ascii="宋体" w:hAnsi="宋体" w:cs="宋体"/>
          <w:color w:val="auto"/>
          <w:sz w:val="24"/>
          <w:szCs w:val="24"/>
          <w:highlight w:val="none"/>
        </w:rPr>
        <w:t>）是否涉及进口产品：</w:t>
      </w:r>
    </w:p>
    <w:p>
      <w:pPr>
        <w:numPr>
          <w:ilvl w:val="255"/>
          <w:numId w:val="0"/>
        </w:numPr>
        <w:adjustRightInd w:val="0"/>
        <w:snapToGrid w:val="0"/>
        <w:spacing w:line="400" w:lineRule="exact"/>
        <w:ind w:firstLine="960" w:firstLineChars="4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是，《政府采购品目分类目录》底级品目名称：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金额：</w:t>
      </w:r>
      <w:r>
        <w:rPr>
          <w:rFonts w:hint="eastAsia" w:ascii="宋体" w:hAnsi="宋体" w:cs="宋体"/>
          <w:color w:val="auto"/>
          <w:sz w:val="24"/>
          <w:szCs w:val="24"/>
          <w:highlight w:val="none"/>
          <w:u w:val="single"/>
        </w:rPr>
        <w:t xml:space="preserve">        </w:t>
      </w:r>
    </w:p>
    <w:p>
      <w:pPr>
        <w:numPr>
          <w:ilvl w:val="255"/>
          <w:numId w:val="0"/>
        </w:numPr>
        <w:adjustRightInd w:val="0"/>
        <w:snapToGrid w:val="0"/>
        <w:spacing w:line="400" w:lineRule="exact"/>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国别：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品牌：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规格型号：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adjustRightInd w:val="0"/>
        <w:snapToGrid w:val="0"/>
        <w:spacing w:line="400" w:lineRule="exact"/>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■否</w:t>
      </w:r>
    </w:p>
    <w:p>
      <w:pPr>
        <w:numPr>
          <w:ilvl w:val="255"/>
          <w:numId w:val="0"/>
        </w:numPr>
        <w:tabs>
          <w:tab w:val="left" w:pos="740"/>
        </w:tabs>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w:t>
      </w:r>
      <w:r>
        <w:rPr>
          <w:rFonts w:hint="eastAsia" w:ascii="宋体" w:hAnsi="宋体" w:cs="宋体"/>
          <w:color w:val="auto"/>
          <w:sz w:val="24"/>
          <w:szCs w:val="24"/>
          <w:highlight w:val="none"/>
          <w:lang w:val="en"/>
        </w:rPr>
        <w:t>0</w:t>
      </w:r>
      <w:r>
        <w:rPr>
          <w:rFonts w:hint="eastAsia" w:ascii="宋体" w:hAnsi="宋体" w:cs="宋体"/>
          <w:color w:val="auto"/>
          <w:sz w:val="24"/>
          <w:szCs w:val="24"/>
          <w:highlight w:val="none"/>
        </w:rPr>
        <w:t>）是否涉及节能产品：</w:t>
      </w:r>
    </w:p>
    <w:p>
      <w:pPr>
        <w:numPr>
          <w:ilvl w:val="255"/>
          <w:numId w:val="0"/>
        </w:numPr>
        <w:tabs>
          <w:tab w:val="left" w:pos="740"/>
        </w:tabs>
        <w:adjustRightInd w:val="0"/>
        <w:snapToGrid w:val="0"/>
        <w:spacing w:line="400" w:lineRule="exact"/>
        <w:rPr>
          <w:rFonts w:hint="eastAsia" w:ascii="宋体" w:hAnsi="宋体" w:cs="宋体"/>
          <w:i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是，《节能产品政府采购品目清单》的底级品目名称：</w:t>
      </w:r>
      <w:r>
        <w:rPr>
          <w:rFonts w:hint="eastAsia" w:ascii="宋体" w:hAnsi="宋体" w:cs="宋体"/>
          <w:color w:val="auto"/>
          <w:sz w:val="24"/>
          <w:szCs w:val="24"/>
          <w:highlight w:val="none"/>
          <w:u w:val="single"/>
        </w:rPr>
        <w:t xml:space="preserve">         </w:t>
      </w:r>
      <w:r>
        <w:rPr>
          <w:rFonts w:hint="eastAsia" w:ascii="宋体" w:hAnsi="宋体" w:cs="宋体"/>
          <w:iCs/>
          <w:color w:val="auto"/>
          <w:sz w:val="24"/>
          <w:szCs w:val="24"/>
          <w:highlight w:val="none"/>
        </w:rPr>
        <w:t xml:space="preserve">     </w:t>
      </w:r>
    </w:p>
    <w:p>
      <w:pPr>
        <w:numPr>
          <w:ilvl w:val="255"/>
          <w:numId w:val="0"/>
        </w:numPr>
        <w:tabs>
          <w:tab w:val="left" w:pos="740"/>
        </w:tabs>
        <w:adjustRightInd w:val="0"/>
        <w:snapToGrid w:val="0"/>
        <w:spacing w:line="400" w:lineRule="exact"/>
        <w:rPr>
          <w:rFonts w:hint="eastAsia" w:ascii="宋体" w:hAnsi="宋体" w:cs="宋体"/>
          <w:iCs/>
          <w:color w:val="auto"/>
          <w:sz w:val="24"/>
          <w:szCs w:val="24"/>
          <w:highlight w:val="none"/>
        </w:rPr>
      </w:pPr>
      <w:r>
        <w:rPr>
          <w:rFonts w:hint="eastAsia" w:ascii="宋体" w:hAnsi="宋体" w:cs="宋体"/>
          <w:iCs/>
          <w:color w:val="auto"/>
          <w:sz w:val="24"/>
          <w:szCs w:val="24"/>
          <w:highlight w:val="none"/>
        </w:rPr>
        <w:t xml:space="preserve">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强制采购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优先采购    </w:t>
      </w:r>
    </w:p>
    <w:p>
      <w:pPr>
        <w:numPr>
          <w:ilvl w:val="255"/>
          <w:numId w:val="0"/>
        </w:numPr>
        <w:tabs>
          <w:tab w:val="left" w:pos="740"/>
        </w:tabs>
        <w:adjustRightInd w:val="0"/>
        <w:snapToGrid w:val="0"/>
        <w:spacing w:line="400" w:lineRule="exact"/>
        <w:rPr>
          <w:rFonts w:hint="eastAsia" w:ascii="宋体" w:hAnsi="宋体" w:cs="宋体"/>
          <w:color w:val="auto"/>
          <w:sz w:val="24"/>
          <w:szCs w:val="24"/>
          <w:highlight w:val="none"/>
        </w:rPr>
      </w:pPr>
      <w:r>
        <w:rPr>
          <w:rFonts w:hint="eastAsia" w:ascii="宋体" w:hAnsi="宋体" w:cs="宋体"/>
          <w:iCs/>
          <w:color w:val="auto"/>
          <w:sz w:val="24"/>
          <w:szCs w:val="24"/>
          <w:highlight w:val="none"/>
        </w:rPr>
        <w:t xml:space="preserve">         </w:t>
      </w:r>
      <w:r>
        <w:rPr>
          <w:rFonts w:hint="eastAsia" w:ascii="宋体" w:hAnsi="宋体" w:cs="宋体"/>
          <w:color w:val="auto"/>
          <w:sz w:val="24"/>
          <w:szCs w:val="24"/>
          <w:highlight w:val="none"/>
        </w:rPr>
        <w:t>■否</w:t>
      </w:r>
    </w:p>
    <w:p>
      <w:pPr>
        <w:numPr>
          <w:ilvl w:val="255"/>
          <w:numId w:val="0"/>
        </w:numPr>
        <w:tabs>
          <w:tab w:val="left" w:pos="740"/>
        </w:tabs>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是否涉及环境标志产品：</w:t>
      </w:r>
    </w:p>
    <w:p>
      <w:pPr>
        <w:numPr>
          <w:ilvl w:val="255"/>
          <w:numId w:val="0"/>
        </w:numPr>
        <w:tabs>
          <w:tab w:val="left" w:pos="740"/>
        </w:tabs>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是，《环境标志产品政府采购品目清单》的底级品目名称：</w:t>
      </w:r>
      <w:r>
        <w:rPr>
          <w:rFonts w:hint="eastAsia" w:ascii="宋体" w:hAnsi="宋体" w:cs="宋体"/>
          <w:color w:val="auto"/>
          <w:sz w:val="24"/>
          <w:szCs w:val="24"/>
          <w:highlight w:val="none"/>
          <w:u w:val="single"/>
        </w:rPr>
        <w:t xml:space="preserve">         </w:t>
      </w:r>
      <w:r>
        <w:rPr>
          <w:rFonts w:hint="eastAsia" w:ascii="宋体" w:hAnsi="宋体" w:cs="宋体"/>
          <w:iCs/>
          <w:color w:val="auto"/>
          <w:sz w:val="24"/>
          <w:szCs w:val="24"/>
          <w:highlight w:val="none"/>
        </w:rPr>
        <w:t xml:space="preserve"> </w:t>
      </w:r>
    </w:p>
    <w:p>
      <w:pPr>
        <w:numPr>
          <w:ilvl w:val="255"/>
          <w:numId w:val="0"/>
        </w:numPr>
        <w:tabs>
          <w:tab w:val="left" w:pos="740"/>
        </w:tabs>
        <w:adjustRightInd w:val="0"/>
        <w:snapToGrid w:val="0"/>
        <w:spacing w:line="400" w:lineRule="exact"/>
        <w:rPr>
          <w:rFonts w:hint="eastAsia" w:ascii="宋体" w:hAnsi="宋体" w:cs="宋体"/>
          <w:iCs/>
          <w:color w:val="auto"/>
          <w:sz w:val="24"/>
          <w:szCs w:val="24"/>
          <w:highlight w:val="none"/>
        </w:rPr>
      </w:pPr>
      <w:r>
        <w:rPr>
          <w:rFonts w:hint="eastAsia" w:ascii="宋体" w:hAnsi="宋体" w:cs="宋体"/>
          <w:iCs/>
          <w:color w:val="auto"/>
          <w:sz w:val="24"/>
          <w:szCs w:val="24"/>
          <w:highlight w:val="none"/>
        </w:rPr>
        <w:t xml:space="preserve">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强制采购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优先采购    </w:t>
      </w:r>
    </w:p>
    <w:p>
      <w:pPr>
        <w:numPr>
          <w:ilvl w:val="255"/>
          <w:numId w:val="0"/>
        </w:numPr>
        <w:tabs>
          <w:tab w:val="left" w:pos="740"/>
        </w:tabs>
        <w:adjustRightInd w:val="0"/>
        <w:snapToGrid w:val="0"/>
        <w:spacing w:line="400" w:lineRule="exact"/>
        <w:rPr>
          <w:rFonts w:hint="eastAsia" w:ascii="宋体" w:hAnsi="宋体" w:cs="宋体"/>
          <w:color w:val="auto"/>
          <w:sz w:val="24"/>
          <w:szCs w:val="24"/>
          <w:highlight w:val="none"/>
        </w:rPr>
      </w:pPr>
      <w:r>
        <w:rPr>
          <w:rFonts w:hint="eastAsia" w:ascii="宋体" w:hAnsi="宋体" w:cs="宋体"/>
          <w:iCs/>
          <w:color w:val="auto"/>
          <w:sz w:val="24"/>
          <w:szCs w:val="24"/>
          <w:highlight w:val="none"/>
        </w:rPr>
        <w:t xml:space="preserve">         </w:t>
      </w:r>
      <w:r>
        <w:rPr>
          <w:rFonts w:hint="eastAsia" w:ascii="宋体" w:hAnsi="宋体" w:cs="宋体"/>
          <w:color w:val="auto"/>
          <w:sz w:val="24"/>
          <w:szCs w:val="24"/>
          <w:highlight w:val="none"/>
        </w:rPr>
        <w:t>■否</w:t>
      </w:r>
    </w:p>
    <w:p>
      <w:pPr>
        <w:pStyle w:val="363"/>
        <w:numPr>
          <w:ilvl w:val="255"/>
          <w:numId w:val="0"/>
        </w:numPr>
        <w:snapToGrid w:val="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 xml:space="preserve">是否涉及绿色产品： </w:t>
      </w:r>
    </w:p>
    <w:p>
      <w:pPr>
        <w:pStyle w:val="363"/>
        <w:ind w:firstLine="420" w:firstLineChars="0"/>
        <w:rPr>
          <w:rFonts w:hint="eastAsia" w:ascii="宋体" w:hAnsi="宋体" w:eastAsia="宋体" w:cs="宋体"/>
          <w:color w:val="auto"/>
          <w:sz w:val="28"/>
          <w:szCs w:val="24"/>
          <w:highlight w:val="none"/>
          <w:u w:val="singl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是，绿色产品政府采购相关政策确定的底级品目名称：</w:t>
      </w:r>
      <w:r>
        <w:rPr>
          <w:rFonts w:hint="eastAsia" w:ascii="宋体" w:hAnsi="宋体" w:eastAsia="宋体" w:cs="宋体"/>
          <w:color w:val="auto"/>
          <w:sz w:val="28"/>
          <w:szCs w:val="24"/>
          <w:highlight w:val="none"/>
          <w:u w:val="single"/>
        </w:rPr>
        <w:t xml:space="preserve">         </w:t>
      </w:r>
    </w:p>
    <w:p>
      <w:pPr>
        <w:numPr>
          <w:ilvl w:val="255"/>
          <w:numId w:val="0"/>
        </w:numPr>
        <w:tabs>
          <w:tab w:val="left" w:pos="740"/>
        </w:tabs>
        <w:adjustRightInd w:val="0"/>
        <w:snapToGrid w:val="0"/>
        <w:spacing w:line="400" w:lineRule="exact"/>
        <w:rPr>
          <w:rFonts w:hint="eastAsia" w:ascii="宋体" w:hAnsi="宋体" w:cs="宋体"/>
          <w:iCs/>
          <w:color w:val="auto"/>
          <w:sz w:val="24"/>
          <w:szCs w:val="24"/>
          <w:highlight w:val="none"/>
        </w:rPr>
      </w:pPr>
      <w:r>
        <w:rPr>
          <w:rFonts w:hint="eastAsia" w:ascii="宋体" w:hAnsi="宋体" w:cs="宋体"/>
          <w:iCs/>
          <w:color w:val="auto"/>
          <w:sz w:val="24"/>
          <w:szCs w:val="24"/>
          <w:highlight w:val="none"/>
        </w:rPr>
        <w:t xml:space="preserve">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强制采购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优先采购    </w:t>
      </w:r>
    </w:p>
    <w:p>
      <w:pPr>
        <w:pStyle w:val="363"/>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iCs/>
          <w:color w:val="auto"/>
          <w:sz w:val="28"/>
          <w:szCs w:val="24"/>
          <w:highlight w:val="none"/>
        </w:rPr>
        <w:t>■</w:t>
      </w:r>
      <w:r>
        <w:rPr>
          <w:rFonts w:hint="eastAsia" w:ascii="宋体" w:hAnsi="宋体" w:eastAsia="宋体" w:cs="宋体"/>
          <w:color w:val="auto"/>
          <w:kern w:val="2"/>
          <w:sz w:val="24"/>
          <w:szCs w:val="24"/>
          <w:highlight w:val="none"/>
        </w:rPr>
        <w:t>否</w:t>
      </w:r>
    </w:p>
    <w:p>
      <w:pPr>
        <w:numPr>
          <w:ilvl w:val="255"/>
          <w:numId w:val="0"/>
        </w:numPr>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w:t>
      </w:r>
      <w:r>
        <w:rPr>
          <w:rFonts w:hint="eastAsia" w:ascii="宋体" w:hAnsi="宋体" w:cs="宋体"/>
          <w:color w:val="auto"/>
          <w:sz w:val="24"/>
          <w:szCs w:val="24"/>
          <w:highlight w:val="none"/>
          <w:lang w:val="en"/>
        </w:rPr>
        <w:t>1</w:t>
      </w:r>
      <w:r>
        <w:rPr>
          <w:rFonts w:hint="eastAsia" w:ascii="宋体" w:hAnsi="宋体" w:cs="宋体"/>
          <w:color w:val="auto"/>
          <w:sz w:val="24"/>
          <w:szCs w:val="24"/>
          <w:highlight w:val="none"/>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960" w:firstLineChars="400"/>
        <w:rPr>
          <w:rFonts w:hint="eastAsia" w:ascii="宋体" w:hAnsi="宋体" w:cs="宋体"/>
          <w:color w:val="auto"/>
          <w:sz w:val="24"/>
          <w:szCs w:val="24"/>
          <w:highlight w:val="none"/>
        </w:rPr>
      </w:pPr>
      <w:r>
        <w:rPr>
          <w:rFonts w:hint="eastAsia" w:ascii="宋体" w:hAnsi="宋体" w:cs="宋体"/>
          <w:iCs/>
          <w:color w:val="auto"/>
          <w:sz w:val="24"/>
          <w:szCs w:val="24"/>
          <w:highlight w:val="none"/>
        </w:rPr>
        <w:t>■</w:t>
      </w:r>
      <w:r>
        <w:rPr>
          <w:rFonts w:hint="eastAsia" w:ascii="宋体" w:hAnsi="宋体" w:cs="宋体"/>
          <w:color w:val="auto"/>
          <w:sz w:val="24"/>
          <w:szCs w:val="24"/>
          <w:highlight w:val="none"/>
        </w:rPr>
        <w:t xml:space="preserve">是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 xml:space="preserve">否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不涉及</w:t>
      </w:r>
    </w:p>
    <w:p>
      <w:pPr>
        <w:numPr>
          <w:ilvl w:val="0"/>
          <w:numId w:val="25"/>
        </w:numPr>
        <w:adjustRightInd w:val="0"/>
        <w:snapToGrid w:val="0"/>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合同金额</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（1）合同金额小写：</w:t>
      </w:r>
      <w:r>
        <w:rPr>
          <w:rFonts w:hint="eastAsia" w:ascii="宋体" w:hAnsi="宋体" w:cs="宋体"/>
          <w:color w:val="auto"/>
          <w:sz w:val="24"/>
          <w:szCs w:val="24"/>
          <w:highlight w:val="none"/>
          <w:u w:val="single"/>
        </w:rPr>
        <w:t xml:space="preserve">                           </w:t>
      </w:r>
    </w:p>
    <w:p>
      <w:pPr>
        <w:adjustRightInd w:val="0"/>
        <w:snapToGrid w:val="0"/>
        <w:spacing w:line="4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大写：</w:t>
      </w:r>
      <w:r>
        <w:rPr>
          <w:rFonts w:hint="eastAsia" w:ascii="宋体" w:hAnsi="宋体" w:cs="宋体"/>
          <w:color w:val="auto"/>
          <w:sz w:val="24"/>
          <w:szCs w:val="24"/>
          <w:highlight w:val="none"/>
          <w:u w:val="single"/>
        </w:rPr>
        <w:t xml:space="preserve">                          </w:t>
      </w:r>
    </w:p>
    <w:p>
      <w:pPr>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（注：固定单价合同应填写单价和最高限价）</w:t>
      </w:r>
    </w:p>
    <w:p>
      <w:pPr>
        <w:numPr>
          <w:ilvl w:val="255"/>
          <w:numId w:val="0"/>
        </w:numPr>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（2）合同定价方式（采用组合定价方式的，可以勾选多项）：</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iCs/>
          <w:color w:val="auto"/>
          <w:sz w:val="24"/>
          <w:szCs w:val="24"/>
          <w:highlight w:val="none"/>
        </w:rPr>
        <w:t xml:space="preserve">  ■固定总价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固定单价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固定费率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成本补偿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绩效激励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其他</w:t>
      </w:r>
      <w:r>
        <w:rPr>
          <w:rFonts w:hint="eastAsia" w:ascii="宋体" w:hAnsi="宋体" w:cs="宋体"/>
          <w:color w:val="auto"/>
          <w:sz w:val="24"/>
          <w:szCs w:val="24"/>
          <w:highlight w:val="none"/>
          <w:u w:val="single"/>
        </w:rPr>
        <w:t xml:space="preserve">       </w:t>
      </w:r>
    </w:p>
    <w:p>
      <w:pPr>
        <w:pStyle w:val="187"/>
        <w:spacing w:line="400" w:lineRule="exact"/>
        <w:ind w:firstLine="420"/>
        <w:rPr>
          <w:rFonts w:hint="eastAsia" w:cs="宋体"/>
          <w:b w:val="0"/>
          <w:color w:val="auto"/>
          <w:sz w:val="24"/>
          <w:szCs w:val="24"/>
          <w:highlight w:val="none"/>
        </w:rPr>
      </w:pPr>
      <w:r>
        <w:rPr>
          <w:rFonts w:hint="eastAsia" w:cs="宋体"/>
          <w:b w:val="0"/>
          <w:color w:val="auto"/>
          <w:sz w:val="24"/>
          <w:szCs w:val="24"/>
          <w:highlight w:val="none"/>
        </w:rPr>
        <w:t>（3）付款方式（按项目实际勾选填写）：</w:t>
      </w:r>
    </w:p>
    <w:p>
      <w:pPr>
        <w:adjustRightInd w:val="0"/>
        <w:snapToGrid w:val="0"/>
        <w:spacing w:line="400" w:lineRule="exact"/>
        <w:ind w:firstLine="720" w:firstLineChars="3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全额付款：</w:t>
      </w:r>
      <w:r>
        <w:rPr>
          <w:rFonts w:hint="eastAsia" w:ascii="宋体" w:hAnsi="宋体" w:cs="宋体"/>
          <w:color w:val="auto"/>
          <w:sz w:val="24"/>
          <w:szCs w:val="24"/>
          <w:highlight w:val="none"/>
          <w:u w:val="single"/>
        </w:rPr>
        <w:t xml:space="preserve">     （应明确一次性支付合同款项的条件）                    </w:t>
      </w:r>
    </w:p>
    <w:p>
      <w:pPr>
        <w:snapToGrid w:val="0"/>
        <w:spacing w:line="400" w:lineRule="exact"/>
        <w:ind w:firstLine="720" w:firstLineChars="300"/>
        <w:rPr>
          <w:rFonts w:hint="eastAsia" w:ascii="宋体" w:hAnsi="宋体" w:cs="宋体"/>
          <w:color w:val="auto"/>
          <w:sz w:val="24"/>
          <w:szCs w:val="32"/>
          <w:highlight w:val="none"/>
        </w:rPr>
      </w:pPr>
      <w:r>
        <w:rPr>
          <w:rFonts w:hint="eastAsia" w:ascii="宋体" w:hAnsi="宋体" w:cs="宋体"/>
          <w:iCs/>
          <w:color w:val="auto"/>
          <w:sz w:val="24"/>
          <w:szCs w:val="24"/>
          <w:highlight w:val="none"/>
        </w:rPr>
        <w:t>■</w:t>
      </w:r>
      <w:r>
        <w:rPr>
          <w:rFonts w:hint="eastAsia" w:ascii="宋体" w:hAnsi="宋体" w:cs="宋体"/>
          <w:color w:val="auto"/>
          <w:sz w:val="24"/>
          <w:szCs w:val="24"/>
          <w:highlight w:val="none"/>
        </w:rPr>
        <w:t>分期付款：</w:t>
      </w:r>
      <w:r>
        <w:rPr>
          <w:rFonts w:hint="eastAsia" w:ascii="宋体" w:hAnsi="宋体" w:cs="宋体"/>
          <w:color w:val="auto"/>
          <w:sz w:val="24"/>
          <w:szCs w:val="24"/>
          <w:highlight w:val="none"/>
          <w:u w:val="single"/>
        </w:rPr>
        <w:t xml:space="preserve">  合同签署后甲方预付50%货款，全部到货、验收、入库后甲方支付剩余50%尾款。 </w:t>
      </w:r>
    </w:p>
    <w:p>
      <w:pPr>
        <w:adjustRightInd w:val="0"/>
        <w:snapToGrid w:val="0"/>
        <w:spacing w:line="400" w:lineRule="exact"/>
        <w:ind w:firstLine="720" w:firstLineChars="3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成本补偿：</w:t>
      </w:r>
      <w:r>
        <w:rPr>
          <w:rFonts w:hint="eastAsia" w:ascii="宋体" w:hAnsi="宋体" w:cs="宋体"/>
          <w:color w:val="auto"/>
          <w:sz w:val="24"/>
          <w:szCs w:val="24"/>
          <w:highlight w:val="none"/>
          <w:u w:val="single"/>
        </w:rPr>
        <w:t xml:space="preserve">      （应明确按照成本补偿方式的支付方式和支付条件）   </w:t>
      </w:r>
    </w:p>
    <w:p>
      <w:pPr>
        <w:adjustRightInd w:val="0"/>
        <w:snapToGrid w:val="0"/>
        <w:spacing w:line="4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绩效激励：</w:t>
      </w:r>
      <w:r>
        <w:rPr>
          <w:rFonts w:hint="eastAsia" w:ascii="宋体" w:hAnsi="宋体" w:cs="宋体"/>
          <w:color w:val="auto"/>
          <w:sz w:val="24"/>
          <w:szCs w:val="24"/>
          <w:highlight w:val="none"/>
          <w:u w:val="single"/>
        </w:rPr>
        <w:t xml:space="preserve">      （应明确按照绩效激励方式的支付方式和支付条件）   </w:t>
      </w:r>
    </w:p>
    <w:p>
      <w:pPr>
        <w:numPr>
          <w:ilvl w:val="0"/>
          <w:numId w:val="25"/>
        </w:numPr>
        <w:adjustRightInd w:val="0"/>
        <w:snapToGrid w:val="0"/>
        <w:spacing w:line="400" w:lineRule="exact"/>
        <w:ind w:firstLine="482" w:firstLineChars="200"/>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rPr>
        <w:t>合同履行</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（1）起始日期：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日，完成日期：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adjustRightInd w:val="0"/>
        <w:snapToGrid w:val="0"/>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（2）履约地点</w:t>
      </w:r>
      <w:r>
        <w:rPr>
          <w:rFonts w:hint="eastAsia" w:ascii="宋体" w:hAnsi="宋体" w:cs="宋体"/>
          <w:bCs/>
          <w:color w:val="auto"/>
          <w:sz w:val="24"/>
          <w:szCs w:val="24"/>
          <w:highlight w:val="none"/>
        </w:rPr>
        <w:t>：</w:t>
      </w:r>
      <w:r>
        <w:rPr>
          <w:rFonts w:hint="eastAsia" w:ascii="宋体" w:hAnsi="宋体" w:cs="宋体"/>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（3）履约担保：</w:t>
      </w:r>
      <w:r>
        <w:rPr>
          <w:rFonts w:hint="eastAsia" w:ascii="宋体" w:hAnsi="宋体" w:cs="宋体"/>
          <w:color w:val="auto"/>
          <w:sz w:val="24"/>
          <w:szCs w:val="32"/>
          <w:highlight w:val="none"/>
        </w:rPr>
        <w:t>是否收取履约保证金：</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 xml:space="preserve">是    </w:t>
      </w:r>
      <w:r>
        <w:rPr>
          <w:rFonts w:hint="eastAsia" w:ascii="宋体" w:hAnsi="宋体" w:cs="宋体"/>
          <w:iCs/>
          <w:color w:val="auto"/>
          <w:sz w:val="24"/>
          <w:szCs w:val="24"/>
          <w:highlight w:val="none"/>
        </w:rPr>
        <w:t>■</w:t>
      </w:r>
      <w:r>
        <w:rPr>
          <w:rFonts w:hint="eastAsia" w:ascii="宋体" w:hAnsi="宋体" w:cs="宋体"/>
          <w:color w:val="auto"/>
          <w:sz w:val="24"/>
          <w:szCs w:val="24"/>
          <w:highlight w:val="none"/>
        </w:rPr>
        <w:t>否</w:t>
      </w:r>
    </w:p>
    <w:p>
      <w:pPr>
        <w:adjustRightInd w:val="0"/>
        <w:snapToGrid w:val="0"/>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（4）分期履行要求：</w:t>
      </w:r>
      <w:r>
        <w:rPr>
          <w:rFonts w:hint="eastAsia" w:ascii="宋体" w:hAnsi="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bCs/>
          <w:color w:val="auto"/>
          <w:sz w:val="24"/>
          <w:szCs w:val="24"/>
          <w:highlight w:val="none"/>
        </w:rPr>
        <w:t>（5）风险处置措施和替代方案：</w:t>
      </w:r>
      <w:r>
        <w:rPr>
          <w:rFonts w:hint="eastAsia" w:ascii="宋体" w:hAnsi="宋体" w:cs="宋体"/>
          <w:color w:val="auto"/>
          <w:sz w:val="24"/>
          <w:szCs w:val="24"/>
          <w:highlight w:val="none"/>
          <w:u w:val="single"/>
        </w:rPr>
        <w:t xml:space="preserve">                                                               </w:t>
      </w:r>
    </w:p>
    <w:p>
      <w:pPr>
        <w:numPr>
          <w:ilvl w:val="0"/>
          <w:numId w:val="25"/>
        </w:numPr>
        <w:adjustRightInd w:val="0"/>
        <w:snapToGrid w:val="0"/>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合同验收</w:t>
      </w:r>
    </w:p>
    <w:p>
      <w:pPr>
        <w:numPr>
          <w:ilvl w:val="0"/>
          <w:numId w:val="27"/>
        </w:numPr>
        <w:adjustRightInd w:val="0"/>
        <w:snapToGrid w:val="0"/>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验收组织方式：</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 xml:space="preserve">自行组织 </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委托第三方组织</w:t>
      </w:r>
    </w:p>
    <w:p>
      <w:pPr>
        <w:adjustRightInd w:val="0"/>
        <w:snapToGrid w:val="0"/>
        <w:spacing w:line="40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验收主体：</w:t>
      </w:r>
      <w:r>
        <w:rPr>
          <w:rFonts w:hint="eastAsia" w:ascii="宋体" w:hAnsi="宋体" w:cs="宋体"/>
          <w:bCs/>
          <w:color w:val="auto"/>
          <w:sz w:val="24"/>
          <w:szCs w:val="24"/>
          <w:highlight w:val="none"/>
          <w:u w:val="single"/>
        </w:rPr>
        <w:t xml:space="preserve">                  </w:t>
      </w:r>
    </w:p>
    <w:p>
      <w:pPr>
        <w:adjustRightInd w:val="0"/>
        <w:snapToGrid w:val="0"/>
        <w:spacing w:line="40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是否邀请本项目的其他供应商参加验收：</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 xml:space="preserve">是  </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否</w:t>
      </w:r>
    </w:p>
    <w:p>
      <w:pPr>
        <w:adjustRightInd w:val="0"/>
        <w:snapToGrid w:val="0"/>
        <w:spacing w:line="400" w:lineRule="exact"/>
        <w:ind w:firstLine="960" w:firstLineChars="4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是否邀请专家参加验收：</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 xml:space="preserve">是  </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否</w:t>
      </w:r>
    </w:p>
    <w:p>
      <w:pPr>
        <w:adjustRightInd w:val="0"/>
        <w:snapToGrid w:val="0"/>
        <w:spacing w:line="400" w:lineRule="exact"/>
        <w:ind w:firstLine="960" w:firstLineChars="4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是否邀请服务对象参加验收：</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 xml:space="preserve">是  </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否</w:t>
      </w:r>
    </w:p>
    <w:p>
      <w:pPr>
        <w:adjustRightInd w:val="0"/>
        <w:snapToGrid w:val="0"/>
        <w:spacing w:line="400" w:lineRule="exact"/>
        <w:ind w:firstLine="960" w:firstLineChars="4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是否邀请第三方检测机构参加验收：</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 xml:space="preserve">是  </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否</w:t>
      </w:r>
    </w:p>
    <w:p>
      <w:pPr>
        <w:adjustRightInd w:val="0"/>
        <w:snapToGrid w:val="0"/>
        <w:spacing w:line="400" w:lineRule="exact"/>
        <w:ind w:firstLine="960" w:firstLineChars="4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是否进行抽查检测：</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是，抽查比例：</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否</w:t>
      </w:r>
    </w:p>
    <w:p>
      <w:pPr>
        <w:adjustRightInd w:val="0"/>
        <w:snapToGrid w:val="0"/>
        <w:spacing w:line="400" w:lineRule="exact"/>
        <w:ind w:firstLine="960" w:firstLineChars="4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是否存在破坏性检测：</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是，</w:t>
      </w:r>
      <w:r>
        <w:rPr>
          <w:rFonts w:hint="eastAsia" w:ascii="宋体" w:hAnsi="宋体" w:cs="宋体"/>
          <w:bCs/>
          <w:color w:val="auto"/>
          <w:sz w:val="24"/>
          <w:szCs w:val="24"/>
          <w:highlight w:val="none"/>
          <w:u w:val="single"/>
        </w:rPr>
        <w:t>（应明确对被破坏的检测产品的处理方式）</w:t>
      </w:r>
    </w:p>
    <w:p>
      <w:pPr>
        <w:adjustRightInd w:val="0"/>
        <w:snapToGrid w:val="0"/>
        <w:spacing w:line="400" w:lineRule="exact"/>
        <w:ind w:firstLine="960" w:firstLineChars="4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否</w:t>
      </w:r>
    </w:p>
    <w:p>
      <w:pPr>
        <w:adjustRightInd w:val="0"/>
        <w:snapToGrid w:val="0"/>
        <w:spacing w:line="400" w:lineRule="exact"/>
        <w:ind w:firstLine="960" w:firstLineChars="4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验收组织的其他事项：</w:t>
      </w:r>
      <w:r>
        <w:rPr>
          <w:rFonts w:hint="eastAsia" w:ascii="宋体" w:hAnsi="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（2）履约验收时间：</w:t>
      </w:r>
      <w:r>
        <w:rPr>
          <w:rFonts w:hint="eastAsia" w:ascii="宋体" w:hAnsi="宋体" w:cs="宋体"/>
          <w:bCs/>
          <w:color w:val="auto"/>
          <w:sz w:val="24"/>
          <w:szCs w:val="24"/>
          <w:highlight w:val="none"/>
          <w:u w:val="single"/>
        </w:rPr>
        <w:t xml:space="preserve">（计划于何时验收/供应商提出验收申请之日起   日内组织验收） </w:t>
      </w:r>
    </w:p>
    <w:p>
      <w:pPr>
        <w:adjustRightInd w:val="0"/>
        <w:snapToGrid w:val="0"/>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（3）履约验收方式：</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 xml:space="preserve">一次性验收         </w:t>
      </w:r>
    </w:p>
    <w:p>
      <w:pPr>
        <w:adjustRightInd w:val="0"/>
        <w:snapToGrid w:val="0"/>
        <w:spacing w:line="40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cs="宋体"/>
          <w:bCs/>
          <w:color w:val="auto"/>
          <w:sz w:val="24"/>
          <w:szCs w:val="24"/>
          <w:highlight w:val="none"/>
        </w:rPr>
        <w:t>分期/分项验收：</w:t>
      </w:r>
      <w:r>
        <w:rPr>
          <w:rFonts w:hint="eastAsia" w:ascii="宋体" w:hAnsi="宋体" w:cs="宋体"/>
          <w:bCs/>
          <w:color w:val="auto"/>
          <w:sz w:val="24"/>
          <w:szCs w:val="24"/>
          <w:highlight w:val="none"/>
          <w:u w:val="single"/>
        </w:rPr>
        <w:t xml:space="preserve"> （应明确分期</w:t>
      </w:r>
      <w:r>
        <w:rPr>
          <w:rFonts w:hint="eastAsia" w:ascii="宋体" w:hAnsi="宋体" w:cs="宋体"/>
          <w:bCs/>
          <w:color w:val="auto"/>
          <w:sz w:val="24"/>
          <w:szCs w:val="24"/>
          <w:highlight w:val="none"/>
          <w:u w:val="single"/>
          <w:lang w:val="en"/>
        </w:rPr>
        <w:t>/分项验收的工作安排</w:t>
      </w:r>
      <w:r>
        <w:rPr>
          <w:rFonts w:hint="eastAsia" w:ascii="宋体" w:hAnsi="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（4）履约验收程序：</w:t>
      </w:r>
      <w:r>
        <w:rPr>
          <w:rFonts w:hint="eastAsia" w:ascii="宋体" w:hAnsi="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（5）履约验收的内容：</w:t>
      </w:r>
      <w:r>
        <w:rPr>
          <w:rFonts w:hint="eastAsia" w:ascii="宋体" w:hAnsi="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（6）履约验收标准：</w:t>
      </w:r>
      <w:r>
        <w:rPr>
          <w:rFonts w:hint="eastAsia" w:ascii="宋体" w:hAnsi="宋体" w:cs="宋体"/>
          <w:bCs/>
          <w:color w:val="auto"/>
          <w:sz w:val="24"/>
          <w:szCs w:val="24"/>
          <w:highlight w:val="none"/>
          <w:u w:val="single"/>
        </w:rPr>
        <w:t xml:space="preserve">                                         </w:t>
      </w:r>
    </w:p>
    <w:p>
      <w:pPr>
        <w:pStyle w:val="363"/>
        <w:ind w:firstLine="42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（8）履约验收其他事项：</w:t>
      </w:r>
      <w:r>
        <w:rPr>
          <w:rFonts w:hint="eastAsia" w:ascii="宋体" w:hAnsi="宋体" w:cs="宋体"/>
          <w:bCs/>
          <w:color w:val="auto"/>
          <w:sz w:val="24"/>
          <w:szCs w:val="24"/>
          <w:highlight w:val="none"/>
          <w:u w:val="single"/>
        </w:rPr>
        <w:t xml:space="preserve">      （产权过户登记等）          </w:t>
      </w:r>
    </w:p>
    <w:p>
      <w:pPr>
        <w:numPr>
          <w:ilvl w:val="0"/>
          <w:numId w:val="25"/>
        </w:numPr>
        <w:adjustRightInd w:val="0"/>
        <w:snapToGrid w:val="0"/>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组成合同的文件</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本协议书与下列文件一起构成合同文件，如下述文件之间有任何抵触、矛盾或歧义，应按以下顺序解释：</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（1）政府采购合同协议书及其变更、补充协议</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（2）政府采购合同专用条款</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（3）政府采购合同通用条款</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（4）中标（成交）通知书</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（5）投标（响应）文件</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（6）采购文件</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（7）有关技术文件，图纸</w:t>
      </w:r>
    </w:p>
    <w:p>
      <w:pPr>
        <w:pStyle w:val="363"/>
        <w:ind w:firstLine="42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pPr>
        <w:numPr>
          <w:ilvl w:val="0"/>
          <w:numId w:val="25"/>
        </w:numPr>
        <w:adjustRightInd w:val="0"/>
        <w:snapToGrid w:val="0"/>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合同生效</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本合同自</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生效。</w:t>
      </w:r>
    </w:p>
    <w:p>
      <w:pPr>
        <w:numPr>
          <w:ilvl w:val="0"/>
          <w:numId w:val="25"/>
        </w:numPr>
        <w:adjustRightInd w:val="0"/>
        <w:snapToGrid w:val="0"/>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合同份数</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合同订立时间：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合同订立地点：</w:t>
      </w:r>
      <w:r>
        <w:rPr>
          <w:rFonts w:hint="eastAsia" w:ascii="宋体" w:hAnsi="宋体" w:cs="宋体"/>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cs="宋体"/>
          <w:color w:val="auto"/>
          <w:sz w:val="24"/>
          <w:szCs w:val="32"/>
          <w:highlight w:val="none"/>
        </w:rPr>
      </w:pPr>
      <w:r>
        <w:rPr>
          <w:rFonts w:hint="eastAsia" w:ascii="宋体" w:hAnsi="宋体" w:cs="宋体"/>
          <w:color w:val="auto"/>
          <w:sz w:val="24"/>
          <w:szCs w:val="24"/>
          <w:highlight w:val="none"/>
        </w:rPr>
        <w:t>附件：具体标的及其技术要求和商务要求、联合协议、分包意向协议等。</w:t>
      </w:r>
    </w:p>
    <w:p>
      <w:pPr>
        <w:pStyle w:val="187"/>
        <w:spacing w:line="400" w:lineRule="exact"/>
        <w:rPr>
          <w:rFonts w:hint="eastAsia" w:cs="宋体"/>
          <w:color w:val="auto"/>
          <w:highlight w:val="none"/>
        </w:rPr>
      </w:pPr>
    </w:p>
    <w:p>
      <w:pPr>
        <w:rPr>
          <w:rFonts w:hint="eastAsia" w:ascii="宋体" w:hAnsi="宋体" w:cs="宋体"/>
          <w:b/>
          <w:bCs/>
          <w:color w:val="auto"/>
          <w:szCs w:val="21"/>
          <w:highlight w:val="none"/>
        </w:rPr>
      </w:pPr>
      <w:r>
        <w:rPr>
          <w:rFonts w:hint="eastAsia" w:ascii="宋体" w:hAnsi="宋体" w:cs="宋体"/>
          <w:color w:val="auto"/>
          <w:highlight w:val="none"/>
          <w:lang w:val="en"/>
        </w:rPr>
        <w:t xml:space="preserve">   </w:t>
      </w:r>
    </w:p>
    <w:p>
      <w:pPr>
        <w:rPr>
          <w:rFonts w:hint="eastAsia" w:ascii="宋体" w:hAnsi="宋体" w:cs="宋体"/>
          <w:color w:val="auto"/>
          <w:highlight w:val="none"/>
        </w:rPr>
      </w:pPr>
      <w:r>
        <w:rPr>
          <w:rFonts w:hint="eastAsia" w:ascii="宋体" w:hAnsi="宋体" w:cs="宋体"/>
          <w:color w:val="auto"/>
          <w:highlight w:val="none"/>
        </w:rPr>
        <w:br w:type="page"/>
      </w:r>
    </w:p>
    <w:tbl>
      <w:tblPr>
        <w:tblStyle w:val="47"/>
        <w:tblW w:w="8182"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42"/>
        <w:gridCol w:w="2350"/>
        <w:gridCol w:w="1928"/>
        <w:gridCol w:w="2062"/>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90" w:hRule="atLeast"/>
        </w:trPr>
        <w:tc>
          <w:tcPr>
            <w:tcW w:w="4192" w:type="dxa"/>
            <w:gridSpan w:val="2"/>
            <w:tcBorders>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highlight w:val="none"/>
              </w:rPr>
            </w:pPr>
            <w:r>
              <w:rPr>
                <w:rFonts w:hint="eastAsia" w:ascii="宋体" w:hAnsi="宋体" w:cs="宋体"/>
                <w:color w:val="auto"/>
                <w:szCs w:val="21"/>
                <w:highlight w:val="none"/>
              </w:rPr>
              <w:t>甲方（采购人、受采购人委托签订合同的单位或采购文件约定的合同甲方）</w:t>
            </w:r>
          </w:p>
        </w:tc>
        <w:tc>
          <w:tcPr>
            <w:tcW w:w="3990" w:type="dxa"/>
            <w:gridSpan w:val="2"/>
            <w:tcBorders>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highlight w:val="none"/>
              </w:rPr>
            </w:pPr>
            <w:r>
              <w:rPr>
                <w:rFonts w:hint="eastAsia" w:ascii="宋体" w:hAnsi="宋体" w:cs="宋体"/>
                <w:color w:val="auto"/>
                <w:szCs w:val="21"/>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917"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单位名称（公章或合同章）</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单位名称（公章或合同章）</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171" w:hRule="atLeast"/>
        </w:trPr>
        <w:tc>
          <w:tcPr>
            <w:tcW w:w="1842" w:type="dxa"/>
            <w:vMerge w:val="restart"/>
            <w:tcBorders>
              <w:top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p>
            <w:pPr>
              <w:adjustRightInd w:val="0"/>
              <w:snapToGrid w:val="0"/>
              <w:spacing w:line="300" w:lineRule="exact"/>
              <w:ind w:firstLine="100" w:firstLineChars="48"/>
              <w:jc w:val="center"/>
              <w:rPr>
                <w:rFonts w:hint="eastAsia" w:ascii="宋体" w:hAnsi="宋体" w:cs="宋体"/>
                <w:color w:val="auto"/>
                <w:szCs w:val="21"/>
                <w:highlight w:val="none"/>
              </w:rPr>
            </w:pPr>
            <w:r>
              <w:rPr>
                <w:rFonts w:hint="eastAsia" w:ascii="宋体" w:hAnsi="宋体" w:cs="宋体"/>
                <w:color w:val="auto"/>
                <w:szCs w:val="21"/>
                <w:highlight w:val="none"/>
              </w:rPr>
              <w:t>或其委托代理人（签章）</w:t>
            </w:r>
          </w:p>
        </w:tc>
        <w:tc>
          <w:tcPr>
            <w:tcW w:w="2350"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28"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或其委托代理人（签章）</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vMerge w:val="continue"/>
            <w:tcBorders>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2350"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拥有者性别</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住  所</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住  所</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 系 人</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 系 人</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通信地址</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通信地址</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开户名称</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银行账号</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s="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86" w:hRule="atLeast"/>
        </w:trPr>
        <w:tc>
          <w:tcPr>
            <w:tcW w:w="8182" w:type="dxa"/>
            <w:gridSpan w:val="4"/>
            <w:tcBorders>
              <w:top w:val="single" w:color="auto" w:sz="2" w:space="0"/>
            </w:tcBorders>
            <w:vAlign w:val="center"/>
          </w:tcPr>
          <w:p>
            <w:pPr>
              <w:pStyle w:val="18"/>
              <w:adjustRightInd w:val="0"/>
              <w:snapToGrid w:val="0"/>
              <w:spacing w:before="120" w:beforeLines="50" w:after="0"/>
              <w:jc w:val="left"/>
              <w:rPr>
                <w:rFonts w:hint="eastAsia" w:ascii="宋体" w:hAnsi="宋体" w:cs="宋体"/>
                <w:color w:val="auto"/>
                <w:spacing w:val="20"/>
                <w:szCs w:val="21"/>
                <w:highlight w:val="none"/>
              </w:rPr>
            </w:pPr>
            <w:r>
              <w:rPr>
                <w:rFonts w:hint="eastAsia" w:ascii="宋体" w:hAnsi="宋体" w:cs="宋体"/>
                <w:color w:val="auto"/>
                <w:szCs w:val="21"/>
                <w:highlight w:val="none"/>
              </w:rPr>
              <w:t>注：涉及联合体或其他合同主体的信息应按上表格式加列。</w:t>
            </w:r>
          </w:p>
        </w:tc>
      </w:tr>
    </w:tbl>
    <w:p>
      <w:pPr>
        <w:pStyle w:val="3"/>
        <w:snapToGrid w:val="0"/>
        <w:spacing w:beforeLines="50"/>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u w:val="single"/>
        </w:rPr>
        <w:br w:type="page"/>
      </w:r>
      <w:bookmarkStart w:id="847" w:name="_Toc27624"/>
      <w:r>
        <w:rPr>
          <w:rFonts w:hint="eastAsia" w:ascii="宋体" w:hAnsi="宋体" w:eastAsia="宋体" w:cs="宋体"/>
          <w:b w:val="0"/>
          <w:color w:val="auto"/>
          <w:sz w:val="28"/>
          <w:szCs w:val="28"/>
          <w:highlight w:val="none"/>
        </w:rPr>
        <w:t>第二节 政府采购合同通用条款</w:t>
      </w:r>
      <w:bookmarkEnd w:id="847"/>
    </w:p>
    <w:p>
      <w:pPr>
        <w:tabs>
          <w:tab w:val="left" w:pos="8820"/>
          <w:tab w:val="left" w:pos="9345"/>
          <w:tab w:val="left" w:pos="9765"/>
        </w:tabs>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color w:val="auto"/>
          <w:sz w:val="24"/>
          <w:highlight w:val="none"/>
        </w:rPr>
        <w:t xml:space="preserve">1. </w:t>
      </w:r>
      <w:r>
        <w:rPr>
          <w:rFonts w:hint="eastAsia" w:ascii="宋体" w:hAnsi="宋体" w:cs="宋体"/>
          <w:b/>
          <w:bCs/>
          <w:color w:val="auto"/>
          <w:sz w:val="24"/>
          <w:highlight w:val="none"/>
        </w:rPr>
        <w:t>定义</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1.1合同当事人</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s="宋体"/>
          <w:color w:val="auto"/>
          <w:szCs w:val="21"/>
          <w:highlight w:val="none"/>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1.2本合同下列术语应解释为：</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s="宋体"/>
          <w:color w:val="auto"/>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（3）“货物”系指乙方根据本合同规定须向甲方提供的各种形态和种类的物品，包括原材料、设备、产品（包括软件）及相关的其备品备件、工具、手册及</w:t>
      </w:r>
      <w:r>
        <w:rPr>
          <w:rFonts w:hint="eastAsia" w:ascii="宋体" w:hAnsi="宋体" w:cs="宋体"/>
          <w:color w:val="auto"/>
          <w:szCs w:val="21"/>
          <w:highlight w:val="none"/>
          <w:lang w:val="en"/>
        </w:rPr>
        <w:t>其他</w:t>
      </w:r>
      <w:r>
        <w:rPr>
          <w:rFonts w:hint="eastAsia" w:ascii="宋体" w:hAnsi="宋体" w:cs="宋体"/>
          <w:color w:val="auto"/>
          <w:szCs w:val="21"/>
          <w:highlight w:val="none"/>
        </w:rPr>
        <w:t>技术资料和材料等。</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（4）“相关服务”系指根据合同规定，乙方应提供的与货物有关的技术、管理和</w:t>
      </w:r>
      <w:r>
        <w:rPr>
          <w:rFonts w:hint="eastAsia" w:ascii="宋体" w:hAnsi="宋体" w:cs="宋体"/>
          <w:color w:val="auto"/>
          <w:szCs w:val="21"/>
          <w:highlight w:val="none"/>
          <w:lang w:val="en"/>
        </w:rPr>
        <w:t>其他</w:t>
      </w:r>
      <w:r>
        <w:rPr>
          <w:rFonts w:hint="eastAsia" w:ascii="宋体" w:hAnsi="宋体" w:cs="宋体"/>
          <w:color w:val="auto"/>
          <w:szCs w:val="21"/>
          <w:highlight w:val="none"/>
        </w:rPr>
        <w:t>服务，包括但不限于：管理和质量保证、运输、保险、检验、现场准备、安装、集成、调试、培训、维修、废弃处置、技术支持等以及合同中规定乙方应承担的</w:t>
      </w:r>
      <w:r>
        <w:rPr>
          <w:rFonts w:hint="eastAsia" w:ascii="宋体" w:hAnsi="宋体" w:cs="宋体"/>
          <w:color w:val="auto"/>
          <w:szCs w:val="21"/>
          <w:highlight w:val="none"/>
          <w:lang w:val="en"/>
        </w:rPr>
        <w:t>其他</w:t>
      </w:r>
      <w:r>
        <w:rPr>
          <w:rFonts w:hint="eastAsia" w:ascii="宋体" w:hAnsi="宋体" w:cs="宋体"/>
          <w:color w:val="auto"/>
          <w:szCs w:val="21"/>
          <w:highlight w:val="none"/>
        </w:rPr>
        <w:t>义务。</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（7）其他术语解释，见【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pPr>
        <w:numPr>
          <w:ilvl w:val="0"/>
          <w:numId w:val="28"/>
        </w:num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color w:val="auto"/>
          <w:sz w:val="24"/>
          <w:highlight w:val="none"/>
        </w:rPr>
        <w:t>合同标的及金额</w:t>
      </w:r>
    </w:p>
    <w:p>
      <w:pPr>
        <w:autoSpaceDE w:val="0"/>
        <w:autoSpaceDN w:val="0"/>
        <w:adjustRightInd w:val="0"/>
        <w:snapToGrid w:val="0"/>
        <w:spacing w:line="400" w:lineRule="exact"/>
        <w:ind w:firstLine="420" w:firstLineChars="200"/>
        <w:jc w:val="left"/>
        <w:rPr>
          <w:rFonts w:hint="eastAsia" w:ascii="宋体" w:hAnsi="宋体" w:cs="宋体"/>
          <w:b/>
          <w:bCs/>
          <w:i/>
          <w:iCs/>
          <w:color w:val="auto"/>
          <w:szCs w:val="21"/>
          <w:highlight w:val="none"/>
        </w:rPr>
      </w:pPr>
      <w:r>
        <w:rPr>
          <w:rFonts w:hint="eastAsia" w:ascii="宋体" w:hAnsi="宋体" w:cs="宋体"/>
          <w:color w:val="auto"/>
          <w:szCs w:val="21"/>
          <w:highlight w:val="none"/>
        </w:rPr>
        <w:t>2.1 合同标的及金额应与中标（成交）结果一致。乙方为履行本合同而发生的所有费用均应包含在合同价款中，甲方不再另行支付</w:t>
      </w:r>
      <w:r>
        <w:rPr>
          <w:rFonts w:hint="eastAsia" w:ascii="宋体" w:hAnsi="宋体" w:cs="宋体"/>
          <w:color w:val="auto"/>
          <w:szCs w:val="21"/>
          <w:highlight w:val="none"/>
          <w:lang w:val="en"/>
        </w:rPr>
        <w:t>其他</w:t>
      </w:r>
      <w:r>
        <w:rPr>
          <w:rFonts w:hint="eastAsia" w:ascii="宋体" w:hAnsi="宋体" w:cs="宋体"/>
          <w:color w:val="auto"/>
          <w:szCs w:val="21"/>
          <w:highlight w:val="none"/>
        </w:rPr>
        <w:t>任何费用。</w:t>
      </w:r>
    </w:p>
    <w:p>
      <w:pPr>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3. 履行合同的时间、地点和方式</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3.1 乙方应当在约定的时间、地点，按照约定方式履行合同。</w:t>
      </w:r>
    </w:p>
    <w:p>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4. 甲方的权利和义务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4.3 甲方有权要求乙方对缺陷部分予以修复，并按合同约定享有货物保修及其他合同约定的权利。</w:t>
      </w:r>
    </w:p>
    <w:p>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4.4 甲方应当按照合同约定及时对交付的货物进行验收，未在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约定的期限内对乙方履约提出任何异议或者向乙方作出任何说明的，视为验收通过。</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4.5 甲方应当根据合同约定及时向乙方支付合同价款，不得以内部人员变更、履行内部付款流程等为由，拒绝或迟延支付。</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4.6 国家法律法规规定及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约定应由甲方承担的其他义务和责任。</w:t>
      </w:r>
    </w:p>
    <w:p>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5. 乙方的权利和义务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5.1 签署合同后，乙方应确定项目负责人（或项目联系人），负责与本合同有关的事务。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17"/>
        <w:spacing w:after="0" w:line="400" w:lineRule="exact"/>
        <w:ind w:firstLine="369" w:firstLineChars="176"/>
        <w:rPr>
          <w:rFonts w:hint="eastAsia" w:cs="宋体"/>
          <w:color w:val="auto"/>
          <w:sz w:val="21"/>
          <w:szCs w:val="21"/>
          <w:highlight w:val="none"/>
        </w:rPr>
      </w:pPr>
      <w:r>
        <w:rPr>
          <w:rFonts w:hint="eastAsia" w:cs="宋体"/>
          <w:color w:val="auto"/>
          <w:sz w:val="21"/>
          <w:szCs w:val="21"/>
          <w:highlight w:val="none"/>
        </w:rPr>
        <w:t>5.3乙方有权根据合同约定向甲方收取合同价款。</w:t>
      </w:r>
    </w:p>
    <w:p>
      <w:pPr>
        <w:pStyle w:val="17"/>
        <w:spacing w:after="0" w:line="400" w:lineRule="exact"/>
        <w:ind w:firstLine="369" w:firstLineChars="176"/>
        <w:rPr>
          <w:rFonts w:hint="eastAsia" w:cs="宋体"/>
          <w:color w:val="auto"/>
          <w:sz w:val="21"/>
          <w:szCs w:val="21"/>
          <w:highlight w:val="none"/>
        </w:rPr>
      </w:pPr>
      <w:r>
        <w:rPr>
          <w:rFonts w:hint="eastAsia" w:cs="宋体"/>
          <w:color w:val="auto"/>
          <w:sz w:val="21"/>
          <w:szCs w:val="21"/>
          <w:highlight w:val="none"/>
        </w:rPr>
        <w:t>5.4国家法律法规规定及</w:t>
      </w:r>
      <w:r>
        <w:rPr>
          <w:rFonts w:hint="eastAsia" w:cs="宋体"/>
          <w:b/>
          <w:bCs/>
          <w:color w:val="auto"/>
          <w:sz w:val="21"/>
          <w:szCs w:val="21"/>
          <w:highlight w:val="none"/>
        </w:rPr>
        <w:t>【政府采购合同专用条款】</w:t>
      </w:r>
      <w:r>
        <w:rPr>
          <w:rFonts w:hint="eastAsia" w:cs="宋体"/>
          <w:color w:val="auto"/>
          <w:sz w:val="21"/>
          <w:szCs w:val="21"/>
          <w:highlight w:val="none"/>
        </w:rPr>
        <w:t>约定应由乙方承担的其他义务和责任。</w:t>
      </w:r>
    </w:p>
    <w:p>
      <w:pPr>
        <w:pStyle w:val="17"/>
        <w:spacing w:after="0" w:line="400" w:lineRule="exact"/>
        <w:ind w:firstLine="369" w:firstLineChars="176"/>
        <w:rPr>
          <w:rFonts w:hint="eastAsia" w:cs="宋体"/>
          <w:color w:val="auto"/>
          <w:sz w:val="21"/>
          <w:szCs w:val="21"/>
          <w:highlight w:val="none"/>
        </w:rPr>
      </w:pPr>
      <w:r>
        <w:rPr>
          <w:rFonts w:hint="eastAsia" w:cs="宋体"/>
          <w:color w:val="auto"/>
          <w:sz w:val="21"/>
          <w:szCs w:val="21"/>
          <w:highlight w:val="none"/>
          <w:lang w:val="en-US" w:eastAsia="zh-CN"/>
        </w:rPr>
        <w:t>5.5乙方完全遵守《中华人民共和国妇女权益保障法》中关于“劳动和社会保障权益”的有关要求。</w:t>
      </w:r>
    </w:p>
    <w:p>
      <w:pPr>
        <w:numPr>
          <w:ilvl w:val="0"/>
          <w:numId w:val="29"/>
        </w:num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合同履行</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约定顺序履行合同义务；如果没有先后顺序的，应当同时履行。</w:t>
      </w:r>
    </w:p>
    <w:p>
      <w:pPr>
        <w:autoSpaceDE w:val="0"/>
        <w:autoSpaceDN w:val="0"/>
        <w:adjustRightInd w:val="0"/>
        <w:snapToGrid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7. 货物包装、运输、保险和交付要求</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 本合同</w:t>
      </w:r>
      <w:r>
        <w:rPr>
          <w:rFonts w:hint="eastAsia" w:ascii="宋体" w:hAnsi="宋体" w:cs="宋体"/>
          <w:bCs/>
          <w:color w:val="auto"/>
          <w:szCs w:val="21"/>
          <w:highlight w:val="none"/>
        </w:rPr>
        <w:t>涉及商品包装、快递包装的，</w:t>
      </w:r>
      <w:r>
        <w:rPr>
          <w:rFonts w:hint="eastAsia" w:ascii="宋体" w:hAnsi="宋体" w:cs="宋体"/>
          <w:color w:val="auto"/>
          <w:szCs w:val="21"/>
          <w:highlight w:val="none"/>
        </w:rPr>
        <w:t>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包装应适应远距离运输、防潮、防震、防锈和防野蛮装卸等要求，确保货物安全无损地运抵</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约定的</w:t>
      </w:r>
      <w:r>
        <w:rPr>
          <w:rFonts w:hint="eastAsia" w:ascii="宋体" w:hAnsi="宋体" w:cs="宋体"/>
          <w:color w:val="auto"/>
          <w:szCs w:val="21"/>
          <w:highlight w:val="none"/>
        </w:rPr>
        <w:t>指定现场。</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7.2 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乙方负责办理将货物运抵本合同规定的交货地点，并装卸、交付至甲方的一切运输事项，相关费用应包含在合同价款中。</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7.3 货物保险要求按</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规定执行</w:t>
      </w:r>
      <w:r>
        <w:rPr>
          <w:rFonts w:hint="eastAsia" w:ascii="宋体" w:hAnsi="宋体" w:cs="宋体"/>
          <w:color w:val="auto"/>
          <w:szCs w:val="21"/>
          <w:highlight w:val="none"/>
        </w:rPr>
        <w:t>。</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7.5 乙方在运输到达之前应提前通知甲方，并提示货物运输装卸的注意事项，甲方配合乙方做好货物的接收工作。</w:t>
      </w:r>
    </w:p>
    <w:p>
      <w:pPr>
        <w:pStyle w:val="363"/>
        <w:ind w:firstLine="420"/>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8. 质量标准和保证</w:t>
      </w:r>
    </w:p>
    <w:p>
      <w:pPr>
        <w:pStyle w:val="23"/>
        <w:adjustRightInd w:val="0"/>
        <w:snapToGrid w:val="0"/>
        <w:spacing w:line="400" w:lineRule="exact"/>
        <w:ind w:firstLine="420" w:firstLineChars="200"/>
        <w:jc w:val="left"/>
        <w:rPr>
          <w:rFonts w:hAnsi="宋体" w:cs="宋体"/>
          <w:b/>
          <w:color w:val="auto"/>
          <w:highlight w:val="none"/>
        </w:rPr>
      </w:pPr>
      <w:r>
        <w:rPr>
          <w:rFonts w:hAnsi="宋体" w:cs="宋体"/>
          <w:color w:val="auto"/>
          <w:highlight w:val="none"/>
        </w:rPr>
        <w:t>8.1 质量标准</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23"/>
        <w:adjustRightInd w:val="0"/>
        <w:snapToGrid w:val="0"/>
        <w:spacing w:line="400" w:lineRule="exact"/>
        <w:ind w:firstLine="420" w:firstLineChars="200"/>
        <w:jc w:val="left"/>
        <w:rPr>
          <w:rFonts w:hAnsi="宋体" w:cs="宋体"/>
          <w:color w:val="auto"/>
          <w:highlight w:val="none"/>
        </w:rPr>
      </w:pPr>
      <w:r>
        <w:rPr>
          <w:rFonts w:hAnsi="宋体" w:cs="宋体"/>
          <w:color w:val="auto"/>
          <w:highlight w:val="none"/>
        </w:rPr>
        <w:t>（2）采用中华人民共和国法定计量单位。</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（3）乙方所提供的货物应符合国家有关安全、环保、卫生的规定。</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 保证</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规定或乙方书面承诺（两者以较长的为准）的质量保证期内，本保证保持有效。</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（3）乙方收到通知后，应在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9. 权利瑕疵担保</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9.1 乙方保证对其出售的货物享有合法的权利。</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9.3 如甲方使用上述货物构成对第三人侵权的，则由乙方承担全部责任。</w:t>
      </w:r>
    </w:p>
    <w:p>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10. 知识产权保护</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10.1 乙方对其所销售的货物应当享有知识产权或经权利人合法授权，保证没有侵犯任何第三人的知识产权等权利。</w:t>
      </w:r>
      <w:bookmarkStart w:id="848"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848"/>
      <w:r>
        <w:rPr>
          <w:rFonts w:hint="eastAsia" w:ascii="宋体" w:hAnsi="宋体" w:cs="宋体"/>
          <w:color w:val="auto"/>
          <w:szCs w:val="21"/>
          <w:highlight w:val="none"/>
        </w:rPr>
        <w:t>。</w:t>
      </w:r>
    </w:p>
    <w:p>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11. 保密义务</w:t>
      </w:r>
    </w:p>
    <w:p>
      <w:pPr>
        <w:autoSpaceDE w:val="0"/>
        <w:autoSpaceDN w:val="0"/>
        <w:adjustRightInd w:val="0"/>
        <w:snapToGrid w:val="0"/>
        <w:spacing w:line="400" w:lineRule="exact"/>
        <w:ind w:firstLine="420" w:firstLineChars="200"/>
        <w:jc w:val="left"/>
        <w:rPr>
          <w:rFonts w:hint="eastAsia"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12. 合同价款支付</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12.1 合同价款支付按照国库集中支付制度及财政管理相关规定执行。</w:t>
      </w:r>
    </w:p>
    <w:p>
      <w:pPr>
        <w:rPr>
          <w:rFonts w:hint="eastAsia" w:ascii="宋体" w:hAnsi="宋体" w:cs="宋体"/>
          <w:color w:val="auto"/>
          <w:highlight w:val="none"/>
        </w:rPr>
      </w:pPr>
      <w:r>
        <w:rPr>
          <w:rFonts w:hint="eastAsia" w:ascii="宋体" w:hAnsi="宋体" w:cs="宋体"/>
          <w:color w:val="auto"/>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宋体"/>
          <w:bCs/>
          <w:color w:val="auto"/>
          <w:szCs w:val="21"/>
          <w:highlight w:val="none"/>
        </w:rPr>
        <w:t>政府采购合同专用条款</w:t>
      </w:r>
      <w:r>
        <w:rPr>
          <w:rFonts w:hint="eastAsia" w:ascii="宋体" w:hAnsi="宋体" w:cs="宋体"/>
          <w:color w:val="auto"/>
          <w:szCs w:val="21"/>
          <w:highlight w:val="none"/>
        </w:rPr>
        <w:t>】中约定。</w:t>
      </w:r>
    </w:p>
    <w:p>
      <w:pPr>
        <w:pStyle w:val="17"/>
        <w:spacing w:after="0" w:line="400" w:lineRule="exact"/>
        <w:rPr>
          <w:rFonts w:hint="eastAsia" w:cs="宋体"/>
          <w:b/>
          <w:bCs/>
          <w:color w:val="auto"/>
          <w:highlight w:val="none"/>
        </w:rPr>
      </w:pPr>
      <w:r>
        <w:rPr>
          <w:rFonts w:hint="eastAsia" w:cs="宋体"/>
          <w:b/>
          <w:bCs/>
          <w:color w:val="auto"/>
          <w:highlight w:val="none"/>
        </w:rPr>
        <w:t>13. 履约保证金</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s="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rFonts w:hint="eastAsia" w:ascii="宋体" w:hAnsi="宋体" w:cs="宋体"/>
          <w:color w:val="auto"/>
          <w:highlight w:val="none"/>
        </w:rPr>
      </w:pPr>
      <w:r>
        <w:rPr>
          <w:rFonts w:hint="eastAsia" w:ascii="宋体" w:hAnsi="宋体" w:cs="宋体"/>
          <w:color w:val="auto"/>
          <w:szCs w:val="21"/>
          <w:highlight w:val="none"/>
        </w:rPr>
        <w:t>13.3 甲方在项目通过验收后按照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规定的时间内将履约保证金退还乙方；逾期退还的，乙方可要求甲方支付违约金，违约金按照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规定支付。</w:t>
      </w:r>
    </w:p>
    <w:p>
      <w:pPr>
        <w:autoSpaceDE w:val="0"/>
        <w:autoSpaceDN w:val="0"/>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bCs/>
          <w:color w:val="auto"/>
          <w:sz w:val="24"/>
          <w:highlight w:val="none"/>
        </w:rPr>
        <w:t xml:space="preserve">14. </w:t>
      </w:r>
      <w:r>
        <w:rPr>
          <w:rFonts w:hint="eastAsia" w:ascii="宋体" w:hAnsi="宋体" w:cs="宋体"/>
          <w:b/>
          <w:color w:val="auto"/>
          <w:sz w:val="24"/>
          <w:highlight w:val="none"/>
        </w:rPr>
        <w:t>售后服务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（1）货物的现场移动、安装、调试、启动监督及技术支持；</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（2）提供货物组装和维修所需的专用工具和辅助材料；</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s="宋体"/>
          <w:color w:val="auto"/>
          <w:szCs w:val="21"/>
          <w:highlight w:val="none"/>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pPr>
        <w:pStyle w:val="363"/>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规定由乙方提供的其他服务。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14.2 乙方提供的售后服务的费用已包含在合同价款中，甲方不再另行支付。</w:t>
      </w:r>
    </w:p>
    <w:p>
      <w:pPr>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15. 违约责任</w:t>
      </w:r>
    </w:p>
    <w:p>
      <w:pPr>
        <w:adjustRightInd w:val="0"/>
        <w:snapToGrid w:val="0"/>
        <w:spacing w:line="40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15.1质量瑕疵的违约责任</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乙方提供的产品不符合合同约定的质量标准或存在产品质量缺陷，甲方有权要求乙方根据</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要求</w:t>
      </w:r>
      <w:r>
        <w:rPr>
          <w:rFonts w:hint="eastAsia" w:ascii="宋体" w:hAnsi="宋体" w:cs="宋体"/>
          <w:color w:val="auto"/>
          <w:szCs w:val="21"/>
          <w:highlight w:val="none"/>
        </w:rPr>
        <w:t>及时修理、重作、更换，并承担由此给甲方造成的损失。</w:t>
      </w:r>
    </w:p>
    <w:p>
      <w:pPr>
        <w:autoSpaceDE w:val="0"/>
        <w:autoSpaceDN w:val="0"/>
        <w:adjustRightInd w:val="0"/>
        <w:snapToGrid w:val="0"/>
        <w:spacing w:line="40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15.2 迟延交货的违约责任</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 迟延支付的违约责任</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甲方存在迟延支付乙方合同款项的，应当承担</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规定的逾期付款利息。</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15.4其他违约责任根据项目实际需要按</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规定执行。</w:t>
      </w:r>
    </w:p>
    <w:p>
      <w:pPr>
        <w:numPr>
          <w:ilvl w:val="0"/>
          <w:numId w:val="30"/>
        </w:numPr>
        <w:autoSpaceDE w:val="0"/>
        <w:autoSpaceDN w:val="0"/>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合同变更、中止与终止</w:t>
      </w:r>
    </w:p>
    <w:p>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16.1合同的变更</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16.2合同的中止</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363"/>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（4）甲方不得以行政区划调整、政府换届、机构或者职能调整以及相关责任人更替为由中止合同。</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16.3合同的终止</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（1）合同因有效期限届满而终止；</w:t>
      </w:r>
    </w:p>
    <w:p>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（2）乙方未按合同约定履行，构成根本性违约的，甲方有权终止合同，并追究乙方的违约责任。</w:t>
      </w:r>
    </w:p>
    <w:p>
      <w:pPr>
        <w:pStyle w:val="363"/>
        <w:rPr>
          <w:rFonts w:hint="eastAsia" w:ascii="宋体" w:hAnsi="宋体" w:eastAsia="宋体" w:cs="宋体"/>
          <w:color w:val="auto"/>
          <w:highlight w:val="none"/>
        </w:rPr>
      </w:pPr>
      <w:r>
        <w:rPr>
          <w:rFonts w:hint="eastAsia" w:ascii="宋体" w:hAnsi="宋体" w:eastAsia="宋体" w:cs="宋体"/>
          <w:color w:val="auto"/>
          <w:highlight w:val="none"/>
        </w:rPr>
        <w:t xml:space="preserve">16.4 </w:t>
      </w:r>
      <w:r>
        <w:rPr>
          <w:rFonts w:hint="eastAsia" w:ascii="宋体" w:hAnsi="宋体" w:eastAsia="宋体" w:cs="宋体"/>
          <w:color w:val="auto"/>
          <w:kern w:val="2"/>
          <w:sz w:val="21"/>
          <w:highlight w:val="none"/>
        </w:rPr>
        <w:t>涉及国家利益、社会公共利益的情形</w:t>
      </w:r>
    </w:p>
    <w:p>
      <w:pPr>
        <w:pStyle w:val="363"/>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17. 合同分包</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18. 不可抗力</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18.1 不可抗力是指合同双方不能预见、不能避免且不能克服的客观情况。</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19. 解决争议的方法</w:t>
      </w:r>
    </w:p>
    <w:p>
      <w:pPr>
        <w:pStyle w:val="363"/>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pPr>
        <w:pStyle w:val="363"/>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pPr>
        <w:pStyle w:val="363"/>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eastAsia" w:ascii="宋体" w:hAnsi="宋体" w:cs="宋体"/>
          <w:color w:val="auto"/>
          <w:sz w:val="24"/>
          <w:highlight w:val="none"/>
        </w:rPr>
      </w:pPr>
      <w:r>
        <w:rPr>
          <w:rFonts w:hint="eastAsia" w:ascii="宋体" w:hAnsi="宋体" w:cs="宋体"/>
          <w:b/>
          <w:color w:val="auto"/>
          <w:sz w:val="24"/>
          <w:highlight w:val="none"/>
        </w:rPr>
        <w:t>20. 政府采购政策</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20.1 </w:t>
      </w:r>
      <w:r>
        <w:rPr>
          <w:rFonts w:hint="eastAsia" w:ascii="宋体" w:hAnsi="宋体" w:cs="宋体"/>
          <w:color w:val="auto"/>
          <w:highlight w:val="none"/>
          <w:lang w:val="en-GB"/>
        </w:rPr>
        <w:t>本合同应当按照规定执行政府采购政策。</w:t>
      </w:r>
    </w:p>
    <w:p>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s="宋体"/>
          <w:color w:val="auto"/>
          <w:szCs w:val="21"/>
          <w:highlight w:val="none"/>
        </w:rPr>
        <w:t>，有过错的一方应当承担赔偿责任，双方都有过错的，各自承担相应的责任。</w:t>
      </w:r>
    </w:p>
    <w:p>
      <w:pPr>
        <w:pStyle w:val="17"/>
        <w:spacing w:after="0" w:line="400" w:lineRule="exact"/>
        <w:ind w:firstLine="480" w:firstLineChars="200"/>
        <w:rPr>
          <w:rFonts w:hint="eastAsia" w:cs="宋体"/>
          <w:color w:val="auto"/>
          <w:highlight w:val="none"/>
        </w:rPr>
      </w:pPr>
      <w:r>
        <w:rPr>
          <w:rFonts w:hint="eastAsia" w:cs="宋体"/>
          <w:color w:val="auto"/>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21. 法律适用</w:t>
      </w:r>
    </w:p>
    <w:p>
      <w:pPr>
        <w:pStyle w:val="363"/>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pPr>
        <w:pStyle w:val="363"/>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22. 通知</w:t>
      </w:r>
    </w:p>
    <w:p>
      <w:pPr>
        <w:pStyle w:val="363"/>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pPr>
        <w:pStyle w:val="363"/>
        <w:ind w:firstLine="0" w:firstLineChars="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22.3本合同一方给另一方的通知均应采用书面形式，传真或快递送到本合同中规定的对方的地址和办理签收手续。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22.4通知以送达之日或通知书中规定的生效之日起生效，两者中以较迟之日为准。</w:t>
      </w:r>
    </w:p>
    <w:p>
      <w:pPr>
        <w:numPr>
          <w:ilvl w:val="0"/>
          <w:numId w:val="31"/>
        </w:numPr>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合同未尽事项</w:t>
      </w:r>
    </w:p>
    <w:p>
      <w:pPr>
        <w:adjustRightInd w:val="0"/>
        <w:snapToGrid w:val="0"/>
        <w:spacing w:line="40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23.1合同未尽事项见</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w:t>
      </w:r>
    </w:p>
    <w:p>
      <w:pPr>
        <w:adjustRightInd w:val="0"/>
        <w:snapToGrid w:val="0"/>
        <w:spacing w:line="400" w:lineRule="exact"/>
        <w:jc w:val="left"/>
        <w:rPr>
          <w:rFonts w:hint="eastAsia" w:ascii="宋体" w:hAnsi="宋体" w:cs="宋体"/>
          <w:color w:val="auto"/>
          <w:sz w:val="28"/>
          <w:szCs w:val="28"/>
          <w:highlight w:val="none"/>
        </w:rPr>
      </w:pPr>
      <w:r>
        <w:rPr>
          <w:rFonts w:hint="eastAsia" w:ascii="宋体" w:hAnsi="宋体" w:cs="宋体"/>
          <w:bCs/>
          <w:color w:val="auto"/>
          <w:szCs w:val="21"/>
          <w:highlight w:val="none"/>
        </w:rPr>
        <w:t xml:space="preserve">    23.2 合同附件与合同正文具有同等的法律效力。</w:t>
      </w:r>
      <w:bookmarkStart w:id="849" w:name="_Toc20313"/>
    </w:p>
    <w:p>
      <w:pPr>
        <w:adjustRightInd w:val="0"/>
        <w:snapToGrid w:val="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pPr>
        <w:pStyle w:val="3"/>
        <w:snapToGrid w:val="0"/>
        <w:rPr>
          <w:rFonts w:hint="eastAsia" w:ascii="宋体" w:hAnsi="宋体" w:eastAsia="宋体" w:cs="宋体"/>
          <w:b w:val="0"/>
          <w:bCs/>
          <w:color w:val="auto"/>
          <w:sz w:val="28"/>
          <w:szCs w:val="28"/>
          <w:highlight w:val="none"/>
        </w:rPr>
      </w:pPr>
      <w:r>
        <w:rPr>
          <w:rFonts w:hint="eastAsia" w:ascii="宋体" w:hAnsi="宋体" w:eastAsia="宋体" w:cs="宋体"/>
          <w:b w:val="0"/>
          <w:color w:val="auto"/>
          <w:sz w:val="28"/>
          <w:szCs w:val="28"/>
          <w:highlight w:val="none"/>
        </w:rPr>
        <w:t>第三节 政府采购合同专用条款</w:t>
      </w:r>
      <w:bookmarkEnd w:id="849"/>
    </w:p>
    <w:tbl>
      <w:tblPr>
        <w:tblStyle w:val="4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第1.2（6）项</w:t>
            </w:r>
          </w:p>
        </w:tc>
        <w:tc>
          <w:tcPr>
            <w:tcW w:w="1742" w:type="dxa"/>
            <w:vAlign w:val="center"/>
          </w:tcPr>
          <w:p>
            <w:pPr>
              <w:adjustRightInd w:val="0"/>
              <w:snapToGrid w:val="0"/>
              <w:spacing w:after="0"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联合体具体要求</w:t>
            </w:r>
          </w:p>
        </w:tc>
        <w:tc>
          <w:tcPr>
            <w:tcW w:w="5170" w:type="dxa"/>
            <w:vAlign w:val="center"/>
          </w:tcPr>
          <w:p>
            <w:pPr>
              <w:adjustRightInd w:val="0"/>
              <w:snapToGrid w:val="0"/>
              <w:spacing w:after="0" w:line="240" w:lineRule="atLeast"/>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trPr>
        <w:tc>
          <w:tcPr>
            <w:tcW w:w="1607" w:type="dxa"/>
            <w:vAlign w:val="center"/>
          </w:tcPr>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第1.2（7）项</w:t>
            </w:r>
          </w:p>
        </w:tc>
        <w:tc>
          <w:tcPr>
            <w:tcW w:w="1742" w:type="dxa"/>
            <w:vAlign w:val="center"/>
          </w:tcPr>
          <w:p>
            <w:pPr>
              <w:adjustRightInd w:val="0"/>
              <w:snapToGrid w:val="0"/>
              <w:spacing w:after="0"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其他术语解释</w:t>
            </w:r>
          </w:p>
        </w:tc>
        <w:tc>
          <w:tcPr>
            <w:tcW w:w="5170" w:type="dxa"/>
            <w:vAlign w:val="center"/>
          </w:tcPr>
          <w:p>
            <w:pPr>
              <w:adjustRightInd w:val="0"/>
              <w:snapToGrid w:val="0"/>
              <w:spacing w:after="0" w:line="240" w:lineRule="atLeast"/>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第4.4款</w:t>
            </w:r>
          </w:p>
        </w:tc>
        <w:tc>
          <w:tcPr>
            <w:tcW w:w="1742" w:type="dxa"/>
            <w:vAlign w:val="center"/>
          </w:tcPr>
          <w:p>
            <w:pPr>
              <w:adjustRightInd w:val="0"/>
              <w:snapToGrid w:val="0"/>
              <w:spacing w:after="0"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履约验收中甲方提出异议或作出说明的期限</w:t>
            </w:r>
          </w:p>
        </w:tc>
        <w:tc>
          <w:tcPr>
            <w:tcW w:w="5170" w:type="dxa"/>
            <w:vAlign w:val="center"/>
          </w:tcPr>
          <w:p>
            <w:pPr>
              <w:adjustRightInd w:val="0"/>
              <w:snapToGrid w:val="0"/>
              <w:spacing w:after="0" w:line="240" w:lineRule="atLeast"/>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第4.6款</w:t>
            </w:r>
          </w:p>
        </w:tc>
        <w:tc>
          <w:tcPr>
            <w:tcW w:w="1742" w:type="dxa"/>
            <w:vAlign w:val="center"/>
          </w:tcPr>
          <w:p>
            <w:pPr>
              <w:adjustRightInd w:val="0"/>
              <w:snapToGrid w:val="0"/>
              <w:spacing w:after="0"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约定甲方承担的其他义务和责任</w:t>
            </w:r>
          </w:p>
        </w:tc>
        <w:tc>
          <w:tcPr>
            <w:tcW w:w="5170" w:type="dxa"/>
            <w:vAlign w:val="center"/>
          </w:tcPr>
          <w:p>
            <w:pPr>
              <w:adjustRightInd w:val="0"/>
              <w:snapToGrid w:val="0"/>
              <w:spacing w:after="0" w:line="240" w:lineRule="atLeast"/>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spacing w:after="0" w:line="240" w:lineRule="atLeast"/>
              <w:jc w:val="center"/>
              <w:rPr>
                <w:rFonts w:hint="eastAsia" w:ascii="宋体" w:hAnsi="宋体" w:cs="宋体"/>
                <w:color w:val="auto"/>
                <w:highlight w:val="none"/>
              </w:rPr>
            </w:pPr>
            <w:r>
              <w:rPr>
                <w:rFonts w:hint="eastAsia" w:ascii="宋体" w:hAnsi="宋体" w:cs="宋体"/>
                <w:color w:val="auto"/>
                <w:szCs w:val="21"/>
                <w:highlight w:val="none"/>
              </w:rPr>
              <w:t>第5.4款</w:t>
            </w:r>
          </w:p>
        </w:tc>
        <w:tc>
          <w:tcPr>
            <w:tcW w:w="1742" w:type="dxa"/>
            <w:vAlign w:val="center"/>
          </w:tcPr>
          <w:p>
            <w:pPr>
              <w:adjustRightInd w:val="0"/>
              <w:snapToGrid w:val="0"/>
              <w:spacing w:after="0"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约定乙方承担的其他义务和责任</w:t>
            </w:r>
          </w:p>
        </w:tc>
        <w:tc>
          <w:tcPr>
            <w:tcW w:w="5170" w:type="dxa"/>
            <w:vAlign w:val="center"/>
          </w:tcPr>
          <w:p>
            <w:pPr>
              <w:adjustRightInd w:val="0"/>
              <w:snapToGrid w:val="0"/>
              <w:spacing w:after="0" w:line="240" w:lineRule="atLeast"/>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第6.1款</w:t>
            </w:r>
          </w:p>
        </w:tc>
        <w:tc>
          <w:tcPr>
            <w:tcW w:w="1742" w:type="dxa"/>
            <w:vAlign w:val="center"/>
          </w:tcPr>
          <w:p>
            <w:pPr>
              <w:adjustRightInd w:val="0"/>
              <w:snapToGrid w:val="0"/>
              <w:spacing w:after="0"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履行合同义务的顺序</w:t>
            </w:r>
          </w:p>
        </w:tc>
        <w:tc>
          <w:tcPr>
            <w:tcW w:w="5170" w:type="dxa"/>
            <w:vAlign w:val="center"/>
          </w:tcPr>
          <w:p>
            <w:pPr>
              <w:adjustRightInd w:val="0"/>
              <w:snapToGrid w:val="0"/>
              <w:spacing w:after="0" w:line="240" w:lineRule="atLeast"/>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第7.1款</w:t>
            </w:r>
          </w:p>
        </w:tc>
        <w:tc>
          <w:tcPr>
            <w:tcW w:w="1742" w:type="dxa"/>
            <w:vAlign w:val="center"/>
          </w:tcPr>
          <w:p>
            <w:pPr>
              <w:adjustRightInd w:val="0"/>
              <w:snapToGrid w:val="0"/>
              <w:spacing w:after="0"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包装特殊要求</w:t>
            </w:r>
          </w:p>
        </w:tc>
        <w:tc>
          <w:tcPr>
            <w:tcW w:w="5170" w:type="dxa"/>
            <w:vAlign w:val="center"/>
          </w:tcPr>
          <w:p>
            <w:pPr>
              <w:adjustRightInd w:val="0"/>
              <w:snapToGrid w:val="0"/>
              <w:spacing w:after="0" w:line="240" w:lineRule="atLeast"/>
              <w:rPr>
                <w:rFonts w:hint="eastAsia" w:ascii="宋体" w:hAnsi="宋体" w:cs="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spacing w:after="0" w:line="240" w:lineRule="atLeast"/>
              <w:jc w:val="center"/>
              <w:rPr>
                <w:rFonts w:hint="eastAsia" w:ascii="宋体" w:hAnsi="宋体" w:cs="宋体"/>
                <w:color w:val="auto"/>
                <w:szCs w:val="21"/>
                <w:highlight w:val="none"/>
              </w:rPr>
            </w:pPr>
          </w:p>
        </w:tc>
        <w:tc>
          <w:tcPr>
            <w:tcW w:w="1742" w:type="dxa"/>
            <w:vAlign w:val="center"/>
          </w:tcPr>
          <w:p>
            <w:pPr>
              <w:adjustRightInd w:val="0"/>
              <w:snapToGrid w:val="0"/>
              <w:spacing w:after="0"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指定现场</w:t>
            </w:r>
          </w:p>
        </w:tc>
        <w:tc>
          <w:tcPr>
            <w:tcW w:w="5170" w:type="dxa"/>
            <w:vAlign w:val="center"/>
          </w:tcPr>
          <w:p>
            <w:pPr>
              <w:adjustRightInd w:val="0"/>
              <w:snapToGrid w:val="0"/>
              <w:spacing w:after="0" w:line="240" w:lineRule="atLeast"/>
              <w:rPr>
                <w:rFonts w:hint="eastAsia" w:ascii="宋体" w:hAnsi="宋体" w:cs="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2" w:hRule="atLeast"/>
        </w:trPr>
        <w:tc>
          <w:tcPr>
            <w:tcW w:w="1607" w:type="dxa"/>
            <w:vAlign w:val="center"/>
          </w:tcPr>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第7.2款</w:t>
            </w:r>
          </w:p>
        </w:tc>
        <w:tc>
          <w:tcPr>
            <w:tcW w:w="1742" w:type="dxa"/>
            <w:vAlign w:val="center"/>
          </w:tcPr>
          <w:p>
            <w:pPr>
              <w:adjustRightInd w:val="0"/>
              <w:snapToGrid w:val="0"/>
              <w:spacing w:after="0"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运输特殊要求</w:t>
            </w:r>
          </w:p>
        </w:tc>
        <w:tc>
          <w:tcPr>
            <w:tcW w:w="5170" w:type="dxa"/>
            <w:vAlign w:val="center"/>
          </w:tcPr>
          <w:p>
            <w:pPr>
              <w:adjustRightInd w:val="0"/>
              <w:snapToGrid w:val="0"/>
              <w:spacing w:after="0" w:line="240" w:lineRule="atLeast"/>
              <w:rPr>
                <w:rFonts w:hint="eastAsia" w:ascii="宋体" w:hAnsi="宋体" w:cs="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Align w:val="center"/>
          </w:tcPr>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第7.3款</w:t>
            </w:r>
          </w:p>
        </w:tc>
        <w:tc>
          <w:tcPr>
            <w:tcW w:w="1742" w:type="dxa"/>
            <w:vAlign w:val="center"/>
          </w:tcPr>
          <w:p>
            <w:pPr>
              <w:adjustRightInd w:val="0"/>
              <w:snapToGrid w:val="0"/>
              <w:spacing w:after="0"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保险要求</w:t>
            </w:r>
          </w:p>
        </w:tc>
        <w:tc>
          <w:tcPr>
            <w:tcW w:w="5170" w:type="dxa"/>
            <w:vAlign w:val="center"/>
          </w:tcPr>
          <w:p>
            <w:pPr>
              <w:adjustRightInd w:val="0"/>
              <w:snapToGrid w:val="0"/>
              <w:spacing w:after="0" w:line="240" w:lineRule="atLeast"/>
              <w:rPr>
                <w:rFonts w:hint="eastAsia" w:ascii="宋体" w:hAnsi="宋体" w:cs="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第8.2（1）项</w:t>
            </w:r>
          </w:p>
        </w:tc>
        <w:tc>
          <w:tcPr>
            <w:tcW w:w="1742" w:type="dxa"/>
            <w:vAlign w:val="center"/>
          </w:tcPr>
          <w:p>
            <w:pPr>
              <w:adjustRightInd w:val="0"/>
              <w:snapToGrid w:val="0"/>
              <w:spacing w:after="0"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质量保证期</w:t>
            </w:r>
          </w:p>
        </w:tc>
        <w:tc>
          <w:tcPr>
            <w:tcW w:w="5170" w:type="dxa"/>
            <w:vAlign w:val="center"/>
          </w:tcPr>
          <w:p>
            <w:pPr>
              <w:autoSpaceDE w:val="0"/>
              <w:autoSpaceDN w:val="0"/>
              <w:adjustRightInd w:val="0"/>
              <w:snapToGrid w:val="0"/>
              <w:spacing w:after="0" w:line="240" w:lineRule="atLeast"/>
              <w:ind w:firstLine="420" w:firstLineChars="200"/>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第8.2（3）项</w:t>
            </w:r>
          </w:p>
        </w:tc>
        <w:tc>
          <w:tcPr>
            <w:tcW w:w="1742" w:type="dxa"/>
            <w:vAlign w:val="center"/>
          </w:tcPr>
          <w:p>
            <w:pPr>
              <w:adjustRightInd w:val="0"/>
              <w:snapToGrid w:val="0"/>
              <w:spacing w:after="0"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货物质量缺陷</w:t>
            </w:r>
          </w:p>
          <w:p>
            <w:pPr>
              <w:adjustRightInd w:val="0"/>
              <w:snapToGrid w:val="0"/>
              <w:spacing w:after="0"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响应时间</w:t>
            </w:r>
          </w:p>
        </w:tc>
        <w:tc>
          <w:tcPr>
            <w:tcW w:w="5170" w:type="dxa"/>
            <w:vAlign w:val="center"/>
          </w:tcPr>
          <w:p>
            <w:pPr>
              <w:adjustRightInd w:val="0"/>
              <w:snapToGrid w:val="0"/>
              <w:spacing w:after="0" w:line="240" w:lineRule="atLeast"/>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pStyle w:val="363"/>
              <w:snapToGrid w:val="0"/>
              <w:spacing w:after="0" w:line="240" w:lineRule="atLeast"/>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第11.1款</w:t>
            </w:r>
          </w:p>
        </w:tc>
        <w:tc>
          <w:tcPr>
            <w:tcW w:w="1742" w:type="dxa"/>
            <w:vAlign w:val="center"/>
          </w:tcPr>
          <w:p>
            <w:pPr>
              <w:adjustRightInd w:val="0"/>
              <w:snapToGrid w:val="0"/>
              <w:spacing w:after="0" w:line="240" w:lineRule="atLeast"/>
              <w:rPr>
                <w:rFonts w:hint="eastAsia" w:ascii="宋体" w:hAnsi="宋体" w:cs="宋体"/>
                <w:color w:val="auto"/>
                <w:szCs w:val="21"/>
                <w:highlight w:val="none"/>
              </w:rPr>
            </w:pPr>
            <w:r>
              <w:rPr>
                <w:rFonts w:hint="eastAsia" w:ascii="宋体" w:hAnsi="宋体" w:cs="宋体"/>
                <w:color w:val="auto"/>
                <w:szCs w:val="21"/>
                <w:highlight w:val="none"/>
              </w:rPr>
              <w:t>其他应当保密的信息</w:t>
            </w:r>
          </w:p>
        </w:tc>
        <w:tc>
          <w:tcPr>
            <w:tcW w:w="5170" w:type="dxa"/>
            <w:vAlign w:val="center"/>
          </w:tcPr>
          <w:p>
            <w:pPr>
              <w:adjustRightInd w:val="0"/>
              <w:snapToGrid w:val="0"/>
              <w:spacing w:after="0" w:line="240" w:lineRule="atLeast"/>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第12.2款</w:t>
            </w:r>
          </w:p>
        </w:tc>
        <w:tc>
          <w:tcPr>
            <w:tcW w:w="1742" w:type="dxa"/>
            <w:vAlign w:val="center"/>
          </w:tcPr>
          <w:p>
            <w:pPr>
              <w:adjustRightInd w:val="0"/>
              <w:snapToGrid w:val="0"/>
              <w:spacing w:after="0"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合同价款支付时间</w:t>
            </w:r>
          </w:p>
        </w:tc>
        <w:tc>
          <w:tcPr>
            <w:tcW w:w="5170" w:type="dxa"/>
            <w:vAlign w:val="center"/>
          </w:tcPr>
          <w:p>
            <w:pPr>
              <w:adjustRightInd w:val="0"/>
              <w:snapToGrid w:val="0"/>
              <w:spacing w:after="0" w:line="240" w:lineRule="atLeast"/>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第13.2款</w:t>
            </w:r>
          </w:p>
        </w:tc>
        <w:tc>
          <w:tcPr>
            <w:tcW w:w="1742" w:type="dxa"/>
            <w:vAlign w:val="center"/>
          </w:tcPr>
          <w:p>
            <w:pPr>
              <w:adjustRightInd w:val="0"/>
              <w:snapToGrid w:val="0"/>
              <w:spacing w:after="0"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履约保证金不予退还的情形</w:t>
            </w:r>
          </w:p>
        </w:tc>
        <w:tc>
          <w:tcPr>
            <w:tcW w:w="5170" w:type="dxa"/>
            <w:vAlign w:val="center"/>
          </w:tcPr>
          <w:p>
            <w:pPr>
              <w:adjustRightInd w:val="0"/>
              <w:snapToGrid w:val="0"/>
              <w:spacing w:after="0" w:line="240" w:lineRule="atLeast"/>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第13.3款</w:t>
            </w:r>
          </w:p>
        </w:tc>
        <w:tc>
          <w:tcPr>
            <w:tcW w:w="1742" w:type="dxa"/>
            <w:vAlign w:val="center"/>
          </w:tcPr>
          <w:p>
            <w:pPr>
              <w:adjustRightInd w:val="0"/>
              <w:snapToGrid w:val="0"/>
              <w:spacing w:after="0"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履约保证金退还时间及逾期退还的违约金</w:t>
            </w:r>
          </w:p>
        </w:tc>
        <w:tc>
          <w:tcPr>
            <w:tcW w:w="5170" w:type="dxa"/>
            <w:vAlign w:val="center"/>
          </w:tcPr>
          <w:p>
            <w:pPr>
              <w:adjustRightInd w:val="0"/>
              <w:snapToGrid w:val="0"/>
              <w:spacing w:after="0" w:line="240" w:lineRule="atLeast"/>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第14.1（3）项</w:t>
            </w:r>
          </w:p>
        </w:tc>
        <w:tc>
          <w:tcPr>
            <w:tcW w:w="1742" w:type="dxa"/>
            <w:vAlign w:val="center"/>
          </w:tcPr>
          <w:p>
            <w:pPr>
              <w:adjustRightInd w:val="0"/>
              <w:snapToGrid w:val="0"/>
              <w:spacing w:after="0"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运行监督、维修期限</w:t>
            </w:r>
          </w:p>
        </w:tc>
        <w:tc>
          <w:tcPr>
            <w:tcW w:w="5170" w:type="dxa"/>
            <w:vAlign w:val="center"/>
          </w:tcPr>
          <w:p>
            <w:pPr>
              <w:adjustRightInd w:val="0"/>
              <w:snapToGrid w:val="0"/>
              <w:spacing w:after="0" w:line="240" w:lineRule="atLeast"/>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第14.1（5）项</w:t>
            </w:r>
          </w:p>
        </w:tc>
        <w:tc>
          <w:tcPr>
            <w:tcW w:w="1742" w:type="dxa"/>
            <w:vAlign w:val="center"/>
          </w:tcPr>
          <w:p>
            <w:pPr>
              <w:adjustRightInd w:val="0"/>
              <w:snapToGrid w:val="0"/>
              <w:spacing w:after="0"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货物回收的约定</w:t>
            </w:r>
          </w:p>
        </w:tc>
        <w:tc>
          <w:tcPr>
            <w:tcW w:w="5170" w:type="dxa"/>
            <w:vAlign w:val="center"/>
          </w:tcPr>
          <w:p>
            <w:pPr>
              <w:adjustRightInd w:val="0"/>
              <w:snapToGrid w:val="0"/>
              <w:spacing w:after="0" w:line="240" w:lineRule="atLeast"/>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82" w:hRule="atLeast"/>
        </w:trPr>
        <w:tc>
          <w:tcPr>
            <w:tcW w:w="1607" w:type="dxa"/>
            <w:vAlign w:val="center"/>
          </w:tcPr>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第14.1（6）项</w:t>
            </w:r>
          </w:p>
        </w:tc>
        <w:tc>
          <w:tcPr>
            <w:tcW w:w="1742" w:type="dxa"/>
            <w:vAlign w:val="center"/>
          </w:tcPr>
          <w:p>
            <w:pPr>
              <w:adjustRightInd w:val="0"/>
              <w:snapToGrid w:val="0"/>
              <w:spacing w:after="0"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乙方提供的其他服务</w:t>
            </w:r>
          </w:p>
        </w:tc>
        <w:tc>
          <w:tcPr>
            <w:tcW w:w="5170" w:type="dxa"/>
            <w:vAlign w:val="center"/>
          </w:tcPr>
          <w:p>
            <w:pPr>
              <w:adjustRightInd w:val="0"/>
              <w:snapToGrid w:val="0"/>
              <w:spacing w:after="0" w:line="240" w:lineRule="atLeast"/>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第15.1款</w:t>
            </w:r>
          </w:p>
        </w:tc>
        <w:tc>
          <w:tcPr>
            <w:tcW w:w="1742" w:type="dxa"/>
            <w:vAlign w:val="center"/>
          </w:tcPr>
          <w:p>
            <w:pPr>
              <w:adjustRightInd w:val="0"/>
              <w:snapToGrid w:val="0"/>
              <w:spacing w:after="0"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修理、重作、更换相关具体规定</w:t>
            </w:r>
          </w:p>
        </w:tc>
        <w:tc>
          <w:tcPr>
            <w:tcW w:w="5170" w:type="dxa"/>
            <w:vAlign w:val="center"/>
          </w:tcPr>
          <w:p>
            <w:pPr>
              <w:adjustRightInd w:val="0"/>
              <w:snapToGrid w:val="0"/>
              <w:spacing w:after="0" w:line="240" w:lineRule="atLeast"/>
              <w:jc w:val="lef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第15.2（2）项</w:t>
            </w:r>
          </w:p>
        </w:tc>
        <w:tc>
          <w:tcPr>
            <w:tcW w:w="1742" w:type="dxa"/>
            <w:vAlign w:val="center"/>
          </w:tcPr>
          <w:p>
            <w:pPr>
              <w:adjustRightInd w:val="0"/>
              <w:snapToGrid w:val="0"/>
              <w:spacing w:after="0"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迟延交货赔偿费</w:t>
            </w:r>
          </w:p>
        </w:tc>
        <w:tc>
          <w:tcPr>
            <w:tcW w:w="5170" w:type="dxa"/>
            <w:vAlign w:val="center"/>
          </w:tcPr>
          <w:p>
            <w:pPr>
              <w:adjustRightInd w:val="0"/>
              <w:snapToGrid w:val="0"/>
              <w:spacing w:after="0" w:line="240" w:lineRule="atLeast"/>
              <w:jc w:val="left"/>
              <w:rPr>
                <w:rFonts w:hint="eastAsia" w:ascii="宋体" w:hAnsi="宋体" w:cs="宋体"/>
                <w:color w:val="auto"/>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第15.3款</w:t>
            </w:r>
          </w:p>
        </w:tc>
        <w:tc>
          <w:tcPr>
            <w:tcW w:w="1742" w:type="dxa"/>
            <w:vAlign w:val="center"/>
          </w:tcPr>
          <w:p>
            <w:pPr>
              <w:adjustRightInd w:val="0"/>
              <w:snapToGrid w:val="0"/>
              <w:spacing w:after="0"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逾期付款利息</w:t>
            </w:r>
          </w:p>
        </w:tc>
        <w:tc>
          <w:tcPr>
            <w:tcW w:w="5170" w:type="dxa"/>
            <w:vAlign w:val="center"/>
          </w:tcPr>
          <w:p>
            <w:pPr>
              <w:adjustRightInd w:val="0"/>
              <w:snapToGrid w:val="0"/>
              <w:spacing w:after="0" w:line="240" w:lineRule="atLeast"/>
              <w:jc w:val="left"/>
              <w:rPr>
                <w:rFonts w:hint="eastAsia" w:ascii="宋体" w:hAnsi="宋体" w:cs="宋体"/>
                <w:color w:val="auto"/>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spacing w:after="0"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其他违约责任</w:t>
            </w:r>
          </w:p>
        </w:tc>
        <w:tc>
          <w:tcPr>
            <w:tcW w:w="5170" w:type="dxa"/>
            <w:tcBorders>
              <w:left w:val="single" w:color="auto" w:sz="2" w:space="0"/>
              <w:bottom w:val="single" w:color="auto" w:sz="2" w:space="0"/>
            </w:tcBorders>
            <w:vAlign w:val="center"/>
          </w:tcPr>
          <w:p>
            <w:pPr>
              <w:adjustRightInd w:val="0"/>
              <w:snapToGrid w:val="0"/>
              <w:spacing w:after="0" w:line="240" w:lineRule="atLeast"/>
              <w:jc w:val="left"/>
              <w:rPr>
                <w:rFonts w:hint="eastAsia" w:ascii="宋体" w:hAnsi="宋体" w:cs="宋体"/>
                <w:color w:val="auto"/>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spacing w:after="0" w:line="240" w:lineRule="atLeast"/>
              <w:jc w:val="left"/>
              <w:rPr>
                <w:rFonts w:hint="eastAsia" w:ascii="宋体" w:hAnsi="宋体" w:cs="宋体"/>
                <w:color w:val="auto"/>
                <w:szCs w:val="21"/>
                <w:highlight w:val="none"/>
              </w:rPr>
            </w:pPr>
            <w:r>
              <w:rPr>
                <w:rFonts w:hint="eastAsia" w:ascii="宋体" w:hAnsi="宋体" w:cs="宋体"/>
                <w:color w:val="auto"/>
                <w:szCs w:val="21"/>
                <w:highlight w:val="none"/>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after="0" w:line="240" w:lineRule="atLeast"/>
              <w:jc w:val="left"/>
              <w:rPr>
                <w:rFonts w:hint="eastAsia"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种方式解决：</w:t>
            </w:r>
          </w:p>
          <w:p>
            <w:pPr>
              <w:autoSpaceDE w:val="0"/>
              <w:autoSpaceDN w:val="0"/>
              <w:adjustRightInd w:val="0"/>
              <w:snapToGrid w:val="0"/>
              <w:spacing w:after="0" w:line="240" w:lineRule="atLeast"/>
              <w:jc w:val="left"/>
              <w:rPr>
                <w:rFonts w:hint="eastAsia"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pPr>
              <w:adjustRightInd w:val="0"/>
              <w:snapToGrid w:val="0"/>
              <w:spacing w:after="0" w:line="240" w:lineRule="atLeast"/>
              <w:jc w:val="left"/>
              <w:rPr>
                <w:rFonts w:hint="eastAsia" w:ascii="宋体" w:hAnsi="宋体" w:cs="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0" w:hRule="atLeast"/>
        </w:trPr>
        <w:tc>
          <w:tcPr>
            <w:tcW w:w="1607" w:type="dxa"/>
            <w:vAlign w:val="center"/>
          </w:tcPr>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第23.1款</w:t>
            </w:r>
          </w:p>
        </w:tc>
        <w:tc>
          <w:tcPr>
            <w:tcW w:w="1742" w:type="dxa"/>
            <w:vAlign w:val="center"/>
          </w:tcPr>
          <w:p>
            <w:pPr>
              <w:adjustRightInd w:val="0"/>
              <w:snapToGrid w:val="0"/>
              <w:spacing w:after="0" w:line="240" w:lineRule="atLeast"/>
              <w:jc w:val="left"/>
              <w:rPr>
                <w:rFonts w:hint="eastAsia" w:ascii="宋体" w:hAnsi="宋体" w:cs="宋体"/>
                <w:color w:val="auto"/>
                <w:szCs w:val="21"/>
                <w:highlight w:val="none"/>
              </w:rPr>
            </w:pPr>
            <w:r>
              <w:rPr>
                <w:rFonts w:hint="eastAsia" w:ascii="宋体" w:hAnsi="宋体" w:cs="宋体"/>
                <w:bCs/>
                <w:color w:val="auto"/>
                <w:szCs w:val="21"/>
                <w:highlight w:val="none"/>
              </w:rPr>
              <w:t>其他专用条款</w:t>
            </w:r>
          </w:p>
        </w:tc>
        <w:tc>
          <w:tcPr>
            <w:tcW w:w="5170" w:type="dxa"/>
            <w:vAlign w:val="center"/>
          </w:tcPr>
          <w:p>
            <w:pPr>
              <w:adjustRightInd w:val="0"/>
              <w:snapToGrid w:val="0"/>
              <w:spacing w:after="0" w:line="240" w:lineRule="atLeast"/>
              <w:jc w:val="left"/>
              <w:rPr>
                <w:rFonts w:hint="eastAsia" w:ascii="宋体" w:hAnsi="宋体" w:cs="宋体"/>
                <w:color w:val="auto"/>
                <w:szCs w:val="21"/>
                <w:highlight w:val="none"/>
              </w:rPr>
            </w:pPr>
          </w:p>
        </w:tc>
      </w:tr>
    </w:tbl>
    <w:p>
      <w:pPr>
        <w:rPr>
          <w:rFonts w:hint="eastAsia" w:ascii="宋体" w:hAnsi="宋体" w:cs="宋体"/>
          <w:color w:val="auto"/>
          <w:highlight w:val="none"/>
        </w:rPr>
      </w:pPr>
    </w:p>
    <w:p>
      <w:pPr>
        <w:rPr>
          <w:rFonts w:hint="eastAsia" w:ascii="宋体" w:hAnsi="宋体" w:cs="宋体"/>
          <w:color w:val="auto"/>
          <w:highlight w:val="none"/>
        </w:rPr>
      </w:pPr>
    </w:p>
    <w:p>
      <w:pPr>
        <w:tabs>
          <w:tab w:val="left" w:pos="360"/>
          <w:tab w:val="left" w:pos="540"/>
        </w:tabs>
        <w:rPr>
          <w:rFonts w:hint="eastAsia" w:ascii="宋体" w:hAnsi="宋体" w:cs="宋体"/>
          <w:color w:val="auto"/>
          <w:sz w:val="24"/>
          <w:highlight w:val="none"/>
          <w:lang w:val="en-GB"/>
        </w:rPr>
      </w:pPr>
      <w:r>
        <w:rPr>
          <w:rFonts w:hint="eastAsia" w:ascii="宋体" w:hAnsi="宋体" w:cs="宋体"/>
          <w:color w:val="auto"/>
          <w:sz w:val="24"/>
          <w:highlight w:val="none"/>
          <w:lang w:val="en-GB"/>
        </w:rPr>
        <w:t xml:space="preserve">           </w:t>
      </w:r>
    </w:p>
    <w:p>
      <w:pPr>
        <w:widowControl/>
        <w:jc w:val="left"/>
        <w:rPr>
          <w:rFonts w:hint="eastAsia" w:ascii="宋体" w:hAnsi="宋体" w:cs="宋体"/>
          <w:color w:val="auto"/>
          <w:sz w:val="24"/>
          <w:highlight w:val="none"/>
          <w:u w:val="single"/>
          <w:lang w:val="en-GB"/>
        </w:rPr>
        <w:sectPr>
          <w:pgSz w:w="11907" w:h="16840"/>
          <w:pgMar w:top="1440" w:right="1797" w:bottom="1440" w:left="1797" w:header="851" w:footer="851" w:gutter="0"/>
          <w:cols w:space="720" w:num="1"/>
          <w:docGrid w:linePitch="462" w:charSpace="0"/>
        </w:sectPr>
      </w:pPr>
    </w:p>
    <w:p>
      <w:pPr>
        <w:pStyle w:val="23"/>
        <w:spacing w:line="360" w:lineRule="auto"/>
        <w:jc w:val="center"/>
        <w:outlineLvl w:val="0"/>
        <w:rPr>
          <w:rFonts w:hAnsi="宋体" w:cs="宋体"/>
          <w:b/>
          <w:color w:val="auto"/>
          <w:sz w:val="36"/>
          <w:szCs w:val="36"/>
          <w:highlight w:val="none"/>
        </w:rPr>
      </w:pPr>
      <w:bookmarkStart w:id="850" w:name="_Toc192872481"/>
      <w:r>
        <w:rPr>
          <w:rFonts w:hAnsi="宋体" w:cs="宋体"/>
          <w:b/>
          <w:color w:val="auto"/>
          <w:sz w:val="36"/>
          <w:szCs w:val="36"/>
          <w:highlight w:val="none"/>
        </w:rPr>
        <w:t>第七章   投标文件格式</w:t>
      </w:r>
      <w:bookmarkEnd w:id="850"/>
    </w:p>
    <w:p>
      <w:pPr>
        <w:tabs>
          <w:tab w:val="left" w:pos="900"/>
          <w:tab w:val="left" w:pos="1980"/>
        </w:tabs>
        <w:snapToGrid w:val="0"/>
        <w:spacing w:line="360" w:lineRule="auto"/>
        <w:ind w:left="142"/>
        <w:rPr>
          <w:rFonts w:hint="eastAsia" w:ascii="宋体" w:hAnsi="宋体" w:cs="宋体"/>
          <w:color w:val="auto"/>
          <w:sz w:val="24"/>
          <w:highlight w:val="none"/>
        </w:rPr>
      </w:pPr>
      <w:r>
        <w:rPr>
          <w:rFonts w:hint="eastAsia" w:ascii="宋体" w:hAnsi="宋体" w:cs="宋体"/>
          <w:b/>
          <w:color w:val="auto"/>
          <w:sz w:val="24"/>
          <w:highlight w:val="none"/>
        </w:rPr>
        <w:t>投标人编制文件须知</w:t>
      </w:r>
    </w:p>
    <w:p>
      <w:pPr>
        <w:tabs>
          <w:tab w:val="left" w:pos="900"/>
          <w:tab w:val="left" w:pos="1980"/>
        </w:tabs>
        <w:snapToGrid w:val="0"/>
        <w:spacing w:line="360" w:lineRule="auto"/>
        <w:ind w:left="142"/>
        <w:rPr>
          <w:rFonts w:hint="eastAsia" w:ascii="宋体" w:hAnsi="宋体" w:cs="宋体"/>
          <w:color w:val="auto"/>
          <w:sz w:val="24"/>
          <w:highlight w:val="none"/>
        </w:rPr>
      </w:pPr>
      <w:r>
        <w:rPr>
          <w:rFonts w:hint="eastAsia" w:ascii="宋体" w:hAnsi="宋体" w:cs="宋体"/>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rPr>
        <w:t>对于招标文件中标记了“实质性格式”文件的，</w:t>
      </w:r>
      <w:r>
        <w:rPr>
          <w:rFonts w:hint="eastAsia" w:ascii="宋体" w:hAnsi="宋体" w:cs="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color w:val="auto"/>
          <w:kern w:val="0"/>
          <w:sz w:val="24"/>
          <w:highlight w:val="none"/>
        </w:rPr>
        <w:t>否则</w:t>
      </w:r>
      <w:r>
        <w:rPr>
          <w:rFonts w:hint="eastAsia" w:ascii="宋体" w:hAnsi="宋体" w:cs="宋体"/>
          <w:b/>
          <w:color w:val="auto"/>
          <w:kern w:val="0"/>
          <w:sz w:val="24"/>
          <w:highlight w:val="none"/>
        </w:rPr>
        <w:t>投标无效</w:t>
      </w:r>
      <w:r>
        <w:rPr>
          <w:rFonts w:hint="eastAsia" w:ascii="宋体" w:hAnsi="宋体" w:cs="宋体"/>
          <w:color w:val="auto"/>
          <w:kern w:val="0"/>
          <w:sz w:val="24"/>
          <w:highlight w:val="none"/>
        </w:rPr>
        <w:t>。未标记“实质性格式”的文件和招标文件未提供格式的内容，可由投标人自行编写。</w:t>
      </w:r>
    </w:p>
    <w:p>
      <w:pPr>
        <w:tabs>
          <w:tab w:val="left" w:pos="900"/>
          <w:tab w:val="left" w:pos="1980"/>
        </w:tabs>
        <w:snapToGrid w:val="0"/>
        <w:spacing w:line="360" w:lineRule="auto"/>
        <w:ind w:left="142"/>
        <w:rPr>
          <w:rFonts w:hint="eastAsia" w:ascii="宋体" w:hAnsi="宋体" w:cs="宋体"/>
          <w:color w:val="auto"/>
          <w:kern w:val="0"/>
          <w:sz w:val="24"/>
          <w:highlight w:val="none"/>
        </w:rPr>
      </w:pPr>
      <w:r>
        <w:rPr>
          <w:rFonts w:hint="eastAsia" w:ascii="宋体" w:hAnsi="宋体" w:cs="宋体"/>
          <w:color w:val="auto"/>
          <w:kern w:val="0"/>
          <w:sz w:val="24"/>
          <w:highlight w:val="none"/>
        </w:rPr>
        <w:t>3、投标文件格式中以空格和下划横线“__”形式标记的部分，为投标单位需要填写的内容。投标单位应根据实际进行具体化填写，确实没有需要填写的，在空格或下划横线“__”中用“ / ”标记。</w:t>
      </w:r>
    </w:p>
    <w:p>
      <w:pPr>
        <w:tabs>
          <w:tab w:val="left" w:pos="900"/>
          <w:tab w:val="left" w:pos="1980"/>
        </w:tabs>
        <w:snapToGrid w:val="0"/>
        <w:spacing w:line="360" w:lineRule="auto"/>
        <w:ind w:left="142"/>
        <w:rPr>
          <w:rFonts w:hint="eastAsia" w:ascii="宋体" w:hAnsi="宋体" w:cs="宋体"/>
          <w:color w:val="auto"/>
          <w:sz w:val="24"/>
          <w:highlight w:val="none"/>
        </w:rPr>
      </w:pPr>
      <w:r>
        <w:rPr>
          <w:rFonts w:hint="eastAsia" w:ascii="宋体" w:hAnsi="宋体" w:cs="宋体"/>
          <w:color w:val="auto"/>
          <w:sz w:val="24"/>
          <w:highlight w:val="none"/>
        </w:rPr>
        <w:t>4、全部声明和问题的回答及所附材料必须是真实的、准确的和完整的。</w:t>
      </w:r>
    </w:p>
    <w:p>
      <w:pPr>
        <w:tabs>
          <w:tab w:val="left" w:pos="900"/>
          <w:tab w:val="left" w:pos="1980"/>
        </w:tabs>
        <w:snapToGrid w:val="0"/>
        <w:spacing w:line="360" w:lineRule="auto"/>
        <w:ind w:left="142"/>
        <w:rPr>
          <w:rFonts w:hint="eastAsia" w:ascii="宋体" w:hAnsi="宋体" w:cs="宋体"/>
          <w:b/>
          <w:bCs/>
          <w:color w:val="auto"/>
          <w:sz w:val="24"/>
          <w:highlight w:val="none"/>
        </w:rPr>
      </w:pPr>
      <w:r>
        <w:rPr>
          <w:rFonts w:hint="eastAsia" w:ascii="宋体" w:hAnsi="宋体" w:cs="宋体"/>
          <w:color w:val="auto"/>
          <w:sz w:val="24"/>
          <w:highlight w:val="none"/>
        </w:rPr>
        <w:t>5、</w:t>
      </w:r>
      <w:r>
        <w:rPr>
          <w:rFonts w:hint="eastAsia" w:ascii="宋体" w:hAnsi="宋体" w:cs="宋体"/>
          <w:b/>
          <w:bCs/>
          <w:color w:val="auto"/>
          <w:sz w:val="24"/>
          <w:highlight w:val="none"/>
        </w:rPr>
        <w:t>为方便电子标评审，建议投标人编制详细的目录及正确的页码。</w:t>
      </w:r>
    </w:p>
    <w:p>
      <w:pPr>
        <w:tabs>
          <w:tab w:val="left" w:pos="900"/>
          <w:tab w:val="left" w:pos="1980"/>
        </w:tabs>
        <w:snapToGrid w:val="0"/>
        <w:spacing w:line="360" w:lineRule="auto"/>
        <w:ind w:left="142"/>
        <w:rPr>
          <w:rFonts w:hint="eastAsia" w:ascii="宋体" w:hAnsi="宋体" w:cs="宋体"/>
          <w:color w:val="auto"/>
          <w:sz w:val="24"/>
          <w:highlight w:val="none"/>
        </w:rPr>
      </w:pPr>
      <w:r>
        <w:rPr>
          <w:rFonts w:hint="eastAsia" w:ascii="宋体" w:hAnsi="宋体" w:cs="宋体"/>
          <w:bCs/>
          <w:color w:val="auto"/>
          <w:sz w:val="36"/>
          <w:szCs w:val="36"/>
          <w:highlight w:val="none"/>
        </w:rPr>
        <w:t xml:space="preserve"> </w:t>
      </w:r>
      <w:r>
        <w:rPr>
          <w:rFonts w:hint="eastAsia" w:ascii="宋体" w:hAnsi="宋体" w:cs="宋体"/>
          <w:color w:val="auto"/>
          <w:sz w:val="24"/>
          <w:highlight w:val="none"/>
        </w:rPr>
        <w:br w:type="page"/>
      </w:r>
    </w:p>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Pr>
        <w:keepNext/>
        <w:keepLines/>
        <w:autoSpaceDE w:val="0"/>
        <w:autoSpaceDN w:val="0"/>
        <w:adjustRightInd w:val="0"/>
        <w:spacing w:before="120" w:line="300" w:lineRule="auto"/>
        <w:jc w:val="left"/>
        <w:outlineLvl w:val="1"/>
        <w:rPr>
          <w:rFonts w:hint="eastAsia" w:ascii="宋体" w:hAnsi="宋体" w:cs="宋体"/>
          <w:b/>
          <w:color w:val="auto"/>
          <w:kern w:val="0"/>
          <w:sz w:val="30"/>
          <w:szCs w:val="20"/>
          <w:highlight w:val="none"/>
        </w:rPr>
      </w:pPr>
      <w:r>
        <w:rPr>
          <w:rFonts w:hint="eastAsia" w:ascii="宋体" w:hAnsi="宋体" w:cs="宋体"/>
          <w:b/>
          <w:color w:val="auto"/>
          <w:spacing w:val="20"/>
          <w:sz w:val="24"/>
          <w:highlight w:val="none"/>
        </w:rPr>
        <w:t>一、资格证明文件格式</w:t>
      </w:r>
    </w:p>
    <w:p>
      <w:pPr>
        <w:rPr>
          <w:rFonts w:hint="eastAsia" w:ascii="宋体" w:hAnsi="宋体" w:cs="宋体"/>
          <w:b/>
          <w:color w:val="auto"/>
          <w:spacing w:val="20"/>
          <w:szCs w:val="21"/>
          <w:highlight w:val="none"/>
        </w:rPr>
      </w:pPr>
    </w:p>
    <w:p>
      <w:pPr>
        <w:rPr>
          <w:rFonts w:hint="eastAsia" w:ascii="宋体" w:hAnsi="宋体" w:cs="宋体"/>
          <w:b/>
          <w:color w:val="auto"/>
          <w:sz w:val="24"/>
          <w:highlight w:val="none"/>
        </w:rPr>
      </w:pPr>
      <w:r>
        <w:rPr>
          <w:rFonts w:hint="eastAsia" w:ascii="宋体" w:hAnsi="宋体" w:cs="宋体"/>
          <w:b/>
          <w:color w:val="auto"/>
          <w:spacing w:val="20"/>
          <w:sz w:val="24"/>
          <w:highlight w:val="none"/>
        </w:rPr>
        <w:t>投标文件（资格证明文件）</w:t>
      </w:r>
      <w:r>
        <w:rPr>
          <w:rFonts w:hint="eastAsia" w:ascii="宋体" w:hAnsi="宋体" w:cs="宋体"/>
          <w:b/>
          <w:color w:val="auto"/>
          <w:sz w:val="24"/>
          <w:highlight w:val="none"/>
        </w:rPr>
        <w:t>封面（非实质性格式）</w:t>
      </w:r>
    </w:p>
    <w:p>
      <w:pPr>
        <w:rPr>
          <w:rFonts w:hint="eastAsia" w:ascii="宋体" w:hAnsi="宋体" w:cs="宋体"/>
          <w:b/>
          <w:color w:val="auto"/>
          <w:spacing w:val="60"/>
          <w:sz w:val="84"/>
          <w:szCs w:val="84"/>
          <w:highlight w:val="none"/>
        </w:rPr>
      </w:pPr>
    </w:p>
    <w:p>
      <w:pPr>
        <w:jc w:val="center"/>
        <w:rPr>
          <w:rFonts w:hint="eastAsia" w:ascii="宋体" w:hAnsi="宋体" w:cs="宋体"/>
          <w:b/>
          <w:color w:val="auto"/>
          <w:spacing w:val="60"/>
          <w:sz w:val="84"/>
          <w:szCs w:val="84"/>
          <w:highlight w:val="none"/>
        </w:rPr>
      </w:pPr>
      <w:r>
        <w:rPr>
          <w:rFonts w:hint="eastAsia" w:ascii="宋体" w:hAnsi="宋体" w:cs="宋体"/>
          <w:b/>
          <w:color w:val="auto"/>
          <w:spacing w:val="60"/>
          <w:sz w:val="84"/>
          <w:szCs w:val="84"/>
          <w:highlight w:val="none"/>
        </w:rPr>
        <w:t>投 标 文 件</w:t>
      </w:r>
    </w:p>
    <w:p>
      <w:pPr>
        <w:jc w:val="center"/>
        <w:rPr>
          <w:rFonts w:hint="eastAsia" w:ascii="宋体" w:hAnsi="宋体" w:cs="宋体"/>
          <w:b/>
          <w:color w:val="auto"/>
          <w:spacing w:val="60"/>
          <w:sz w:val="52"/>
          <w:szCs w:val="52"/>
          <w:highlight w:val="none"/>
        </w:rPr>
      </w:pPr>
      <w:r>
        <w:rPr>
          <w:rFonts w:hint="eastAsia" w:ascii="宋体" w:hAnsi="宋体" w:cs="宋体"/>
          <w:b/>
          <w:color w:val="auto"/>
          <w:spacing w:val="60"/>
          <w:sz w:val="52"/>
          <w:szCs w:val="52"/>
          <w:highlight w:val="none"/>
        </w:rPr>
        <w:t>（资格证明文件）</w:t>
      </w:r>
    </w:p>
    <w:p>
      <w:pPr>
        <w:ind w:firstLine="542" w:firstLineChars="150"/>
        <w:rPr>
          <w:rFonts w:hint="eastAsia" w:ascii="宋体" w:hAnsi="宋体" w:cs="宋体"/>
          <w:b/>
          <w:color w:val="auto"/>
          <w:spacing w:val="20"/>
          <w:sz w:val="32"/>
          <w:szCs w:val="32"/>
          <w:highlight w:val="none"/>
        </w:rPr>
      </w:pPr>
    </w:p>
    <w:p>
      <w:pPr>
        <w:ind w:firstLine="542" w:firstLineChars="150"/>
        <w:rPr>
          <w:rFonts w:hint="eastAsia" w:ascii="宋体" w:hAnsi="宋体" w:cs="宋体"/>
          <w:b/>
          <w:color w:val="auto"/>
          <w:spacing w:val="20"/>
          <w:sz w:val="32"/>
          <w:szCs w:val="32"/>
          <w:highlight w:val="none"/>
        </w:rPr>
      </w:pPr>
    </w:p>
    <w:p>
      <w:pPr>
        <w:ind w:firstLine="542" w:firstLineChars="150"/>
        <w:rPr>
          <w:rFonts w:hint="eastAsia" w:ascii="宋体" w:hAnsi="宋体" w:cs="宋体"/>
          <w:b/>
          <w:color w:val="auto"/>
          <w:spacing w:val="20"/>
          <w:sz w:val="32"/>
          <w:szCs w:val="32"/>
          <w:highlight w:val="none"/>
        </w:rPr>
      </w:pPr>
    </w:p>
    <w:p>
      <w:pPr>
        <w:ind w:firstLine="542" w:firstLineChars="150"/>
        <w:rPr>
          <w:rFonts w:hint="eastAsia" w:ascii="宋体" w:hAnsi="宋体" w:cs="宋体"/>
          <w:b/>
          <w:color w:val="auto"/>
          <w:spacing w:val="20"/>
          <w:sz w:val="32"/>
          <w:szCs w:val="32"/>
          <w:highlight w:val="none"/>
        </w:rPr>
      </w:pPr>
    </w:p>
    <w:p>
      <w:pPr>
        <w:ind w:firstLine="542" w:firstLineChars="150"/>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项目名称:</w:t>
      </w:r>
    </w:p>
    <w:p>
      <w:pPr>
        <w:ind w:firstLine="542" w:firstLineChars="150"/>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lang w:val="en-US" w:eastAsia="zh-CN"/>
        </w:rPr>
        <w:t>分包</w:t>
      </w:r>
      <w:r>
        <w:rPr>
          <w:rFonts w:hint="eastAsia" w:ascii="宋体" w:hAnsi="宋体" w:cs="宋体"/>
          <w:b/>
          <w:color w:val="auto"/>
          <w:spacing w:val="20"/>
          <w:sz w:val="32"/>
          <w:szCs w:val="32"/>
          <w:highlight w:val="none"/>
        </w:rPr>
        <w:t>名称：</w:t>
      </w:r>
    </w:p>
    <w:p>
      <w:pPr>
        <w:ind w:firstLine="542" w:firstLineChars="150"/>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项目编号：</w:t>
      </w:r>
    </w:p>
    <w:p>
      <w:pPr>
        <w:ind w:firstLine="542" w:firstLineChars="150"/>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包号：</w:t>
      </w:r>
    </w:p>
    <w:p>
      <w:pPr>
        <w:ind w:firstLine="542" w:firstLineChars="150"/>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 xml:space="preserve"> </w:t>
      </w:r>
    </w:p>
    <w:p>
      <w:pPr>
        <w:jc w:val="center"/>
        <w:rPr>
          <w:rFonts w:hint="eastAsia" w:ascii="宋体" w:hAnsi="宋体" w:cs="宋体"/>
          <w:b/>
          <w:color w:val="auto"/>
          <w:spacing w:val="20"/>
          <w:sz w:val="32"/>
          <w:szCs w:val="32"/>
          <w:highlight w:val="none"/>
        </w:rPr>
      </w:pPr>
    </w:p>
    <w:p>
      <w:pPr>
        <w:jc w:val="center"/>
        <w:rPr>
          <w:rFonts w:hint="eastAsia" w:ascii="宋体" w:hAnsi="宋体" w:cs="宋体"/>
          <w:b/>
          <w:color w:val="auto"/>
          <w:spacing w:val="20"/>
          <w:sz w:val="32"/>
          <w:szCs w:val="32"/>
          <w:highlight w:val="none"/>
        </w:rPr>
      </w:pPr>
    </w:p>
    <w:p>
      <w:pPr>
        <w:spacing w:line="360" w:lineRule="auto"/>
        <w:ind w:firstLine="1445" w:firstLineChars="400"/>
        <w:jc w:val="left"/>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投标人名称：</w:t>
      </w:r>
    </w:p>
    <w:p>
      <w:pPr>
        <w:spacing w:line="360" w:lineRule="auto"/>
        <w:ind w:firstLine="1445" w:firstLineChars="400"/>
        <w:jc w:val="left"/>
        <w:rPr>
          <w:rFonts w:hint="eastAsia" w:ascii="宋体" w:hAnsi="宋体" w:cs="宋体"/>
          <w:b/>
          <w:color w:val="auto"/>
          <w:spacing w:val="20"/>
          <w:sz w:val="32"/>
          <w:szCs w:val="32"/>
          <w:highlight w:val="none"/>
        </w:rPr>
      </w:pPr>
    </w:p>
    <w:p>
      <w:pPr>
        <w:rPr>
          <w:rFonts w:hint="eastAsia" w:ascii="宋体" w:hAnsi="宋体" w:cs="宋体"/>
          <w:color w:val="auto"/>
          <w:sz w:val="24"/>
          <w:szCs w:val="20"/>
          <w:highlight w:val="none"/>
        </w:rPr>
        <w:sectPr>
          <w:pgSz w:w="11907" w:h="16840"/>
          <w:pgMar w:top="1440" w:right="1797" w:bottom="1440" w:left="1797" w:header="851" w:footer="851" w:gutter="0"/>
          <w:cols w:space="720" w:num="1"/>
          <w:docGrid w:linePitch="462" w:charSpace="0"/>
        </w:sectPr>
      </w:pPr>
    </w:p>
    <w:p>
      <w:pPr>
        <w:rPr>
          <w:rFonts w:hint="eastAsia" w:ascii="宋体" w:hAnsi="宋体" w:cs="宋体"/>
          <w:color w:val="auto"/>
          <w:sz w:val="24"/>
          <w:szCs w:val="20"/>
          <w:highlight w:val="none"/>
        </w:rPr>
      </w:pPr>
    </w:p>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1 </w:t>
      </w:r>
      <w:r>
        <w:rPr>
          <w:rFonts w:hint="eastAsia" w:ascii="宋体" w:hAnsi="宋体" w:cs="宋体"/>
          <w:color w:val="auto"/>
          <w:sz w:val="24"/>
          <w:highlight w:val="none"/>
        </w:rPr>
        <w:t>满足《中华人民共和国政府采购法》第二十二条规定及法律法规的其他规定</w:t>
      </w:r>
    </w:p>
    <w:p>
      <w:pPr>
        <w:spacing w:line="360" w:lineRule="auto"/>
        <w:outlineLvl w:val="2"/>
        <w:rPr>
          <w:rFonts w:hint="eastAsia" w:ascii="宋体" w:hAnsi="宋体" w:cs="宋体"/>
          <w:b/>
          <w:bCs/>
          <w:color w:val="auto"/>
          <w:sz w:val="24"/>
          <w:szCs w:val="20"/>
          <w:highlight w:val="none"/>
        </w:rPr>
      </w:pPr>
      <w:r>
        <w:rPr>
          <w:rFonts w:hint="eastAsia" w:ascii="宋体" w:hAnsi="宋体" w:cs="宋体"/>
          <w:b/>
          <w:color w:val="auto"/>
          <w:sz w:val="24"/>
          <w:szCs w:val="20"/>
          <w:highlight w:val="none"/>
        </w:rPr>
        <w:t>1-1</w:t>
      </w:r>
      <w:r>
        <w:rPr>
          <w:rFonts w:hint="eastAsia" w:ascii="宋体" w:hAnsi="宋体" w:cs="宋体"/>
          <w:b/>
          <w:bCs/>
          <w:color w:val="auto"/>
          <w:sz w:val="24"/>
          <w:szCs w:val="20"/>
          <w:highlight w:val="none"/>
        </w:rPr>
        <w:t>营业执照等证明文件（实质性格式）</w:t>
      </w:r>
    </w:p>
    <w:p>
      <w:pPr>
        <w:rPr>
          <w:rFonts w:hint="eastAsia" w:ascii="宋体" w:hAnsi="宋体" w:cs="宋体"/>
          <w:b/>
          <w:bCs/>
          <w:color w:val="auto"/>
          <w:sz w:val="44"/>
          <w:szCs w:val="44"/>
          <w:highlight w:val="none"/>
        </w:rPr>
        <w:sectPr>
          <w:pgSz w:w="11907" w:h="16840"/>
          <w:pgMar w:top="1440" w:right="1797" w:bottom="1440" w:left="1797" w:header="851" w:footer="851" w:gutter="0"/>
          <w:cols w:space="720" w:num="1"/>
          <w:docGrid w:linePitch="462" w:charSpace="0"/>
        </w:sectPr>
      </w:pPr>
      <w:r>
        <w:rPr>
          <w:rFonts w:hint="eastAsia" w:ascii="宋体" w:hAnsi="宋体" w:cs="宋体"/>
          <w:b/>
          <w:bCs/>
          <w:color w:val="auto"/>
          <w:sz w:val="44"/>
          <w:szCs w:val="44"/>
          <w:highlight w:val="none"/>
        </w:rPr>
        <w:t>附营业执照电子件</w:t>
      </w:r>
    </w:p>
    <w:p>
      <w:pPr>
        <w:pStyle w:val="4"/>
        <w:rPr>
          <w:rFonts w:hint="eastAsia" w:hAnsi="宋体" w:cs="宋体"/>
          <w:bCs/>
          <w:color w:val="auto"/>
          <w:highlight w:val="none"/>
          <w:u w:val="none"/>
        </w:rPr>
      </w:pPr>
      <w:r>
        <w:rPr>
          <w:rFonts w:hint="eastAsia" w:hAnsi="宋体" w:cs="宋体"/>
          <w:color w:val="auto"/>
          <w:highlight w:val="none"/>
          <w:u w:val="none"/>
        </w:rPr>
        <w:t>1-2 投标人资格声明书（实质性格式）</w:t>
      </w:r>
    </w:p>
    <w:p>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投标人资格声明书</w:t>
      </w:r>
    </w:p>
    <w:p>
      <w:pPr>
        <w:tabs>
          <w:tab w:val="left" w:pos="5580"/>
        </w:tabs>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致：采购人或采购代理机构</w:t>
      </w:r>
    </w:p>
    <w:p>
      <w:pPr>
        <w:adjustRightInd w:val="0"/>
        <w:snapToGrid w:val="0"/>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在参与本次项目投标中，我单位承诺：</w:t>
      </w:r>
    </w:p>
    <w:p>
      <w:pPr>
        <w:numPr>
          <w:ilvl w:val="0"/>
          <w:numId w:val="32"/>
        </w:numPr>
        <w:adjustRightInd w:val="0"/>
        <w:snapToGrid w:val="0"/>
        <w:spacing w:after="0" w:line="360" w:lineRule="auto"/>
        <w:ind w:left="1134"/>
        <w:rPr>
          <w:rFonts w:hint="eastAsia" w:ascii="宋体" w:hAnsi="宋体" w:cs="宋体"/>
          <w:color w:val="auto"/>
          <w:sz w:val="24"/>
          <w:szCs w:val="22"/>
          <w:highlight w:val="none"/>
        </w:rPr>
      </w:pPr>
      <w:r>
        <w:rPr>
          <w:rFonts w:hint="eastAsia" w:ascii="宋体" w:hAnsi="宋体" w:cs="宋体"/>
          <w:color w:val="auto"/>
          <w:sz w:val="24"/>
          <w:szCs w:val="22"/>
          <w:highlight w:val="none"/>
        </w:rPr>
        <w:t>具有良好的商业信誉和健全的财务会计制度；</w:t>
      </w:r>
    </w:p>
    <w:p>
      <w:pPr>
        <w:numPr>
          <w:ilvl w:val="0"/>
          <w:numId w:val="32"/>
        </w:numPr>
        <w:adjustRightInd w:val="0"/>
        <w:snapToGrid w:val="0"/>
        <w:spacing w:after="0" w:line="360" w:lineRule="auto"/>
        <w:ind w:left="1134"/>
        <w:rPr>
          <w:rFonts w:hint="eastAsia" w:ascii="宋体" w:hAnsi="宋体" w:cs="宋体"/>
          <w:color w:val="auto"/>
          <w:sz w:val="24"/>
          <w:szCs w:val="22"/>
          <w:highlight w:val="none"/>
        </w:rPr>
      </w:pPr>
      <w:r>
        <w:rPr>
          <w:rFonts w:hint="eastAsia" w:ascii="宋体" w:hAnsi="宋体" w:cs="宋体"/>
          <w:color w:val="auto"/>
          <w:sz w:val="24"/>
          <w:szCs w:val="22"/>
          <w:highlight w:val="none"/>
        </w:rPr>
        <w:t>具有履行合同所必需的设备和专业技术能力；</w:t>
      </w:r>
    </w:p>
    <w:p>
      <w:pPr>
        <w:numPr>
          <w:ilvl w:val="0"/>
          <w:numId w:val="32"/>
        </w:numPr>
        <w:adjustRightInd w:val="0"/>
        <w:snapToGrid w:val="0"/>
        <w:spacing w:after="0" w:line="360" w:lineRule="auto"/>
        <w:ind w:left="1134"/>
        <w:rPr>
          <w:rFonts w:hint="eastAsia" w:ascii="宋体" w:hAnsi="宋体" w:cs="宋体"/>
          <w:color w:val="auto"/>
          <w:sz w:val="24"/>
          <w:szCs w:val="22"/>
          <w:highlight w:val="none"/>
        </w:rPr>
      </w:pPr>
      <w:r>
        <w:rPr>
          <w:rFonts w:hint="eastAsia" w:ascii="宋体" w:hAnsi="宋体" w:cs="宋体"/>
          <w:color w:val="auto"/>
          <w:sz w:val="24"/>
          <w:szCs w:val="22"/>
          <w:highlight w:val="none"/>
        </w:rPr>
        <w:t>有依法缴纳税收和社会保障资金的良好记录；</w:t>
      </w:r>
    </w:p>
    <w:p>
      <w:pPr>
        <w:numPr>
          <w:ilvl w:val="0"/>
          <w:numId w:val="32"/>
        </w:numPr>
        <w:adjustRightInd w:val="0"/>
        <w:snapToGrid w:val="0"/>
        <w:spacing w:after="0" w:line="360" w:lineRule="auto"/>
        <w:ind w:left="1134"/>
        <w:rPr>
          <w:rFonts w:hint="eastAsia" w:ascii="宋体" w:hAnsi="宋体" w:cs="宋体"/>
          <w:color w:val="auto"/>
          <w:sz w:val="24"/>
          <w:szCs w:val="22"/>
          <w:highlight w:val="none"/>
        </w:rPr>
      </w:pPr>
      <w:r>
        <w:rPr>
          <w:rFonts w:hint="eastAsia" w:ascii="宋体" w:hAnsi="宋体" w:cs="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32"/>
        </w:numPr>
        <w:adjustRightInd w:val="0"/>
        <w:snapToGrid w:val="0"/>
        <w:spacing w:after="0" w:line="360" w:lineRule="auto"/>
        <w:ind w:left="1134"/>
        <w:rPr>
          <w:rFonts w:hint="eastAsia" w:ascii="宋体" w:hAnsi="宋体" w:cs="宋体"/>
          <w:color w:val="auto"/>
          <w:sz w:val="24"/>
          <w:szCs w:val="22"/>
          <w:highlight w:val="none"/>
        </w:rPr>
      </w:pPr>
      <w:r>
        <w:rPr>
          <w:rFonts w:hint="eastAsia" w:ascii="宋体" w:hAnsi="宋体" w:cs="宋体"/>
          <w:color w:val="auto"/>
          <w:sz w:val="24"/>
          <w:szCs w:val="22"/>
          <w:highlight w:val="none"/>
        </w:rPr>
        <w:t>我单位不属于政府采购法律、行政法规规定的公益一类事业单位、或使用事业编制且由财政拨款保障的群团组织（仅适用于政府购买服务项目）；</w:t>
      </w:r>
    </w:p>
    <w:p>
      <w:pPr>
        <w:numPr>
          <w:ilvl w:val="0"/>
          <w:numId w:val="32"/>
        </w:numPr>
        <w:adjustRightInd w:val="0"/>
        <w:snapToGrid w:val="0"/>
        <w:spacing w:after="0" w:line="360" w:lineRule="auto"/>
        <w:ind w:left="1134"/>
        <w:rPr>
          <w:rFonts w:hint="eastAsia" w:ascii="宋体" w:hAnsi="宋体" w:cs="宋体"/>
          <w:color w:val="auto"/>
          <w:sz w:val="24"/>
          <w:szCs w:val="22"/>
          <w:highlight w:val="none"/>
        </w:rPr>
      </w:pPr>
      <w:r>
        <w:rPr>
          <w:rFonts w:hint="eastAsia" w:ascii="宋体" w:hAnsi="宋体" w:cs="宋体"/>
          <w:color w:val="auto"/>
          <w:sz w:val="24"/>
          <w:szCs w:val="22"/>
          <w:highlight w:val="none"/>
        </w:rPr>
        <w:t>我单位不存在为采购项目提供整体设计、规范编制或者项目管理、监理、检测等服务后，再参加该采购项目的其他采购活动的情形（单一来源采购项目除外）；</w:t>
      </w:r>
    </w:p>
    <w:p>
      <w:pPr>
        <w:numPr>
          <w:ilvl w:val="0"/>
          <w:numId w:val="32"/>
        </w:numPr>
        <w:adjustRightInd w:val="0"/>
        <w:snapToGrid w:val="0"/>
        <w:spacing w:after="0" w:line="360" w:lineRule="auto"/>
        <w:ind w:left="1134"/>
        <w:rPr>
          <w:rFonts w:hint="eastAsia" w:ascii="宋体" w:hAnsi="宋体" w:cs="宋体"/>
          <w:color w:val="auto"/>
          <w:sz w:val="24"/>
          <w:szCs w:val="22"/>
          <w:highlight w:val="none"/>
        </w:rPr>
      </w:pPr>
      <w:r>
        <w:rPr>
          <w:rFonts w:hint="eastAsia" w:ascii="宋体" w:hAnsi="宋体" w:cs="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7"/>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4574"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单位名称</w:t>
            </w:r>
          </w:p>
        </w:tc>
        <w:tc>
          <w:tcPr>
            <w:tcW w:w="2976"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4574" w:type="dxa"/>
            <w:vAlign w:val="center"/>
          </w:tcPr>
          <w:p>
            <w:pPr>
              <w:jc w:val="center"/>
              <w:rPr>
                <w:rFonts w:hint="eastAsia" w:ascii="宋体" w:hAnsi="宋体" w:cs="宋体"/>
                <w:color w:val="auto"/>
                <w:sz w:val="24"/>
                <w:highlight w:val="none"/>
              </w:rPr>
            </w:pPr>
          </w:p>
        </w:tc>
        <w:tc>
          <w:tcPr>
            <w:tcW w:w="2976" w:type="dxa"/>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4574" w:type="dxa"/>
            <w:vAlign w:val="center"/>
          </w:tcPr>
          <w:p>
            <w:pPr>
              <w:jc w:val="center"/>
              <w:rPr>
                <w:rFonts w:hint="eastAsia" w:ascii="宋体" w:hAnsi="宋体" w:cs="宋体"/>
                <w:color w:val="auto"/>
                <w:sz w:val="24"/>
                <w:highlight w:val="none"/>
              </w:rPr>
            </w:pPr>
          </w:p>
        </w:tc>
        <w:tc>
          <w:tcPr>
            <w:tcW w:w="2976" w:type="dxa"/>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4574" w:type="dxa"/>
            <w:vAlign w:val="center"/>
          </w:tcPr>
          <w:p>
            <w:pPr>
              <w:jc w:val="center"/>
              <w:rPr>
                <w:rFonts w:hint="eastAsia" w:ascii="宋体" w:hAnsi="宋体" w:cs="宋体"/>
                <w:color w:val="auto"/>
                <w:sz w:val="24"/>
                <w:highlight w:val="none"/>
              </w:rPr>
            </w:pPr>
          </w:p>
        </w:tc>
        <w:tc>
          <w:tcPr>
            <w:tcW w:w="2976" w:type="dxa"/>
            <w:vAlign w:val="center"/>
          </w:tcPr>
          <w:p>
            <w:pPr>
              <w:jc w:val="center"/>
              <w:rPr>
                <w:rFonts w:hint="eastAsia" w:ascii="宋体" w:hAnsi="宋体" w:cs="宋体"/>
                <w:color w:val="auto"/>
                <w:sz w:val="24"/>
                <w:highlight w:val="none"/>
              </w:rPr>
            </w:pPr>
          </w:p>
        </w:tc>
      </w:tr>
    </w:tbl>
    <w:p>
      <w:pPr>
        <w:adjustRightInd w:val="0"/>
        <w:snapToGrid w:val="0"/>
        <w:spacing w:after="0"/>
        <w:rPr>
          <w:rFonts w:hint="eastAsia" w:ascii="宋体" w:hAnsi="宋体" w:cs="宋体"/>
          <w:color w:val="auto"/>
          <w:highlight w:val="none"/>
        </w:rPr>
      </w:pPr>
    </w:p>
    <w:p>
      <w:pPr>
        <w:adjustRightInd w:val="0"/>
        <w:snapToGrid w:val="0"/>
        <w:spacing w:after="0"/>
        <w:ind w:firstLine="480" w:firstLineChars="200"/>
        <w:rPr>
          <w:rFonts w:hint="eastAsia" w:ascii="宋体" w:hAnsi="宋体" w:cs="宋体"/>
          <w:color w:val="auto"/>
          <w:sz w:val="24"/>
          <w:szCs w:val="22"/>
          <w:highlight w:val="none"/>
        </w:rPr>
      </w:pPr>
      <w:r>
        <w:rPr>
          <w:rFonts w:hint="eastAsia" w:ascii="宋体" w:hAnsi="宋体" w:cs="宋体"/>
          <w:color w:val="auto"/>
          <w:sz w:val="24"/>
          <w:highlight w:val="none"/>
        </w:rPr>
        <w:t>上述声明真实有效，否则我方负全部责任。</w:t>
      </w:r>
    </w:p>
    <w:p>
      <w:pPr>
        <w:autoSpaceDE w:val="0"/>
        <w:autoSpaceDN w:val="0"/>
        <w:adjustRightInd w:val="0"/>
        <w:snapToGrid w:val="0"/>
        <w:spacing w:after="0" w:line="360" w:lineRule="auto"/>
        <w:jc w:val="right"/>
        <w:rPr>
          <w:rFonts w:hint="eastAsia"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    ____________</w:t>
      </w:r>
    </w:p>
    <w:p>
      <w:pPr>
        <w:adjustRightInd w:val="0"/>
        <w:snapToGrid w:val="0"/>
        <w:spacing w:after="0" w:line="360" w:lineRule="auto"/>
        <w:ind w:right="360" w:firstLine="480"/>
        <w:jc w:val="right"/>
        <w:rPr>
          <w:rFonts w:hint="eastAsia" w:ascii="宋体" w:hAnsi="宋体" w:cs="宋体"/>
          <w:color w:val="auto"/>
          <w:sz w:val="24"/>
          <w:highlight w:val="none"/>
        </w:rPr>
      </w:pPr>
      <w:r>
        <w:rPr>
          <w:rFonts w:hint="eastAsia" w:ascii="宋体" w:hAnsi="宋体" w:cs="宋体"/>
          <w:color w:val="auto"/>
          <w:sz w:val="24"/>
          <w:szCs w:val="20"/>
          <w:highlight w:val="none"/>
        </w:rPr>
        <w:t xml:space="preserve">日期：_____年______月______日   </w:t>
      </w:r>
    </w:p>
    <w:p>
      <w:pPr>
        <w:adjustRightInd w:val="0"/>
        <w:snapToGrid w:val="0"/>
        <w:spacing w:after="0" w:line="360" w:lineRule="auto"/>
        <w:rPr>
          <w:rFonts w:hint="eastAsia" w:ascii="宋体" w:hAnsi="宋体" w:cs="宋体"/>
          <w:color w:val="auto"/>
          <w:sz w:val="24"/>
          <w:highlight w:val="none"/>
        </w:rPr>
        <w:sectPr>
          <w:pgSz w:w="11901" w:h="16817"/>
          <w:pgMar w:top="1440" w:right="1797" w:bottom="1440" w:left="1797" w:header="851" w:footer="851" w:gutter="0"/>
          <w:cols w:space="720" w:num="1"/>
          <w:docGrid w:linePitch="462" w:charSpace="0"/>
        </w:sectPr>
      </w:pPr>
      <w:r>
        <w:rPr>
          <w:rFonts w:hint="eastAsia" w:ascii="宋体" w:hAnsi="宋体" w:cs="宋体"/>
          <w:color w:val="auto"/>
          <w:sz w:val="24"/>
          <w:highlight w:val="none"/>
        </w:rPr>
        <w:t>说明：投标人承诺不实的，依据《政府采购法》第七十七条“提供虚假材料谋取中标、成交的”有关规定予以处理。</w:t>
      </w:r>
    </w:p>
    <w:p>
      <w:pPr>
        <w:pStyle w:val="4"/>
        <w:widowControl/>
        <w:rPr>
          <w:rFonts w:hint="eastAsia" w:hAnsi="宋体" w:cs="宋体"/>
          <w:color w:val="auto"/>
          <w:highlight w:val="none"/>
        </w:rPr>
      </w:pPr>
      <w:r>
        <w:rPr>
          <w:rFonts w:hint="eastAsia" w:hAnsi="宋体" w:cs="宋体"/>
          <w:color w:val="auto"/>
          <w:highlight w:val="none"/>
        </w:rPr>
        <w:t>2.投标保证金凭证</w:t>
      </w:r>
    </w:p>
    <w:p>
      <w:pPr>
        <w:tabs>
          <w:tab w:val="left" w:pos="5580"/>
        </w:tabs>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《投标保证金递交凭证》</w:t>
      </w:r>
    </w:p>
    <w:p>
      <w:pPr>
        <w:tabs>
          <w:tab w:val="left" w:pos="5580"/>
        </w:tabs>
        <w:rPr>
          <w:rFonts w:hint="eastAsia" w:ascii="宋体" w:hAnsi="宋体" w:cs="宋体"/>
          <w:color w:val="auto"/>
          <w:sz w:val="24"/>
          <w:highlight w:val="none"/>
        </w:rPr>
      </w:pPr>
      <w:r>
        <w:rPr>
          <w:rFonts w:hint="eastAsia" w:ascii="宋体" w:hAnsi="宋体" w:cs="宋体"/>
          <w:color w:val="auto"/>
          <w:sz w:val="24"/>
          <w:highlight w:val="none"/>
        </w:rPr>
        <w:t xml:space="preserve">致北京国泰建中管理咨询有限公司：                        </w:t>
      </w:r>
    </w:p>
    <w:p>
      <w:pPr>
        <w:tabs>
          <w:tab w:val="left" w:pos="5580"/>
        </w:tabs>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我方参加贵方组织的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u w:val="single"/>
          <w:lang w:val="en-US" w:eastAsia="zh-CN"/>
        </w:rPr>
        <w:t>分包</w:t>
      </w:r>
      <w:r>
        <w:rPr>
          <w:rFonts w:hint="eastAsia" w:ascii="宋体" w:hAnsi="宋体" w:cs="宋体"/>
          <w:color w:val="auto"/>
          <w:sz w:val="24"/>
          <w:highlight w:val="none"/>
          <w:u w:val="single"/>
        </w:rPr>
        <w:t xml:space="preserve">名称）  </w:t>
      </w:r>
      <w:r>
        <w:rPr>
          <w:rFonts w:hint="eastAsia" w:ascii="宋体" w:hAnsi="宋体" w:cs="宋体"/>
          <w:color w:val="auto"/>
          <w:sz w:val="24"/>
          <w:highlight w:val="none"/>
        </w:rPr>
        <w:t xml:space="preserve">采购活动，按招标文件的规定已通过（□电汇、□支票、□汇票、□保函）形式交纳人民币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（大写）元的投标保证金，同意按以下信息以（□电汇（网银转账）、□财务窗口现场（支票））方式退还保证金，</w:t>
      </w:r>
      <w:r>
        <w:rPr>
          <w:rFonts w:hint="eastAsia" w:ascii="宋体" w:hAnsi="宋体" w:cs="宋体"/>
          <w:b/>
          <w:bCs/>
          <w:color w:val="auto"/>
          <w:sz w:val="24"/>
          <w:highlight w:val="none"/>
        </w:rPr>
        <w:t>（□是□否 同意自愿放弃同期银行利息）。</w:t>
      </w:r>
    </w:p>
    <w:p>
      <w:pPr>
        <w:tabs>
          <w:tab w:val="left" w:pos="5580"/>
        </w:tabs>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投标人单位全称：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tabs>
          <w:tab w:val="left" w:pos="5580"/>
        </w:tabs>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tabs>
          <w:tab w:val="left" w:pos="5580"/>
        </w:tabs>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投标人银行帐号：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tabs>
          <w:tab w:val="left" w:pos="5580"/>
        </w:tabs>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说明：1.上述要求的开户信息为退投标保证金所用，以非投标担保函形式提交的投标保证金应当从其基本账户转出。2.上述要求的填写必须与银行转账或银行汇款凭证的要素一致，北京国泰建中管理咨询有限公司依据此凭证信息退还投标保证金。    </w:t>
      </w:r>
    </w:p>
    <w:p>
      <w:pPr>
        <w:tabs>
          <w:tab w:val="left" w:pos="5580"/>
        </w:tabs>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若因内容不全、错误、字迹潦草模糊、或开户人和账号与划款时所用的开户人和账号不一致而导致该项目保证金未能及时退还或退还过程中发生错误，我方自行承担全部责任和损失。</w:t>
      </w:r>
    </w:p>
    <w:p>
      <w:pPr>
        <w:tabs>
          <w:tab w:val="left" w:pos="5580"/>
        </w:tabs>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我方承诺已认真阅读、熟悉招标（采购）文件对投标保证金的缴纳与退还等相关要求和注意事项，了解选用电汇（网银转账）方式退还保证金时的仍需支付相关手续费用，并服从招标代理机构的通知安排。</w:t>
      </w:r>
    </w:p>
    <w:p>
      <w:pPr>
        <w:tabs>
          <w:tab w:val="left" w:pos="5580"/>
        </w:tabs>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pPr>
        <w:tabs>
          <w:tab w:val="left" w:pos="5580"/>
        </w:tabs>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（公章） </w:t>
      </w:r>
    </w:p>
    <w:p>
      <w:pPr>
        <w:tabs>
          <w:tab w:val="left" w:pos="5580"/>
        </w:tabs>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日      期：   年   月   日 </w:t>
      </w:r>
    </w:p>
    <w:tbl>
      <w:tblPr>
        <w:tblStyle w:val="47"/>
        <w:tblpPr w:leftFromText="180" w:rightFromText="180" w:vertAnchor="text" w:horzAnchor="margin" w:tblpY="428"/>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8" w:hRule="atLeast"/>
        </w:trPr>
        <w:tc>
          <w:tcPr>
            <w:tcW w:w="8217" w:type="dxa"/>
            <w:vAlign w:val="center"/>
          </w:tcPr>
          <w:p>
            <w:pPr>
              <w:spacing w:line="360" w:lineRule="auto"/>
              <w:jc w:val="center"/>
              <w:rPr>
                <w:rFonts w:hint="eastAsia" w:ascii="宋体" w:hAnsi="宋体" w:cs="宋体"/>
                <w:color w:val="auto"/>
                <w:sz w:val="24"/>
                <w:highlight w:val="none"/>
              </w:rPr>
            </w:pPr>
            <w:r>
              <w:rPr>
                <w:rFonts w:hint="eastAsia" w:ascii="宋体" w:hAnsi="宋体" w:cs="宋体"/>
                <w:b/>
                <w:color w:val="auto"/>
                <w:sz w:val="24"/>
                <w:highlight w:val="none"/>
              </w:rPr>
              <w:t>（附汇款凭证电子件或银行保函电子件等证明材料电子件）（实质性格式）</w:t>
            </w:r>
          </w:p>
        </w:tc>
      </w:tr>
    </w:tbl>
    <w:p>
      <w:pPr>
        <w:pStyle w:val="4"/>
        <w:rPr>
          <w:rFonts w:hint="eastAsia" w:hAnsi="宋体" w:cs="宋体"/>
          <w:color w:val="auto"/>
          <w:highlight w:val="none"/>
        </w:rPr>
        <w:sectPr>
          <w:pgSz w:w="11906" w:h="16838"/>
          <w:pgMar w:top="1440" w:right="1800" w:bottom="1440" w:left="1800" w:header="851" w:footer="992" w:gutter="0"/>
          <w:cols w:space="720" w:num="1"/>
          <w:docGrid w:type="lines" w:linePitch="312" w:charSpace="0"/>
        </w:sectPr>
      </w:pPr>
    </w:p>
    <w:p>
      <w:pPr>
        <w:pStyle w:val="4"/>
        <w:rPr>
          <w:rFonts w:hint="eastAsia" w:hAnsi="宋体" w:cs="宋体"/>
          <w:color w:val="auto"/>
          <w:highlight w:val="none"/>
        </w:rPr>
      </w:pPr>
      <w:r>
        <w:rPr>
          <w:rFonts w:hint="eastAsia" w:hAnsi="宋体" w:cs="宋体"/>
          <w:color w:val="auto"/>
          <w:highlight w:val="none"/>
        </w:rPr>
        <w:t>3本项目特定资格要求：</w:t>
      </w:r>
    </w:p>
    <w:p>
      <w:pPr>
        <w:widowControl/>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ab/>
      </w:r>
    </w:p>
    <w:p>
      <w:pPr>
        <w:pStyle w:val="288"/>
        <w:widowControl/>
        <w:numPr>
          <w:ilvl w:val="0"/>
          <w:numId w:val="33"/>
        </w:numPr>
        <w:ind w:firstLineChars="0"/>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投标人须具备有效的兽药生产许可证或兽药经营许可证或医疗器械经营许可证或医疗器械经营备案凭证或医疗器械产品备案凭证 ；</w:t>
      </w:r>
    </w:p>
    <w:p>
      <w:pPr>
        <w:pStyle w:val="288"/>
        <w:widowControl/>
        <w:ind w:left="922" w:firstLine="0" w:firstLineChars="0"/>
        <w:rPr>
          <w:rFonts w:hint="eastAsia" w:ascii="宋体" w:hAnsi="宋体" w:cs="宋体"/>
          <w:color w:val="auto"/>
          <w:highlight w:val="none"/>
        </w:rPr>
      </w:pPr>
      <w:r>
        <w:rPr>
          <w:rFonts w:hint="eastAsia" w:ascii="宋体" w:hAnsi="宋体" w:cs="宋体"/>
          <w:b/>
          <w:color w:val="auto"/>
          <w:sz w:val="44"/>
          <w:szCs w:val="44"/>
          <w:highlight w:val="none"/>
        </w:rPr>
        <w:t>提供证书电子件并加盖投标单位公章</w:t>
      </w:r>
    </w:p>
    <w:p>
      <w:pPr>
        <w:pStyle w:val="288"/>
        <w:widowControl/>
        <w:ind w:left="922" w:firstLine="0" w:firstLineChars="0"/>
        <w:rPr>
          <w:rFonts w:hint="eastAsia" w:ascii="宋体" w:hAnsi="宋体" w:cs="宋体"/>
          <w:color w:val="auto"/>
          <w:highlight w:val="none"/>
        </w:rPr>
      </w:pPr>
    </w:p>
    <w:p>
      <w:pPr>
        <w:widowControl/>
        <w:ind w:firstLine="562" w:firstLineChars="200"/>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②投标人须具备有效的危险化学品安全生产许可证或危险化学品经营许可证</w:t>
      </w:r>
    </w:p>
    <w:p>
      <w:pPr>
        <w:widowControl/>
        <w:ind w:firstLine="480" w:firstLineChars="200"/>
        <w:jc w:val="left"/>
        <w:rPr>
          <w:rFonts w:hint="eastAsia" w:ascii="宋体" w:hAnsi="宋体" w:cs="宋体"/>
          <w:color w:val="auto"/>
          <w:sz w:val="24"/>
          <w:szCs w:val="20"/>
          <w:highlight w:val="none"/>
        </w:rPr>
      </w:pPr>
    </w:p>
    <w:p>
      <w:pPr>
        <w:widowControl/>
        <w:ind w:firstLine="480" w:firstLineChars="200"/>
        <w:jc w:val="left"/>
        <w:rPr>
          <w:rFonts w:hint="eastAsia" w:ascii="宋体" w:hAnsi="宋体" w:cs="宋体"/>
          <w:color w:val="auto"/>
          <w:sz w:val="24"/>
          <w:szCs w:val="20"/>
          <w:highlight w:val="none"/>
        </w:rPr>
      </w:pPr>
    </w:p>
    <w:p>
      <w:pPr>
        <w:widowControl/>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提供证书电子件并加盖投标单位公章.</w:t>
      </w:r>
    </w:p>
    <w:p>
      <w:pPr>
        <w:widowControl/>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 xml:space="preserve"> </w:t>
      </w:r>
    </w:p>
    <w:p>
      <w:pPr>
        <w:widowControl/>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③若投标人自己运输，须具有有效的《道路运输经营许可证》（其中经营范围含道路危险货物运输）（在投标文件中提供电子件并加盖公章）；若投标人委托运输，须提供双方合作协议电子件，及被委托人的有效的《道路运输经营许可证》（其中经营范围含道路危险货物运输)</w:t>
      </w:r>
    </w:p>
    <w:p>
      <w:pPr>
        <w:widowControl/>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（在投标文件中提供电子件并加盖公章）</w:t>
      </w:r>
    </w:p>
    <w:p>
      <w:pPr>
        <w:widowControl/>
        <w:jc w:val="center"/>
        <w:rPr>
          <w:rFonts w:hint="eastAsia" w:ascii="宋体" w:hAnsi="宋体" w:cs="宋体"/>
          <w:b/>
          <w:color w:val="auto"/>
          <w:sz w:val="44"/>
          <w:szCs w:val="44"/>
          <w:highlight w:val="none"/>
        </w:rPr>
        <w:sectPr>
          <w:pgSz w:w="11906" w:h="16838"/>
          <w:pgMar w:top="1440" w:right="1800" w:bottom="1440" w:left="1800" w:header="851" w:footer="992" w:gutter="0"/>
          <w:cols w:space="720" w:num="1"/>
          <w:docGrid w:type="lines" w:linePitch="312" w:charSpace="0"/>
        </w:sectPr>
      </w:pPr>
    </w:p>
    <w:p>
      <w:pPr>
        <w:keepNext/>
        <w:keepLines/>
        <w:autoSpaceDE w:val="0"/>
        <w:autoSpaceDN w:val="0"/>
        <w:adjustRightInd w:val="0"/>
        <w:spacing w:before="120" w:line="300" w:lineRule="auto"/>
        <w:jc w:val="left"/>
        <w:outlineLvl w:val="1"/>
        <w:rPr>
          <w:rFonts w:hint="eastAsia" w:ascii="宋体" w:hAnsi="宋体" w:cs="宋体"/>
          <w:b/>
          <w:color w:val="auto"/>
          <w:spacing w:val="20"/>
          <w:sz w:val="24"/>
          <w:highlight w:val="none"/>
        </w:rPr>
      </w:pPr>
      <w:bookmarkStart w:id="851" w:name="_Hlk178254376"/>
      <w:r>
        <w:rPr>
          <w:rFonts w:hint="eastAsia" w:ascii="宋体" w:hAnsi="宋体" w:cs="宋体"/>
          <w:b/>
          <w:color w:val="auto"/>
          <w:spacing w:val="20"/>
          <w:sz w:val="24"/>
          <w:highlight w:val="none"/>
        </w:rPr>
        <w:t>二、商务技术文件格式</w:t>
      </w:r>
    </w:p>
    <w:p>
      <w:pPr>
        <w:rPr>
          <w:rFonts w:hint="eastAsia" w:ascii="宋体" w:hAnsi="宋体" w:cs="宋体"/>
          <w:b/>
          <w:color w:val="auto"/>
          <w:spacing w:val="20"/>
          <w:szCs w:val="21"/>
          <w:highlight w:val="none"/>
        </w:rPr>
      </w:pPr>
    </w:p>
    <w:p>
      <w:pPr>
        <w:rPr>
          <w:rFonts w:hint="eastAsia" w:ascii="宋体" w:hAnsi="宋体" w:cs="宋体"/>
          <w:b/>
          <w:color w:val="auto"/>
          <w:sz w:val="24"/>
          <w:highlight w:val="none"/>
        </w:rPr>
      </w:pPr>
      <w:r>
        <w:rPr>
          <w:rFonts w:hint="eastAsia" w:ascii="宋体" w:hAnsi="宋体" w:cs="宋体"/>
          <w:b/>
          <w:color w:val="auto"/>
          <w:spacing w:val="20"/>
          <w:sz w:val="24"/>
          <w:highlight w:val="none"/>
        </w:rPr>
        <w:t>投标文件（商务技术文件）</w:t>
      </w:r>
      <w:r>
        <w:rPr>
          <w:rFonts w:hint="eastAsia" w:ascii="宋体" w:hAnsi="宋体" w:cs="宋体"/>
          <w:b/>
          <w:color w:val="auto"/>
          <w:sz w:val="24"/>
          <w:highlight w:val="none"/>
        </w:rPr>
        <w:t>封面（非实质性格式）</w:t>
      </w:r>
    </w:p>
    <w:p>
      <w:pPr>
        <w:jc w:val="center"/>
        <w:rPr>
          <w:rFonts w:hint="eastAsia" w:ascii="宋体" w:hAnsi="宋体" w:cs="宋体"/>
          <w:color w:val="auto"/>
          <w:szCs w:val="21"/>
          <w:highlight w:val="none"/>
        </w:rPr>
      </w:pPr>
    </w:p>
    <w:p>
      <w:pPr>
        <w:jc w:val="center"/>
        <w:rPr>
          <w:rFonts w:hint="eastAsia" w:ascii="宋体" w:hAnsi="宋体" w:cs="宋体"/>
          <w:b/>
          <w:color w:val="auto"/>
          <w:spacing w:val="60"/>
          <w:sz w:val="84"/>
          <w:szCs w:val="84"/>
          <w:highlight w:val="none"/>
        </w:rPr>
      </w:pPr>
    </w:p>
    <w:p>
      <w:pPr>
        <w:jc w:val="center"/>
        <w:rPr>
          <w:rFonts w:hint="eastAsia" w:ascii="宋体" w:hAnsi="宋体" w:cs="宋体"/>
          <w:b/>
          <w:color w:val="auto"/>
          <w:spacing w:val="60"/>
          <w:sz w:val="84"/>
          <w:szCs w:val="84"/>
          <w:highlight w:val="none"/>
        </w:rPr>
      </w:pPr>
      <w:r>
        <w:rPr>
          <w:rFonts w:hint="eastAsia" w:ascii="宋体" w:hAnsi="宋体" w:cs="宋体"/>
          <w:b/>
          <w:color w:val="auto"/>
          <w:spacing w:val="60"/>
          <w:sz w:val="84"/>
          <w:szCs w:val="84"/>
          <w:highlight w:val="none"/>
        </w:rPr>
        <w:t>投 标 文 件</w:t>
      </w:r>
    </w:p>
    <w:p>
      <w:pPr>
        <w:jc w:val="center"/>
        <w:rPr>
          <w:rFonts w:hint="eastAsia" w:ascii="宋体" w:hAnsi="宋体" w:cs="宋体"/>
          <w:b/>
          <w:color w:val="auto"/>
          <w:spacing w:val="60"/>
          <w:sz w:val="52"/>
          <w:szCs w:val="52"/>
          <w:highlight w:val="none"/>
        </w:rPr>
      </w:pPr>
      <w:r>
        <w:rPr>
          <w:rFonts w:hint="eastAsia" w:ascii="宋体" w:hAnsi="宋体" w:cs="宋体"/>
          <w:b/>
          <w:color w:val="auto"/>
          <w:spacing w:val="60"/>
          <w:sz w:val="52"/>
          <w:szCs w:val="52"/>
          <w:highlight w:val="none"/>
        </w:rPr>
        <w:t>（商务技术文件）</w:t>
      </w:r>
    </w:p>
    <w:p>
      <w:pPr>
        <w:ind w:firstLine="542" w:firstLineChars="150"/>
        <w:rPr>
          <w:rFonts w:hint="eastAsia" w:ascii="宋体" w:hAnsi="宋体" w:cs="宋体"/>
          <w:b/>
          <w:color w:val="auto"/>
          <w:spacing w:val="20"/>
          <w:sz w:val="32"/>
          <w:szCs w:val="32"/>
          <w:highlight w:val="none"/>
        </w:rPr>
      </w:pPr>
    </w:p>
    <w:p>
      <w:pPr>
        <w:ind w:firstLine="542" w:firstLineChars="150"/>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项目名称:</w:t>
      </w:r>
    </w:p>
    <w:p>
      <w:pPr>
        <w:ind w:firstLine="542" w:firstLineChars="150"/>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lang w:val="en-US" w:eastAsia="zh-CN"/>
        </w:rPr>
        <w:t>分包</w:t>
      </w:r>
      <w:r>
        <w:rPr>
          <w:rFonts w:hint="eastAsia" w:ascii="宋体" w:hAnsi="宋体" w:cs="宋体"/>
          <w:b/>
          <w:color w:val="auto"/>
          <w:spacing w:val="20"/>
          <w:sz w:val="32"/>
          <w:szCs w:val="32"/>
          <w:highlight w:val="none"/>
        </w:rPr>
        <w:t>名称：</w:t>
      </w:r>
    </w:p>
    <w:p>
      <w:pPr>
        <w:ind w:firstLine="542" w:firstLineChars="150"/>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项目编号：</w:t>
      </w:r>
    </w:p>
    <w:p>
      <w:pPr>
        <w:ind w:firstLine="542" w:firstLineChars="150"/>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包号：</w:t>
      </w:r>
    </w:p>
    <w:p>
      <w:pPr>
        <w:ind w:firstLine="542" w:firstLineChars="150"/>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 xml:space="preserve"> </w:t>
      </w:r>
    </w:p>
    <w:p>
      <w:pPr>
        <w:ind w:firstLine="542" w:firstLineChars="150"/>
        <w:rPr>
          <w:rFonts w:hint="eastAsia" w:ascii="宋体" w:hAnsi="宋体" w:cs="宋体"/>
          <w:b/>
          <w:color w:val="auto"/>
          <w:spacing w:val="20"/>
          <w:sz w:val="32"/>
          <w:szCs w:val="32"/>
          <w:highlight w:val="none"/>
        </w:rPr>
      </w:pPr>
    </w:p>
    <w:p>
      <w:pPr>
        <w:jc w:val="center"/>
        <w:rPr>
          <w:rFonts w:hint="eastAsia" w:ascii="宋体" w:hAnsi="宋体" w:cs="宋体"/>
          <w:b/>
          <w:color w:val="auto"/>
          <w:spacing w:val="20"/>
          <w:sz w:val="32"/>
          <w:szCs w:val="32"/>
          <w:highlight w:val="none"/>
        </w:rPr>
      </w:pPr>
    </w:p>
    <w:p>
      <w:pPr>
        <w:spacing w:line="360" w:lineRule="auto"/>
        <w:ind w:firstLine="1445" w:firstLineChars="400"/>
        <w:jc w:val="left"/>
        <w:rPr>
          <w:rFonts w:hint="eastAsia" w:ascii="宋体" w:hAnsi="宋体" w:cs="宋体"/>
          <w:b/>
          <w:color w:val="auto"/>
          <w:sz w:val="24"/>
          <w:highlight w:val="none"/>
        </w:rPr>
      </w:pPr>
      <w:r>
        <w:rPr>
          <w:rFonts w:hint="eastAsia" w:ascii="宋体" w:hAnsi="宋体" w:cs="宋体"/>
          <w:b/>
          <w:color w:val="auto"/>
          <w:spacing w:val="20"/>
          <w:sz w:val="32"/>
          <w:szCs w:val="32"/>
          <w:highlight w:val="none"/>
        </w:rPr>
        <w:t>投标人名称：</w:t>
      </w:r>
      <w:r>
        <w:rPr>
          <w:rFonts w:hint="eastAsia" w:ascii="宋体" w:hAnsi="宋体" w:cs="宋体"/>
          <w:b/>
          <w:color w:val="auto"/>
          <w:sz w:val="24"/>
          <w:highlight w:val="none"/>
        </w:rPr>
        <w:br w:type="page"/>
      </w:r>
    </w:p>
    <w:p>
      <w:pPr>
        <w:spacing w:line="360" w:lineRule="auto"/>
        <w:outlineLvl w:val="2"/>
        <w:rPr>
          <w:rFonts w:hint="eastAsia" w:ascii="宋体" w:hAnsi="宋体" w:cs="宋体"/>
          <w:b/>
          <w:color w:val="auto"/>
          <w:sz w:val="24"/>
          <w:szCs w:val="20"/>
          <w:highlight w:val="none"/>
        </w:rPr>
      </w:pPr>
      <w:bookmarkStart w:id="852" w:name="_Hlt520274407"/>
      <w:bookmarkEnd w:id="852"/>
      <w:bookmarkStart w:id="853" w:name="_Hlt520355504"/>
      <w:bookmarkEnd w:id="853"/>
      <w:bookmarkStart w:id="854" w:name="_Hlt520343000"/>
      <w:bookmarkEnd w:id="854"/>
      <w:bookmarkStart w:id="855" w:name="_Hlt520274121"/>
      <w:bookmarkEnd w:id="855"/>
      <w:bookmarkStart w:id="856" w:name="_Hlt520273711"/>
      <w:bookmarkEnd w:id="856"/>
      <w:bookmarkStart w:id="857" w:name="_Hlt520274065"/>
      <w:bookmarkEnd w:id="857"/>
      <w:bookmarkStart w:id="858" w:name="_Hlt520274393"/>
      <w:bookmarkEnd w:id="858"/>
      <w:bookmarkStart w:id="859" w:name="_Hlt520271212"/>
      <w:bookmarkEnd w:id="859"/>
      <w:bookmarkStart w:id="860" w:name="_Hlt520350918"/>
      <w:bookmarkEnd w:id="860"/>
      <w:bookmarkStart w:id="861" w:name="_Hlt520343392"/>
      <w:bookmarkEnd w:id="861"/>
      <w:bookmarkStart w:id="862" w:name="_Ref467988698"/>
      <w:bookmarkStart w:id="863" w:name="_Toc480942349"/>
      <w:bookmarkStart w:id="864" w:name="_Toc150480794"/>
      <w:bookmarkStart w:id="865" w:name="_Toc226309800"/>
      <w:bookmarkStart w:id="866" w:name="_Toc195842921"/>
      <w:bookmarkStart w:id="867" w:name="_Toc226965746"/>
      <w:bookmarkStart w:id="868" w:name="_Toc150774761"/>
      <w:bookmarkStart w:id="869" w:name="_Toc520356217"/>
      <w:bookmarkStart w:id="870" w:name="_Toc226965829"/>
      <w:bookmarkStart w:id="871" w:name="_Toc226337252"/>
      <w:bookmarkStart w:id="872" w:name="_Toc127151556"/>
      <w:bookmarkStart w:id="873" w:name="_Toc142311058"/>
      <w:r>
        <w:rPr>
          <w:rFonts w:hint="eastAsia" w:ascii="宋体" w:hAnsi="宋体" w:cs="宋体"/>
          <w:b/>
          <w:color w:val="auto"/>
          <w:sz w:val="24"/>
          <w:highlight w:val="none"/>
        </w:rPr>
        <w:t>1投标</w:t>
      </w:r>
      <w:bookmarkEnd w:id="862"/>
      <w:bookmarkEnd w:id="863"/>
      <w:r>
        <w:rPr>
          <w:rFonts w:hint="eastAsia" w:ascii="宋体" w:hAnsi="宋体" w:cs="宋体"/>
          <w:b/>
          <w:color w:val="auto"/>
          <w:sz w:val="24"/>
          <w:highlight w:val="none"/>
        </w:rPr>
        <w:t>书</w:t>
      </w:r>
      <w:bookmarkEnd w:id="864"/>
      <w:bookmarkEnd w:id="865"/>
      <w:bookmarkEnd w:id="866"/>
      <w:bookmarkEnd w:id="867"/>
      <w:bookmarkEnd w:id="868"/>
      <w:bookmarkEnd w:id="869"/>
      <w:bookmarkEnd w:id="870"/>
      <w:bookmarkEnd w:id="871"/>
      <w:bookmarkEnd w:id="872"/>
      <w:bookmarkEnd w:id="873"/>
      <w:r>
        <w:rPr>
          <w:rFonts w:hint="eastAsia" w:ascii="宋体" w:hAnsi="宋体" w:cs="宋体"/>
          <w:b/>
          <w:color w:val="auto"/>
          <w:sz w:val="24"/>
          <w:szCs w:val="20"/>
          <w:highlight w:val="none"/>
        </w:rPr>
        <w:t>（实质性格式）</w:t>
      </w:r>
    </w:p>
    <w:p>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投标书</w:t>
      </w:r>
    </w:p>
    <w:p>
      <w:pPr>
        <w:tabs>
          <w:tab w:val="left" w:pos="5580"/>
        </w:tabs>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致：采购人或采购代理机构</w:t>
      </w:r>
    </w:p>
    <w:p>
      <w:pPr>
        <w:tabs>
          <w:tab w:val="left" w:pos="5580"/>
        </w:tabs>
        <w:spacing w:line="360" w:lineRule="auto"/>
        <w:ind w:firstLine="408"/>
        <w:rPr>
          <w:rFonts w:hint="eastAsia" w:ascii="宋体" w:hAnsi="宋体" w:cs="宋体"/>
          <w:color w:val="auto"/>
          <w:sz w:val="24"/>
          <w:szCs w:val="20"/>
          <w:highlight w:val="none"/>
        </w:rPr>
      </w:pPr>
      <w:r>
        <w:rPr>
          <w:rFonts w:hint="eastAsia" w:ascii="宋体" w:hAnsi="宋体" w:cs="宋体"/>
          <w:color w:val="auto"/>
          <w:sz w:val="24"/>
          <w:szCs w:val="20"/>
          <w:highlight w:val="none"/>
        </w:rPr>
        <w:t>我方参加你方就</w:t>
      </w:r>
      <w:r>
        <w:rPr>
          <w:rFonts w:hint="eastAsia" w:ascii="宋体" w:hAnsi="宋体" w:cs="宋体"/>
          <w:color w:val="auto"/>
          <w:sz w:val="24"/>
          <w:highlight w:val="none"/>
          <w:lang w:val="zh-CN"/>
        </w:rPr>
        <w:t>___________</w:t>
      </w:r>
      <w:r>
        <w:rPr>
          <w:rFonts w:hint="eastAsia" w:ascii="宋体" w:hAnsi="宋体" w:cs="宋体"/>
          <w:color w:val="auto"/>
          <w:sz w:val="24"/>
          <w:szCs w:val="20"/>
          <w:highlight w:val="none"/>
        </w:rPr>
        <w:t>（项目名称）</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（分包名称）组织的招标活动，并对此项目进行投标。</w:t>
      </w:r>
    </w:p>
    <w:p>
      <w:pPr>
        <w:tabs>
          <w:tab w:val="left" w:pos="5580"/>
        </w:tabs>
        <w:spacing w:line="360" w:lineRule="auto"/>
        <w:ind w:firstLine="408"/>
        <w:rPr>
          <w:rFonts w:hint="eastAsia" w:ascii="宋体" w:hAnsi="宋体" w:cs="宋体"/>
          <w:color w:val="auto"/>
          <w:sz w:val="24"/>
          <w:szCs w:val="20"/>
          <w:highlight w:val="none"/>
        </w:rPr>
      </w:pPr>
      <w:r>
        <w:rPr>
          <w:rFonts w:hint="eastAsia" w:ascii="宋体" w:hAnsi="宋体" w:cs="宋体"/>
          <w:color w:val="auto"/>
          <w:sz w:val="24"/>
          <w:szCs w:val="20"/>
          <w:highlight w:val="none"/>
        </w:rPr>
        <w:t>1. 我方</w:t>
      </w:r>
      <w:r>
        <w:rPr>
          <w:rFonts w:hint="eastAsia" w:ascii="宋体" w:hAnsi="宋体" w:cs="宋体"/>
          <w:color w:val="auto"/>
          <w:sz w:val="24"/>
          <w:highlight w:val="none"/>
        </w:rPr>
        <w:t>已详细审查全部招标文件</w:t>
      </w:r>
      <w:r>
        <w:rPr>
          <w:rFonts w:hint="eastAsia" w:ascii="宋体" w:hAnsi="宋体" w:cs="宋体"/>
          <w:color w:val="auto"/>
          <w:sz w:val="24"/>
          <w:szCs w:val="20"/>
          <w:highlight w:val="none"/>
        </w:rPr>
        <w:t>，自愿参与投标并承诺如下：</w:t>
      </w:r>
    </w:p>
    <w:p>
      <w:pPr>
        <w:tabs>
          <w:tab w:val="left" w:pos="720"/>
          <w:tab w:val="left" w:pos="900"/>
        </w:tabs>
        <w:spacing w:line="360" w:lineRule="auto"/>
        <w:ind w:left="360" w:firstLine="72" w:firstLineChars="30"/>
        <w:rPr>
          <w:rFonts w:hint="eastAsia" w:ascii="宋体" w:hAnsi="宋体" w:cs="宋体"/>
          <w:color w:val="auto"/>
          <w:sz w:val="24"/>
          <w:szCs w:val="20"/>
          <w:highlight w:val="none"/>
        </w:rPr>
      </w:pPr>
      <w:r>
        <w:rPr>
          <w:rFonts w:hint="eastAsia" w:ascii="宋体" w:hAnsi="宋体" w:cs="宋体"/>
          <w:color w:val="auto"/>
          <w:sz w:val="24"/>
          <w:szCs w:val="20"/>
          <w:highlight w:val="none"/>
        </w:rPr>
        <w:t>（1）本投标有效期为自提交投标文件的截止之日起</w:t>
      </w:r>
      <w:r>
        <w:rPr>
          <w:rFonts w:hint="eastAsia" w:ascii="宋体" w:hAnsi="宋体" w:cs="宋体"/>
          <w:color w:val="auto"/>
          <w:sz w:val="24"/>
          <w:highlight w:val="none"/>
          <w:u w:val="single"/>
        </w:rPr>
        <w:t>_90_</w:t>
      </w:r>
      <w:r>
        <w:rPr>
          <w:rFonts w:hint="eastAsia" w:ascii="宋体" w:hAnsi="宋体" w:cs="宋体"/>
          <w:color w:val="auto"/>
          <w:sz w:val="24"/>
          <w:szCs w:val="20"/>
          <w:highlight w:val="none"/>
        </w:rPr>
        <w:t>个日历日。</w:t>
      </w:r>
    </w:p>
    <w:p>
      <w:pPr>
        <w:tabs>
          <w:tab w:val="left" w:pos="720"/>
          <w:tab w:val="left" w:pos="900"/>
        </w:tabs>
        <w:spacing w:line="360" w:lineRule="auto"/>
        <w:ind w:left="360" w:firstLine="72" w:firstLineChars="30"/>
        <w:rPr>
          <w:rFonts w:hint="eastAsia" w:ascii="宋体" w:hAnsi="宋体" w:cs="宋体"/>
          <w:color w:val="auto"/>
          <w:sz w:val="24"/>
          <w:szCs w:val="20"/>
          <w:highlight w:val="none"/>
        </w:rPr>
      </w:pPr>
      <w:r>
        <w:rPr>
          <w:rFonts w:hint="eastAsia" w:ascii="宋体" w:hAnsi="宋体" w:cs="宋体"/>
          <w:color w:val="auto"/>
          <w:sz w:val="24"/>
          <w:szCs w:val="20"/>
          <w:highlight w:val="none"/>
        </w:rPr>
        <w:t>（2）除合同条款及采购需求偏离表列出的偏离外，我方响应招标文件的全部要求。</w:t>
      </w:r>
    </w:p>
    <w:p>
      <w:pPr>
        <w:tabs>
          <w:tab w:val="left" w:pos="5580"/>
        </w:tabs>
        <w:spacing w:line="360" w:lineRule="auto"/>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（3）我方已提供的全部文件资料是真实、准确的，并对此承担一切法律后果。</w:t>
      </w:r>
    </w:p>
    <w:p>
      <w:pPr>
        <w:tabs>
          <w:tab w:val="left" w:pos="5580"/>
        </w:tabs>
        <w:spacing w:line="360" w:lineRule="auto"/>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（4）如我方中标，我方将在法律规定的期限内与你方签订合同，按照招标文件要求提交履约保证金，并在合同约定的期限内完成合同规定的全部义务。</w:t>
      </w:r>
    </w:p>
    <w:p>
      <w:pPr>
        <w:tabs>
          <w:tab w:val="left" w:pos="5580"/>
        </w:tabs>
        <w:spacing w:line="360" w:lineRule="auto"/>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（5）我方本次投标过程中不存在违背公平竞争原则、串通投标、含有采购人不能接受的附加条件以及其他造成投标无效的行为。</w:t>
      </w:r>
    </w:p>
    <w:p>
      <w:pPr>
        <w:spacing w:line="360" w:lineRule="auto"/>
        <w:ind w:left="420"/>
        <w:rPr>
          <w:rFonts w:hint="eastAsia" w:ascii="宋体" w:hAnsi="宋体" w:cs="宋体"/>
          <w:color w:val="auto"/>
          <w:sz w:val="24"/>
          <w:highlight w:val="none"/>
        </w:rPr>
      </w:pPr>
      <w:r>
        <w:rPr>
          <w:rFonts w:hint="eastAsia" w:ascii="宋体" w:hAnsi="宋体" w:cs="宋体"/>
          <w:color w:val="auto"/>
          <w:sz w:val="24"/>
          <w:highlight w:val="none"/>
        </w:rPr>
        <w:t>2. 其他补充条款（如有）：</w:t>
      </w:r>
      <w:r>
        <w:rPr>
          <w:rFonts w:hint="eastAsia" w:ascii="宋体" w:hAnsi="宋体" w:cs="宋体"/>
          <w:color w:val="auto"/>
          <w:sz w:val="24"/>
          <w:szCs w:val="20"/>
          <w:highlight w:val="none"/>
        </w:rPr>
        <w:t>___________</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与本投标有关的一切正式往来信函请寄：</w:t>
      </w:r>
    </w:p>
    <w:p>
      <w:pPr>
        <w:tabs>
          <w:tab w:val="left" w:pos="5580"/>
        </w:tabs>
        <w:spacing w:line="360" w:lineRule="auto"/>
        <w:ind w:left="420"/>
        <w:rPr>
          <w:rFonts w:hint="eastAsia" w:ascii="宋体" w:hAnsi="宋体" w:cs="宋体"/>
          <w:color w:val="auto"/>
          <w:sz w:val="24"/>
          <w:szCs w:val="20"/>
          <w:highlight w:val="none"/>
        </w:rPr>
      </w:pPr>
      <w:r>
        <w:rPr>
          <w:rFonts w:hint="eastAsia" w:ascii="宋体" w:hAnsi="宋体" w:cs="宋体"/>
          <w:color w:val="auto"/>
          <w:sz w:val="24"/>
          <w:szCs w:val="20"/>
          <w:highlight w:val="none"/>
        </w:rPr>
        <w:t>地址_________________________   传真____________________________</w:t>
      </w:r>
    </w:p>
    <w:p>
      <w:pPr>
        <w:tabs>
          <w:tab w:val="left" w:pos="5580"/>
        </w:tabs>
        <w:spacing w:line="360" w:lineRule="auto"/>
        <w:ind w:left="420"/>
        <w:rPr>
          <w:rFonts w:hint="eastAsia" w:ascii="宋体" w:hAnsi="宋体" w:cs="宋体"/>
          <w:color w:val="auto"/>
          <w:sz w:val="24"/>
          <w:szCs w:val="20"/>
          <w:highlight w:val="none"/>
        </w:rPr>
      </w:pPr>
      <w:r>
        <w:rPr>
          <w:rFonts w:hint="eastAsia" w:ascii="宋体" w:hAnsi="宋体" w:cs="宋体"/>
          <w:color w:val="auto"/>
          <w:sz w:val="24"/>
          <w:szCs w:val="20"/>
          <w:highlight w:val="none"/>
        </w:rPr>
        <w:t>电话_________________________  电子函件________________________</w:t>
      </w:r>
    </w:p>
    <w:p>
      <w:pPr>
        <w:tabs>
          <w:tab w:val="left" w:pos="5580"/>
        </w:tabs>
        <w:spacing w:line="360" w:lineRule="auto"/>
        <w:ind w:left="420"/>
        <w:rPr>
          <w:rFonts w:hint="eastAsia" w:ascii="宋体" w:hAnsi="宋体" w:cs="宋体"/>
          <w:color w:val="auto"/>
          <w:sz w:val="24"/>
          <w:szCs w:val="20"/>
          <w:highlight w:val="none"/>
        </w:rPr>
      </w:pPr>
      <w:r>
        <w:rPr>
          <w:rFonts w:hint="eastAsia" w:ascii="宋体" w:hAnsi="宋体" w:cs="宋体"/>
          <w:color w:val="auto"/>
          <w:sz w:val="24"/>
          <w:szCs w:val="20"/>
          <w:highlight w:val="none"/>
        </w:rPr>
        <w:t>投标人名称（加盖公章） ___________</w:t>
      </w:r>
    </w:p>
    <w:p>
      <w:pPr>
        <w:tabs>
          <w:tab w:val="left" w:pos="5580"/>
        </w:tabs>
        <w:spacing w:line="360" w:lineRule="auto"/>
        <w:ind w:left="420"/>
        <w:rPr>
          <w:rFonts w:hint="eastAsia" w:ascii="宋体" w:hAnsi="宋体" w:cs="宋体"/>
          <w:color w:val="auto"/>
          <w:sz w:val="24"/>
          <w:highlight w:val="none"/>
        </w:rPr>
      </w:pPr>
      <w:r>
        <w:rPr>
          <w:rFonts w:hint="eastAsia" w:ascii="宋体" w:hAnsi="宋体" w:cs="宋体"/>
          <w:color w:val="auto"/>
          <w:sz w:val="24"/>
          <w:szCs w:val="20"/>
          <w:highlight w:val="none"/>
        </w:rPr>
        <w:t xml:space="preserve">日期：_____年______月______日    </w:t>
      </w:r>
      <w:bookmarkStart w:id="874" w:name="_Hlt520355938"/>
      <w:bookmarkEnd w:id="874"/>
      <w:bookmarkStart w:id="875" w:name="_Hlt520356243"/>
      <w:bookmarkEnd w:id="875"/>
      <w:bookmarkStart w:id="876" w:name="_Toc520356218"/>
      <w:bookmarkStart w:id="877" w:name="_Toc150774762"/>
      <w:bookmarkStart w:id="878" w:name="_Toc264969247"/>
      <w:bookmarkStart w:id="879" w:name="_Toc226309801"/>
      <w:bookmarkStart w:id="880" w:name="_Toc127151557"/>
      <w:bookmarkStart w:id="881" w:name="_Toc142311059"/>
      <w:bookmarkStart w:id="882" w:name="_Toc226337253"/>
      <w:bookmarkStart w:id="883" w:name="_Toc265228395"/>
      <w:bookmarkStart w:id="884" w:name="_Toc305158825"/>
      <w:bookmarkStart w:id="885" w:name="_Ref467988705"/>
      <w:bookmarkStart w:id="886" w:name="_Toc150480795"/>
      <w:bookmarkStart w:id="887" w:name="_Toc195842922"/>
      <w:bookmarkStart w:id="888" w:name="_Toc305158899"/>
      <w:bookmarkStart w:id="889" w:name="_Toc226965830"/>
      <w:bookmarkStart w:id="890" w:name="_Toc226965747"/>
      <w:bookmarkStart w:id="891" w:name="_Toc480942350"/>
      <w:r>
        <w:rPr>
          <w:rFonts w:hint="eastAsia" w:ascii="宋体" w:hAnsi="宋体" w:cs="宋体"/>
          <w:color w:val="auto"/>
          <w:sz w:val="24"/>
          <w:highlight w:val="none"/>
        </w:rPr>
        <w:br w:type="page"/>
      </w:r>
    </w:p>
    <w:p>
      <w:pPr>
        <w:spacing w:line="360" w:lineRule="auto"/>
        <w:outlineLvl w:val="2"/>
        <w:rPr>
          <w:rFonts w:hint="eastAsia" w:ascii="宋体" w:hAnsi="宋体" w:cs="宋体"/>
          <w:b/>
          <w:color w:val="auto"/>
          <w:sz w:val="24"/>
          <w:highlight w:val="none"/>
        </w:rPr>
      </w:pPr>
      <w:r>
        <w:rPr>
          <w:rFonts w:hint="eastAsia" w:ascii="宋体" w:hAnsi="宋体" w:cs="宋体"/>
          <w:b/>
          <w:color w:val="auto"/>
          <w:sz w:val="24"/>
          <w:highlight w:val="none"/>
        </w:rPr>
        <w:t>2  授权委托书（实质性格式）</w:t>
      </w:r>
    </w:p>
    <w:p>
      <w:pPr>
        <w:spacing w:line="36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授权委托书</w:t>
      </w:r>
    </w:p>
    <w:p>
      <w:pPr>
        <w:spacing w:line="360" w:lineRule="auto"/>
        <w:ind w:firstLine="420"/>
        <w:rPr>
          <w:rFonts w:hint="eastAsia" w:ascii="宋体" w:hAnsi="宋体" w:cs="宋体"/>
          <w:color w:val="auto"/>
          <w:sz w:val="24"/>
          <w:szCs w:val="20"/>
          <w:highlight w:val="none"/>
        </w:rPr>
      </w:pPr>
    </w:p>
    <w:p>
      <w:pPr>
        <w:spacing w:line="360" w:lineRule="auto"/>
        <w:ind w:firstLine="420"/>
        <w:rPr>
          <w:rFonts w:hint="eastAsia" w:ascii="宋体" w:hAnsi="宋体" w:cs="宋体"/>
          <w:color w:val="auto"/>
          <w:sz w:val="24"/>
          <w:szCs w:val="20"/>
          <w:highlight w:val="none"/>
        </w:rPr>
      </w:pPr>
      <w:r>
        <w:rPr>
          <w:rFonts w:hint="eastAsia" w:ascii="宋体" w:hAnsi="宋体" w:cs="宋体"/>
          <w:color w:val="auto"/>
          <w:sz w:val="24"/>
          <w:szCs w:val="20"/>
          <w:highlight w:val="none"/>
        </w:rPr>
        <w:t>本人</w:t>
      </w:r>
      <w:r>
        <w:rPr>
          <w:rFonts w:hint="eastAsia" w:ascii="宋体" w:hAnsi="宋体" w:cs="宋体"/>
          <w:color w:val="auto"/>
          <w:sz w:val="24"/>
          <w:highlight w:val="none"/>
          <w:lang w:val="zh-CN"/>
        </w:rPr>
        <w:t>_______</w:t>
      </w:r>
      <w:r>
        <w:rPr>
          <w:rFonts w:hint="eastAsia" w:ascii="宋体" w:hAnsi="宋体" w:cs="宋体"/>
          <w:color w:val="auto"/>
          <w:sz w:val="24"/>
          <w:szCs w:val="20"/>
          <w:highlight w:val="none"/>
        </w:rPr>
        <w:t>（姓名）系</w:t>
      </w:r>
      <w:r>
        <w:rPr>
          <w:rFonts w:hint="eastAsia" w:ascii="宋体" w:hAnsi="宋体" w:cs="宋体"/>
          <w:color w:val="auto"/>
          <w:sz w:val="24"/>
          <w:highlight w:val="none"/>
          <w:lang w:val="zh-CN"/>
        </w:rPr>
        <w:t>________________</w:t>
      </w:r>
      <w:r>
        <w:rPr>
          <w:rFonts w:hint="eastAsia" w:ascii="宋体" w:hAnsi="宋体" w:cs="宋体"/>
          <w:color w:val="auto"/>
          <w:sz w:val="24"/>
          <w:szCs w:val="20"/>
          <w:highlight w:val="none"/>
        </w:rPr>
        <w:t>（投标人名称）的法定代表人（单位负责人），现委托</w:t>
      </w:r>
      <w:r>
        <w:rPr>
          <w:rFonts w:hint="eastAsia" w:ascii="宋体" w:hAnsi="宋体" w:cs="宋体"/>
          <w:color w:val="auto"/>
          <w:sz w:val="24"/>
          <w:highlight w:val="none"/>
          <w:lang w:val="zh-CN"/>
        </w:rPr>
        <w:t>_______</w:t>
      </w:r>
      <w:r>
        <w:rPr>
          <w:rFonts w:hint="eastAsia" w:ascii="宋体" w:hAnsi="宋体" w:cs="宋体"/>
          <w:color w:val="auto"/>
          <w:sz w:val="24"/>
          <w:szCs w:val="20"/>
          <w:highlight w:val="none"/>
        </w:rPr>
        <w:t>（姓名）为我方代理人。代理人根据授权，以我方名义签署、澄清确认、递交、撤回、修改</w:t>
      </w:r>
      <w:r>
        <w:rPr>
          <w:rFonts w:hint="eastAsia" w:ascii="宋体" w:hAnsi="宋体" w:cs="宋体"/>
          <w:color w:val="auto"/>
          <w:sz w:val="24"/>
          <w:highlight w:val="none"/>
          <w:lang w:val="zh-CN"/>
        </w:rPr>
        <w:t>___________</w:t>
      </w:r>
      <w:r>
        <w:rPr>
          <w:rFonts w:hint="eastAsia" w:ascii="宋体" w:hAnsi="宋体" w:cs="宋体"/>
          <w:color w:val="auto"/>
          <w:sz w:val="24"/>
          <w:szCs w:val="20"/>
          <w:highlight w:val="none"/>
        </w:rPr>
        <w:t>（项目名称）</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（分包名称）投标文件和处理有关事宜，其法律后果由我方承担。</w:t>
      </w:r>
    </w:p>
    <w:p>
      <w:pPr>
        <w:spacing w:line="360" w:lineRule="auto"/>
        <w:ind w:firstLine="420"/>
        <w:rPr>
          <w:rFonts w:hint="eastAsia" w:ascii="宋体" w:hAnsi="宋体" w:cs="宋体"/>
          <w:color w:val="auto"/>
          <w:sz w:val="24"/>
          <w:szCs w:val="20"/>
          <w:highlight w:val="none"/>
        </w:rPr>
      </w:pPr>
      <w:r>
        <w:rPr>
          <w:rFonts w:hint="eastAsia" w:ascii="宋体" w:hAnsi="宋体" w:cs="宋体"/>
          <w:color w:val="auto"/>
          <w:sz w:val="24"/>
          <w:szCs w:val="20"/>
          <w:highlight w:val="none"/>
        </w:rPr>
        <w:t>委托期限：自本授权委托书签署之日起至投标有效期届满之日止。</w:t>
      </w:r>
    </w:p>
    <w:p>
      <w:pPr>
        <w:spacing w:line="360" w:lineRule="auto"/>
        <w:ind w:firstLine="420"/>
        <w:rPr>
          <w:rFonts w:hint="eastAsia" w:ascii="宋体" w:hAnsi="宋体" w:cs="宋体"/>
          <w:color w:val="auto"/>
          <w:sz w:val="24"/>
          <w:szCs w:val="20"/>
          <w:highlight w:val="none"/>
        </w:rPr>
      </w:pPr>
      <w:r>
        <w:rPr>
          <w:rFonts w:hint="eastAsia" w:ascii="宋体" w:hAnsi="宋体" w:cs="宋体"/>
          <w:color w:val="auto"/>
          <w:sz w:val="24"/>
          <w:szCs w:val="20"/>
          <w:highlight w:val="none"/>
        </w:rPr>
        <w:t>代理人无转委托权。</w:t>
      </w:r>
      <w:r>
        <w:rPr>
          <w:rFonts w:hint="eastAsia" w:ascii="宋体" w:hAnsi="宋体" w:cs="宋体"/>
          <w:color w:val="auto"/>
          <w:sz w:val="24"/>
          <w:szCs w:val="20"/>
          <w:highlight w:val="none"/>
        </w:rPr>
        <w:cr/>
      </w:r>
    </w:p>
    <w:p>
      <w:pPr>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：________________</w:t>
      </w:r>
    </w:p>
    <w:p>
      <w:pPr>
        <w:spacing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w:t>法定代表人（单位负责人）（签字或签章或印鉴）：</w:t>
      </w:r>
      <w:r>
        <w:rPr>
          <w:rFonts w:hint="eastAsia" w:ascii="宋体" w:hAnsi="宋体" w:cs="宋体"/>
          <w:color w:val="auto"/>
          <w:sz w:val="24"/>
          <w:highlight w:val="none"/>
          <w:lang w:val="zh-CN"/>
        </w:rPr>
        <w:t>________________</w:t>
      </w:r>
    </w:p>
    <w:p>
      <w:pPr>
        <w:autoSpaceDE w:val="0"/>
        <w:autoSpaceDN w:val="0"/>
        <w:adjustRightInd w:val="0"/>
        <w:snapToGri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rPr>
        <w:t>委托代理人（签字或签章）：</w:t>
      </w:r>
      <w:r>
        <w:rPr>
          <w:rFonts w:hint="eastAsia" w:ascii="宋体" w:hAnsi="宋体" w:cs="宋体"/>
          <w:color w:val="auto"/>
          <w:sz w:val="24"/>
          <w:highlight w:val="none"/>
          <w:lang w:val="zh-CN"/>
        </w:rPr>
        <w:t>________________</w:t>
      </w:r>
    </w:p>
    <w:p>
      <w:pPr>
        <w:autoSpaceDE w:val="0"/>
        <w:autoSpaceDN w:val="0"/>
        <w:adjustRightInd w:val="0"/>
        <w:snapToGri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rPr>
        <w:t>日期：_____年______月______日</w:t>
      </w:r>
    </w:p>
    <w:p>
      <w:pPr>
        <w:tabs>
          <w:tab w:val="left" w:pos="5580"/>
        </w:tabs>
        <w:spacing w:line="360" w:lineRule="auto"/>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法定代表人（单位负责人）及委托代理人身份证明文件电子件：</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cs="宋体"/>
                <w:color w:val="auto"/>
                <w:sz w:val="24"/>
                <w:szCs w:val="20"/>
                <w:highlight w:val="none"/>
              </w:rPr>
            </w:pPr>
          </w:p>
          <w:p>
            <w:pPr>
              <w:tabs>
                <w:tab w:val="left" w:pos="5580"/>
              </w:tabs>
              <w:spacing w:line="360" w:lineRule="auto"/>
              <w:jc w:val="left"/>
              <w:rPr>
                <w:rFonts w:hint="eastAsia" w:ascii="宋体" w:hAnsi="宋体" w:cs="宋体"/>
                <w:color w:val="auto"/>
                <w:sz w:val="24"/>
                <w:szCs w:val="20"/>
                <w:highlight w:val="none"/>
              </w:rPr>
            </w:pPr>
          </w:p>
          <w:p>
            <w:pPr>
              <w:tabs>
                <w:tab w:val="left" w:pos="5580"/>
              </w:tabs>
              <w:spacing w:line="360" w:lineRule="auto"/>
              <w:jc w:val="left"/>
              <w:rPr>
                <w:rFonts w:hint="eastAsia" w:ascii="宋体" w:hAnsi="宋体" w:cs="宋体"/>
                <w:color w:val="auto"/>
                <w:sz w:val="24"/>
                <w:szCs w:val="20"/>
                <w:highlight w:val="none"/>
              </w:rPr>
            </w:pPr>
          </w:p>
        </w:tc>
        <w:tc>
          <w:tcPr>
            <w:tcW w:w="3657" w:type="dxa"/>
          </w:tcPr>
          <w:p>
            <w:pPr>
              <w:tabs>
                <w:tab w:val="left" w:pos="5580"/>
              </w:tabs>
              <w:spacing w:line="360" w:lineRule="auto"/>
              <w:jc w:val="left"/>
              <w:rPr>
                <w:rFonts w:hint="eastAsia" w:ascii="宋体" w:hAnsi="宋体" w:cs="宋体"/>
                <w:color w:val="auto"/>
                <w:sz w:val="24"/>
                <w:szCs w:val="20"/>
                <w:highlight w:val="none"/>
              </w:rPr>
            </w:pPr>
          </w:p>
          <w:p>
            <w:pPr>
              <w:tabs>
                <w:tab w:val="left" w:pos="5580"/>
              </w:tabs>
              <w:spacing w:line="360" w:lineRule="auto"/>
              <w:jc w:val="left"/>
              <w:rPr>
                <w:rFonts w:hint="eastAsia" w:ascii="宋体" w:hAnsi="宋体" w:cs="宋体"/>
                <w:color w:val="auto"/>
                <w:sz w:val="24"/>
                <w:szCs w:val="20"/>
                <w:highlight w:val="none"/>
              </w:rPr>
            </w:pPr>
          </w:p>
          <w:p>
            <w:pPr>
              <w:tabs>
                <w:tab w:val="left" w:pos="5580"/>
              </w:tabs>
              <w:spacing w:line="360" w:lineRule="auto"/>
              <w:jc w:val="left"/>
              <w:rPr>
                <w:rFonts w:hint="eastAsia" w:ascii="宋体" w:hAnsi="宋体" w:cs="宋体"/>
                <w:color w:val="auto"/>
                <w:sz w:val="24"/>
                <w:szCs w:val="20"/>
                <w:highlight w:val="none"/>
              </w:rPr>
            </w:pPr>
          </w:p>
        </w:tc>
      </w:tr>
    </w:tbl>
    <w:p>
      <w:pPr>
        <w:tabs>
          <w:tab w:val="left" w:pos="5580"/>
        </w:tabs>
        <w:spacing w:line="360" w:lineRule="auto"/>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法定代表人（单位负责人）及委托代理人身份证明文件电子件：</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cs="宋体"/>
                <w:color w:val="auto"/>
                <w:sz w:val="24"/>
                <w:szCs w:val="20"/>
                <w:highlight w:val="none"/>
              </w:rPr>
            </w:pPr>
          </w:p>
          <w:p>
            <w:pPr>
              <w:tabs>
                <w:tab w:val="left" w:pos="5580"/>
              </w:tabs>
              <w:spacing w:line="360" w:lineRule="auto"/>
              <w:jc w:val="left"/>
              <w:rPr>
                <w:rFonts w:hint="eastAsia" w:ascii="宋体" w:hAnsi="宋体" w:cs="宋体"/>
                <w:color w:val="auto"/>
                <w:sz w:val="24"/>
                <w:szCs w:val="20"/>
                <w:highlight w:val="none"/>
              </w:rPr>
            </w:pPr>
          </w:p>
          <w:p>
            <w:pPr>
              <w:tabs>
                <w:tab w:val="left" w:pos="5580"/>
              </w:tabs>
              <w:spacing w:line="360" w:lineRule="auto"/>
              <w:jc w:val="left"/>
              <w:rPr>
                <w:rFonts w:hint="eastAsia" w:ascii="宋体" w:hAnsi="宋体" w:cs="宋体"/>
                <w:color w:val="auto"/>
                <w:sz w:val="24"/>
                <w:szCs w:val="20"/>
                <w:highlight w:val="none"/>
              </w:rPr>
            </w:pPr>
          </w:p>
        </w:tc>
        <w:tc>
          <w:tcPr>
            <w:tcW w:w="3657" w:type="dxa"/>
          </w:tcPr>
          <w:p>
            <w:pPr>
              <w:tabs>
                <w:tab w:val="left" w:pos="5580"/>
              </w:tabs>
              <w:spacing w:line="360" w:lineRule="auto"/>
              <w:jc w:val="left"/>
              <w:rPr>
                <w:rFonts w:hint="eastAsia" w:ascii="宋体" w:hAnsi="宋体" w:cs="宋体"/>
                <w:color w:val="auto"/>
                <w:sz w:val="24"/>
                <w:szCs w:val="20"/>
                <w:highlight w:val="none"/>
              </w:rPr>
            </w:pPr>
          </w:p>
          <w:p>
            <w:pPr>
              <w:tabs>
                <w:tab w:val="left" w:pos="5580"/>
              </w:tabs>
              <w:spacing w:line="360" w:lineRule="auto"/>
              <w:jc w:val="left"/>
              <w:rPr>
                <w:rFonts w:hint="eastAsia" w:ascii="宋体" w:hAnsi="宋体" w:cs="宋体"/>
                <w:color w:val="auto"/>
                <w:sz w:val="24"/>
                <w:szCs w:val="20"/>
                <w:highlight w:val="none"/>
              </w:rPr>
            </w:pPr>
          </w:p>
          <w:p>
            <w:pPr>
              <w:tabs>
                <w:tab w:val="left" w:pos="5580"/>
              </w:tabs>
              <w:spacing w:line="360" w:lineRule="auto"/>
              <w:jc w:val="left"/>
              <w:rPr>
                <w:rFonts w:hint="eastAsia" w:ascii="宋体" w:hAnsi="宋体" w:cs="宋体"/>
                <w:color w:val="auto"/>
                <w:sz w:val="24"/>
                <w:szCs w:val="20"/>
                <w:highlight w:val="none"/>
              </w:rPr>
            </w:pPr>
          </w:p>
        </w:tc>
      </w:tr>
    </w:tbl>
    <w:p>
      <w:pPr>
        <w:tabs>
          <w:tab w:val="left" w:pos="5580"/>
        </w:tabs>
        <w:spacing w:line="360" w:lineRule="auto"/>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说明：</w:t>
      </w:r>
    </w:p>
    <w:p>
      <w:pPr>
        <w:tabs>
          <w:tab w:val="left" w:pos="5580"/>
        </w:tabs>
        <w:spacing w:line="360" w:lineRule="auto"/>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1.若供应商为事业单位或其他组织或分支机构，则法定代表人（单位负责人）处的签署人可为单位负责人。</w:t>
      </w:r>
    </w:p>
    <w:p>
      <w:pPr>
        <w:tabs>
          <w:tab w:val="left" w:pos="5580"/>
        </w:tabs>
        <w:spacing w:line="360" w:lineRule="auto"/>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3.供应商为自然人的情形，可不提供本《授权委托书》。</w:t>
      </w:r>
    </w:p>
    <w:p>
      <w:pPr>
        <w:tabs>
          <w:tab w:val="left" w:pos="5580"/>
        </w:tabs>
        <w:spacing w:line="360" w:lineRule="auto"/>
        <w:jc w:val="left"/>
        <w:rPr>
          <w:rFonts w:hint="eastAsia" w:ascii="宋体" w:hAnsi="宋体" w:cs="宋体"/>
          <w:color w:val="auto"/>
          <w:sz w:val="30"/>
          <w:szCs w:val="30"/>
          <w:highlight w:val="none"/>
        </w:rPr>
      </w:pPr>
      <w:r>
        <w:rPr>
          <w:rFonts w:hint="eastAsia" w:ascii="宋体" w:hAnsi="宋体" w:cs="宋体"/>
          <w:color w:val="auto"/>
          <w:sz w:val="24"/>
          <w:szCs w:val="20"/>
          <w:highlight w:val="none"/>
        </w:rPr>
        <w:t>4.供应商应随本《授权委托书》同时提供法定代表人（单位负责人）及委托代理人的有效的身份证或护照等身份证明文件电子件。提供身份证的，应同时提供身份证</w:t>
      </w:r>
      <w:r>
        <w:rPr>
          <w:rFonts w:hint="eastAsia" w:ascii="宋体" w:hAnsi="宋体" w:cs="宋体"/>
          <w:b/>
          <w:color w:val="auto"/>
          <w:sz w:val="24"/>
          <w:szCs w:val="20"/>
          <w:highlight w:val="none"/>
        </w:rPr>
        <w:t>双面</w:t>
      </w:r>
      <w:r>
        <w:rPr>
          <w:rFonts w:hint="eastAsia" w:ascii="宋体" w:hAnsi="宋体" w:cs="宋体"/>
          <w:color w:val="auto"/>
          <w:sz w:val="24"/>
          <w:szCs w:val="20"/>
          <w:highlight w:val="none"/>
        </w:rPr>
        <w:t xml:space="preserve">电子件。 </w:t>
      </w:r>
      <w:r>
        <w:rPr>
          <w:rFonts w:hint="eastAsia" w:ascii="宋体" w:hAnsi="宋体" w:cs="宋体"/>
          <w:color w:val="auto"/>
          <w:sz w:val="30"/>
          <w:szCs w:val="30"/>
          <w:highlight w:val="none"/>
        </w:rPr>
        <w:br w:type="page"/>
      </w:r>
    </w:p>
    <w:p>
      <w:pPr>
        <w:spacing w:line="36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附：法定代表人（单位负责人）身份证明</w:t>
      </w:r>
    </w:p>
    <w:p>
      <w:pPr>
        <w:kinsoku w:val="0"/>
        <w:overflowPunct w:val="0"/>
        <w:spacing w:line="200" w:lineRule="exact"/>
        <w:rPr>
          <w:rFonts w:hint="eastAsia" w:ascii="宋体" w:hAnsi="宋体" w:cs="宋体"/>
          <w:color w:val="auto"/>
          <w:sz w:val="20"/>
          <w:szCs w:val="20"/>
          <w:highlight w:val="none"/>
        </w:rPr>
      </w:pPr>
    </w:p>
    <w:p>
      <w:pPr>
        <w:tabs>
          <w:tab w:val="left" w:pos="5580"/>
        </w:tabs>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致：采购人或采购代理机构</w:t>
      </w:r>
    </w:p>
    <w:p>
      <w:pPr>
        <w:tabs>
          <w:tab w:val="left" w:pos="5580"/>
        </w:tabs>
        <w:spacing w:line="360" w:lineRule="auto"/>
        <w:rPr>
          <w:rFonts w:hint="eastAsia" w:ascii="宋体" w:hAnsi="宋体" w:cs="宋体"/>
          <w:color w:val="auto"/>
          <w:sz w:val="24"/>
          <w:highlight w:val="none"/>
          <w:u w:val="single"/>
        </w:rPr>
      </w:pPr>
    </w:p>
    <w:p>
      <w:pPr>
        <w:pStyle w:val="17"/>
        <w:tabs>
          <w:tab w:val="left" w:pos="2412"/>
          <w:tab w:val="left" w:pos="3883"/>
          <w:tab w:val="left" w:pos="5352"/>
          <w:tab w:val="left" w:pos="6821"/>
        </w:tabs>
        <w:kinsoku w:val="0"/>
        <w:overflowPunct w:val="0"/>
        <w:spacing w:line="335" w:lineRule="exact"/>
        <w:ind w:firstLine="480" w:firstLineChars="200"/>
        <w:rPr>
          <w:rFonts w:hint="eastAsia" w:cs="宋体"/>
          <w:color w:val="auto"/>
          <w:highlight w:val="none"/>
        </w:rPr>
      </w:pPr>
      <w:r>
        <w:rPr>
          <w:rFonts w:hint="eastAsia" w:cs="宋体"/>
          <w:color w:val="auto"/>
          <w:highlight w:val="none"/>
        </w:rPr>
        <w:t>兹证明，</w:t>
      </w:r>
    </w:p>
    <w:p>
      <w:pPr>
        <w:pStyle w:val="17"/>
        <w:tabs>
          <w:tab w:val="left" w:pos="1690"/>
          <w:tab w:val="left" w:pos="3400"/>
          <w:tab w:val="left" w:pos="5110"/>
          <w:tab w:val="left" w:pos="6821"/>
        </w:tabs>
        <w:kinsoku w:val="0"/>
        <w:overflowPunct w:val="0"/>
        <w:spacing w:line="335" w:lineRule="exact"/>
        <w:rPr>
          <w:rFonts w:hint="eastAsia" w:cs="宋体"/>
          <w:color w:val="auto"/>
          <w:highlight w:val="none"/>
        </w:rPr>
      </w:pPr>
      <w:r>
        <w:rPr>
          <w:rFonts w:hint="eastAsia" w:cs="宋体"/>
          <w:color w:val="auto"/>
          <w:highlight w:val="none"/>
        </w:rPr>
        <w:t>姓名：____性别：____年龄：____职务：____</w:t>
      </w:r>
    </w:p>
    <w:p>
      <w:pPr>
        <w:pStyle w:val="17"/>
        <w:tabs>
          <w:tab w:val="left" w:pos="2412"/>
          <w:tab w:val="left" w:pos="3883"/>
          <w:tab w:val="left" w:pos="5352"/>
          <w:tab w:val="left" w:pos="6821"/>
        </w:tabs>
        <w:kinsoku w:val="0"/>
        <w:overflowPunct w:val="0"/>
        <w:spacing w:line="335" w:lineRule="exact"/>
        <w:rPr>
          <w:rFonts w:hint="eastAsia" w:cs="宋体"/>
          <w:color w:val="auto"/>
          <w:highlight w:val="none"/>
        </w:rPr>
      </w:pPr>
    </w:p>
    <w:p>
      <w:pPr>
        <w:pStyle w:val="17"/>
        <w:tabs>
          <w:tab w:val="left" w:pos="2250"/>
          <w:tab w:val="left" w:pos="2412"/>
          <w:tab w:val="left" w:pos="3883"/>
          <w:tab w:val="left" w:pos="5352"/>
          <w:tab w:val="left" w:pos="6821"/>
          <w:tab w:val="clear" w:pos="567"/>
        </w:tabs>
        <w:kinsoku w:val="0"/>
        <w:overflowPunct w:val="0"/>
        <w:spacing w:line="335" w:lineRule="exact"/>
        <w:rPr>
          <w:rFonts w:hint="eastAsia" w:cs="宋体"/>
          <w:color w:val="auto"/>
          <w:highlight w:val="none"/>
        </w:rPr>
      </w:pPr>
      <w:r>
        <w:rPr>
          <w:rFonts w:hint="eastAsia" w:cs="宋体"/>
          <w:color w:val="auto"/>
          <w:highlight w:val="none"/>
        </w:rPr>
        <w:t>系</w:t>
      </w:r>
      <w:r>
        <w:rPr>
          <w:rFonts w:hint="eastAsia" w:cs="宋体"/>
          <w:color w:val="auto"/>
          <w:highlight w:val="none"/>
          <w:u w:val="single"/>
        </w:rPr>
        <w:tab/>
      </w:r>
      <w:r>
        <w:rPr>
          <w:rFonts w:hint="eastAsia" w:cs="宋体"/>
          <w:color w:val="auto"/>
          <w:highlight w:val="none"/>
        </w:rPr>
        <w:t>（投标人名称）的法定代表人（单位负责人）。</w:t>
      </w:r>
    </w:p>
    <w:p>
      <w:pPr>
        <w:pStyle w:val="17"/>
        <w:tabs>
          <w:tab w:val="left" w:pos="2412"/>
          <w:tab w:val="left" w:pos="3883"/>
          <w:tab w:val="left" w:pos="5352"/>
          <w:tab w:val="left" w:pos="6821"/>
        </w:tabs>
        <w:kinsoku w:val="0"/>
        <w:overflowPunct w:val="0"/>
        <w:spacing w:line="335" w:lineRule="exact"/>
        <w:rPr>
          <w:rFonts w:hint="eastAsia" w:cs="宋体"/>
          <w:color w:val="auto"/>
          <w:highlight w:val="none"/>
        </w:rPr>
      </w:pPr>
    </w:p>
    <w:p>
      <w:pPr>
        <w:pStyle w:val="17"/>
        <w:tabs>
          <w:tab w:val="left" w:pos="2412"/>
          <w:tab w:val="left" w:pos="3883"/>
          <w:tab w:val="left" w:pos="5352"/>
          <w:tab w:val="left" w:pos="6821"/>
        </w:tabs>
        <w:kinsoku w:val="0"/>
        <w:overflowPunct w:val="0"/>
        <w:spacing w:line="335" w:lineRule="exact"/>
        <w:rPr>
          <w:rFonts w:hint="eastAsia" w:cs="宋体"/>
          <w:color w:val="auto"/>
          <w:highlight w:val="none"/>
        </w:rPr>
      </w:pPr>
    </w:p>
    <w:p>
      <w:pPr>
        <w:pStyle w:val="17"/>
        <w:tabs>
          <w:tab w:val="left" w:pos="2412"/>
          <w:tab w:val="left" w:pos="3883"/>
          <w:tab w:val="left" w:pos="5352"/>
          <w:tab w:val="left" w:pos="6821"/>
        </w:tabs>
        <w:kinsoku w:val="0"/>
        <w:overflowPunct w:val="0"/>
        <w:spacing w:line="335" w:lineRule="exact"/>
        <w:rPr>
          <w:rFonts w:hint="eastAsia" w:cs="宋体"/>
          <w:color w:val="auto"/>
          <w:highlight w:val="none"/>
        </w:rPr>
      </w:pPr>
    </w:p>
    <w:p>
      <w:pPr>
        <w:pStyle w:val="17"/>
        <w:kinsoku w:val="0"/>
        <w:overflowPunct w:val="0"/>
        <w:spacing w:line="583" w:lineRule="auto"/>
        <w:ind w:right="-46"/>
        <w:rPr>
          <w:rFonts w:hint="eastAsia" w:cs="宋体"/>
          <w:color w:val="auto"/>
          <w:spacing w:val="-3"/>
          <w:highlight w:val="none"/>
        </w:rPr>
      </w:pPr>
      <w:r>
        <w:rPr>
          <w:rFonts w:hint="eastAsia" w:cs="宋体"/>
          <w:color w:val="auto"/>
          <w:highlight w:val="none"/>
        </w:rPr>
        <w:t>附：</w:t>
      </w:r>
      <w:r>
        <w:rPr>
          <w:rFonts w:hint="eastAsia" w:ascii="宋体" w:hAnsi="宋体" w:cs="宋体"/>
          <w:color w:val="auto"/>
          <w:szCs w:val="20"/>
          <w:highlight w:val="none"/>
        </w:rPr>
        <w:t>法定代表人（单位负责人）身份证或护照等身份证明文件电子件：</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cs="宋体"/>
                <w:color w:val="auto"/>
                <w:sz w:val="24"/>
                <w:szCs w:val="20"/>
                <w:highlight w:val="none"/>
              </w:rPr>
            </w:pPr>
          </w:p>
          <w:p>
            <w:pPr>
              <w:tabs>
                <w:tab w:val="left" w:pos="5580"/>
              </w:tabs>
              <w:spacing w:line="360" w:lineRule="auto"/>
              <w:jc w:val="left"/>
              <w:rPr>
                <w:rFonts w:hint="eastAsia" w:ascii="宋体" w:hAnsi="宋体" w:cs="宋体"/>
                <w:color w:val="auto"/>
                <w:sz w:val="24"/>
                <w:szCs w:val="20"/>
                <w:highlight w:val="none"/>
              </w:rPr>
            </w:pPr>
          </w:p>
          <w:p>
            <w:pPr>
              <w:tabs>
                <w:tab w:val="left" w:pos="5580"/>
              </w:tabs>
              <w:spacing w:line="360" w:lineRule="auto"/>
              <w:jc w:val="left"/>
              <w:rPr>
                <w:rFonts w:hint="eastAsia" w:ascii="宋体" w:hAnsi="宋体" w:cs="宋体"/>
                <w:color w:val="auto"/>
                <w:sz w:val="24"/>
                <w:szCs w:val="20"/>
                <w:highlight w:val="none"/>
              </w:rPr>
            </w:pPr>
          </w:p>
        </w:tc>
        <w:tc>
          <w:tcPr>
            <w:tcW w:w="3657" w:type="dxa"/>
          </w:tcPr>
          <w:p>
            <w:pPr>
              <w:tabs>
                <w:tab w:val="left" w:pos="5580"/>
              </w:tabs>
              <w:spacing w:line="360" w:lineRule="auto"/>
              <w:jc w:val="left"/>
              <w:rPr>
                <w:rFonts w:hint="eastAsia" w:ascii="宋体" w:hAnsi="宋体" w:cs="宋体"/>
                <w:color w:val="auto"/>
                <w:sz w:val="24"/>
                <w:szCs w:val="20"/>
                <w:highlight w:val="none"/>
              </w:rPr>
            </w:pPr>
          </w:p>
          <w:p>
            <w:pPr>
              <w:tabs>
                <w:tab w:val="left" w:pos="5580"/>
              </w:tabs>
              <w:spacing w:line="360" w:lineRule="auto"/>
              <w:jc w:val="left"/>
              <w:rPr>
                <w:rFonts w:hint="eastAsia" w:ascii="宋体" w:hAnsi="宋体" w:cs="宋体"/>
                <w:color w:val="auto"/>
                <w:sz w:val="24"/>
                <w:szCs w:val="20"/>
                <w:highlight w:val="none"/>
              </w:rPr>
            </w:pPr>
          </w:p>
          <w:p>
            <w:pPr>
              <w:tabs>
                <w:tab w:val="left" w:pos="5580"/>
              </w:tabs>
              <w:spacing w:line="360" w:lineRule="auto"/>
              <w:jc w:val="left"/>
              <w:rPr>
                <w:rFonts w:hint="eastAsia" w:ascii="宋体" w:hAnsi="宋体" w:cs="宋体"/>
                <w:color w:val="auto"/>
                <w:sz w:val="24"/>
                <w:szCs w:val="20"/>
                <w:highlight w:val="none"/>
              </w:rPr>
            </w:pPr>
          </w:p>
        </w:tc>
      </w:tr>
    </w:tbl>
    <w:p>
      <w:pPr>
        <w:pStyle w:val="17"/>
        <w:kinsoku w:val="0"/>
        <w:overflowPunct w:val="0"/>
        <w:spacing w:line="583" w:lineRule="auto"/>
        <w:ind w:right="4305"/>
        <w:rPr>
          <w:rFonts w:hint="eastAsia" w:cs="宋体"/>
          <w:color w:val="auto"/>
          <w:spacing w:val="-3"/>
          <w:highlight w:val="none"/>
        </w:rPr>
      </w:pPr>
    </w:p>
    <w:p>
      <w:pPr>
        <w:pStyle w:val="17"/>
        <w:kinsoku w:val="0"/>
        <w:overflowPunct w:val="0"/>
        <w:spacing w:line="583" w:lineRule="auto"/>
        <w:ind w:right="4305"/>
        <w:rPr>
          <w:rFonts w:hint="eastAsia" w:cs="宋体"/>
          <w:color w:val="auto"/>
          <w:spacing w:val="-3"/>
          <w:highlight w:val="none"/>
        </w:rPr>
      </w:pPr>
    </w:p>
    <w:p>
      <w:pPr>
        <w:autoSpaceDE w:val="0"/>
        <w:autoSpaceDN w:val="0"/>
        <w:adjustRightInd w:val="0"/>
        <w:snapToGri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：________________</w:t>
      </w:r>
    </w:p>
    <w:p>
      <w:pPr>
        <w:pStyle w:val="17"/>
        <w:kinsoku w:val="0"/>
        <w:overflowPunct w:val="0"/>
        <w:spacing w:line="583" w:lineRule="auto"/>
        <w:ind w:right="95"/>
        <w:rPr>
          <w:rFonts w:hint="eastAsia" w:cs="宋体"/>
          <w:color w:val="auto"/>
          <w:spacing w:val="-3"/>
          <w:highlight w:val="none"/>
        </w:rPr>
      </w:pPr>
      <w:r>
        <w:rPr>
          <w:rFonts w:hint="eastAsia" w:cs="宋体"/>
          <w:color w:val="auto"/>
          <w:spacing w:val="-3"/>
          <w:highlight w:val="none"/>
        </w:rPr>
        <w:t>法定代表人（</w:t>
      </w:r>
      <w:r>
        <w:rPr>
          <w:rFonts w:hint="eastAsia" w:cs="宋体"/>
          <w:color w:val="auto"/>
          <w:highlight w:val="none"/>
        </w:rPr>
        <w:t>单位负责人</w:t>
      </w:r>
      <w:r>
        <w:rPr>
          <w:rFonts w:hint="eastAsia" w:cs="宋体"/>
          <w:color w:val="auto"/>
          <w:spacing w:val="-3"/>
          <w:highlight w:val="none"/>
        </w:rPr>
        <w:t>）（签字或签章或印鉴）：_______</w:t>
      </w:r>
    </w:p>
    <w:p>
      <w:pPr>
        <w:autoSpaceDE w:val="0"/>
        <w:autoSpaceDN w:val="0"/>
        <w:adjustRightInd w:val="0"/>
        <w:snapToGrid w:val="0"/>
        <w:spacing w:line="360" w:lineRule="auto"/>
        <w:rPr>
          <w:rFonts w:hint="eastAsia" w:ascii="宋体" w:hAnsi="宋体" w:cs="宋体"/>
          <w:color w:val="auto"/>
          <w:sz w:val="24"/>
          <w:highlight w:val="none"/>
        </w:rPr>
      </w:pPr>
    </w:p>
    <w:p>
      <w:pPr>
        <w:autoSpaceDE w:val="0"/>
        <w:autoSpaceDN w:val="0"/>
        <w:adjustRightInd w:val="0"/>
        <w:snapToGrid w:val="0"/>
        <w:spacing w:line="360" w:lineRule="auto"/>
        <w:rPr>
          <w:rFonts w:hint="eastAsia" w:ascii="宋体" w:hAnsi="宋体" w:cs="宋体"/>
          <w:i/>
          <w:color w:val="auto"/>
          <w:sz w:val="24"/>
          <w:szCs w:val="20"/>
          <w:highlight w:val="none"/>
          <w:u w:val="single"/>
        </w:rPr>
      </w:pPr>
      <w:r>
        <w:rPr>
          <w:rFonts w:hint="eastAsia" w:ascii="宋体" w:hAnsi="宋体" w:cs="宋体"/>
          <w:color w:val="auto"/>
          <w:sz w:val="24"/>
          <w:highlight w:val="none"/>
        </w:rPr>
        <w:t>日期：_____年______月______日</w:t>
      </w:r>
    </w:p>
    <w:p>
      <w:pPr>
        <w:pStyle w:val="4"/>
        <w:widowControl/>
        <w:rPr>
          <w:rFonts w:hint="eastAsia" w:hAnsi="宋体" w:cs="宋体"/>
          <w:color w:val="auto"/>
          <w:highlight w:val="none"/>
        </w:rPr>
      </w:pPr>
      <w:r>
        <w:rPr>
          <w:rFonts w:hint="eastAsia" w:hAnsi="宋体" w:cs="宋体"/>
          <w:color w:val="auto"/>
          <w:highlight w:val="none"/>
        </w:rPr>
        <w:br w:type="page"/>
      </w:r>
      <w:r>
        <w:rPr>
          <w:rFonts w:hint="eastAsia" w:hAnsi="宋体" w:cs="宋体"/>
          <w:color w:val="auto"/>
          <w:highlight w:val="none"/>
        </w:rPr>
        <w:t xml:space="preserve">3  </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Start w:id="892" w:name="_Toc150774765"/>
      <w:bookmarkStart w:id="893" w:name="_Toc226965835"/>
      <w:bookmarkStart w:id="894" w:name="_Toc226309806"/>
      <w:bookmarkStart w:id="895" w:name="_Toc127151562"/>
      <w:bookmarkStart w:id="896" w:name="_Toc305158830"/>
      <w:bookmarkStart w:id="897" w:name="_Toc265228400"/>
      <w:bookmarkStart w:id="898" w:name="_Toc142311062"/>
      <w:bookmarkStart w:id="899" w:name="_Toc195842927"/>
      <w:bookmarkStart w:id="900" w:name="_Toc264969252"/>
      <w:bookmarkStart w:id="901" w:name="_Toc305158904"/>
      <w:bookmarkStart w:id="902" w:name="_Toc226337258"/>
      <w:bookmarkStart w:id="903" w:name="_Toc226965752"/>
      <w:bookmarkStart w:id="904" w:name="_Toc150480798"/>
      <w:bookmarkStart w:id="905" w:name="_Toc264969251"/>
      <w:bookmarkStart w:id="906" w:name="_Toc127151561"/>
      <w:bookmarkStart w:id="907" w:name="_Toc305158829"/>
      <w:bookmarkStart w:id="908" w:name="_Toc265228399"/>
      <w:bookmarkStart w:id="909" w:name="_Toc150480797"/>
      <w:bookmarkStart w:id="910" w:name="_Toc142311061"/>
      <w:bookmarkStart w:id="911" w:name="_Toc226965751"/>
      <w:bookmarkStart w:id="912" w:name="_Toc150774764"/>
      <w:bookmarkStart w:id="913" w:name="_Toc226309805"/>
      <w:bookmarkStart w:id="914" w:name="_Toc195842926"/>
      <w:bookmarkStart w:id="915" w:name="_Toc226965834"/>
      <w:bookmarkStart w:id="916" w:name="_Toc305158903"/>
      <w:bookmarkStart w:id="917" w:name="_Toc226337257"/>
      <w:r>
        <w:rPr>
          <w:rFonts w:hint="eastAsia" w:hAnsi="宋体" w:cs="宋体"/>
          <w:color w:val="auto"/>
          <w:highlight w:val="none"/>
        </w:rPr>
        <w:t>开标一览表（实质性格式）</w:t>
      </w:r>
    </w:p>
    <w:p>
      <w:pPr>
        <w:spacing w:line="360" w:lineRule="exact"/>
        <w:jc w:val="center"/>
        <w:rPr>
          <w:rFonts w:hint="eastAsia" w:ascii="宋体" w:hAnsi="宋体" w:cs="宋体"/>
          <w:b/>
          <w:color w:val="auto"/>
          <w:sz w:val="36"/>
          <w:szCs w:val="36"/>
          <w:highlight w:val="none"/>
        </w:rPr>
      </w:pPr>
      <w:bookmarkStart w:id="918" w:name="_Toc164608672"/>
      <w:bookmarkStart w:id="919" w:name="_Toc226309802"/>
      <w:bookmarkStart w:id="920" w:name="_Toc226965748"/>
      <w:bookmarkStart w:id="921" w:name="_Toc195842923"/>
      <w:bookmarkStart w:id="922" w:name="_Toc264969248"/>
      <w:bookmarkStart w:id="923" w:name="_Toc226965831"/>
      <w:bookmarkStart w:id="924" w:name="_Toc305158900"/>
      <w:bookmarkStart w:id="925" w:name="_Toc226337254"/>
      <w:bookmarkStart w:id="926" w:name="_Toc164608827"/>
      <w:bookmarkStart w:id="927" w:name="_Toc305158826"/>
      <w:bookmarkStart w:id="928" w:name="_Toc265228396"/>
    </w:p>
    <w:p>
      <w:pPr>
        <w:spacing w:line="36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开标一览表</w:t>
      </w:r>
      <w:bookmarkEnd w:id="918"/>
      <w:bookmarkEnd w:id="919"/>
      <w:bookmarkEnd w:id="920"/>
      <w:bookmarkEnd w:id="921"/>
      <w:bookmarkEnd w:id="922"/>
      <w:bookmarkEnd w:id="923"/>
      <w:bookmarkEnd w:id="924"/>
      <w:bookmarkEnd w:id="925"/>
      <w:bookmarkEnd w:id="926"/>
      <w:bookmarkEnd w:id="927"/>
      <w:bookmarkEnd w:id="928"/>
    </w:p>
    <w:p>
      <w:pPr>
        <w:tabs>
          <w:tab w:val="left" w:pos="1800"/>
          <w:tab w:val="left" w:pos="5580"/>
        </w:tabs>
        <w:spacing w:line="360" w:lineRule="auto"/>
        <w:ind w:firstLine="240" w:firstLineChars="100"/>
        <w:jc w:val="left"/>
        <w:rPr>
          <w:rFonts w:hint="eastAsia" w:ascii="宋体" w:hAnsi="宋体" w:cs="宋体"/>
          <w:color w:val="auto"/>
          <w:sz w:val="24"/>
          <w:highlight w:val="none"/>
          <w:u w:val="singl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s="宋体"/>
          <w:color w:val="auto"/>
          <w:sz w:val="24"/>
          <w:highlight w:val="none"/>
        </w:rPr>
        <w:t>_</w:t>
      </w:r>
    </w:p>
    <w:tbl>
      <w:tblPr>
        <w:tblStyle w:val="47"/>
        <w:tblW w:w="7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51"/>
        <w:gridCol w:w="2119"/>
        <w:gridCol w:w="1838"/>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0" w:hRule="atLeast"/>
          <w:jc w:val="center"/>
        </w:trPr>
        <w:tc>
          <w:tcPr>
            <w:tcW w:w="2651" w:type="dxa"/>
            <w:vMerge w:val="restart"/>
            <w:vAlign w:val="center"/>
          </w:tcPr>
          <w:p>
            <w:pPr>
              <w:tabs>
                <w:tab w:val="left" w:pos="5580"/>
              </w:tabs>
              <w:jc w:val="center"/>
              <w:rPr>
                <w:rFonts w:hint="eastAsia" w:ascii="宋体" w:hAnsi="宋体" w:cs="宋体"/>
                <w:b/>
                <w:color w:val="auto"/>
                <w:sz w:val="24"/>
                <w:highlight w:val="none"/>
              </w:rPr>
            </w:pPr>
            <w:r>
              <w:rPr>
                <w:rFonts w:hint="eastAsia" w:ascii="宋体" w:hAnsi="宋体" w:cs="宋体"/>
                <w:b/>
                <w:color w:val="auto"/>
                <w:sz w:val="24"/>
                <w:highlight w:val="none"/>
              </w:rPr>
              <w:t>投标人名称</w:t>
            </w:r>
          </w:p>
        </w:tc>
        <w:tc>
          <w:tcPr>
            <w:tcW w:w="3957" w:type="dxa"/>
            <w:gridSpan w:val="2"/>
            <w:vAlign w:val="center"/>
          </w:tcPr>
          <w:p>
            <w:pPr>
              <w:tabs>
                <w:tab w:val="left" w:pos="5580"/>
              </w:tabs>
              <w:jc w:val="center"/>
              <w:rPr>
                <w:rFonts w:hint="eastAsia" w:ascii="宋体" w:hAnsi="宋体" w:cs="宋体"/>
                <w:b/>
                <w:color w:val="auto"/>
                <w:sz w:val="24"/>
                <w:highlight w:val="none"/>
              </w:rPr>
            </w:pPr>
            <w:r>
              <w:rPr>
                <w:rFonts w:hint="eastAsia" w:ascii="宋体" w:hAnsi="宋体" w:cs="宋体"/>
                <w:b/>
                <w:color w:val="auto"/>
                <w:sz w:val="24"/>
                <w:highlight w:val="none"/>
              </w:rPr>
              <w:t>投标报价（元）</w:t>
            </w:r>
          </w:p>
        </w:tc>
        <w:tc>
          <w:tcPr>
            <w:tcW w:w="669" w:type="dxa"/>
            <w:vMerge w:val="restart"/>
            <w:vAlign w:val="center"/>
          </w:tcPr>
          <w:p>
            <w:pPr>
              <w:tabs>
                <w:tab w:val="left" w:pos="5580"/>
              </w:tabs>
              <w:jc w:val="center"/>
              <w:rPr>
                <w:rFonts w:hint="eastAsia" w:ascii="宋体" w:hAnsi="宋体" w:cs="宋体"/>
                <w:b/>
                <w:color w:val="auto"/>
                <w:sz w:val="24"/>
                <w:highlight w:val="none"/>
              </w:rPr>
            </w:pPr>
            <w:r>
              <w:rPr>
                <w:rFonts w:hint="eastAsia" w:ascii="宋体" w:hAnsi="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2" w:hRule="atLeast"/>
          <w:jc w:val="center"/>
        </w:trPr>
        <w:tc>
          <w:tcPr>
            <w:tcW w:w="2651" w:type="dxa"/>
            <w:vMerge w:val="continue"/>
            <w:vAlign w:val="center"/>
          </w:tcPr>
          <w:p>
            <w:pPr>
              <w:tabs>
                <w:tab w:val="left" w:pos="5580"/>
              </w:tabs>
              <w:jc w:val="center"/>
              <w:rPr>
                <w:rFonts w:hint="eastAsia" w:ascii="宋体" w:hAnsi="宋体" w:cs="宋体"/>
                <w:color w:val="auto"/>
                <w:sz w:val="24"/>
                <w:highlight w:val="none"/>
              </w:rPr>
            </w:pPr>
          </w:p>
        </w:tc>
        <w:tc>
          <w:tcPr>
            <w:tcW w:w="2119" w:type="dxa"/>
            <w:vAlign w:val="center"/>
          </w:tcPr>
          <w:p>
            <w:pPr>
              <w:tabs>
                <w:tab w:val="left" w:pos="5580"/>
              </w:tabs>
              <w:jc w:val="center"/>
              <w:rPr>
                <w:rFonts w:hint="eastAsia" w:ascii="宋体" w:hAnsi="宋体" w:cs="宋体"/>
                <w:b/>
                <w:color w:val="auto"/>
                <w:sz w:val="24"/>
                <w:highlight w:val="none"/>
              </w:rPr>
            </w:pPr>
            <w:r>
              <w:rPr>
                <w:rFonts w:hint="eastAsia" w:ascii="宋体" w:hAnsi="宋体" w:cs="宋体"/>
                <w:b/>
                <w:color w:val="auto"/>
                <w:sz w:val="24"/>
                <w:highlight w:val="none"/>
              </w:rPr>
              <w:t>大写</w:t>
            </w:r>
          </w:p>
        </w:tc>
        <w:tc>
          <w:tcPr>
            <w:tcW w:w="1838" w:type="dxa"/>
            <w:vAlign w:val="center"/>
          </w:tcPr>
          <w:p>
            <w:pPr>
              <w:tabs>
                <w:tab w:val="left" w:pos="5580"/>
              </w:tabs>
              <w:jc w:val="center"/>
              <w:rPr>
                <w:rFonts w:hint="eastAsia" w:ascii="宋体" w:hAnsi="宋体" w:cs="宋体"/>
                <w:b/>
                <w:color w:val="auto"/>
                <w:sz w:val="24"/>
                <w:highlight w:val="none"/>
              </w:rPr>
            </w:pPr>
            <w:r>
              <w:rPr>
                <w:rFonts w:hint="eastAsia" w:ascii="宋体" w:hAnsi="宋体" w:cs="宋体"/>
                <w:b/>
                <w:color w:val="auto"/>
                <w:sz w:val="24"/>
                <w:highlight w:val="none"/>
              </w:rPr>
              <w:t>小写</w:t>
            </w:r>
          </w:p>
        </w:tc>
        <w:tc>
          <w:tcPr>
            <w:tcW w:w="669" w:type="dxa"/>
            <w:vMerge w:val="continue"/>
            <w:vAlign w:val="center"/>
          </w:tcPr>
          <w:p>
            <w:pPr>
              <w:tabs>
                <w:tab w:val="left" w:pos="5580"/>
              </w:tabs>
              <w:jc w:val="center"/>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3" w:hRule="atLeast"/>
          <w:jc w:val="center"/>
        </w:trPr>
        <w:tc>
          <w:tcPr>
            <w:tcW w:w="2651" w:type="dxa"/>
            <w:vAlign w:val="center"/>
          </w:tcPr>
          <w:p>
            <w:pPr>
              <w:tabs>
                <w:tab w:val="left" w:pos="5580"/>
              </w:tabs>
              <w:jc w:val="center"/>
              <w:rPr>
                <w:rFonts w:hint="eastAsia" w:ascii="宋体" w:hAnsi="宋体" w:cs="宋体"/>
                <w:color w:val="auto"/>
                <w:sz w:val="24"/>
                <w:highlight w:val="none"/>
              </w:rPr>
            </w:pPr>
          </w:p>
        </w:tc>
        <w:tc>
          <w:tcPr>
            <w:tcW w:w="2119" w:type="dxa"/>
            <w:vAlign w:val="center"/>
          </w:tcPr>
          <w:p>
            <w:pPr>
              <w:tabs>
                <w:tab w:val="left" w:pos="5580"/>
              </w:tabs>
              <w:jc w:val="center"/>
              <w:rPr>
                <w:rFonts w:hint="eastAsia" w:ascii="宋体" w:hAnsi="宋体" w:cs="宋体"/>
                <w:color w:val="auto"/>
                <w:sz w:val="24"/>
                <w:highlight w:val="none"/>
              </w:rPr>
            </w:pPr>
          </w:p>
        </w:tc>
        <w:tc>
          <w:tcPr>
            <w:tcW w:w="1838" w:type="dxa"/>
            <w:vAlign w:val="center"/>
          </w:tcPr>
          <w:p>
            <w:pPr>
              <w:tabs>
                <w:tab w:val="left" w:pos="5580"/>
              </w:tabs>
              <w:jc w:val="center"/>
              <w:rPr>
                <w:rFonts w:hint="eastAsia" w:ascii="宋体" w:hAnsi="宋体" w:cs="宋体"/>
                <w:color w:val="auto"/>
                <w:sz w:val="24"/>
                <w:highlight w:val="none"/>
              </w:rPr>
            </w:pPr>
          </w:p>
        </w:tc>
        <w:tc>
          <w:tcPr>
            <w:tcW w:w="669" w:type="dxa"/>
            <w:vAlign w:val="center"/>
          </w:tcPr>
          <w:p>
            <w:pPr>
              <w:tabs>
                <w:tab w:val="left" w:pos="5580"/>
              </w:tabs>
              <w:jc w:val="center"/>
              <w:rPr>
                <w:rFonts w:hint="eastAsia" w:ascii="宋体" w:hAnsi="宋体" w:cs="宋体"/>
                <w:color w:val="auto"/>
                <w:sz w:val="24"/>
                <w:highlight w:val="none"/>
              </w:rPr>
            </w:pPr>
          </w:p>
        </w:tc>
      </w:tr>
    </w:tbl>
    <w:p>
      <w:pPr>
        <w:autoSpaceDE w:val="0"/>
        <w:autoSpaceDN w:val="0"/>
        <w:adjustRightInd w:val="0"/>
        <w:jc w:val="left"/>
        <w:rPr>
          <w:rFonts w:hint="eastAsia" w:ascii="宋体" w:hAnsi="宋体" w:cs="宋体"/>
          <w:color w:val="auto"/>
          <w:kern w:val="0"/>
          <w:sz w:val="24"/>
          <w:highlight w:val="none"/>
        </w:rPr>
      </w:pPr>
    </w:p>
    <w:p>
      <w:pPr>
        <w:autoSpaceDE w:val="0"/>
        <w:autoSpaceDN w:val="0"/>
        <w:adjustRightInd w:val="0"/>
        <w:spacing w:line="360" w:lineRule="auto"/>
        <w:jc w:val="left"/>
        <w:rPr>
          <w:rFonts w:hint="eastAsia" w:ascii="宋体" w:hAnsi="宋体" w:cs="宋体"/>
          <w:color w:val="auto"/>
          <w:sz w:val="24"/>
          <w:szCs w:val="20"/>
          <w:highlight w:val="none"/>
        </w:rPr>
      </w:pPr>
      <w:r>
        <w:rPr>
          <w:rFonts w:hint="eastAsia" w:ascii="宋体" w:hAnsi="宋体" w:cs="宋体"/>
          <w:color w:val="auto"/>
          <w:kern w:val="0"/>
          <w:sz w:val="24"/>
          <w:highlight w:val="none"/>
        </w:rPr>
        <w:t>注：</w:t>
      </w:r>
      <w:r>
        <w:rPr>
          <w:rFonts w:hint="eastAsia" w:ascii="宋体" w:hAnsi="宋体" w:cs="宋体"/>
          <w:color w:val="auto"/>
          <w:sz w:val="24"/>
          <w:szCs w:val="20"/>
          <w:highlight w:val="none"/>
        </w:rPr>
        <w:t>此表中的投标报价应和《投标分项报价表》中的总价相一致。</w:t>
      </w:r>
    </w:p>
    <w:p>
      <w:pPr>
        <w:autoSpaceDE w:val="0"/>
        <w:autoSpaceDN w:val="0"/>
        <w:adjustRightInd w:val="0"/>
        <w:spacing w:line="360" w:lineRule="auto"/>
        <w:jc w:val="left"/>
        <w:rPr>
          <w:rFonts w:hint="eastAsia" w:ascii="宋体" w:hAnsi="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cs="宋体"/>
          <w:color w:val="auto"/>
          <w:sz w:val="24"/>
          <w:highlight w:val="none"/>
        </w:rPr>
      </w:pPr>
    </w:p>
    <w:p>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：____________</w:t>
      </w:r>
    </w:p>
    <w:p>
      <w:pPr>
        <w:autoSpaceDE w:val="0"/>
        <w:autoSpaceDN w:val="0"/>
        <w:adjustRightInd w:val="0"/>
        <w:snapToGrid w:val="0"/>
        <w:spacing w:before="25" w:after="25"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日期：_____年______月______日   </w:t>
      </w:r>
      <w:bookmarkStart w:id="929" w:name="_Toc226965749"/>
      <w:bookmarkStart w:id="930" w:name="_Toc265228397"/>
      <w:bookmarkStart w:id="931" w:name="_Toc226337255"/>
      <w:bookmarkStart w:id="932" w:name="_Toc195842924"/>
      <w:bookmarkStart w:id="933" w:name="_Toc226309803"/>
      <w:bookmarkStart w:id="934" w:name="_Toc127151558"/>
      <w:bookmarkStart w:id="935" w:name="_Toc150480796"/>
      <w:bookmarkStart w:id="936" w:name="_Toc142311060"/>
      <w:bookmarkStart w:id="937" w:name="_Toc226965832"/>
      <w:bookmarkStart w:id="938" w:name="_Toc305158901"/>
      <w:bookmarkStart w:id="939" w:name="_Toc305158827"/>
      <w:bookmarkStart w:id="940" w:name="_Toc264969249"/>
      <w:bookmarkStart w:id="941" w:name="_Toc150774763"/>
    </w:p>
    <w:bookmarkEnd w:id="929"/>
    <w:bookmarkEnd w:id="930"/>
    <w:bookmarkEnd w:id="931"/>
    <w:bookmarkEnd w:id="932"/>
    <w:bookmarkEnd w:id="933"/>
    <w:bookmarkEnd w:id="934"/>
    <w:bookmarkEnd w:id="935"/>
    <w:bookmarkEnd w:id="936"/>
    <w:bookmarkEnd w:id="937"/>
    <w:bookmarkEnd w:id="938"/>
    <w:bookmarkEnd w:id="939"/>
    <w:bookmarkEnd w:id="940"/>
    <w:bookmarkEnd w:id="941"/>
    <w:p>
      <w:pPr>
        <w:autoSpaceDE w:val="0"/>
        <w:autoSpaceDN w:val="0"/>
        <w:adjustRightInd w:val="0"/>
        <w:snapToGrid w:val="0"/>
        <w:spacing w:before="25" w:after="25" w:line="360" w:lineRule="auto"/>
        <w:rPr>
          <w:rFonts w:hint="eastAsia" w:ascii="宋体" w:hAnsi="宋体" w:cs="宋体"/>
          <w:color w:val="auto"/>
          <w:sz w:val="24"/>
          <w:szCs w:val="20"/>
          <w:highlight w:val="none"/>
        </w:rPr>
        <w:sectPr>
          <w:pgSz w:w="11906" w:h="16838"/>
          <w:pgMar w:top="1440" w:right="1800" w:bottom="1440" w:left="1800" w:header="851" w:footer="992" w:gutter="0"/>
          <w:cols w:space="720" w:num="1"/>
          <w:docGrid w:type="lines" w:linePitch="312" w:charSpace="0"/>
        </w:sectPr>
      </w:pPr>
    </w:p>
    <w:p>
      <w:pPr>
        <w:spacing w:line="360" w:lineRule="auto"/>
        <w:outlineLvl w:val="2"/>
        <w:rPr>
          <w:rFonts w:hint="eastAsia" w:ascii="宋体" w:hAnsi="宋体" w:cs="宋体"/>
          <w:b/>
          <w:color w:val="auto"/>
          <w:sz w:val="24"/>
          <w:szCs w:val="20"/>
          <w:highlight w:val="none"/>
        </w:rPr>
      </w:pPr>
      <w:r>
        <w:rPr>
          <w:rFonts w:hint="eastAsia" w:ascii="宋体" w:hAnsi="宋体" w:cs="宋体"/>
          <w:b/>
          <w:color w:val="auto"/>
          <w:sz w:val="24"/>
          <w:szCs w:val="20"/>
          <w:highlight w:val="none"/>
        </w:rPr>
        <w:t>4  投标分项报价表（实质性格式）</w:t>
      </w:r>
    </w:p>
    <w:p>
      <w:pPr>
        <w:spacing w:line="36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投标分项报价表</w:t>
      </w:r>
    </w:p>
    <w:p>
      <w:pPr>
        <w:tabs>
          <w:tab w:val="left" w:pos="1800"/>
          <w:tab w:val="left" w:pos="5580"/>
        </w:tabs>
        <w:rPr>
          <w:rFonts w:hint="eastAsia" w:ascii="宋体" w:hAnsi="宋体" w:cs="宋体"/>
          <w:color w:val="auto"/>
          <w:sz w:val="24"/>
          <w:highlight w:val="non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s="宋体"/>
          <w:color w:val="auto"/>
          <w:sz w:val="24"/>
          <w:highlight w:val="none"/>
        </w:rPr>
        <w:t>报价单位：人民币元</w:t>
      </w:r>
    </w:p>
    <w:tbl>
      <w:tblPr>
        <w:tblStyle w:val="47"/>
        <w:tblW w:w="13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033"/>
        <w:gridCol w:w="1300"/>
        <w:gridCol w:w="926"/>
        <w:gridCol w:w="1230"/>
        <w:gridCol w:w="1230"/>
        <w:gridCol w:w="1230"/>
        <w:gridCol w:w="1230"/>
        <w:gridCol w:w="1230"/>
        <w:gridCol w:w="1230"/>
        <w:gridCol w:w="1004"/>
        <w:gridCol w:w="81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489" w:type="dxa"/>
            <w:vAlign w:val="center"/>
          </w:tcPr>
          <w:p>
            <w:pPr>
              <w:adjustRightInd w:val="0"/>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033" w:type="dxa"/>
            <w:vAlign w:val="center"/>
          </w:tcPr>
          <w:p>
            <w:pPr>
              <w:adjustRightInd w:val="0"/>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标的名称</w:t>
            </w:r>
          </w:p>
        </w:tc>
        <w:tc>
          <w:tcPr>
            <w:tcW w:w="1300" w:type="dxa"/>
            <w:vAlign w:val="center"/>
          </w:tcPr>
          <w:p>
            <w:pPr>
              <w:adjustRightInd w:val="0"/>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制造商</w:t>
            </w:r>
          </w:p>
        </w:tc>
        <w:tc>
          <w:tcPr>
            <w:tcW w:w="926" w:type="dxa"/>
            <w:vAlign w:val="center"/>
          </w:tcPr>
          <w:p>
            <w:pPr>
              <w:adjustRightInd w:val="0"/>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品牌</w:t>
            </w:r>
          </w:p>
        </w:tc>
        <w:tc>
          <w:tcPr>
            <w:tcW w:w="1230" w:type="dxa"/>
            <w:vAlign w:val="center"/>
          </w:tcPr>
          <w:p>
            <w:pPr>
              <w:jc w:val="center"/>
              <w:rPr>
                <w:rFonts w:hint="eastAsia" w:ascii="宋体" w:hAnsi="宋体" w:cs="宋体"/>
                <w:b/>
                <w:color w:val="auto"/>
                <w:sz w:val="24"/>
                <w:highlight w:val="none"/>
              </w:rPr>
            </w:pPr>
            <w:r>
              <w:rPr>
                <w:rFonts w:hint="eastAsia" w:ascii="宋体" w:hAnsi="宋体" w:cs="宋体"/>
                <w:b/>
                <w:color w:val="auto"/>
                <w:sz w:val="24"/>
                <w:highlight w:val="none"/>
              </w:rPr>
              <w:t>制造商</w:t>
            </w:r>
          </w:p>
          <w:p>
            <w:pPr>
              <w:adjustRightInd w:val="0"/>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统一信用代码</w:t>
            </w:r>
          </w:p>
        </w:tc>
        <w:tc>
          <w:tcPr>
            <w:tcW w:w="1230" w:type="dxa"/>
            <w:vAlign w:val="center"/>
          </w:tcPr>
          <w:p>
            <w:pPr>
              <w:jc w:val="center"/>
              <w:rPr>
                <w:rFonts w:hint="eastAsia" w:ascii="宋体" w:hAnsi="宋体" w:cs="宋体"/>
                <w:b/>
                <w:color w:val="auto"/>
                <w:sz w:val="24"/>
                <w:highlight w:val="none"/>
              </w:rPr>
            </w:pPr>
            <w:r>
              <w:rPr>
                <w:rFonts w:hint="eastAsia" w:ascii="宋体" w:hAnsi="宋体" w:cs="宋体"/>
                <w:b/>
                <w:color w:val="auto"/>
                <w:sz w:val="24"/>
                <w:highlight w:val="none"/>
              </w:rPr>
              <w:t>制造商</w:t>
            </w:r>
          </w:p>
          <w:p>
            <w:pPr>
              <w:adjustRightInd w:val="0"/>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规模</w:t>
            </w:r>
          </w:p>
        </w:tc>
        <w:tc>
          <w:tcPr>
            <w:tcW w:w="1230" w:type="dxa"/>
            <w:vAlign w:val="center"/>
          </w:tcPr>
          <w:p>
            <w:pPr>
              <w:adjustRightInd w:val="0"/>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制造商所属性别</w:t>
            </w:r>
          </w:p>
        </w:tc>
        <w:tc>
          <w:tcPr>
            <w:tcW w:w="1230" w:type="dxa"/>
            <w:vAlign w:val="center"/>
          </w:tcPr>
          <w:p>
            <w:pPr>
              <w:adjustRightInd w:val="0"/>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外商投资类型</w:t>
            </w:r>
          </w:p>
        </w:tc>
        <w:tc>
          <w:tcPr>
            <w:tcW w:w="1230" w:type="dxa"/>
            <w:vAlign w:val="center"/>
          </w:tcPr>
          <w:p>
            <w:pPr>
              <w:adjustRightInd w:val="0"/>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产品产地</w:t>
            </w:r>
          </w:p>
        </w:tc>
        <w:tc>
          <w:tcPr>
            <w:tcW w:w="1230" w:type="dxa"/>
            <w:vAlign w:val="center"/>
          </w:tcPr>
          <w:p>
            <w:pPr>
              <w:adjustRightInd w:val="0"/>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规格、型号</w:t>
            </w:r>
          </w:p>
        </w:tc>
        <w:tc>
          <w:tcPr>
            <w:tcW w:w="1004" w:type="dxa"/>
            <w:vAlign w:val="center"/>
          </w:tcPr>
          <w:p>
            <w:pPr>
              <w:adjustRightInd w:val="0"/>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单价（元）</w:t>
            </w:r>
          </w:p>
        </w:tc>
        <w:tc>
          <w:tcPr>
            <w:tcW w:w="815" w:type="dxa"/>
            <w:vAlign w:val="center"/>
          </w:tcPr>
          <w:p>
            <w:pPr>
              <w:adjustRightInd w:val="0"/>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数量</w:t>
            </w:r>
          </w:p>
        </w:tc>
        <w:tc>
          <w:tcPr>
            <w:tcW w:w="1001" w:type="dxa"/>
            <w:vAlign w:val="center"/>
          </w:tcPr>
          <w:p>
            <w:pPr>
              <w:adjustRightInd w:val="0"/>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cs="宋体"/>
                <w:color w:val="auto"/>
                <w:sz w:val="24"/>
                <w:highlight w:val="none"/>
              </w:rPr>
            </w:pPr>
            <w:r>
              <w:rPr>
                <w:rFonts w:hint="eastAsia" w:ascii="宋体" w:hAnsi="宋体" w:cs="宋体"/>
                <w:color w:val="auto"/>
                <w:sz w:val="24"/>
                <w:highlight w:val="none"/>
              </w:rPr>
              <w:t>1</w:t>
            </w:r>
          </w:p>
        </w:tc>
        <w:tc>
          <w:tcPr>
            <w:tcW w:w="1033" w:type="dxa"/>
            <w:vAlign w:val="center"/>
          </w:tcPr>
          <w:p>
            <w:pPr>
              <w:adjustRightInd w:val="0"/>
              <w:snapToGrid w:val="0"/>
              <w:jc w:val="left"/>
              <w:rPr>
                <w:rFonts w:hint="eastAsia" w:ascii="宋体" w:hAnsi="宋体" w:cs="宋体"/>
                <w:color w:val="auto"/>
                <w:sz w:val="24"/>
                <w:highlight w:val="none"/>
              </w:rPr>
            </w:pPr>
          </w:p>
        </w:tc>
        <w:tc>
          <w:tcPr>
            <w:tcW w:w="1300" w:type="dxa"/>
            <w:vAlign w:val="center"/>
          </w:tcPr>
          <w:p>
            <w:pPr>
              <w:adjustRightInd w:val="0"/>
              <w:snapToGrid w:val="0"/>
              <w:jc w:val="left"/>
              <w:rPr>
                <w:rFonts w:hint="eastAsia" w:ascii="宋体" w:hAnsi="宋体" w:cs="宋体"/>
                <w:color w:val="auto"/>
                <w:sz w:val="24"/>
                <w:highlight w:val="none"/>
              </w:rPr>
            </w:pPr>
          </w:p>
        </w:tc>
        <w:tc>
          <w:tcPr>
            <w:tcW w:w="926" w:type="dxa"/>
          </w:tcPr>
          <w:p>
            <w:pPr>
              <w:adjustRightInd w:val="0"/>
              <w:snapToGrid w:val="0"/>
              <w:jc w:val="left"/>
              <w:rPr>
                <w:rFonts w:hint="eastAsia" w:ascii="宋体" w:hAnsi="宋体" w:cs="宋体"/>
                <w:color w:val="auto"/>
                <w:sz w:val="24"/>
                <w:highlight w:val="none"/>
              </w:rPr>
            </w:pPr>
          </w:p>
        </w:tc>
        <w:tc>
          <w:tcPr>
            <w:tcW w:w="1230" w:type="dxa"/>
            <w:vAlign w:val="center"/>
          </w:tcPr>
          <w:p>
            <w:pPr>
              <w:adjustRightInd w:val="0"/>
              <w:snapToGrid w:val="0"/>
              <w:jc w:val="center"/>
              <w:rPr>
                <w:rFonts w:hint="eastAsia" w:ascii="宋体" w:hAnsi="宋体" w:cs="宋体"/>
                <w:color w:val="auto"/>
                <w:sz w:val="24"/>
                <w:highlight w:val="none"/>
              </w:rPr>
            </w:pPr>
          </w:p>
        </w:tc>
        <w:tc>
          <w:tcPr>
            <w:tcW w:w="1230" w:type="dxa"/>
            <w:vAlign w:val="center"/>
          </w:tcPr>
          <w:p>
            <w:pPr>
              <w:adjustRightInd w:val="0"/>
              <w:snapToGrid w:val="0"/>
              <w:jc w:val="center"/>
              <w:rPr>
                <w:rFonts w:hint="eastAsia" w:ascii="宋体" w:hAnsi="宋体" w:cs="宋体"/>
                <w:color w:val="auto"/>
                <w:sz w:val="24"/>
                <w:highlight w:val="none"/>
              </w:rPr>
            </w:pPr>
          </w:p>
        </w:tc>
        <w:tc>
          <w:tcPr>
            <w:tcW w:w="1230" w:type="dxa"/>
          </w:tcPr>
          <w:p>
            <w:pPr>
              <w:adjustRightInd w:val="0"/>
              <w:snapToGrid w:val="0"/>
              <w:jc w:val="center"/>
              <w:rPr>
                <w:rFonts w:hint="eastAsia" w:ascii="宋体" w:hAnsi="宋体" w:cs="宋体"/>
                <w:color w:val="auto"/>
                <w:sz w:val="24"/>
                <w:highlight w:val="none"/>
              </w:rPr>
            </w:pPr>
          </w:p>
        </w:tc>
        <w:tc>
          <w:tcPr>
            <w:tcW w:w="1230" w:type="dxa"/>
          </w:tcPr>
          <w:p>
            <w:pPr>
              <w:adjustRightInd w:val="0"/>
              <w:snapToGrid w:val="0"/>
              <w:jc w:val="center"/>
              <w:rPr>
                <w:rFonts w:hint="eastAsia" w:ascii="宋体" w:hAnsi="宋体" w:cs="宋体"/>
                <w:color w:val="auto"/>
                <w:sz w:val="24"/>
                <w:highlight w:val="none"/>
              </w:rPr>
            </w:pPr>
          </w:p>
        </w:tc>
        <w:tc>
          <w:tcPr>
            <w:tcW w:w="1230" w:type="dxa"/>
            <w:vAlign w:val="center"/>
          </w:tcPr>
          <w:p>
            <w:pPr>
              <w:adjustRightInd w:val="0"/>
              <w:snapToGrid w:val="0"/>
              <w:jc w:val="center"/>
              <w:rPr>
                <w:rFonts w:hint="eastAsia" w:ascii="宋体" w:hAnsi="宋体" w:cs="宋体"/>
                <w:color w:val="auto"/>
                <w:sz w:val="24"/>
                <w:highlight w:val="none"/>
              </w:rPr>
            </w:pPr>
          </w:p>
        </w:tc>
        <w:tc>
          <w:tcPr>
            <w:tcW w:w="1230" w:type="dxa"/>
            <w:vAlign w:val="center"/>
          </w:tcPr>
          <w:p>
            <w:pPr>
              <w:adjustRightInd w:val="0"/>
              <w:snapToGrid w:val="0"/>
              <w:jc w:val="left"/>
              <w:rPr>
                <w:rFonts w:hint="eastAsia" w:ascii="宋体" w:hAnsi="宋体" w:cs="宋体"/>
                <w:color w:val="auto"/>
                <w:sz w:val="24"/>
                <w:highlight w:val="none"/>
              </w:rPr>
            </w:pPr>
          </w:p>
        </w:tc>
        <w:tc>
          <w:tcPr>
            <w:tcW w:w="1004" w:type="dxa"/>
            <w:vAlign w:val="center"/>
          </w:tcPr>
          <w:p>
            <w:pPr>
              <w:adjustRightInd w:val="0"/>
              <w:snapToGrid w:val="0"/>
              <w:jc w:val="left"/>
              <w:rPr>
                <w:rFonts w:hint="eastAsia" w:ascii="宋体" w:hAnsi="宋体" w:cs="宋体"/>
                <w:color w:val="auto"/>
                <w:sz w:val="24"/>
                <w:highlight w:val="none"/>
              </w:rPr>
            </w:pPr>
          </w:p>
        </w:tc>
        <w:tc>
          <w:tcPr>
            <w:tcW w:w="815" w:type="dxa"/>
            <w:vAlign w:val="center"/>
          </w:tcPr>
          <w:p>
            <w:pPr>
              <w:adjustRightInd w:val="0"/>
              <w:snapToGrid w:val="0"/>
              <w:jc w:val="left"/>
              <w:rPr>
                <w:rFonts w:hint="eastAsia" w:ascii="宋体" w:hAnsi="宋体" w:cs="宋体"/>
                <w:color w:val="auto"/>
                <w:sz w:val="24"/>
                <w:highlight w:val="none"/>
              </w:rPr>
            </w:pPr>
          </w:p>
        </w:tc>
        <w:tc>
          <w:tcPr>
            <w:tcW w:w="1001" w:type="dxa"/>
            <w:vAlign w:val="center"/>
          </w:tcPr>
          <w:p>
            <w:pPr>
              <w:adjustRightInd w:val="0"/>
              <w:snapToGrid w:val="0"/>
              <w:jc w:val="lef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cs="宋体"/>
                <w:color w:val="auto"/>
                <w:sz w:val="24"/>
                <w:highlight w:val="none"/>
              </w:rPr>
            </w:pPr>
            <w:r>
              <w:rPr>
                <w:rFonts w:hint="eastAsia" w:ascii="宋体" w:hAnsi="宋体" w:cs="宋体"/>
                <w:color w:val="auto"/>
                <w:sz w:val="24"/>
                <w:highlight w:val="none"/>
              </w:rPr>
              <w:t>2</w:t>
            </w:r>
          </w:p>
        </w:tc>
        <w:tc>
          <w:tcPr>
            <w:tcW w:w="1033" w:type="dxa"/>
            <w:vAlign w:val="center"/>
          </w:tcPr>
          <w:p>
            <w:pPr>
              <w:adjustRightInd w:val="0"/>
              <w:snapToGrid w:val="0"/>
              <w:jc w:val="left"/>
              <w:rPr>
                <w:rFonts w:hint="eastAsia" w:ascii="宋体" w:hAnsi="宋体" w:cs="宋体"/>
                <w:color w:val="auto"/>
                <w:sz w:val="24"/>
                <w:highlight w:val="none"/>
              </w:rPr>
            </w:pPr>
          </w:p>
        </w:tc>
        <w:tc>
          <w:tcPr>
            <w:tcW w:w="1300" w:type="dxa"/>
            <w:vAlign w:val="center"/>
          </w:tcPr>
          <w:p>
            <w:pPr>
              <w:adjustRightInd w:val="0"/>
              <w:snapToGrid w:val="0"/>
              <w:jc w:val="left"/>
              <w:rPr>
                <w:rFonts w:hint="eastAsia" w:ascii="宋体" w:hAnsi="宋体" w:cs="宋体"/>
                <w:color w:val="auto"/>
                <w:sz w:val="24"/>
                <w:highlight w:val="none"/>
              </w:rPr>
            </w:pPr>
          </w:p>
        </w:tc>
        <w:tc>
          <w:tcPr>
            <w:tcW w:w="926" w:type="dxa"/>
          </w:tcPr>
          <w:p>
            <w:pPr>
              <w:adjustRightInd w:val="0"/>
              <w:snapToGrid w:val="0"/>
              <w:jc w:val="left"/>
              <w:rPr>
                <w:rFonts w:hint="eastAsia" w:ascii="宋体" w:hAnsi="宋体" w:cs="宋体"/>
                <w:color w:val="auto"/>
                <w:sz w:val="24"/>
                <w:highlight w:val="none"/>
              </w:rPr>
            </w:pPr>
          </w:p>
        </w:tc>
        <w:tc>
          <w:tcPr>
            <w:tcW w:w="1230" w:type="dxa"/>
            <w:vAlign w:val="center"/>
          </w:tcPr>
          <w:p>
            <w:pPr>
              <w:adjustRightInd w:val="0"/>
              <w:snapToGrid w:val="0"/>
              <w:jc w:val="center"/>
              <w:rPr>
                <w:rFonts w:hint="eastAsia" w:ascii="宋体" w:hAnsi="宋体" w:cs="宋体"/>
                <w:color w:val="auto"/>
                <w:sz w:val="24"/>
                <w:highlight w:val="none"/>
              </w:rPr>
            </w:pPr>
          </w:p>
        </w:tc>
        <w:tc>
          <w:tcPr>
            <w:tcW w:w="1230" w:type="dxa"/>
            <w:vAlign w:val="center"/>
          </w:tcPr>
          <w:p>
            <w:pPr>
              <w:adjustRightInd w:val="0"/>
              <w:snapToGrid w:val="0"/>
              <w:jc w:val="center"/>
              <w:rPr>
                <w:rFonts w:hint="eastAsia" w:ascii="宋体" w:hAnsi="宋体" w:cs="宋体"/>
                <w:color w:val="auto"/>
                <w:sz w:val="24"/>
                <w:highlight w:val="none"/>
              </w:rPr>
            </w:pPr>
          </w:p>
        </w:tc>
        <w:tc>
          <w:tcPr>
            <w:tcW w:w="1230" w:type="dxa"/>
          </w:tcPr>
          <w:p>
            <w:pPr>
              <w:adjustRightInd w:val="0"/>
              <w:snapToGrid w:val="0"/>
              <w:jc w:val="center"/>
              <w:rPr>
                <w:rFonts w:hint="eastAsia" w:ascii="宋体" w:hAnsi="宋体" w:cs="宋体"/>
                <w:color w:val="auto"/>
                <w:sz w:val="24"/>
                <w:highlight w:val="none"/>
              </w:rPr>
            </w:pPr>
          </w:p>
        </w:tc>
        <w:tc>
          <w:tcPr>
            <w:tcW w:w="1230" w:type="dxa"/>
          </w:tcPr>
          <w:p>
            <w:pPr>
              <w:adjustRightInd w:val="0"/>
              <w:snapToGrid w:val="0"/>
              <w:jc w:val="center"/>
              <w:rPr>
                <w:rFonts w:hint="eastAsia" w:ascii="宋体" w:hAnsi="宋体" w:cs="宋体"/>
                <w:color w:val="auto"/>
                <w:sz w:val="24"/>
                <w:highlight w:val="none"/>
              </w:rPr>
            </w:pPr>
          </w:p>
        </w:tc>
        <w:tc>
          <w:tcPr>
            <w:tcW w:w="1230" w:type="dxa"/>
            <w:vAlign w:val="center"/>
          </w:tcPr>
          <w:p>
            <w:pPr>
              <w:adjustRightInd w:val="0"/>
              <w:snapToGrid w:val="0"/>
              <w:jc w:val="center"/>
              <w:rPr>
                <w:rFonts w:hint="eastAsia" w:ascii="宋体" w:hAnsi="宋体" w:cs="宋体"/>
                <w:color w:val="auto"/>
                <w:sz w:val="24"/>
                <w:highlight w:val="none"/>
              </w:rPr>
            </w:pPr>
          </w:p>
        </w:tc>
        <w:tc>
          <w:tcPr>
            <w:tcW w:w="1230" w:type="dxa"/>
            <w:vAlign w:val="center"/>
          </w:tcPr>
          <w:p>
            <w:pPr>
              <w:adjustRightInd w:val="0"/>
              <w:snapToGrid w:val="0"/>
              <w:jc w:val="left"/>
              <w:rPr>
                <w:rFonts w:hint="eastAsia" w:ascii="宋体" w:hAnsi="宋体" w:cs="宋体"/>
                <w:color w:val="auto"/>
                <w:sz w:val="24"/>
                <w:highlight w:val="none"/>
              </w:rPr>
            </w:pPr>
          </w:p>
        </w:tc>
        <w:tc>
          <w:tcPr>
            <w:tcW w:w="1004" w:type="dxa"/>
            <w:vAlign w:val="center"/>
          </w:tcPr>
          <w:p>
            <w:pPr>
              <w:adjustRightInd w:val="0"/>
              <w:snapToGrid w:val="0"/>
              <w:jc w:val="left"/>
              <w:rPr>
                <w:rFonts w:hint="eastAsia" w:ascii="宋体" w:hAnsi="宋体" w:cs="宋体"/>
                <w:color w:val="auto"/>
                <w:sz w:val="24"/>
                <w:highlight w:val="none"/>
              </w:rPr>
            </w:pPr>
          </w:p>
        </w:tc>
        <w:tc>
          <w:tcPr>
            <w:tcW w:w="815" w:type="dxa"/>
            <w:vAlign w:val="center"/>
          </w:tcPr>
          <w:p>
            <w:pPr>
              <w:adjustRightInd w:val="0"/>
              <w:snapToGrid w:val="0"/>
              <w:jc w:val="left"/>
              <w:rPr>
                <w:rFonts w:hint="eastAsia" w:ascii="宋体" w:hAnsi="宋体" w:cs="宋体"/>
                <w:color w:val="auto"/>
                <w:sz w:val="24"/>
                <w:highlight w:val="none"/>
              </w:rPr>
            </w:pPr>
          </w:p>
        </w:tc>
        <w:tc>
          <w:tcPr>
            <w:tcW w:w="1001" w:type="dxa"/>
            <w:vAlign w:val="center"/>
          </w:tcPr>
          <w:p>
            <w:pPr>
              <w:adjustRightInd w:val="0"/>
              <w:snapToGrid w:val="0"/>
              <w:jc w:val="lef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cs="宋体"/>
                <w:color w:val="auto"/>
                <w:sz w:val="24"/>
                <w:highlight w:val="none"/>
              </w:rPr>
            </w:pPr>
            <w:r>
              <w:rPr>
                <w:rFonts w:hint="eastAsia" w:ascii="宋体" w:hAnsi="宋体" w:cs="宋体"/>
                <w:color w:val="auto"/>
                <w:sz w:val="24"/>
                <w:highlight w:val="none"/>
              </w:rPr>
              <w:t>3</w:t>
            </w:r>
          </w:p>
        </w:tc>
        <w:tc>
          <w:tcPr>
            <w:tcW w:w="1033" w:type="dxa"/>
            <w:vAlign w:val="center"/>
          </w:tcPr>
          <w:p>
            <w:pPr>
              <w:adjustRightInd w:val="0"/>
              <w:snapToGrid w:val="0"/>
              <w:jc w:val="left"/>
              <w:rPr>
                <w:rFonts w:hint="eastAsia" w:ascii="宋体" w:hAnsi="宋体" w:cs="宋体"/>
                <w:color w:val="auto"/>
                <w:sz w:val="24"/>
                <w:highlight w:val="none"/>
              </w:rPr>
            </w:pPr>
          </w:p>
        </w:tc>
        <w:tc>
          <w:tcPr>
            <w:tcW w:w="1300" w:type="dxa"/>
            <w:vAlign w:val="center"/>
          </w:tcPr>
          <w:p>
            <w:pPr>
              <w:adjustRightInd w:val="0"/>
              <w:snapToGrid w:val="0"/>
              <w:jc w:val="left"/>
              <w:rPr>
                <w:rFonts w:hint="eastAsia" w:ascii="宋体" w:hAnsi="宋体" w:cs="宋体"/>
                <w:color w:val="auto"/>
                <w:sz w:val="24"/>
                <w:highlight w:val="none"/>
              </w:rPr>
            </w:pPr>
          </w:p>
        </w:tc>
        <w:tc>
          <w:tcPr>
            <w:tcW w:w="926" w:type="dxa"/>
          </w:tcPr>
          <w:p>
            <w:pPr>
              <w:adjustRightInd w:val="0"/>
              <w:snapToGrid w:val="0"/>
              <w:jc w:val="left"/>
              <w:rPr>
                <w:rFonts w:hint="eastAsia" w:ascii="宋体" w:hAnsi="宋体" w:cs="宋体"/>
                <w:color w:val="auto"/>
                <w:sz w:val="24"/>
                <w:highlight w:val="none"/>
              </w:rPr>
            </w:pPr>
          </w:p>
        </w:tc>
        <w:tc>
          <w:tcPr>
            <w:tcW w:w="1230" w:type="dxa"/>
            <w:vAlign w:val="center"/>
          </w:tcPr>
          <w:p>
            <w:pPr>
              <w:adjustRightInd w:val="0"/>
              <w:snapToGrid w:val="0"/>
              <w:jc w:val="center"/>
              <w:rPr>
                <w:rFonts w:hint="eastAsia" w:ascii="宋体" w:hAnsi="宋体" w:cs="宋体"/>
                <w:color w:val="auto"/>
                <w:sz w:val="24"/>
                <w:highlight w:val="none"/>
              </w:rPr>
            </w:pPr>
          </w:p>
        </w:tc>
        <w:tc>
          <w:tcPr>
            <w:tcW w:w="1230" w:type="dxa"/>
            <w:vAlign w:val="center"/>
          </w:tcPr>
          <w:p>
            <w:pPr>
              <w:adjustRightInd w:val="0"/>
              <w:snapToGrid w:val="0"/>
              <w:jc w:val="center"/>
              <w:rPr>
                <w:rFonts w:hint="eastAsia" w:ascii="宋体" w:hAnsi="宋体" w:cs="宋体"/>
                <w:color w:val="auto"/>
                <w:sz w:val="24"/>
                <w:highlight w:val="none"/>
              </w:rPr>
            </w:pPr>
          </w:p>
        </w:tc>
        <w:tc>
          <w:tcPr>
            <w:tcW w:w="1230" w:type="dxa"/>
          </w:tcPr>
          <w:p>
            <w:pPr>
              <w:adjustRightInd w:val="0"/>
              <w:snapToGrid w:val="0"/>
              <w:jc w:val="center"/>
              <w:rPr>
                <w:rFonts w:hint="eastAsia" w:ascii="宋体" w:hAnsi="宋体" w:cs="宋体"/>
                <w:color w:val="auto"/>
                <w:sz w:val="24"/>
                <w:highlight w:val="none"/>
              </w:rPr>
            </w:pPr>
          </w:p>
        </w:tc>
        <w:tc>
          <w:tcPr>
            <w:tcW w:w="1230" w:type="dxa"/>
          </w:tcPr>
          <w:p>
            <w:pPr>
              <w:adjustRightInd w:val="0"/>
              <w:snapToGrid w:val="0"/>
              <w:jc w:val="center"/>
              <w:rPr>
                <w:rFonts w:hint="eastAsia" w:ascii="宋体" w:hAnsi="宋体" w:cs="宋体"/>
                <w:color w:val="auto"/>
                <w:sz w:val="24"/>
                <w:highlight w:val="none"/>
              </w:rPr>
            </w:pPr>
          </w:p>
        </w:tc>
        <w:tc>
          <w:tcPr>
            <w:tcW w:w="1230" w:type="dxa"/>
            <w:vAlign w:val="center"/>
          </w:tcPr>
          <w:p>
            <w:pPr>
              <w:adjustRightInd w:val="0"/>
              <w:snapToGrid w:val="0"/>
              <w:jc w:val="center"/>
              <w:rPr>
                <w:rFonts w:hint="eastAsia" w:ascii="宋体" w:hAnsi="宋体" w:cs="宋体"/>
                <w:color w:val="auto"/>
                <w:sz w:val="24"/>
                <w:highlight w:val="none"/>
              </w:rPr>
            </w:pPr>
          </w:p>
        </w:tc>
        <w:tc>
          <w:tcPr>
            <w:tcW w:w="1230" w:type="dxa"/>
            <w:vAlign w:val="center"/>
          </w:tcPr>
          <w:p>
            <w:pPr>
              <w:adjustRightInd w:val="0"/>
              <w:snapToGrid w:val="0"/>
              <w:jc w:val="left"/>
              <w:rPr>
                <w:rFonts w:hint="eastAsia" w:ascii="宋体" w:hAnsi="宋体" w:cs="宋体"/>
                <w:color w:val="auto"/>
                <w:sz w:val="24"/>
                <w:highlight w:val="none"/>
              </w:rPr>
            </w:pPr>
          </w:p>
        </w:tc>
        <w:tc>
          <w:tcPr>
            <w:tcW w:w="1004" w:type="dxa"/>
            <w:vAlign w:val="center"/>
          </w:tcPr>
          <w:p>
            <w:pPr>
              <w:adjustRightInd w:val="0"/>
              <w:snapToGrid w:val="0"/>
              <w:jc w:val="left"/>
              <w:rPr>
                <w:rFonts w:hint="eastAsia" w:ascii="宋体" w:hAnsi="宋体" w:cs="宋体"/>
                <w:color w:val="auto"/>
                <w:sz w:val="24"/>
                <w:highlight w:val="none"/>
              </w:rPr>
            </w:pPr>
          </w:p>
        </w:tc>
        <w:tc>
          <w:tcPr>
            <w:tcW w:w="815" w:type="dxa"/>
            <w:vAlign w:val="center"/>
          </w:tcPr>
          <w:p>
            <w:pPr>
              <w:adjustRightInd w:val="0"/>
              <w:snapToGrid w:val="0"/>
              <w:jc w:val="left"/>
              <w:rPr>
                <w:rFonts w:hint="eastAsia" w:ascii="宋体" w:hAnsi="宋体" w:cs="宋体"/>
                <w:color w:val="auto"/>
                <w:sz w:val="24"/>
                <w:highlight w:val="none"/>
              </w:rPr>
            </w:pPr>
          </w:p>
        </w:tc>
        <w:tc>
          <w:tcPr>
            <w:tcW w:w="1001" w:type="dxa"/>
            <w:vAlign w:val="center"/>
          </w:tcPr>
          <w:p>
            <w:pPr>
              <w:adjustRightInd w:val="0"/>
              <w:snapToGrid w:val="0"/>
              <w:jc w:val="lef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cs="宋体"/>
                <w:color w:val="auto"/>
                <w:sz w:val="24"/>
                <w:highlight w:val="none"/>
              </w:rPr>
            </w:pPr>
            <w:r>
              <w:rPr>
                <w:rFonts w:hint="eastAsia" w:ascii="宋体" w:hAnsi="宋体" w:cs="宋体"/>
                <w:color w:val="auto"/>
                <w:sz w:val="24"/>
                <w:highlight w:val="none"/>
              </w:rPr>
              <w:t>4</w:t>
            </w:r>
          </w:p>
        </w:tc>
        <w:tc>
          <w:tcPr>
            <w:tcW w:w="1033" w:type="dxa"/>
            <w:vAlign w:val="center"/>
          </w:tcPr>
          <w:p>
            <w:pPr>
              <w:adjustRightInd w:val="0"/>
              <w:snapToGrid w:val="0"/>
              <w:jc w:val="left"/>
              <w:rPr>
                <w:rFonts w:hint="eastAsia" w:ascii="宋体" w:hAnsi="宋体" w:cs="宋体"/>
                <w:color w:val="auto"/>
                <w:sz w:val="24"/>
                <w:highlight w:val="none"/>
              </w:rPr>
            </w:pPr>
          </w:p>
        </w:tc>
        <w:tc>
          <w:tcPr>
            <w:tcW w:w="1300" w:type="dxa"/>
            <w:vAlign w:val="center"/>
          </w:tcPr>
          <w:p>
            <w:pPr>
              <w:adjustRightInd w:val="0"/>
              <w:snapToGrid w:val="0"/>
              <w:jc w:val="left"/>
              <w:rPr>
                <w:rFonts w:hint="eastAsia" w:ascii="宋体" w:hAnsi="宋体" w:cs="宋体"/>
                <w:color w:val="auto"/>
                <w:sz w:val="24"/>
                <w:highlight w:val="none"/>
              </w:rPr>
            </w:pPr>
          </w:p>
        </w:tc>
        <w:tc>
          <w:tcPr>
            <w:tcW w:w="926" w:type="dxa"/>
          </w:tcPr>
          <w:p>
            <w:pPr>
              <w:adjustRightInd w:val="0"/>
              <w:snapToGrid w:val="0"/>
              <w:jc w:val="left"/>
              <w:rPr>
                <w:rFonts w:hint="eastAsia" w:ascii="宋体" w:hAnsi="宋体" w:cs="宋体"/>
                <w:color w:val="auto"/>
                <w:sz w:val="24"/>
                <w:highlight w:val="none"/>
              </w:rPr>
            </w:pPr>
          </w:p>
        </w:tc>
        <w:tc>
          <w:tcPr>
            <w:tcW w:w="1230" w:type="dxa"/>
            <w:vAlign w:val="center"/>
          </w:tcPr>
          <w:p>
            <w:pPr>
              <w:adjustRightInd w:val="0"/>
              <w:snapToGrid w:val="0"/>
              <w:jc w:val="center"/>
              <w:rPr>
                <w:rFonts w:hint="eastAsia" w:ascii="宋体" w:hAnsi="宋体" w:cs="宋体"/>
                <w:color w:val="auto"/>
                <w:sz w:val="24"/>
                <w:highlight w:val="none"/>
              </w:rPr>
            </w:pPr>
          </w:p>
        </w:tc>
        <w:tc>
          <w:tcPr>
            <w:tcW w:w="1230" w:type="dxa"/>
            <w:vAlign w:val="center"/>
          </w:tcPr>
          <w:p>
            <w:pPr>
              <w:adjustRightInd w:val="0"/>
              <w:snapToGrid w:val="0"/>
              <w:jc w:val="center"/>
              <w:rPr>
                <w:rFonts w:hint="eastAsia" w:ascii="宋体" w:hAnsi="宋体" w:cs="宋体"/>
                <w:color w:val="auto"/>
                <w:sz w:val="24"/>
                <w:highlight w:val="none"/>
              </w:rPr>
            </w:pPr>
          </w:p>
        </w:tc>
        <w:tc>
          <w:tcPr>
            <w:tcW w:w="1230" w:type="dxa"/>
          </w:tcPr>
          <w:p>
            <w:pPr>
              <w:adjustRightInd w:val="0"/>
              <w:snapToGrid w:val="0"/>
              <w:jc w:val="center"/>
              <w:rPr>
                <w:rFonts w:hint="eastAsia" w:ascii="宋体" w:hAnsi="宋体" w:cs="宋体"/>
                <w:color w:val="auto"/>
                <w:sz w:val="24"/>
                <w:highlight w:val="none"/>
              </w:rPr>
            </w:pPr>
          </w:p>
        </w:tc>
        <w:tc>
          <w:tcPr>
            <w:tcW w:w="1230" w:type="dxa"/>
          </w:tcPr>
          <w:p>
            <w:pPr>
              <w:adjustRightInd w:val="0"/>
              <w:snapToGrid w:val="0"/>
              <w:jc w:val="center"/>
              <w:rPr>
                <w:rFonts w:hint="eastAsia" w:ascii="宋体" w:hAnsi="宋体" w:cs="宋体"/>
                <w:color w:val="auto"/>
                <w:sz w:val="24"/>
                <w:highlight w:val="none"/>
              </w:rPr>
            </w:pPr>
          </w:p>
        </w:tc>
        <w:tc>
          <w:tcPr>
            <w:tcW w:w="1230" w:type="dxa"/>
            <w:vAlign w:val="center"/>
          </w:tcPr>
          <w:p>
            <w:pPr>
              <w:adjustRightInd w:val="0"/>
              <w:snapToGrid w:val="0"/>
              <w:jc w:val="center"/>
              <w:rPr>
                <w:rFonts w:hint="eastAsia" w:ascii="宋体" w:hAnsi="宋体" w:cs="宋体"/>
                <w:color w:val="auto"/>
                <w:sz w:val="24"/>
                <w:highlight w:val="none"/>
              </w:rPr>
            </w:pPr>
          </w:p>
        </w:tc>
        <w:tc>
          <w:tcPr>
            <w:tcW w:w="1230" w:type="dxa"/>
            <w:vAlign w:val="center"/>
          </w:tcPr>
          <w:p>
            <w:pPr>
              <w:adjustRightInd w:val="0"/>
              <w:snapToGrid w:val="0"/>
              <w:jc w:val="left"/>
              <w:rPr>
                <w:rFonts w:hint="eastAsia" w:ascii="宋体" w:hAnsi="宋体" w:cs="宋体"/>
                <w:color w:val="auto"/>
                <w:sz w:val="24"/>
                <w:highlight w:val="none"/>
              </w:rPr>
            </w:pPr>
          </w:p>
        </w:tc>
        <w:tc>
          <w:tcPr>
            <w:tcW w:w="1004" w:type="dxa"/>
            <w:vAlign w:val="center"/>
          </w:tcPr>
          <w:p>
            <w:pPr>
              <w:adjustRightInd w:val="0"/>
              <w:snapToGrid w:val="0"/>
              <w:jc w:val="left"/>
              <w:rPr>
                <w:rFonts w:hint="eastAsia" w:ascii="宋体" w:hAnsi="宋体" w:cs="宋体"/>
                <w:color w:val="auto"/>
                <w:sz w:val="24"/>
                <w:highlight w:val="none"/>
              </w:rPr>
            </w:pPr>
          </w:p>
        </w:tc>
        <w:tc>
          <w:tcPr>
            <w:tcW w:w="815" w:type="dxa"/>
            <w:vAlign w:val="center"/>
          </w:tcPr>
          <w:p>
            <w:pPr>
              <w:adjustRightInd w:val="0"/>
              <w:snapToGrid w:val="0"/>
              <w:jc w:val="left"/>
              <w:rPr>
                <w:rFonts w:hint="eastAsia" w:ascii="宋体" w:hAnsi="宋体" w:cs="宋体"/>
                <w:color w:val="auto"/>
                <w:sz w:val="24"/>
                <w:highlight w:val="none"/>
              </w:rPr>
            </w:pPr>
          </w:p>
        </w:tc>
        <w:tc>
          <w:tcPr>
            <w:tcW w:w="1001" w:type="dxa"/>
            <w:vAlign w:val="center"/>
          </w:tcPr>
          <w:p>
            <w:pPr>
              <w:adjustRightInd w:val="0"/>
              <w:snapToGrid w:val="0"/>
              <w:jc w:val="lef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cs="宋体"/>
                <w:color w:val="auto"/>
                <w:sz w:val="24"/>
                <w:highlight w:val="none"/>
              </w:rPr>
            </w:pPr>
            <w:r>
              <w:rPr>
                <w:rFonts w:hint="eastAsia" w:ascii="宋体" w:hAnsi="宋体" w:cs="宋体"/>
                <w:color w:val="auto"/>
                <w:sz w:val="24"/>
                <w:highlight w:val="none"/>
              </w:rPr>
              <w:t>…</w:t>
            </w:r>
          </w:p>
        </w:tc>
        <w:tc>
          <w:tcPr>
            <w:tcW w:w="1033" w:type="dxa"/>
            <w:vAlign w:val="center"/>
          </w:tcPr>
          <w:p>
            <w:pPr>
              <w:adjustRightInd w:val="0"/>
              <w:snapToGrid w:val="0"/>
              <w:jc w:val="left"/>
              <w:rPr>
                <w:rFonts w:hint="eastAsia" w:ascii="宋体" w:hAnsi="宋体" w:cs="宋体"/>
                <w:color w:val="auto"/>
                <w:sz w:val="24"/>
                <w:highlight w:val="none"/>
              </w:rPr>
            </w:pPr>
          </w:p>
        </w:tc>
        <w:tc>
          <w:tcPr>
            <w:tcW w:w="1300" w:type="dxa"/>
            <w:vAlign w:val="center"/>
          </w:tcPr>
          <w:p>
            <w:pPr>
              <w:adjustRightInd w:val="0"/>
              <w:snapToGrid w:val="0"/>
              <w:jc w:val="left"/>
              <w:rPr>
                <w:rFonts w:hint="eastAsia" w:ascii="宋体" w:hAnsi="宋体" w:cs="宋体"/>
                <w:color w:val="auto"/>
                <w:sz w:val="24"/>
                <w:highlight w:val="none"/>
              </w:rPr>
            </w:pPr>
          </w:p>
        </w:tc>
        <w:tc>
          <w:tcPr>
            <w:tcW w:w="926" w:type="dxa"/>
          </w:tcPr>
          <w:p>
            <w:pPr>
              <w:adjustRightInd w:val="0"/>
              <w:snapToGrid w:val="0"/>
              <w:jc w:val="left"/>
              <w:rPr>
                <w:rFonts w:hint="eastAsia" w:ascii="宋体" w:hAnsi="宋体" w:cs="宋体"/>
                <w:color w:val="auto"/>
                <w:sz w:val="24"/>
                <w:highlight w:val="none"/>
              </w:rPr>
            </w:pPr>
          </w:p>
        </w:tc>
        <w:tc>
          <w:tcPr>
            <w:tcW w:w="1230" w:type="dxa"/>
            <w:vAlign w:val="center"/>
          </w:tcPr>
          <w:p>
            <w:pPr>
              <w:adjustRightInd w:val="0"/>
              <w:snapToGrid w:val="0"/>
              <w:jc w:val="center"/>
              <w:rPr>
                <w:rFonts w:hint="eastAsia" w:ascii="宋体" w:hAnsi="宋体" w:cs="宋体"/>
                <w:color w:val="auto"/>
                <w:sz w:val="24"/>
                <w:highlight w:val="none"/>
              </w:rPr>
            </w:pPr>
          </w:p>
        </w:tc>
        <w:tc>
          <w:tcPr>
            <w:tcW w:w="1230" w:type="dxa"/>
            <w:vAlign w:val="center"/>
          </w:tcPr>
          <w:p>
            <w:pPr>
              <w:adjustRightInd w:val="0"/>
              <w:snapToGrid w:val="0"/>
              <w:jc w:val="center"/>
              <w:rPr>
                <w:rFonts w:hint="eastAsia" w:ascii="宋体" w:hAnsi="宋体" w:cs="宋体"/>
                <w:color w:val="auto"/>
                <w:sz w:val="24"/>
                <w:highlight w:val="none"/>
              </w:rPr>
            </w:pPr>
          </w:p>
        </w:tc>
        <w:tc>
          <w:tcPr>
            <w:tcW w:w="1230" w:type="dxa"/>
          </w:tcPr>
          <w:p>
            <w:pPr>
              <w:adjustRightInd w:val="0"/>
              <w:snapToGrid w:val="0"/>
              <w:jc w:val="center"/>
              <w:rPr>
                <w:rFonts w:hint="eastAsia" w:ascii="宋体" w:hAnsi="宋体" w:cs="宋体"/>
                <w:color w:val="auto"/>
                <w:sz w:val="24"/>
                <w:highlight w:val="none"/>
              </w:rPr>
            </w:pPr>
          </w:p>
        </w:tc>
        <w:tc>
          <w:tcPr>
            <w:tcW w:w="1230" w:type="dxa"/>
          </w:tcPr>
          <w:p>
            <w:pPr>
              <w:adjustRightInd w:val="0"/>
              <w:snapToGrid w:val="0"/>
              <w:jc w:val="center"/>
              <w:rPr>
                <w:rFonts w:hint="eastAsia" w:ascii="宋体" w:hAnsi="宋体" w:cs="宋体"/>
                <w:color w:val="auto"/>
                <w:sz w:val="24"/>
                <w:highlight w:val="none"/>
              </w:rPr>
            </w:pPr>
          </w:p>
        </w:tc>
        <w:tc>
          <w:tcPr>
            <w:tcW w:w="1230" w:type="dxa"/>
            <w:vAlign w:val="center"/>
          </w:tcPr>
          <w:p>
            <w:pPr>
              <w:adjustRightInd w:val="0"/>
              <w:snapToGrid w:val="0"/>
              <w:jc w:val="center"/>
              <w:rPr>
                <w:rFonts w:hint="eastAsia" w:ascii="宋体" w:hAnsi="宋体" w:cs="宋体"/>
                <w:color w:val="auto"/>
                <w:sz w:val="24"/>
                <w:highlight w:val="none"/>
              </w:rPr>
            </w:pPr>
          </w:p>
        </w:tc>
        <w:tc>
          <w:tcPr>
            <w:tcW w:w="1230" w:type="dxa"/>
            <w:vAlign w:val="center"/>
          </w:tcPr>
          <w:p>
            <w:pPr>
              <w:adjustRightInd w:val="0"/>
              <w:snapToGrid w:val="0"/>
              <w:jc w:val="left"/>
              <w:rPr>
                <w:rFonts w:hint="eastAsia" w:ascii="宋体" w:hAnsi="宋体" w:cs="宋体"/>
                <w:color w:val="auto"/>
                <w:sz w:val="24"/>
                <w:highlight w:val="none"/>
              </w:rPr>
            </w:pPr>
          </w:p>
        </w:tc>
        <w:tc>
          <w:tcPr>
            <w:tcW w:w="1004" w:type="dxa"/>
            <w:vAlign w:val="center"/>
          </w:tcPr>
          <w:p>
            <w:pPr>
              <w:adjustRightInd w:val="0"/>
              <w:snapToGrid w:val="0"/>
              <w:jc w:val="left"/>
              <w:rPr>
                <w:rFonts w:hint="eastAsia" w:ascii="宋体" w:hAnsi="宋体" w:cs="宋体"/>
                <w:color w:val="auto"/>
                <w:sz w:val="24"/>
                <w:highlight w:val="none"/>
              </w:rPr>
            </w:pPr>
          </w:p>
        </w:tc>
        <w:tc>
          <w:tcPr>
            <w:tcW w:w="815" w:type="dxa"/>
            <w:vAlign w:val="center"/>
          </w:tcPr>
          <w:p>
            <w:pPr>
              <w:adjustRightInd w:val="0"/>
              <w:snapToGrid w:val="0"/>
              <w:jc w:val="left"/>
              <w:rPr>
                <w:rFonts w:hint="eastAsia" w:ascii="宋体" w:hAnsi="宋体" w:cs="宋体"/>
                <w:color w:val="auto"/>
                <w:sz w:val="24"/>
                <w:highlight w:val="none"/>
              </w:rPr>
            </w:pPr>
          </w:p>
        </w:tc>
        <w:tc>
          <w:tcPr>
            <w:tcW w:w="1001" w:type="dxa"/>
            <w:vAlign w:val="center"/>
          </w:tcPr>
          <w:p>
            <w:pPr>
              <w:adjustRightInd w:val="0"/>
              <w:snapToGrid w:val="0"/>
              <w:jc w:val="lef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cs="宋体"/>
                <w:color w:val="auto"/>
                <w:sz w:val="24"/>
                <w:highlight w:val="none"/>
              </w:rPr>
            </w:pPr>
            <w:r>
              <w:rPr>
                <w:rFonts w:hint="eastAsia" w:ascii="宋体" w:hAnsi="宋体" w:cs="宋体"/>
                <w:color w:val="auto"/>
                <w:sz w:val="24"/>
                <w:highlight w:val="none"/>
              </w:rPr>
              <w:t>…</w:t>
            </w:r>
          </w:p>
        </w:tc>
        <w:tc>
          <w:tcPr>
            <w:tcW w:w="1033" w:type="dxa"/>
            <w:vAlign w:val="center"/>
          </w:tcPr>
          <w:p>
            <w:pPr>
              <w:adjustRightInd w:val="0"/>
              <w:snapToGrid w:val="0"/>
              <w:jc w:val="left"/>
              <w:rPr>
                <w:rFonts w:hint="eastAsia" w:ascii="宋体" w:hAnsi="宋体" w:cs="宋体"/>
                <w:color w:val="auto"/>
                <w:sz w:val="24"/>
                <w:highlight w:val="none"/>
              </w:rPr>
            </w:pPr>
          </w:p>
        </w:tc>
        <w:tc>
          <w:tcPr>
            <w:tcW w:w="1300" w:type="dxa"/>
            <w:vAlign w:val="center"/>
          </w:tcPr>
          <w:p>
            <w:pPr>
              <w:adjustRightInd w:val="0"/>
              <w:snapToGrid w:val="0"/>
              <w:jc w:val="left"/>
              <w:rPr>
                <w:rFonts w:hint="eastAsia" w:ascii="宋体" w:hAnsi="宋体" w:cs="宋体"/>
                <w:color w:val="auto"/>
                <w:sz w:val="24"/>
                <w:highlight w:val="none"/>
              </w:rPr>
            </w:pPr>
          </w:p>
        </w:tc>
        <w:tc>
          <w:tcPr>
            <w:tcW w:w="926" w:type="dxa"/>
          </w:tcPr>
          <w:p>
            <w:pPr>
              <w:adjustRightInd w:val="0"/>
              <w:snapToGrid w:val="0"/>
              <w:jc w:val="left"/>
              <w:rPr>
                <w:rFonts w:hint="eastAsia" w:ascii="宋体" w:hAnsi="宋体" w:cs="宋体"/>
                <w:color w:val="auto"/>
                <w:sz w:val="24"/>
                <w:highlight w:val="none"/>
              </w:rPr>
            </w:pPr>
          </w:p>
        </w:tc>
        <w:tc>
          <w:tcPr>
            <w:tcW w:w="1230" w:type="dxa"/>
            <w:vAlign w:val="center"/>
          </w:tcPr>
          <w:p>
            <w:pPr>
              <w:adjustRightInd w:val="0"/>
              <w:snapToGrid w:val="0"/>
              <w:jc w:val="center"/>
              <w:rPr>
                <w:rFonts w:hint="eastAsia" w:ascii="宋体" w:hAnsi="宋体" w:cs="宋体"/>
                <w:color w:val="auto"/>
                <w:sz w:val="24"/>
                <w:highlight w:val="none"/>
              </w:rPr>
            </w:pPr>
          </w:p>
        </w:tc>
        <w:tc>
          <w:tcPr>
            <w:tcW w:w="1230" w:type="dxa"/>
            <w:vAlign w:val="center"/>
          </w:tcPr>
          <w:p>
            <w:pPr>
              <w:adjustRightInd w:val="0"/>
              <w:snapToGrid w:val="0"/>
              <w:jc w:val="center"/>
              <w:rPr>
                <w:rFonts w:hint="eastAsia" w:ascii="宋体" w:hAnsi="宋体" w:cs="宋体"/>
                <w:color w:val="auto"/>
                <w:sz w:val="24"/>
                <w:highlight w:val="none"/>
              </w:rPr>
            </w:pPr>
          </w:p>
        </w:tc>
        <w:tc>
          <w:tcPr>
            <w:tcW w:w="1230" w:type="dxa"/>
          </w:tcPr>
          <w:p>
            <w:pPr>
              <w:adjustRightInd w:val="0"/>
              <w:snapToGrid w:val="0"/>
              <w:jc w:val="center"/>
              <w:rPr>
                <w:rFonts w:hint="eastAsia" w:ascii="宋体" w:hAnsi="宋体" w:cs="宋体"/>
                <w:color w:val="auto"/>
                <w:sz w:val="24"/>
                <w:highlight w:val="none"/>
              </w:rPr>
            </w:pPr>
          </w:p>
        </w:tc>
        <w:tc>
          <w:tcPr>
            <w:tcW w:w="1230" w:type="dxa"/>
          </w:tcPr>
          <w:p>
            <w:pPr>
              <w:adjustRightInd w:val="0"/>
              <w:snapToGrid w:val="0"/>
              <w:jc w:val="center"/>
              <w:rPr>
                <w:rFonts w:hint="eastAsia" w:ascii="宋体" w:hAnsi="宋体" w:cs="宋体"/>
                <w:color w:val="auto"/>
                <w:sz w:val="24"/>
                <w:highlight w:val="none"/>
              </w:rPr>
            </w:pPr>
          </w:p>
        </w:tc>
        <w:tc>
          <w:tcPr>
            <w:tcW w:w="1230" w:type="dxa"/>
            <w:vAlign w:val="center"/>
          </w:tcPr>
          <w:p>
            <w:pPr>
              <w:adjustRightInd w:val="0"/>
              <w:snapToGrid w:val="0"/>
              <w:jc w:val="center"/>
              <w:rPr>
                <w:rFonts w:hint="eastAsia" w:ascii="宋体" w:hAnsi="宋体" w:cs="宋体"/>
                <w:color w:val="auto"/>
                <w:sz w:val="24"/>
                <w:highlight w:val="none"/>
              </w:rPr>
            </w:pPr>
          </w:p>
        </w:tc>
        <w:tc>
          <w:tcPr>
            <w:tcW w:w="1230" w:type="dxa"/>
            <w:vAlign w:val="center"/>
          </w:tcPr>
          <w:p>
            <w:pPr>
              <w:adjustRightInd w:val="0"/>
              <w:snapToGrid w:val="0"/>
              <w:jc w:val="left"/>
              <w:rPr>
                <w:rFonts w:hint="eastAsia" w:ascii="宋体" w:hAnsi="宋体" w:cs="宋体"/>
                <w:color w:val="auto"/>
                <w:sz w:val="24"/>
                <w:highlight w:val="none"/>
              </w:rPr>
            </w:pPr>
          </w:p>
        </w:tc>
        <w:tc>
          <w:tcPr>
            <w:tcW w:w="1004" w:type="dxa"/>
            <w:vAlign w:val="center"/>
          </w:tcPr>
          <w:p>
            <w:pPr>
              <w:adjustRightInd w:val="0"/>
              <w:snapToGrid w:val="0"/>
              <w:jc w:val="left"/>
              <w:rPr>
                <w:rFonts w:hint="eastAsia" w:ascii="宋体" w:hAnsi="宋体" w:cs="宋体"/>
                <w:color w:val="auto"/>
                <w:sz w:val="24"/>
                <w:highlight w:val="none"/>
              </w:rPr>
            </w:pPr>
          </w:p>
        </w:tc>
        <w:tc>
          <w:tcPr>
            <w:tcW w:w="815" w:type="dxa"/>
            <w:vAlign w:val="center"/>
          </w:tcPr>
          <w:p>
            <w:pPr>
              <w:adjustRightInd w:val="0"/>
              <w:snapToGrid w:val="0"/>
              <w:jc w:val="left"/>
              <w:rPr>
                <w:rFonts w:hint="eastAsia" w:ascii="宋体" w:hAnsi="宋体" w:cs="宋体"/>
                <w:color w:val="auto"/>
                <w:sz w:val="24"/>
                <w:highlight w:val="none"/>
              </w:rPr>
            </w:pPr>
          </w:p>
        </w:tc>
        <w:tc>
          <w:tcPr>
            <w:tcW w:w="1001" w:type="dxa"/>
            <w:vAlign w:val="center"/>
          </w:tcPr>
          <w:p>
            <w:pPr>
              <w:adjustRightInd w:val="0"/>
              <w:snapToGrid w:val="0"/>
              <w:jc w:val="lef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947" w:type="dxa"/>
            <w:gridSpan w:val="12"/>
          </w:tcPr>
          <w:p>
            <w:pPr>
              <w:jc w:val="right"/>
              <w:rPr>
                <w:rFonts w:hint="eastAsia" w:ascii="宋体" w:hAnsi="宋体" w:cs="宋体"/>
                <w:b/>
                <w:color w:val="auto"/>
                <w:sz w:val="24"/>
                <w:highlight w:val="none"/>
              </w:rPr>
            </w:pPr>
            <w:r>
              <w:rPr>
                <w:rFonts w:hint="eastAsia" w:ascii="宋体" w:hAnsi="宋体" w:cs="宋体"/>
                <w:b/>
                <w:color w:val="auto"/>
                <w:sz w:val="24"/>
                <w:highlight w:val="none"/>
              </w:rPr>
              <w:t>总价（元）</w:t>
            </w:r>
          </w:p>
        </w:tc>
        <w:tc>
          <w:tcPr>
            <w:tcW w:w="1001" w:type="dxa"/>
            <w:vAlign w:val="center"/>
          </w:tcPr>
          <w:p>
            <w:pPr>
              <w:adjustRightInd w:val="0"/>
              <w:snapToGrid w:val="0"/>
              <w:jc w:val="left"/>
              <w:rPr>
                <w:rFonts w:hint="eastAsia" w:ascii="宋体" w:hAnsi="宋体" w:cs="宋体"/>
                <w:color w:val="auto"/>
                <w:sz w:val="24"/>
                <w:highlight w:val="none"/>
              </w:rPr>
            </w:pPr>
          </w:p>
        </w:tc>
      </w:tr>
    </w:tbl>
    <w:p>
      <w:pPr>
        <w:tabs>
          <w:tab w:val="left" w:pos="1800"/>
          <w:tab w:val="left" w:pos="5580"/>
        </w:tabs>
        <w:jc w:val="left"/>
        <w:rPr>
          <w:rFonts w:hint="eastAsia" w:ascii="宋体" w:hAnsi="宋体" w:cs="宋体"/>
          <w:color w:val="auto"/>
          <w:sz w:val="24"/>
          <w:highlight w:val="none"/>
        </w:rPr>
      </w:pPr>
    </w:p>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注：1.本表应按包分别填写。</w:t>
      </w:r>
    </w:p>
    <w:p>
      <w:pPr>
        <w:tabs>
          <w:tab w:val="left" w:pos="1800"/>
          <w:tab w:val="left" w:pos="5580"/>
        </w:tabs>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2.如果不提供分项报价将视为没有实质性响应招标文件。</w:t>
      </w:r>
    </w:p>
    <w:p>
      <w:pPr>
        <w:tabs>
          <w:tab w:val="left" w:pos="1800"/>
          <w:tab w:val="left" w:pos="5580"/>
        </w:tabs>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3.上述各项的详细规格（如有），可另页描述。</w:t>
      </w:r>
    </w:p>
    <w:p>
      <w:pPr>
        <w:tabs>
          <w:tab w:val="left" w:pos="1800"/>
          <w:tab w:val="left" w:pos="5580"/>
        </w:tabs>
        <w:spacing w:line="360" w:lineRule="auto"/>
        <w:ind w:left="660" w:leftChars="200" w:hanging="240" w:hangingChars="100"/>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4.</w:t>
      </w:r>
      <w:r>
        <w:rPr>
          <w:rFonts w:hint="eastAsia" w:ascii="宋体" w:hAnsi="宋体" w:cs="宋体"/>
          <w:b/>
          <w:bCs/>
          <w:color w:val="auto"/>
          <w:sz w:val="24"/>
          <w:szCs w:val="20"/>
          <w:highlight w:val="none"/>
        </w:rPr>
        <w:t>制造商规模列</w:t>
      </w:r>
      <w:r>
        <w:rPr>
          <w:rFonts w:hint="eastAsia" w:ascii="宋体" w:hAnsi="宋体" w:cs="宋体"/>
          <w:color w:val="auto"/>
          <w:sz w:val="24"/>
          <w:szCs w:val="20"/>
          <w:highlight w:val="none"/>
        </w:rPr>
        <w:t>应填写“大型”、“中型”、“小型”、“微型”或“其他”，且不应与《中小企业声明函》或《拟分包情况说明》中内容矛盾。</w:t>
      </w:r>
      <w:r>
        <w:rPr>
          <w:rFonts w:hint="eastAsia" w:ascii="宋体" w:hAnsi="宋体" w:cs="宋体"/>
          <w:b/>
          <w:bCs/>
          <w:color w:val="auto"/>
          <w:sz w:val="24"/>
          <w:szCs w:val="20"/>
          <w:highlight w:val="none"/>
        </w:rPr>
        <w:t>制造商所属性别</w:t>
      </w:r>
      <w:r>
        <w:rPr>
          <w:rFonts w:hint="eastAsia" w:ascii="宋体" w:hAnsi="宋体" w:cs="宋体"/>
          <w:color w:val="auto"/>
          <w:sz w:val="24"/>
          <w:szCs w:val="20"/>
          <w:highlight w:val="none"/>
        </w:rPr>
        <w:t>请填写“男”或“女”，</w:t>
      </w:r>
      <w:r>
        <w:rPr>
          <w:rFonts w:hint="eastAsia" w:ascii="宋体" w:hAnsi="宋体" w:cs="宋体"/>
          <w:color w:val="auto"/>
          <w:sz w:val="24"/>
          <w:highlight w:val="none"/>
        </w:rPr>
        <w:t>指拥有制造商51%以上绝对所有权的性别；绝对所有权拥有者可以是一个人，也可以是多人合计计算</w:t>
      </w:r>
      <w:r>
        <w:rPr>
          <w:rFonts w:hint="eastAsia" w:ascii="宋体" w:hAnsi="宋体" w:cs="宋体"/>
          <w:color w:val="auto"/>
          <w:sz w:val="24"/>
          <w:szCs w:val="20"/>
          <w:highlight w:val="none"/>
        </w:rPr>
        <w:t>。</w:t>
      </w:r>
      <w:r>
        <w:rPr>
          <w:rFonts w:hint="eastAsia" w:ascii="宋体" w:hAnsi="宋体" w:cs="宋体"/>
          <w:b/>
          <w:bCs/>
          <w:color w:val="auto"/>
          <w:sz w:val="24"/>
          <w:szCs w:val="20"/>
          <w:highlight w:val="none"/>
        </w:rPr>
        <w:t>外商投资类型</w:t>
      </w:r>
      <w:r>
        <w:rPr>
          <w:rFonts w:hint="eastAsia" w:ascii="宋体" w:hAnsi="宋体" w:cs="宋体"/>
          <w:color w:val="auto"/>
          <w:sz w:val="24"/>
          <w:szCs w:val="20"/>
          <w:highlight w:val="none"/>
        </w:rPr>
        <w:t>请填写“外商单独投资”、“外商部分投资”或“内资”。</w:t>
      </w:r>
      <w:r>
        <w:rPr>
          <w:rFonts w:hint="eastAsia" w:ascii="宋体" w:hAnsi="宋体" w:cs="宋体"/>
          <w:b/>
          <w:bCs/>
          <w:color w:val="auto"/>
          <w:sz w:val="24"/>
          <w:szCs w:val="20"/>
          <w:highlight w:val="none"/>
        </w:rPr>
        <w:t>产品产地列</w:t>
      </w:r>
      <w:r>
        <w:rPr>
          <w:rFonts w:hint="eastAsia" w:ascii="宋体" w:hAnsi="宋体" w:cs="宋体"/>
          <w:color w:val="auto"/>
          <w:sz w:val="24"/>
          <w:szCs w:val="20"/>
          <w:highlight w:val="none"/>
        </w:rPr>
        <w:t>请填写所投产品的生产地或生产地所属的国别。</w:t>
      </w:r>
    </w:p>
    <w:p>
      <w:pPr>
        <w:tabs>
          <w:tab w:val="left" w:pos="1800"/>
          <w:tab w:val="left" w:pos="5580"/>
        </w:tabs>
        <w:spacing w:line="360" w:lineRule="auto"/>
        <w:ind w:left="660" w:leftChars="200" w:hanging="240" w:hangingChars="100"/>
        <w:jc w:val="left"/>
        <w:rPr>
          <w:rFonts w:hint="eastAsia" w:ascii="宋体" w:hAnsi="宋体" w:cs="宋体"/>
          <w:color w:val="auto"/>
          <w:sz w:val="24"/>
          <w:szCs w:val="20"/>
          <w:highlight w:val="none"/>
        </w:rPr>
      </w:pPr>
    </w:p>
    <w:p>
      <w:pPr>
        <w:autoSpaceDE w:val="0"/>
        <w:autoSpaceDN w:val="0"/>
        <w:adjustRightInd w:val="0"/>
        <w:snapToGrid w:val="0"/>
        <w:spacing w:before="25" w:after="25" w:line="360" w:lineRule="auto"/>
        <w:ind w:firstLine="240" w:firstLineChars="100"/>
        <w:rPr>
          <w:rFonts w:hint="eastAsia" w:ascii="宋体" w:hAnsi="宋体" w:cs="宋体"/>
          <w:color w:val="auto"/>
          <w:sz w:val="24"/>
          <w:szCs w:val="20"/>
          <w:highlight w:val="none"/>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 xml:space="preserve">：____________                                                </w:t>
      </w:r>
      <w:r>
        <w:rPr>
          <w:rFonts w:hint="eastAsia" w:ascii="宋体" w:hAnsi="宋体" w:cs="宋体"/>
          <w:color w:val="auto"/>
          <w:sz w:val="24"/>
          <w:szCs w:val="20"/>
          <w:highlight w:val="none"/>
        </w:rPr>
        <w:t>日期：_____年______月______日</w:t>
      </w:r>
    </w:p>
    <w:p>
      <w:pPr>
        <w:pStyle w:val="4"/>
        <w:snapToGrid w:val="0"/>
        <w:spacing w:before="25" w:after="25" w:line="360" w:lineRule="auto"/>
        <w:rPr>
          <w:rFonts w:hint="eastAsia" w:hAnsi="宋体" w:cs="宋体"/>
          <w:color w:val="auto"/>
          <w:highlight w:val="none"/>
        </w:rPr>
      </w:pPr>
      <w:r>
        <w:rPr>
          <w:rFonts w:hint="eastAsia" w:hAnsi="宋体" w:cs="宋体"/>
          <w:color w:val="auto"/>
          <w:highlight w:val="none"/>
        </w:rPr>
        <w:t>5  合同条款偏离表</w:t>
      </w:r>
      <w:bookmarkEnd w:id="892"/>
      <w:bookmarkEnd w:id="893"/>
      <w:bookmarkEnd w:id="894"/>
      <w:bookmarkEnd w:id="895"/>
      <w:bookmarkEnd w:id="896"/>
      <w:bookmarkEnd w:id="897"/>
      <w:bookmarkEnd w:id="898"/>
      <w:bookmarkEnd w:id="899"/>
      <w:bookmarkEnd w:id="900"/>
      <w:bookmarkEnd w:id="901"/>
      <w:bookmarkEnd w:id="902"/>
      <w:bookmarkEnd w:id="903"/>
      <w:bookmarkEnd w:id="904"/>
      <w:r>
        <w:rPr>
          <w:rFonts w:hint="eastAsia" w:hAnsi="宋体" w:cs="宋体"/>
          <w:color w:val="auto"/>
          <w:highlight w:val="none"/>
        </w:rPr>
        <w:t>（实质性格式）</w:t>
      </w:r>
    </w:p>
    <w:p>
      <w:pPr>
        <w:tabs>
          <w:tab w:val="left" w:pos="2775"/>
          <w:tab w:val="center" w:pos="4153"/>
        </w:tabs>
        <w:autoSpaceDE w:val="0"/>
        <w:autoSpaceDN w:val="0"/>
        <w:adjustRightInd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合同条款偏离表</w:t>
      </w:r>
    </w:p>
    <w:p>
      <w:pPr>
        <w:tabs>
          <w:tab w:val="left" w:pos="1800"/>
          <w:tab w:val="left" w:pos="5580"/>
        </w:tabs>
        <w:spacing w:line="360" w:lineRule="auto"/>
        <w:ind w:firstLine="360" w:firstLineChars="150"/>
        <w:jc w:val="left"/>
        <w:rPr>
          <w:rFonts w:hint="eastAsia" w:ascii="宋体" w:hAnsi="宋体" w:cs="宋体"/>
          <w:color w:val="auto"/>
          <w:sz w:val="24"/>
          <w:highlight w:val="non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s="宋体"/>
          <w:color w:val="auto"/>
          <w:sz w:val="24"/>
          <w:highlight w:val="none"/>
        </w:rPr>
        <w:t>_</w:t>
      </w:r>
    </w:p>
    <w:tbl>
      <w:tblPr>
        <w:tblStyle w:val="4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54"/>
        <w:gridCol w:w="1643"/>
        <w:gridCol w:w="1643"/>
        <w:gridCol w:w="1937"/>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96" w:type="dxa"/>
            <w:gridSpan w:val="6"/>
            <w:vAlign w:val="center"/>
          </w:tcPr>
          <w:p>
            <w:pPr>
              <w:adjustRightInd w:val="0"/>
              <w:snapToGrid w:val="0"/>
              <w:jc w:val="left"/>
              <w:rPr>
                <w:rFonts w:hint="eastAsia" w:ascii="宋体" w:hAnsi="宋体" w:cs="宋体"/>
                <w:b/>
                <w:color w:val="auto"/>
                <w:sz w:val="24"/>
                <w:highlight w:val="none"/>
              </w:rPr>
            </w:pPr>
            <w:r>
              <w:rPr>
                <w:rFonts w:hint="eastAsia" w:ascii="宋体" w:hAnsi="宋体" w:cs="宋体"/>
                <w:b/>
                <w:color w:val="auto"/>
                <w:sz w:val="24"/>
                <w:highlight w:val="none"/>
              </w:rPr>
              <w:t>对本项目合同条款的偏离情况（应进行选择，未选择投标无效）：</w:t>
            </w:r>
          </w:p>
          <w:p>
            <w:pPr>
              <w:adjustRightInd w:val="0"/>
              <w:snapToGrid w:val="0"/>
              <w:jc w:val="left"/>
              <w:rPr>
                <w:rFonts w:hint="eastAsia" w:ascii="宋体" w:hAnsi="宋体" w:cs="宋体"/>
                <w:b/>
                <w:color w:val="auto"/>
                <w:sz w:val="24"/>
                <w:highlight w:val="none"/>
              </w:rPr>
            </w:pPr>
            <w:r>
              <w:rPr>
                <w:rFonts w:hint="eastAsia" w:ascii="宋体" w:hAnsi="宋体" w:cs="宋体"/>
                <w:b/>
                <w:color w:val="auto"/>
                <w:sz w:val="24"/>
                <w:highlight w:val="none"/>
              </w:rPr>
              <w:t>□无偏离</w:t>
            </w:r>
            <w:r>
              <w:rPr>
                <w:rFonts w:hint="eastAsia" w:ascii="宋体" w:hAnsi="宋体" w:cs="宋体"/>
                <w:color w:val="auto"/>
                <w:sz w:val="24"/>
                <w:highlight w:val="none"/>
              </w:rPr>
              <w:t>（</w:t>
            </w:r>
            <w:r>
              <w:rPr>
                <w:rFonts w:hint="eastAsia" w:ascii="宋体" w:hAnsi="宋体" w:cs="宋体"/>
                <w:color w:val="auto"/>
                <w:sz w:val="24"/>
                <w:szCs w:val="21"/>
                <w:highlight w:val="none"/>
              </w:rPr>
              <w:t>如无偏离，仅选择无偏离即可；无偏离即为对合同条款中的所有要求，均视作投标人已对之理解和响应。</w:t>
            </w:r>
            <w:r>
              <w:rPr>
                <w:rFonts w:hint="eastAsia" w:ascii="宋体" w:hAnsi="宋体" w:cs="宋体"/>
                <w:color w:val="auto"/>
                <w:sz w:val="24"/>
                <w:highlight w:val="none"/>
              </w:rPr>
              <w:t>）</w:t>
            </w:r>
          </w:p>
          <w:p>
            <w:pPr>
              <w:adjustRightInd w:val="0"/>
              <w:snapToGrid w:val="0"/>
              <w:jc w:val="left"/>
              <w:rPr>
                <w:rFonts w:hint="eastAsia" w:ascii="宋体" w:hAnsi="宋体" w:cs="宋体"/>
                <w:color w:val="auto"/>
                <w:sz w:val="24"/>
                <w:highlight w:val="none"/>
              </w:rPr>
            </w:pPr>
            <w:r>
              <w:rPr>
                <w:rFonts w:hint="eastAsia" w:ascii="宋体" w:hAnsi="宋体" w:cs="宋体"/>
                <w:b/>
                <w:color w:val="auto"/>
                <w:sz w:val="24"/>
                <w:highlight w:val="none"/>
              </w:rPr>
              <w:t>□有偏离</w:t>
            </w:r>
            <w:r>
              <w:rPr>
                <w:rFonts w:hint="eastAsia" w:ascii="宋体" w:hAnsi="宋体" w:cs="宋体"/>
                <w:color w:val="auto"/>
                <w:sz w:val="24"/>
                <w:highlight w:val="none"/>
              </w:rPr>
              <w:t>（</w:t>
            </w:r>
            <w:r>
              <w:rPr>
                <w:rFonts w:hint="eastAsia" w:ascii="宋体" w:hAnsi="宋体" w:cs="宋体"/>
                <w:color w:val="auto"/>
                <w:sz w:val="24"/>
                <w:szCs w:val="21"/>
                <w:highlight w:val="none"/>
              </w:rPr>
              <w:t>如有偏离，</w:t>
            </w:r>
            <w:r>
              <w:rPr>
                <w:rFonts w:hint="eastAsia" w:ascii="宋体" w:hAnsi="宋体" w:cs="宋体"/>
                <w:color w:val="auto"/>
                <w:sz w:val="24"/>
                <w:highlight w:val="none"/>
              </w:rPr>
              <w:t>则应在本表中对偏离项逐一列明，否则投标无效；对合同条款中的所有要求，除本表列明的偏离外，均视作投标人已对之理解和响应。）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354"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szCs w:val="21"/>
                <w:highlight w:val="none"/>
              </w:rPr>
              <w:t>招标文件</w:t>
            </w:r>
            <w:r>
              <w:rPr>
                <w:rFonts w:hint="eastAsia" w:ascii="宋体" w:hAnsi="宋体" w:cs="宋体"/>
                <w:color w:val="auto"/>
                <w:sz w:val="24"/>
                <w:highlight w:val="none"/>
              </w:rPr>
              <w:t>条目号（页码）</w:t>
            </w:r>
          </w:p>
        </w:tc>
        <w:tc>
          <w:tcPr>
            <w:tcW w:w="1643"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szCs w:val="21"/>
                <w:highlight w:val="none"/>
              </w:rPr>
              <w:t>招标文件</w:t>
            </w:r>
            <w:r>
              <w:rPr>
                <w:rFonts w:hint="eastAsia" w:ascii="宋体" w:hAnsi="宋体" w:cs="宋体"/>
                <w:color w:val="auto"/>
                <w:sz w:val="24"/>
                <w:highlight w:val="none"/>
              </w:rPr>
              <w:t>要求</w:t>
            </w:r>
          </w:p>
        </w:tc>
        <w:tc>
          <w:tcPr>
            <w:tcW w:w="1643"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投标文件内容</w:t>
            </w:r>
          </w:p>
        </w:tc>
        <w:tc>
          <w:tcPr>
            <w:tcW w:w="1937"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偏离情况</w:t>
            </w:r>
          </w:p>
        </w:tc>
        <w:tc>
          <w:tcPr>
            <w:tcW w:w="845"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s="宋体"/>
                <w:color w:val="auto"/>
                <w:sz w:val="24"/>
                <w:highlight w:val="none"/>
              </w:rPr>
            </w:pPr>
          </w:p>
        </w:tc>
        <w:tc>
          <w:tcPr>
            <w:tcW w:w="1354" w:type="dxa"/>
            <w:vAlign w:val="center"/>
          </w:tcPr>
          <w:p>
            <w:pPr>
              <w:adjustRightInd w:val="0"/>
              <w:snapToGrid w:val="0"/>
              <w:jc w:val="center"/>
              <w:rPr>
                <w:rFonts w:hint="eastAsia" w:ascii="宋体" w:hAnsi="宋体" w:cs="宋体"/>
                <w:color w:val="auto"/>
                <w:sz w:val="24"/>
                <w:highlight w:val="none"/>
              </w:rPr>
            </w:pPr>
          </w:p>
        </w:tc>
        <w:tc>
          <w:tcPr>
            <w:tcW w:w="1643" w:type="dxa"/>
            <w:vAlign w:val="center"/>
          </w:tcPr>
          <w:p>
            <w:pPr>
              <w:adjustRightInd w:val="0"/>
              <w:snapToGrid w:val="0"/>
              <w:jc w:val="center"/>
              <w:rPr>
                <w:rFonts w:hint="eastAsia" w:ascii="宋体" w:hAnsi="宋体" w:cs="宋体"/>
                <w:color w:val="auto"/>
                <w:sz w:val="24"/>
                <w:highlight w:val="none"/>
              </w:rPr>
            </w:pPr>
          </w:p>
        </w:tc>
        <w:tc>
          <w:tcPr>
            <w:tcW w:w="1643" w:type="dxa"/>
            <w:vAlign w:val="center"/>
          </w:tcPr>
          <w:p>
            <w:pPr>
              <w:adjustRightInd w:val="0"/>
              <w:snapToGrid w:val="0"/>
              <w:jc w:val="center"/>
              <w:rPr>
                <w:rFonts w:hint="eastAsia" w:ascii="宋体" w:hAnsi="宋体" w:cs="宋体"/>
                <w:color w:val="auto"/>
                <w:sz w:val="24"/>
                <w:highlight w:val="none"/>
              </w:rPr>
            </w:pPr>
          </w:p>
        </w:tc>
        <w:tc>
          <w:tcPr>
            <w:tcW w:w="1937" w:type="dxa"/>
            <w:vAlign w:val="center"/>
          </w:tcPr>
          <w:p>
            <w:pPr>
              <w:adjustRightInd w:val="0"/>
              <w:snapToGrid w:val="0"/>
              <w:jc w:val="center"/>
              <w:rPr>
                <w:rFonts w:hint="eastAsia" w:ascii="宋体" w:hAnsi="宋体" w:cs="宋体"/>
                <w:color w:val="auto"/>
                <w:sz w:val="24"/>
                <w:highlight w:val="none"/>
              </w:rPr>
            </w:pPr>
          </w:p>
        </w:tc>
        <w:tc>
          <w:tcPr>
            <w:tcW w:w="845" w:type="dxa"/>
            <w:vAlign w:val="center"/>
          </w:tcPr>
          <w:p>
            <w:pPr>
              <w:adjustRightInd w:val="0"/>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s="宋体"/>
                <w:color w:val="auto"/>
                <w:sz w:val="24"/>
                <w:highlight w:val="none"/>
              </w:rPr>
            </w:pPr>
          </w:p>
        </w:tc>
        <w:tc>
          <w:tcPr>
            <w:tcW w:w="1354" w:type="dxa"/>
            <w:vAlign w:val="center"/>
          </w:tcPr>
          <w:p>
            <w:pPr>
              <w:adjustRightInd w:val="0"/>
              <w:snapToGrid w:val="0"/>
              <w:jc w:val="center"/>
              <w:rPr>
                <w:rFonts w:hint="eastAsia" w:ascii="宋体" w:hAnsi="宋体" w:cs="宋体"/>
                <w:color w:val="auto"/>
                <w:sz w:val="24"/>
                <w:highlight w:val="none"/>
              </w:rPr>
            </w:pPr>
          </w:p>
        </w:tc>
        <w:tc>
          <w:tcPr>
            <w:tcW w:w="1643" w:type="dxa"/>
            <w:vAlign w:val="center"/>
          </w:tcPr>
          <w:p>
            <w:pPr>
              <w:adjustRightInd w:val="0"/>
              <w:snapToGrid w:val="0"/>
              <w:jc w:val="center"/>
              <w:rPr>
                <w:rFonts w:hint="eastAsia" w:ascii="宋体" w:hAnsi="宋体" w:cs="宋体"/>
                <w:color w:val="auto"/>
                <w:sz w:val="24"/>
                <w:highlight w:val="none"/>
              </w:rPr>
            </w:pPr>
          </w:p>
        </w:tc>
        <w:tc>
          <w:tcPr>
            <w:tcW w:w="1643" w:type="dxa"/>
            <w:vAlign w:val="center"/>
          </w:tcPr>
          <w:p>
            <w:pPr>
              <w:adjustRightInd w:val="0"/>
              <w:snapToGrid w:val="0"/>
              <w:jc w:val="center"/>
              <w:rPr>
                <w:rFonts w:hint="eastAsia" w:ascii="宋体" w:hAnsi="宋体" w:cs="宋体"/>
                <w:color w:val="auto"/>
                <w:sz w:val="24"/>
                <w:highlight w:val="none"/>
              </w:rPr>
            </w:pPr>
          </w:p>
        </w:tc>
        <w:tc>
          <w:tcPr>
            <w:tcW w:w="1937" w:type="dxa"/>
            <w:vAlign w:val="center"/>
          </w:tcPr>
          <w:p>
            <w:pPr>
              <w:adjustRightInd w:val="0"/>
              <w:snapToGrid w:val="0"/>
              <w:jc w:val="center"/>
              <w:rPr>
                <w:rFonts w:hint="eastAsia" w:ascii="宋体" w:hAnsi="宋体" w:cs="宋体"/>
                <w:color w:val="auto"/>
                <w:sz w:val="24"/>
                <w:highlight w:val="none"/>
              </w:rPr>
            </w:pPr>
          </w:p>
        </w:tc>
        <w:tc>
          <w:tcPr>
            <w:tcW w:w="845" w:type="dxa"/>
            <w:vAlign w:val="center"/>
          </w:tcPr>
          <w:p>
            <w:pPr>
              <w:adjustRightInd w:val="0"/>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s="宋体"/>
                <w:color w:val="auto"/>
                <w:sz w:val="24"/>
                <w:highlight w:val="none"/>
              </w:rPr>
            </w:pPr>
          </w:p>
        </w:tc>
        <w:tc>
          <w:tcPr>
            <w:tcW w:w="1354" w:type="dxa"/>
            <w:vAlign w:val="center"/>
          </w:tcPr>
          <w:p>
            <w:pPr>
              <w:adjustRightInd w:val="0"/>
              <w:snapToGrid w:val="0"/>
              <w:jc w:val="center"/>
              <w:rPr>
                <w:rFonts w:hint="eastAsia" w:ascii="宋体" w:hAnsi="宋体" w:cs="宋体"/>
                <w:color w:val="auto"/>
                <w:sz w:val="24"/>
                <w:highlight w:val="none"/>
              </w:rPr>
            </w:pPr>
          </w:p>
        </w:tc>
        <w:tc>
          <w:tcPr>
            <w:tcW w:w="1643" w:type="dxa"/>
            <w:vAlign w:val="center"/>
          </w:tcPr>
          <w:p>
            <w:pPr>
              <w:adjustRightInd w:val="0"/>
              <w:snapToGrid w:val="0"/>
              <w:jc w:val="center"/>
              <w:rPr>
                <w:rFonts w:hint="eastAsia" w:ascii="宋体" w:hAnsi="宋体" w:cs="宋体"/>
                <w:color w:val="auto"/>
                <w:sz w:val="24"/>
                <w:highlight w:val="none"/>
              </w:rPr>
            </w:pPr>
          </w:p>
        </w:tc>
        <w:tc>
          <w:tcPr>
            <w:tcW w:w="1643" w:type="dxa"/>
            <w:vAlign w:val="center"/>
          </w:tcPr>
          <w:p>
            <w:pPr>
              <w:adjustRightInd w:val="0"/>
              <w:snapToGrid w:val="0"/>
              <w:jc w:val="center"/>
              <w:rPr>
                <w:rFonts w:hint="eastAsia" w:ascii="宋体" w:hAnsi="宋体" w:cs="宋体"/>
                <w:color w:val="auto"/>
                <w:sz w:val="24"/>
                <w:highlight w:val="none"/>
              </w:rPr>
            </w:pPr>
          </w:p>
        </w:tc>
        <w:tc>
          <w:tcPr>
            <w:tcW w:w="1937" w:type="dxa"/>
            <w:vAlign w:val="center"/>
          </w:tcPr>
          <w:p>
            <w:pPr>
              <w:adjustRightInd w:val="0"/>
              <w:snapToGrid w:val="0"/>
              <w:jc w:val="center"/>
              <w:rPr>
                <w:rFonts w:hint="eastAsia" w:ascii="宋体" w:hAnsi="宋体" w:cs="宋体"/>
                <w:color w:val="auto"/>
                <w:sz w:val="24"/>
                <w:highlight w:val="none"/>
              </w:rPr>
            </w:pPr>
          </w:p>
        </w:tc>
        <w:tc>
          <w:tcPr>
            <w:tcW w:w="845" w:type="dxa"/>
            <w:vAlign w:val="center"/>
          </w:tcPr>
          <w:p>
            <w:pPr>
              <w:adjustRightInd w:val="0"/>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s="宋体"/>
                <w:color w:val="auto"/>
                <w:sz w:val="24"/>
                <w:highlight w:val="none"/>
              </w:rPr>
            </w:pPr>
          </w:p>
        </w:tc>
        <w:tc>
          <w:tcPr>
            <w:tcW w:w="1354" w:type="dxa"/>
            <w:vAlign w:val="center"/>
          </w:tcPr>
          <w:p>
            <w:pPr>
              <w:adjustRightInd w:val="0"/>
              <w:snapToGrid w:val="0"/>
              <w:jc w:val="center"/>
              <w:rPr>
                <w:rFonts w:hint="eastAsia" w:ascii="宋体" w:hAnsi="宋体" w:cs="宋体"/>
                <w:color w:val="auto"/>
                <w:sz w:val="24"/>
                <w:highlight w:val="none"/>
              </w:rPr>
            </w:pPr>
          </w:p>
        </w:tc>
        <w:tc>
          <w:tcPr>
            <w:tcW w:w="1643" w:type="dxa"/>
            <w:vAlign w:val="center"/>
          </w:tcPr>
          <w:p>
            <w:pPr>
              <w:adjustRightInd w:val="0"/>
              <w:snapToGrid w:val="0"/>
              <w:jc w:val="center"/>
              <w:rPr>
                <w:rFonts w:hint="eastAsia" w:ascii="宋体" w:hAnsi="宋体" w:cs="宋体"/>
                <w:color w:val="auto"/>
                <w:sz w:val="24"/>
                <w:highlight w:val="none"/>
              </w:rPr>
            </w:pPr>
          </w:p>
        </w:tc>
        <w:tc>
          <w:tcPr>
            <w:tcW w:w="1643" w:type="dxa"/>
            <w:vAlign w:val="center"/>
          </w:tcPr>
          <w:p>
            <w:pPr>
              <w:adjustRightInd w:val="0"/>
              <w:snapToGrid w:val="0"/>
              <w:jc w:val="center"/>
              <w:rPr>
                <w:rFonts w:hint="eastAsia" w:ascii="宋体" w:hAnsi="宋体" w:cs="宋体"/>
                <w:color w:val="auto"/>
                <w:sz w:val="24"/>
                <w:highlight w:val="none"/>
              </w:rPr>
            </w:pPr>
          </w:p>
        </w:tc>
        <w:tc>
          <w:tcPr>
            <w:tcW w:w="1937" w:type="dxa"/>
            <w:vAlign w:val="center"/>
          </w:tcPr>
          <w:p>
            <w:pPr>
              <w:adjustRightInd w:val="0"/>
              <w:snapToGrid w:val="0"/>
              <w:jc w:val="center"/>
              <w:rPr>
                <w:rFonts w:hint="eastAsia" w:ascii="宋体" w:hAnsi="宋体" w:cs="宋体"/>
                <w:color w:val="auto"/>
                <w:sz w:val="24"/>
                <w:highlight w:val="none"/>
              </w:rPr>
            </w:pPr>
          </w:p>
        </w:tc>
        <w:tc>
          <w:tcPr>
            <w:tcW w:w="845" w:type="dxa"/>
            <w:vAlign w:val="center"/>
          </w:tcPr>
          <w:p>
            <w:pPr>
              <w:adjustRightInd w:val="0"/>
              <w:snapToGrid w:val="0"/>
              <w:jc w:val="center"/>
              <w:rPr>
                <w:rFonts w:hint="eastAsia" w:ascii="宋体" w:hAnsi="宋体" w:cs="宋体"/>
                <w:color w:val="auto"/>
                <w:sz w:val="24"/>
                <w:highlight w:val="none"/>
              </w:rPr>
            </w:pPr>
          </w:p>
        </w:tc>
      </w:tr>
    </w:tbl>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注：</w:t>
      </w:r>
    </w:p>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1. 对合同条款中的所有要求，除本表所列明的所有偏离外，均视作投标人已对之理解和响应。</w:t>
      </w:r>
    </w:p>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2. “偏离情况”列应据实填写“正偏离”或“负偏离”或“无偏离”。</w:t>
      </w:r>
    </w:p>
    <w:p>
      <w:pPr>
        <w:spacing w:line="360" w:lineRule="auto"/>
        <w:rPr>
          <w:rFonts w:hint="eastAsia" w:ascii="宋体" w:hAnsi="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    ____________</w:t>
      </w:r>
    </w:p>
    <w:p>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szCs w:val="20"/>
          <w:highlight w:val="none"/>
        </w:rPr>
        <w:t xml:space="preserve">日期：_____年______月______日   </w:t>
      </w:r>
    </w:p>
    <w:p>
      <w:pPr>
        <w:spacing w:line="360" w:lineRule="auto"/>
        <w:outlineLvl w:val="2"/>
        <w:rPr>
          <w:rFonts w:hint="eastAsia" w:ascii="宋体" w:hAnsi="宋体" w:cs="宋体"/>
          <w:color w:val="auto"/>
          <w:sz w:val="24"/>
          <w:szCs w:val="20"/>
          <w:highlight w:val="none"/>
        </w:rPr>
      </w:pPr>
      <w:r>
        <w:rPr>
          <w:rFonts w:hint="eastAsia" w:ascii="宋体" w:hAnsi="宋体" w:cs="宋体"/>
          <w:color w:val="auto"/>
          <w:sz w:val="24"/>
          <w:szCs w:val="20"/>
          <w:highlight w:val="none"/>
        </w:rPr>
        <w:br w:type="page"/>
      </w:r>
      <w:r>
        <w:rPr>
          <w:rFonts w:hint="eastAsia" w:ascii="宋体" w:hAnsi="宋体" w:cs="宋体"/>
          <w:b/>
          <w:color w:val="auto"/>
          <w:sz w:val="24"/>
          <w:szCs w:val="20"/>
          <w:highlight w:val="none"/>
        </w:rPr>
        <w:t xml:space="preserve">6  </w:t>
      </w:r>
      <w:bookmarkEnd w:id="905"/>
      <w:bookmarkEnd w:id="906"/>
      <w:bookmarkEnd w:id="907"/>
      <w:bookmarkEnd w:id="908"/>
      <w:bookmarkEnd w:id="909"/>
      <w:bookmarkEnd w:id="910"/>
      <w:bookmarkEnd w:id="911"/>
      <w:bookmarkEnd w:id="912"/>
      <w:bookmarkEnd w:id="913"/>
      <w:bookmarkEnd w:id="914"/>
      <w:bookmarkEnd w:id="915"/>
      <w:bookmarkEnd w:id="916"/>
      <w:bookmarkEnd w:id="917"/>
      <w:r>
        <w:rPr>
          <w:rFonts w:hint="eastAsia" w:ascii="宋体" w:hAnsi="宋体" w:cs="宋体"/>
          <w:b/>
          <w:color w:val="auto"/>
          <w:sz w:val="24"/>
          <w:szCs w:val="20"/>
          <w:highlight w:val="none"/>
        </w:rPr>
        <w:t>采购需求偏离表</w:t>
      </w:r>
      <w:r>
        <w:rPr>
          <w:rFonts w:hint="eastAsia" w:ascii="宋体" w:hAnsi="宋体" w:cs="宋体"/>
          <w:color w:val="auto"/>
          <w:sz w:val="24"/>
          <w:szCs w:val="20"/>
          <w:highlight w:val="none"/>
        </w:rPr>
        <w:t xml:space="preserve"> </w:t>
      </w:r>
    </w:p>
    <w:p>
      <w:pPr>
        <w:autoSpaceDE w:val="0"/>
        <w:autoSpaceDN w:val="0"/>
        <w:adjustRightInd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采购需求偏离表（一）</w:t>
      </w:r>
    </w:p>
    <w:p>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s="宋体"/>
          <w:color w:val="auto"/>
          <w:sz w:val="24"/>
          <w:highlight w:val="none"/>
        </w:rPr>
        <w:t>_</w:t>
      </w:r>
    </w:p>
    <w:tbl>
      <w:tblPr>
        <w:tblStyle w:val="352"/>
        <w:tblW w:w="92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2043"/>
        <w:gridCol w:w="3718"/>
        <w:gridCol w:w="980"/>
        <w:gridCol w:w="842"/>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jc w:val="center"/>
        </w:trPr>
        <w:tc>
          <w:tcPr>
            <w:tcW w:w="646"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5761" w:type="dxa"/>
            <w:gridSpan w:val="2"/>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招标文件要求</w:t>
            </w:r>
          </w:p>
        </w:tc>
        <w:tc>
          <w:tcPr>
            <w:tcW w:w="980"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投标响应内容</w:t>
            </w:r>
          </w:p>
        </w:tc>
        <w:tc>
          <w:tcPr>
            <w:tcW w:w="842"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偏离情况</w:t>
            </w:r>
          </w:p>
        </w:tc>
        <w:tc>
          <w:tcPr>
            <w:tcW w:w="980"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09" w:type="dxa"/>
            <w:gridSpan w:val="6"/>
          </w:tcPr>
          <w:p>
            <w:pPr>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针对本招标文件《采购需求一、设备技术要求参数表》中</w:t>
            </w:r>
            <w:r>
              <w:rPr>
                <w:rFonts w:hint="eastAsia" w:ascii="宋体" w:hAnsi="宋体" w:cs="宋体"/>
                <w:b/>
                <w:bCs/>
                <w:color w:val="auto"/>
                <w:sz w:val="24"/>
                <w:highlight w:val="none"/>
              </w:rPr>
              <w:t>标注为</w:t>
            </w:r>
            <w:r>
              <w:rPr>
                <w:rFonts w:hint="eastAsia" w:ascii="宋体" w:hAnsi="宋体" w:cs="宋体"/>
                <w:color w:val="auto"/>
                <w:sz w:val="24"/>
                <w:highlight w:val="none"/>
              </w:rPr>
              <w:t>“★”条款，投标人应逐项详细填写，否则可能导致的不利评审后果由投标人自行承担。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646"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043" w:type="dxa"/>
            <w:vAlign w:val="center"/>
          </w:tcPr>
          <w:p>
            <w:pPr>
              <w:widowControl/>
              <w:adjustRightInd w:val="0"/>
              <w:snapToGrid w:val="0"/>
              <w:spacing w:after="0" w:line="240" w:lineRule="atLeast"/>
              <w:jc w:val="left"/>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0"/>
                <w:szCs w:val="20"/>
                <w:highlight w:val="none"/>
                <w:lang w:bidi="ar"/>
              </w:rPr>
              <w:t>医用外科口罩（独立包装）</w:t>
            </w:r>
          </w:p>
        </w:tc>
        <w:tc>
          <w:tcPr>
            <w:tcW w:w="3718" w:type="dxa"/>
            <w:vAlign w:val="center"/>
          </w:tcPr>
          <w:p>
            <w:pPr>
              <w:widowControl/>
              <w:spacing w:after="0" w:line="240" w:lineRule="atLeast"/>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★2.无菌：环氧乙烷灭菌；</w:t>
            </w:r>
          </w:p>
          <w:p>
            <w:pPr>
              <w:widowControl/>
              <w:spacing w:after="0" w:line="240" w:lineRule="atLeast"/>
              <w:jc w:val="left"/>
              <w:textAlignment w:val="center"/>
              <w:rPr>
                <w:rFonts w:hint="eastAsia" w:ascii="宋体" w:hAnsi="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★4.独立包装；</w:t>
            </w:r>
          </w:p>
        </w:tc>
        <w:tc>
          <w:tcPr>
            <w:tcW w:w="980" w:type="dxa"/>
          </w:tcPr>
          <w:p>
            <w:pPr>
              <w:adjustRightInd w:val="0"/>
              <w:snapToGrid w:val="0"/>
              <w:spacing w:after="0" w:line="240" w:lineRule="atLeast"/>
              <w:rPr>
                <w:rFonts w:hint="eastAsia" w:ascii="宋体" w:hAnsi="宋体" w:cs="宋体"/>
                <w:color w:val="auto"/>
                <w:sz w:val="24"/>
                <w:highlight w:val="none"/>
              </w:rPr>
            </w:pPr>
          </w:p>
        </w:tc>
        <w:tc>
          <w:tcPr>
            <w:tcW w:w="842" w:type="dxa"/>
          </w:tcPr>
          <w:p>
            <w:pPr>
              <w:adjustRightInd w:val="0"/>
              <w:snapToGrid w:val="0"/>
              <w:spacing w:after="0" w:line="240" w:lineRule="atLeast"/>
              <w:rPr>
                <w:rFonts w:hint="eastAsia" w:ascii="宋体" w:hAnsi="宋体" w:cs="宋体"/>
                <w:color w:val="auto"/>
                <w:sz w:val="24"/>
                <w:highlight w:val="none"/>
              </w:rPr>
            </w:pPr>
          </w:p>
        </w:tc>
        <w:tc>
          <w:tcPr>
            <w:tcW w:w="980" w:type="dxa"/>
          </w:tcPr>
          <w:p>
            <w:pPr>
              <w:adjustRightInd w:val="0"/>
              <w:snapToGrid w:val="0"/>
              <w:spacing w:after="0" w:line="240" w:lineRule="atLeas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646"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043" w:type="dxa"/>
            <w:vAlign w:val="center"/>
          </w:tcPr>
          <w:p>
            <w:pPr>
              <w:adjustRightInd w:val="0"/>
              <w:snapToGrid w:val="0"/>
              <w:spacing w:after="0" w:line="240" w:lineRule="atLeast"/>
              <w:jc w:val="center"/>
              <w:rPr>
                <w:rFonts w:hint="eastAsia" w:ascii="宋体" w:hAnsi="宋体" w:cs="宋体"/>
                <w:color w:val="auto"/>
                <w:kern w:val="0"/>
                <w:szCs w:val="21"/>
                <w:highlight w:val="none"/>
                <w:lang w:bidi="ar"/>
              </w:rPr>
            </w:pPr>
            <w:r>
              <w:rPr>
                <w:rFonts w:hint="eastAsia" w:ascii="宋体" w:hAnsi="宋体" w:eastAsia="宋体" w:cs="宋体"/>
                <w:color w:val="auto"/>
                <w:kern w:val="0"/>
                <w:sz w:val="20"/>
                <w:szCs w:val="20"/>
                <w:highlight w:val="none"/>
                <w:lang w:bidi="ar"/>
              </w:rPr>
              <w:t>高压灭菌袋（10L)</w:t>
            </w:r>
          </w:p>
        </w:tc>
        <w:tc>
          <w:tcPr>
            <w:tcW w:w="3718" w:type="dxa"/>
            <w:vAlign w:val="center"/>
          </w:tcPr>
          <w:p>
            <w:pPr>
              <w:widowControl/>
              <w:adjustRightInd w:val="0"/>
              <w:snapToGrid w:val="0"/>
              <w:spacing w:after="0" w:line="240" w:lineRule="atLeast"/>
              <w:jc w:val="left"/>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★1.材质：聚丙烯;</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★3.尺寸：45*55cm;</w:t>
            </w:r>
          </w:p>
        </w:tc>
        <w:tc>
          <w:tcPr>
            <w:tcW w:w="980" w:type="dxa"/>
          </w:tcPr>
          <w:p>
            <w:pPr>
              <w:adjustRightInd w:val="0"/>
              <w:snapToGrid w:val="0"/>
              <w:spacing w:after="0" w:line="240" w:lineRule="atLeast"/>
              <w:rPr>
                <w:rFonts w:hint="eastAsia" w:ascii="宋体" w:hAnsi="宋体" w:cs="宋体"/>
                <w:color w:val="auto"/>
                <w:sz w:val="24"/>
                <w:highlight w:val="none"/>
              </w:rPr>
            </w:pPr>
          </w:p>
        </w:tc>
        <w:tc>
          <w:tcPr>
            <w:tcW w:w="842" w:type="dxa"/>
          </w:tcPr>
          <w:p>
            <w:pPr>
              <w:adjustRightInd w:val="0"/>
              <w:snapToGrid w:val="0"/>
              <w:spacing w:after="0" w:line="240" w:lineRule="atLeast"/>
              <w:rPr>
                <w:rFonts w:hint="eastAsia" w:ascii="宋体" w:hAnsi="宋体" w:cs="宋体"/>
                <w:color w:val="auto"/>
                <w:sz w:val="24"/>
                <w:highlight w:val="none"/>
              </w:rPr>
            </w:pPr>
          </w:p>
        </w:tc>
        <w:tc>
          <w:tcPr>
            <w:tcW w:w="980" w:type="dxa"/>
          </w:tcPr>
          <w:p>
            <w:pPr>
              <w:adjustRightInd w:val="0"/>
              <w:snapToGrid w:val="0"/>
              <w:spacing w:after="0" w:line="240" w:lineRule="atLeas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646"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04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ascii="宋体" w:hAnsi="宋体" w:cs="宋体"/>
                <w:color w:val="auto"/>
                <w:kern w:val="0"/>
                <w:szCs w:val="21"/>
                <w:highlight w:val="none"/>
                <w:lang w:bidi="ar"/>
              </w:rPr>
            </w:pPr>
            <w:r>
              <w:rPr>
                <w:rFonts w:hint="eastAsia" w:ascii="宋体" w:hAnsi="宋体" w:eastAsia="宋体" w:cs="宋体"/>
                <w:color w:val="auto"/>
                <w:kern w:val="0"/>
                <w:sz w:val="20"/>
                <w:szCs w:val="20"/>
                <w:highlight w:val="none"/>
                <w:lang w:bidi="ar"/>
              </w:rPr>
              <w:t>0.2ml荧光PCR96孔板</w:t>
            </w:r>
          </w:p>
        </w:tc>
        <w:tc>
          <w:tcPr>
            <w:tcW w:w="3718" w:type="dxa"/>
            <w:vAlign w:val="center"/>
          </w:tcPr>
          <w:p>
            <w:pPr>
              <w:widowControl/>
              <w:adjustRightInd w:val="0"/>
              <w:snapToGrid w:val="0"/>
              <w:spacing w:after="0" w:line="240" w:lineRule="atLeast"/>
              <w:jc w:val="left"/>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18"/>
                <w:szCs w:val="18"/>
                <w:highlight w:val="none"/>
                <w:lang w:bidi="ar"/>
              </w:rPr>
              <w:t>★4.适用于ABI ViiA7和QuantStudio7荧光定量PCR仪。</w:t>
            </w:r>
          </w:p>
        </w:tc>
        <w:tc>
          <w:tcPr>
            <w:tcW w:w="980" w:type="dxa"/>
          </w:tcPr>
          <w:p>
            <w:pPr>
              <w:adjustRightInd w:val="0"/>
              <w:snapToGrid w:val="0"/>
              <w:spacing w:after="0" w:line="240" w:lineRule="atLeast"/>
              <w:rPr>
                <w:rFonts w:hint="eastAsia" w:ascii="宋体" w:hAnsi="宋体" w:cs="宋体"/>
                <w:color w:val="auto"/>
                <w:sz w:val="24"/>
                <w:highlight w:val="none"/>
              </w:rPr>
            </w:pPr>
          </w:p>
        </w:tc>
        <w:tc>
          <w:tcPr>
            <w:tcW w:w="842" w:type="dxa"/>
          </w:tcPr>
          <w:p>
            <w:pPr>
              <w:adjustRightInd w:val="0"/>
              <w:snapToGrid w:val="0"/>
              <w:spacing w:after="0" w:line="240" w:lineRule="atLeast"/>
              <w:rPr>
                <w:rFonts w:hint="eastAsia" w:ascii="宋体" w:hAnsi="宋体" w:cs="宋体"/>
                <w:color w:val="auto"/>
                <w:sz w:val="24"/>
                <w:highlight w:val="none"/>
              </w:rPr>
            </w:pPr>
          </w:p>
        </w:tc>
        <w:tc>
          <w:tcPr>
            <w:tcW w:w="980" w:type="dxa"/>
          </w:tcPr>
          <w:p>
            <w:pPr>
              <w:adjustRightInd w:val="0"/>
              <w:snapToGrid w:val="0"/>
              <w:spacing w:after="0" w:line="240" w:lineRule="atLeas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646"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2043" w:type="dxa"/>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0"/>
                <w:szCs w:val="20"/>
                <w:highlight w:val="none"/>
                <w:lang w:bidi="ar"/>
              </w:rPr>
              <w:t>0.2ml荧光PCR96孔板覆膜</w:t>
            </w:r>
          </w:p>
        </w:tc>
        <w:tc>
          <w:tcPr>
            <w:tcW w:w="3718" w:type="dxa"/>
            <w:vAlign w:val="center"/>
          </w:tcPr>
          <w:p>
            <w:pPr>
              <w:widowControl/>
              <w:spacing w:after="0" w:line="240" w:lineRule="atLeast"/>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18"/>
                <w:szCs w:val="18"/>
                <w:highlight w:val="none"/>
                <w:lang w:bidi="ar"/>
              </w:rPr>
              <w:t>★5.适用于ABI ViiA7和QuantStudio7荧光定量PCR仪。</w:t>
            </w:r>
          </w:p>
        </w:tc>
        <w:tc>
          <w:tcPr>
            <w:tcW w:w="980" w:type="dxa"/>
          </w:tcPr>
          <w:p>
            <w:pPr>
              <w:adjustRightInd w:val="0"/>
              <w:snapToGrid w:val="0"/>
              <w:spacing w:after="0" w:line="240" w:lineRule="atLeast"/>
              <w:rPr>
                <w:rFonts w:hint="eastAsia" w:ascii="宋体" w:hAnsi="宋体" w:cs="宋体"/>
                <w:color w:val="auto"/>
                <w:sz w:val="24"/>
                <w:highlight w:val="none"/>
              </w:rPr>
            </w:pPr>
          </w:p>
        </w:tc>
        <w:tc>
          <w:tcPr>
            <w:tcW w:w="842" w:type="dxa"/>
          </w:tcPr>
          <w:p>
            <w:pPr>
              <w:adjustRightInd w:val="0"/>
              <w:snapToGrid w:val="0"/>
              <w:spacing w:after="0" w:line="240" w:lineRule="atLeast"/>
              <w:rPr>
                <w:rFonts w:hint="eastAsia" w:ascii="宋体" w:hAnsi="宋体" w:cs="宋体"/>
                <w:color w:val="auto"/>
                <w:sz w:val="24"/>
                <w:highlight w:val="none"/>
              </w:rPr>
            </w:pPr>
          </w:p>
        </w:tc>
        <w:tc>
          <w:tcPr>
            <w:tcW w:w="980" w:type="dxa"/>
          </w:tcPr>
          <w:p>
            <w:pPr>
              <w:adjustRightInd w:val="0"/>
              <w:snapToGrid w:val="0"/>
              <w:spacing w:after="0" w:line="240" w:lineRule="atLeas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646"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204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ascii="宋体" w:hAnsi="宋体" w:cs="宋体"/>
                <w:color w:val="auto"/>
                <w:kern w:val="0"/>
                <w:szCs w:val="21"/>
                <w:highlight w:val="none"/>
                <w:lang w:bidi="ar"/>
              </w:rPr>
            </w:pPr>
            <w:r>
              <w:rPr>
                <w:rFonts w:hint="eastAsia" w:ascii="宋体" w:hAnsi="宋体" w:eastAsia="宋体" w:cs="宋体"/>
                <w:color w:val="auto"/>
                <w:kern w:val="0"/>
                <w:sz w:val="20"/>
                <w:szCs w:val="20"/>
                <w:highlight w:val="none"/>
                <w:lang w:bidi="ar"/>
              </w:rPr>
              <w:t>丁腈手套（S号）</w:t>
            </w:r>
          </w:p>
        </w:tc>
        <w:tc>
          <w:tcPr>
            <w:tcW w:w="3718" w:type="dxa"/>
            <w:vAlign w:val="center"/>
          </w:tcPr>
          <w:p>
            <w:pPr>
              <w:keepNext w:val="0"/>
              <w:keepLines w:val="0"/>
              <w:pageBreakBefore w:val="0"/>
              <w:widowControl/>
              <w:kinsoku/>
              <w:wordWrap/>
              <w:overflowPunct/>
              <w:topLinePunct w:val="0"/>
              <w:autoSpaceDE/>
              <w:autoSpaceDN/>
              <w:bidi w:val="0"/>
              <w:adjustRightInd/>
              <w:snapToGrid w:val="0"/>
              <w:spacing w:after="0" w:line="240" w:lineRule="atLeast"/>
              <w:jc w:val="center"/>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18"/>
                <w:szCs w:val="18"/>
                <w:highlight w:val="none"/>
                <w:lang w:bidi="ar"/>
              </w:rPr>
              <w:t>★2.性能：无粉加厚、微麻表面、高效防滑;</w:t>
            </w:r>
          </w:p>
        </w:tc>
        <w:tc>
          <w:tcPr>
            <w:tcW w:w="980" w:type="dxa"/>
          </w:tcPr>
          <w:p>
            <w:pPr>
              <w:adjustRightInd w:val="0"/>
              <w:snapToGrid w:val="0"/>
              <w:spacing w:after="0" w:line="240" w:lineRule="atLeast"/>
              <w:rPr>
                <w:rFonts w:hint="eastAsia" w:ascii="宋体" w:hAnsi="宋体" w:cs="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s="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6"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204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ascii="宋体" w:hAnsi="宋体" w:cs="宋体"/>
                <w:color w:val="auto"/>
                <w:kern w:val="0"/>
                <w:szCs w:val="21"/>
                <w:highlight w:val="none"/>
                <w:lang w:bidi="ar"/>
              </w:rPr>
            </w:pPr>
            <w:r>
              <w:rPr>
                <w:rFonts w:hint="eastAsia" w:ascii="宋体" w:hAnsi="宋体" w:eastAsia="宋体" w:cs="宋体"/>
                <w:color w:val="auto"/>
                <w:kern w:val="0"/>
                <w:sz w:val="20"/>
                <w:szCs w:val="20"/>
                <w:highlight w:val="none"/>
                <w:lang w:bidi="ar"/>
              </w:rPr>
              <w:t>丁腈手套（M号）</w:t>
            </w:r>
          </w:p>
        </w:tc>
        <w:tc>
          <w:tcPr>
            <w:tcW w:w="3718" w:type="dxa"/>
          </w:tcPr>
          <w:p>
            <w:pPr>
              <w:widowControl/>
              <w:spacing w:after="0" w:line="240" w:lineRule="auto"/>
              <w:jc w:val="left"/>
              <w:rPr>
                <w:rFonts w:hint="eastAsia" w:ascii="宋体" w:hAnsi="宋体" w:cs="宋体"/>
                <w:color w:val="auto"/>
                <w:kern w:val="0"/>
                <w:szCs w:val="21"/>
                <w:highlight w:val="none"/>
                <w:lang w:bidi="ar"/>
              </w:rPr>
            </w:pPr>
            <w:r>
              <w:rPr>
                <w:rFonts w:hint="eastAsia" w:ascii="宋体" w:hAnsi="宋体" w:eastAsia="宋体" w:cs="宋体"/>
                <w:color w:val="auto"/>
                <w:kern w:val="0"/>
                <w:sz w:val="18"/>
                <w:szCs w:val="18"/>
                <w:highlight w:val="none"/>
                <w:lang w:bidi="ar"/>
              </w:rPr>
              <w:t>★2.性能：无粉加厚、微麻表面、高效防滑；</w:t>
            </w:r>
          </w:p>
        </w:tc>
        <w:tc>
          <w:tcPr>
            <w:tcW w:w="980" w:type="dxa"/>
          </w:tcPr>
          <w:p>
            <w:pPr>
              <w:adjustRightInd w:val="0"/>
              <w:snapToGrid w:val="0"/>
              <w:spacing w:after="0" w:line="240" w:lineRule="atLeast"/>
              <w:rPr>
                <w:rFonts w:hint="eastAsia" w:ascii="宋体" w:hAnsi="宋体" w:cs="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s="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6"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204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ascii="宋体" w:hAnsi="宋体" w:cs="宋体"/>
                <w:color w:val="auto"/>
                <w:kern w:val="0"/>
                <w:szCs w:val="21"/>
                <w:highlight w:val="none"/>
                <w:lang w:bidi="ar"/>
              </w:rPr>
            </w:pPr>
            <w:r>
              <w:rPr>
                <w:rFonts w:hint="eastAsia" w:ascii="宋体" w:hAnsi="宋体" w:eastAsia="宋体" w:cs="宋体"/>
                <w:color w:val="auto"/>
                <w:kern w:val="0"/>
                <w:sz w:val="20"/>
                <w:szCs w:val="20"/>
                <w:highlight w:val="none"/>
                <w:lang w:bidi="ar"/>
              </w:rPr>
              <w:t>丁腈手套（L号）</w:t>
            </w:r>
          </w:p>
        </w:tc>
        <w:tc>
          <w:tcPr>
            <w:tcW w:w="3718" w:type="dxa"/>
          </w:tcPr>
          <w:p>
            <w:pPr>
              <w:widowControl/>
              <w:spacing w:after="0" w:line="240" w:lineRule="auto"/>
              <w:jc w:val="left"/>
              <w:rPr>
                <w:rFonts w:hint="eastAsia" w:ascii="宋体" w:hAnsi="宋体" w:cs="宋体"/>
                <w:color w:val="auto"/>
                <w:kern w:val="0"/>
                <w:szCs w:val="21"/>
                <w:highlight w:val="none"/>
                <w:lang w:bidi="ar"/>
              </w:rPr>
            </w:pPr>
            <w:r>
              <w:rPr>
                <w:rFonts w:hint="eastAsia" w:ascii="宋体" w:hAnsi="宋体" w:eastAsia="宋体" w:cs="宋体"/>
                <w:color w:val="auto"/>
                <w:kern w:val="0"/>
                <w:sz w:val="18"/>
                <w:szCs w:val="18"/>
                <w:highlight w:val="none"/>
                <w:lang w:bidi="ar"/>
              </w:rPr>
              <w:t>★2.性能：无粉加厚、微麻表面、高效防滑；</w:t>
            </w:r>
          </w:p>
        </w:tc>
        <w:tc>
          <w:tcPr>
            <w:tcW w:w="980" w:type="dxa"/>
          </w:tcPr>
          <w:p>
            <w:pPr>
              <w:adjustRightInd w:val="0"/>
              <w:snapToGrid w:val="0"/>
              <w:spacing w:after="0" w:line="240" w:lineRule="atLeast"/>
              <w:rPr>
                <w:rFonts w:hint="eastAsia" w:ascii="宋体" w:hAnsi="宋体" w:cs="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s="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6" w:type="dxa"/>
            <w:vAlign w:val="center"/>
          </w:tcPr>
          <w:p>
            <w:pPr>
              <w:adjustRightInd w:val="0"/>
              <w:snapToGrid w:val="0"/>
              <w:spacing w:after="0" w:line="240" w:lineRule="atLeas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204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ascii="宋体" w:hAnsi="宋体" w:cs="宋体"/>
                <w:color w:val="auto"/>
                <w:kern w:val="0"/>
                <w:szCs w:val="21"/>
                <w:highlight w:val="none"/>
                <w:lang w:bidi="ar"/>
              </w:rPr>
            </w:pPr>
            <w:r>
              <w:rPr>
                <w:rFonts w:hint="eastAsia" w:ascii="宋体" w:hAnsi="宋体" w:eastAsia="宋体" w:cs="宋体"/>
                <w:color w:val="auto"/>
                <w:kern w:val="0"/>
                <w:sz w:val="20"/>
                <w:szCs w:val="20"/>
                <w:highlight w:val="none"/>
                <w:lang w:bidi="ar"/>
              </w:rPr>
              <w:t>紫色丁腈加长手套（M号）</w:t>
            </w:r>
          </w:p>
        </w:tc>
        <w:tc>
          <w:tcPr>
            <w:tcW w:w="3718" w:type="dxa"/>
          </w:tcPr>
          <w:p>
            <w:pPr>
              <w:widowControl/>
              <w:spacing w:after="0" w:line="240" w:lineRule="auto"/>
              <w:jc w:val="left"/>
              <w:rPr>
                <w:rFonts w:hint="eastAsia" w:ascii="宋体" w:hAnsi="宋体" w:cs="宋体"/>
                <w:color w:val="auto"/>
                <w:kern w:val="0"/>
                <w:szCs w:val="21"/>
                <w:highlight w:val="none"/>
                <w:lang w:bidi="ar"/>
              </w:rPr>
            </w:pPr>
            <w:r>
              <w:rPr>
                <w:rFonts w:hint="eastAsia" w:ascii="宋体" w:hAnsi="宋体" w:eastAsia="宋体" w:cs="宋体"/>
                <w:color w:val="auto"/>
                <w:kern w:val="0"/>
                <w:sz w:val="18"/>
                <w:szCs w:val="18"/>
                <w:highlight w:val="none"/>
                <w:lang w:bidi="ar"/>
              </w:rPr>
              <w:t>★3.加长手套（M 号），总长度≥300mm（12 英寸）</w:t>
            </w:r>
          </w:p>
        </w:tc>
        <w:tc>
          <w:tcPr>
            <w:tcW w:w="980" w:type="dxa"/>
          </w:tcPr>
          <w:p>
            <w:pPr>
              <w:adjustRightInd w:val="0"/>
              <w:snapToGrid w:val="0"/>
              <w:spacing w:after="0" w:line="240" w:lineRule="atLeast"/>
              <w:rPr>
                <w:rFonts w:hint="eastAsia" w:ascii="宋体" w:hAnsi="宋体" w:cs="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s="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6" w:type="dxa"/>
            <w:vAlign w:val="center"/>
          </w:tcPr>
          <w:p>
            <w:pPr>
              <w:adjustRightInd w:val="0"/>
              <w:snapToGrid w:val="0"/>
              <w:spacing w:after="0" w:line="240" w:lineRule="atLeas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204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ascii="宋体" w:hAnsi="宋体" w:cs="宋体"/>
                <w:color w:val="auto"/>
                <w:kern w:val="0"/>
                <w:szCs w:val="21"/>
                <w:highlight w:val="none"/>
                <w:lang w:bidi="ar"/>
              </w:rPr>
            </w:pPr>
            <w:r>
              <w:rPr>
                <w:rFonts w:hint="eastAsia" w:ascii="宋体" w:hAnsi="宋体" w:eastAsia="宋体" w:cs="宋体"/>
                <w:color w:val="auto"/>
                <w:kern w:val="0"/>
                <w:sz w:val="20"/>
                <w:szCs w:val="20"/>
                <w:highlight w:val="none"/>
                <w:lang w:bidi="ar"/>
              </w:rPr>
              <w:t>PE手套</w:t>
            </w:r>
          </w:p>
        </w:tc>
        <w:tc>
          <w:tcPr>
            <w:tcW w:w="3718" w:type="dxa"/>
          </w:tcPr>
          <w:p>
            <w:pPr>
              <w:widowControl/>
              <w:spacing w:after="0" w:line="240" w:lineRule="auto"/>
              <w:jc w:val="left"/>
              <w:rPr>
                <w:rFonts w:hint="eastAsia" w:ascii="宋体" w:hAnsi="宋体" w:cs="宋体"/>
                <w:color w:val="auto"/>
                <w:kern w:val="0"/>
                <w:szCs w:val="21"/>
                <w:highlight w:val="none"/>
                <w:lang w:bidi="ar"/>
              </w:rPr>
            </w:pPr>
            <w:r>
              <w:rPr>
                <w:rFonts w:hint="eastAsia" w:ascii="宋体" w:hAnsi="宋体" w:eastAsia="宋体" w:cs="宋体"/>
                <w:color w:val="auto"/>
                <w:kern w:val="0"/>
                <w:sz w:val="18"/>
                <w:szCs w:val="18"/>
                <w:highlight w:val="none"/>
                <w:lang w:bidi="ar"/>
              </w:rPr>
              <w:t>★2.性能：高效防渗液、防滑不易破。</w:t>
            </w:r>
          </w:p>
        </w:tc>
        <w:tc>
          <w:tcPr>
            <w:tcW w:w="980" w:type="dxa"/>
          </w:tcPr>
          <w:p>
            <w:pPr>
              <w:adjustRightInd w:val="0"/>
              <w:snapToGrid w:val="0"/>
              <w:spacing w:after="0" w:line="240" w:lineRule="atLeast"/>
              <w:rPr>
                <w:rFonts w:hint="eastAsia" w:ascii="宋体" w:hAnsi="宋体" w:cs="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s="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6" w:type="dxa"/>
            <w:vAlign w:val="center"/>
          </w:tcPr>
          <w:p>
            <w:pPr>
              <w:adjustRightInd w:val="0"/>
              <w:snapToGrid w:val="0"/>
              <w:spacing w:after="0" w:line="240" w:lineRule="atLeas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204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ascii="宋体" w:hAnsi="宋体" w:cs="宋体"/>
                <w:color w:val="auto"/>
                <w:kern w:val="0"/>
                <w:szCs w:val="21"/>
                <w:highlight w:val="none"/>
                <w:lang w:bidi="ar"/>
              </w:rPr>
            </w:pPr>
            <w:r>
              <w:rPr>
                <w:rFonts w:hint="eastAsia" w:ascii="宋体" w:hAnsi="宋体" w:eastAsia="宋体" w:cs="宋体"/>
                <w:color w:val="auto"/>
                <w:kern w:val="0"/>
                <w:sz w:val="20"/>
                <w:szCs w:val="20"/>
                <w:highlight w:val="none"/>
                <w:lang w:bidi="ar"/>
              </w:rPr>
              <w:t>背心袋（26x42cm，加厚）</w:t>
            </w:r>
          </w:p>
        </w:tc>
        <w:tc>
          <w:tcPr>
            <w:tcW w:w="3718" w:type="dxa"/>
            <w:vAlign w:val="center"/>
          </w:tcPr>
          <w:p>
            <w:pPr>
              <w:widowControl/>
              <w:spacing w:after="0" w:line="240" w:lineRule="auto"/>
              <w:jc w:val="both"/>
              <w:rPr>
                <w:rFonts w:hint="eastAsia" w:ascii="宋体" w:hAnsi="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★1.材质：可降解材质；</w:t>
            </w:r>
          </w:p>
        </w:tc>
        <w:tc>
          <w:tcPr>
            <w:tcW w:w="980" w:type="dxa"/>
          </w:tcPr>
          <w:p>
            <w:pPr>
              <w:adjustRightInd w:val="0"/>
              <w:snapToGrid w:val="0"/>
              <w:spacing w:after="0" w:line="240" w:lineRule="atLeast"/>
              <w:rPr>
                <w:rFonts w:hint="eastAsia" w:ascii="宋体" w:hAnsi="宋体" w:cs="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s="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6" w:type="dxa"/>
            <w:vAlign w:val="center"/>
          </w:tcPr>
          <w:p>
            <w:pPr>
              <w:adjustRightInd w:val="0"/>
              <w:snapToGrid w:val="0"/>
              <w:spacing w:after="0" w:line="240" w:lineRule="atLeas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2043" w:type="dxa"/>
            <w:vAlign w:val="center"/>
          </w:tcPr>
          <w:p>
            <w:pPr>
              <w:keepNext w:val="0"/>
              <w:keepLines w:val="0"/>
              <w:pageBreakBefore w:val="0"/>
              <w:kinsoku/>
              <w:wordWrap/>
              <w:overflowPunct/>
              <w:topLinePunct w:val="0"/>
              <w:autoSpaceDE/>
              <w:autoSpaceDN/>
              <w:bidi w:val="0"/>
              <w:adjustRightInd w:val="0"/>
              <w:snapToGrid w:val="0"/>
              <w:spacing w:after="0" w:line="240" w:lineRule="atLeast"/>
              <w:jc w:val="center"/>
              <w:rPr>
                <w:rFonts w:hint="eastAsia" w:ascii="宋体" w:hAnsi="宋体" w:cs="宋体"/>
                <w:color w:val="auto"/>
                <w:kern w:val="0"/>
                <w:szCs w:val="21"/>
                <w:highlight w:val="none"/>
                <w:lang w:bidi="ar"/>
              </w:rPr>
            </w:pPr>
            <w:r>
              <w:rPr>
                <w:rFonts w:hint="eastAsia" w:ascii="宋体" w:hAnsi="宋体" w:eastAsia="宋体" w:cs="宋体"/>
                <w:color w:val="auto"/>
                <w:kern w:val="0"/>
                <w:sz w:val="20"/>
                <w:szCs w:val="20"/>
                <w:highlight w:val="none"/>
                <w:lang w:bidi="ar"/>
              </w:rPr>
              <w:t>背心袋（30x48cm，加厚）</w:t>
            </w:r>
          </w:p>
        </w:tc>
        <w:tc>
          <w:tcPr>
            <w:tcW w:w="3718" w:type="dxa"/>
            <w:vAlign w:val="center"/>
          </w:tcPr>
          <w:p>
            <w:pPr>
              <w:widowControl/>
              <w:spacing w:after="0" w:line="240" w:lineRule="auto"/>
              <w:jc w:val="both"/>
              <w:rPr>
                <w:rFonts w:hint="eastAsia" w:ascii="宋体" w:hAnsi="宋体" w:cs="宋体"/>
                <w:color w:val="auto"/>
                <w:kern w:val="0"/>
                <w:szCs w:val="21"/>
                <w:highlight w:val="none"/>
                <w:lang w:bidi="ar"/>
              </w:rPr>
            </w:pPr>
            <w:r>
              <w:rPr>
                <w:rFonts w:hint="eastAsia" w:ascii="宋体" w:hAnsi="宋体" w:eastAsia="宋体" w:cs="宋体"/>
                <w:color w:val="auto"/>
                <w:kern w:val="0"/>
                <w:sz w:val="18"/>
                <w:szCs w:val="18"/>
                <w:highlight w:val="none"/>
                <w:lang w:bidi="ar"/>
              </w:rPr>
              <w:t>★1.材质：可降解材质；</w:t>
            </w:r>
          </w:p>
        </w:tc>
        <w:tc>
          <w:tcPr>
            <w:tcW w:w="980" w:type="dxa"/>
          </w:tcPr>
          <w:p>
            <w:pPr>
              <w:adjustRightInd w:val="0"/>
              <w:snapToGrid w:val="0"/>
              <w:spacing w:after="0" w:line="240" w:lineRule="atLeast"/>
              <w:rPr>
                <w:rFonts w:hint="eastAsia" w:ascii="宋体" w:hAnsi="宋体" w:cs="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s="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s="宋体"/>
                <w:color w:val="auto"/>
                <w:sz w:val="24"/>
                <w:highlight w:val="none"/>
              </w:rPr>
            </w:pPr>
          </w:p>
        </w:tc>
      </w:tr>
    </w:tbl>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注：</w:t>
      </w:r>
    </w:p>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bCs/>
          <w:color w:val="auto"/>
          <w:sz w:val="24"/>
          <w:highlight w:val="none"/>
        </w:rPr>
        <w:t>投标人应在本表“投标文件页码”列中，填写响应内容详细证明材料对应的页码范围（如有）。</w:t>
      </w:r>
    </w:p>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2.“偏离情况”列应据实填写“正偏离”或“负偏离”或“无偏离”。</w:t>
      </w:r>
    </w:p>
    <w:p>
      <w:pPr>
        <w:tabs>
          <w:tab w:val="left" w:pos="1800"/>
          <w:tab w:val="left" w:pos="5580"/>
        </w:tabs>
        <w:jc w:val="left"/>
        <w:rPr>
          <w:rFonts w:hint="eastAsia" w:ascii="宋体" w:hAnsi="宋体" w:cs="宋体"/>
          <w:color w:val="auto"/>
          <w:sz w:val="24"/>
          <w:highlight w:val="none"/>
        </w:rPr>
      </w:pPr>
    </w:p>
    <w:p>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w:t>
      </w:r>
    </w:p>
    <w:p>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    ____________</w:t>
      </w:r>
    </w:p>
    <w:p>
      <w:pPr>
        <w:autoSpaceDE w:val="0"/>
        <w:autoSpaceDN w:val="0"/>
        <w:adjustRightInd w:val="0"/>
        <w:snapToGrid w:val="0"/>
        <w:spacing w:before="25" w:after="25" w:line="360" w:lineRule="auto"/>
        <w:rPr>
          <w:rFonts w:hint="eastAsia" w:ascii="宋体" w:hAnsi="宋体" w:cs="宋体"/>
          <w:color w:val="auto"/>
          <w:sz w:val="24"/>
          <w:szCs w:val="20"/>
          <w:highlight w:val="none"/>
        </w:rPr>
        <w:sectPr>
          <w:headerReference r:id="rId11" w:type="first"/>
          <w:footerReference r:id="rId13" w:type="first"/>
          <w:headerReference r:id="rId10" w:type="even"/>
          <w:footerReference r:id="rId12" w:type="even"/>
          <w:pgSz w:w="11901" w:h="16817"/>
          <w:pgMar w:top="1418" w:right="1701" w:bottom="1418" w:left="1701" w:header="851" w:footer="851" w:gutter="0"/>
          <w:cols w:space="720" w:num="1"/>
          <w:docGrid w:linePitch="462" w:charSpace="0"/>
        </w:sectPr>
      </w:pPr>
      <w:r>
        <w:rPr>
          <w:rFonts w:hint="eastAsia" w:ascii="宋体" w:hAnsi="宋体" w:cs="宋体"/>
          <w:color w:val="auto"/>
          <w:sz w:val="24"/>
          <w:szCs w:val="20"/>
          <w:highlight w:val="none"/>
        </w:rPr>
        <w:t xml:space="preserve">日期：_____年______月______日   </w:t>
      </w:r>
    </w:p>
    <w:p>
      <w:pPr>
        <w:autoSpaceDE w:val="0"/>
        <w:autoSpaceDN w:val="0"/>
        <w:adjustRightInd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采购需求偏离表（二）</w:t>
      </w:r>
    </w:p>
    <w:p>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s="宋体"/>
          <w:color w:val="auto"/>
          <w:sz w:val="24"/>
          <w:highlight w:val="none"/>
        </w:rPr>
        <w:t>_</w:t>
      </w:r>
    </w:p>
    <w:tbl>
      <w:tblPr>
        <w:tblStyle w:val="352"/>
        <w:tblW w:w="100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843"/>
        <w:gridCol w:w="5109"/>
        <w:gridCol w:w="708"/>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jc w:val="center"/>
        </w:trPr>
        <w:tc>
          <w:tcPr>
            <w:tcW w:w="562"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6952" w:type="dxa"/>
            <w:gridSpan w:val="2"/>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招标文件要求</w:t>
            </w:r>
          </w:p>
        </w:tc>
        <w:tc>
          <w:tcPr>
            <w:tcW w:w="708"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投标响应内容</w:t>
            </w:r>
          </w:p>
        </w:tc>
        <w:tc>
          <w:tcPr>
            <w:tcW w:w="851"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偏离情况</w:t>
            </w:r>
          </w:p>
        </w:tc>
        <w:tc>
          <w:tcPr>
            <w:tcW w:w="992"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065" w:type="dxa"/>
            <w:gridSpan w:val="6"/>
          </w:tcPr>
          <w:p>
            <w:pPr>
              <w:adjustRightInd w:val="0"/>
              <w:snapToGrid w:val="0"/>
              <w:spacing w:after="0" w:line="240" w:lineRule="atLeast"/>
              <w:rPr>
                <w:rFonts w:hint="eastAsia" w:ascii="宋体" w:hAnsi="宋体" w:cs="宋体"/>
                <w:color w:val="auto"/>
                <w:sz w:val="24"/>
                <w:highlight w:val="none"/>
              </w:rPr>
            </w:pPr>
            <w:r>
              <w:rPr>
                <w:rFonts w:hint="eastAsia" w:ascii="宋体" w:hAnsi="宋体" w:cs="宋体"/>
                <w:color w:val="auto"/>
                <w:sz w:val="24"/>
                <w:highlight w:val="none"/>
              </w:rPr>
              <w:t>针对本招标文件《采购需求一、设备技术要求参数表》中</w:t>
            </w:r>
            <w:r>
              <w:rPr>
                <w:rFonts w:hint="eastAsia" w:ascii="宋体" w:hAnsi="宋体" w:cs="宋体"/>
                <w:b/>
                <w:bCs/>
                <w:color w:val="auto"/>
                <w:sz w:val="24"/>
                <w:highlight w:val="none"/>
              </w:rPr>
              <w:t>标注为</w:t>
            </w:r>
            <w:r>
              <w:rPr>
                <w:rFonts w:hint="eastAsia" w:ascii="宋体" w:hAnsi="宋体" w:cs="宋体"/>
                <w:color w:val="auto"/>
                <w:sz w:val="24"/>
                <w:highlight w:val="none"/>
              </w:rPr>
              <w:t>“</w:t>
            </w:r>
            <w:r>
              <w:rPr>
                <w:rFonts w:hint="eastAsia" w:ascii="宋体" w:hAnsi="宋体" w:cs="宋体"/>
                <w:bCs/>
                <w:color w:val="auto"/>
                <w:sz w:val="24"/>
                <w:highlight w:val="none"/>
              </w:rPr>
              <w:t>▲</w:t>
            </w:r>
            <w:r>
              <w:rPr>
                <w:rFonts w:hint="eastAsia" w:ascii="宋体" w:hAnsi="宋体" w:cs="宋体"/>
                <w:color w:val="auto"/>
                <w:sz w:val="24"/>
                <w:highlight w:val="none"/>
              </w:rPr>
              <w:t>”条款，投标人应逐项详细填写，否则可能导致的不利评审后果由投标人自行承担。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562"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843" w:type="dxa"/>
            <w:vAlign w:val="center"/>
          </w:tcPr>
          <w:p>
            <w:pPr>
              <w:widowControl/>
              <w:adjustRightInd w:val="0"/>
              <w:snapToGrid w:val="0"/>
              <w:spacing w:after="0" w:line="240" w:lineRule="atLeast"/>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0"/>
                <w:szCs w:val="20"/>
                <w:highlight w:val="none"/>
                <w:lang w:bidi="ar"/>
              </w:rPr>
              <w:t>10ml吸头</w:t>
            </w:r>
          </w:p>
        </w:tc>
        <w:tc>
          <w:tcPr>
            <w:tcW w:w="5109" w:type="dxa"/>
            <w:vAlign w:val="center"/>
          </w:tcPr>
          <w:p>
            <w:pPr>
              <w:widowControl/>
              <w:adjustRightInd w:val="0"/>
              <w:snapToGrid w:val="0"/>
              <w:spacing w:after="0" w:line="240" w:lineRule="atLeast"/>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18"/>
                <w:szCs w:val="18"/>
                <w:highlight w:val="none"/>
                <w:lang w:bidi="ar"/>
              </w:rPr>
              <w:t>▲5.无热源、无DNA酶、无RNA酶；</w:t>
            </w:r>
          </w:p>
        </w:tc>
        <w:tc>
          <w:tcPr>
            <w:tcW w:w="708" w:type="dxa"/>
            <w:tcBorders>
              <w:bottom w:val="single" w:color="auto" w:sz="4" w:space="0"/>
            </w:tcBorders>
          </w:tcPr>
          <w:p>
            <w:pPr>
              <w:adjustRightInd w:val="0"/>
              <w:snapToGrid w:val="0"/>
              <w:spacing w:after="0" w:line="240" w:lineRule="atLeast"/>
              <w:rPr>
                <w:rFonts w:hint="eastAsia" w:ascii="宋体" w:hAnsi="宋体" w:cs="宋体"/>
                <w:color w:val="auto"/>
                <w:sz w:val="24"/>
                <w:highlight w:val="none"/>
              </w:rPr>
            </w:pPr>
          </w:p>
        </w:tc>
        <w:tc>
          <w:tcPr>
            <w:tcW w:w="851" w:type="dxa"/>
            <w:tcBorders>
              <w:bottom w:val="single" w:color="auto" w:sz="4" w:space="0"/>
            </w:tcBorders>
          </w:tcPr>
          <w:p>
            <w:pPr>
              <w:adjustRightInd w:val="0"/>
              <w:snapToGrid w:val="0"/>
              <w:spacing w:after="0" w:line="240" w:lineRule="atLeast"/>
              <w:rPr>
                <w:rFonts w:hint="eastAsia" w:ascii="宋体" w:hAnsi="宋体" w:cs="宋体"/>
                <w:color w:val="auto"/>
                <w:sz w:val="24"/>
                <w:highlight w:val="none"/>
              </w:rPr>
            </w:pPr>
          </w:p>
        </w:tc>
        <w:tc>
          <w:tcPr>
            <w:tcW w:w="992" w:type="dxa"/>
            <w:tcBorders>
              <w:bottom w:val="single" w:color="auto" w:sz="4" w:space="0"/>
            </w:tcBorders>
          </w:tcPr>
          <w:p>
            <w:pPr>
              <w:adjustRightInd w:val="0"/>
              <w:snapToGrid w:val="0"/>
              <w:spacing w:after="0" w:line="240" w:lineRule="atLeas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562"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843" w:type="dxa"/>
            <w:vAlign w:val="center"/>
          </w:tcPr>
          <w:p>
            <w:pPr>
              <w:widowControl/>
              <w:adjustRightInd w:val="0"/>
              <w:snapToGrid w:val="0"/>
              <w:spacing w:after="0" w:line="240" w:lineRule="atLeast"/>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0"/>
                <w:szCs w:val="20"/>
                <w:highlight w:val="none"/>
                <w:lang w:bidi="ar"/>
              </w:rPr>
              <w:t>200ul盒装吸头</w:t>
            </w:r>
          </w:p>
        </w:tc>
        <w:tc>
          <w:tcPr>
            <w:tcW w:w="5109" w:type="dxa"/>
            <w:tcBorders>
              <w:bottom w:val="single" w:color="auto" w:sz="4" w:space="0"/>
            </w:tcBorders>
            <w:vAlign w:val="center"/>
          </w:tcPr>
          <w:p>
            <w:pPr>
              <w:widowControl/>
              <w:adjustRightInd w:val="0"/>
              <w:snapToGrid w:val="0"/>
              <w:spacing w:after="0" w:line="240" w:lineRule="atLeast"/>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18"/>
                <w:szCs w:val="18"/>
                <w:highlight w:val="none"/>
                <w:lang w:bidi="ar"/>
              </w:rPr>
              <w:t>▲3.无菌，无DNA/RNA酶，无热源；</w:t>
            </w:r>
          </w:p>
        </w:tc>
        <w:tc>
          <w:tcPr>
            <w:tcW w:w="708" w:type="dxa"/>
            <w:tcBorders>
              <w:bottom w:val="single" w:color="auto" w:sz="4" w:space="0"/>
            </w:tcBorders>
          </w:tcPr>
          <w:p>
            <w:pPr>
              <w:adjustRightInd w:val="0"/>
              <w:snapToGrid w:val="0"/>
              <w:spacing w:after="0" w:line="240" w:lineRule="atLeast"/>
              <w:rPr>
                <w:rFonts w:hint="eastAsia" w:ascii="宋体" w:hAnsi="宋体" w:cs="宋体"/>
                <w:color w:val="auto"/>
                <w:sz w:val="24"/>
                <w:highlight w:val="none"/>
              </w:rPr>
            </w:pPr>
          </w:p>
        </w:tc>
        <w:tc>
          <w:tcPr>
            <w:tcW w:w="851" w:type="dxa"/>
            <w:tcBorders>
              <w:bottom w:val="single" w:color="auto" w:sz="4" w:space="0"/>
            </w:tcBorders>
          </w:tcPr>
          <w:p>
            <w:pPr>
              <w:adjustRightInd w:val="0"/>
              <w:snapToGrid w:val="0"/>
              <w:spacing w:after="0" w:line="240" w:lineRule="atLeast"/>
              <w:rPr>
                <w:rFonts w:hint="eastAsia" w:ascii="宋体" w:hAnsi="宋体" w:cs="宋体"/>
                <w:color w:val="auto"/>
                <w:sz w:val="24"/>
                <w:highlight w:val="none"/>
              </w:rPr>
            </w:pPr>
          </w:p>
        </w:tc>
        <w:tc>
          <w:tcPr>
            <w:tcW w:w="992" w:type="dxa"/>
            <w:tcBorders>
              <w:bottom w:val="single" w:color="auto" w:sz="4" w:space="0"/>
            </w:tcBorders>
          </w:tcPr>
          <w:p>
            <w:pPr>
              <w:adjustRightInd w:val="0"/>
              <w:snapToGrid w:val="0"/>
              <w:spacing w:after="0" w:line="240" w:lineRule="atLeas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562"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843" w:type="dxa"/>
            <w:vAlign w:val="center"/>
          </w:tcPr>
          <w:p>
            <w:pPr>
              <w:widowControl/>
              <w:adjustRightInd w:val="0"/>
              <w:snapToGrid w:val="0"/>
              <w:spacing w:after="0" w:line="240" w:lineRule="atLeast"/>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0"/>
                <w:szCs w:val="20"/>
                <w:highlight w:val="none"/>
                <w:lang w:bidi="ar"/>
              </w:rPr>
              <w:t>300ul无菌盒装吸头</w:t>
            </w:r>
          </w:p>
        </w:tc>
        <w:tc>
          <w:tcPr>
            <w:tcW w:w="5109" w:type="dxa"/>
            <w:vAlign w:val="center"/>
          </w:tcPr>
          <w:p>
            <w:pPr>
              <w:widowControl/>
              <w:adjustRightInd w:val="0"/>
              <w:snapToGrid w:val="0"/>
              <w:spacing w:after="0" w:line="240" w:lineRule="atLeast"/>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 w:val="18"/>
                <w:szCs w:val="18"/>
                <w:highlight w:val="none"/>
                <w:lang w:bidi="ar"/>
              </w:rPr>
              <w:t>▲4、技术要求：无 DNA 酶、RNA 酶、DNA、ATP、PCR 抑制剂和</w:t>
            </w:r>
            <w:r>
              <w:rPr>
                <w:rFonts w:hint="eastAsia" w:ascii="宋体" w:hAnsi="宋体" w:cs="宋体"/>
                <w:color w:val="auto"/>
                <w:kern w:val="0"/>
                <w:sz w:val="18"/>
                <w:szCs w:val="18"/>
                <w:highlight w:val="none"/>
                <w:lang w:eastAsia="zh-CN" w:bidi="ar"/>
              </w:rPr>
              <w:t>热源</w:t>
            </w:r>
          </w:p>
        </w:tc>
        <w:tc>
          <w:tcPr>
            <w:tcW w:w="708" w:type="dxa"/>
          </w:tcPr>
          <w:p>
            <w:pPr>
              <w:adjustRightInd w:val="0"/>
              <w:snapToGrid w:val="0"/>
              <w:spacing w:after="0" w:line="240" w:lineRule="atLeast"/>
              <w:rPr>
                <w:rFonts w:hint="eastAsia" w:ascii="宋体" w:hAnsi="宋体" w:cs="宋体"/>
                <w:color w:val="auto"/>
                <w:sz w:val="24"/>
                <w:highlight w:val="none"/>
              </w:rPr>
            </w:pPr>
          </w:p>
        </w:tc>
        <w:tc>
          <w:tcPr>
            <w:tcW w:w="851" w:type="dxa"/>
          </w:tcPr>
          <w:p>
            <w:pPr>
              <w:adjustRightInd w:val="0"/>
              <w:snapToGrid w:val="0"/>
              <w:spacing w:after="0" w:line="240" w:lineRule="atLeast"/>
              <w:rPr>
                <w:rFonts w:hint="eastAsia" w:ascii="宋体" w:hAnsi="宋体" w:cs="宋体"/>
                <w:color w:val="auto"/>
                <w:sz w:val="24"/>
                <w:highlight w:val="none"/>
              </w:rPr>
            </w:pPr>
          </w:p>
        </w:tc>
        <w:tc>
          <w:tcPr>
            <w:tcW w:w="992" w:type="dxa"/>
          </w:tcPr>
          <w:p>
            <w:pPr>
              <w:adjustRightInd w:val="0"/>
              <w:snapToGrid w:val="0"/>
              <w:spacing w:after="0" w:line="240" w:lineRule="atLeas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562"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843" w:type="dxa"/>
            <w:vAlign w:val="center"/>
          </w:tcPr>
          <w:p>
            <w:pPr>
              <w:widowControl/>
              <w:adjustRightInd w:val="0"/>
              <w:snapToGrid w:val="0"/>
              <w:spacing w:after="0" w:line="240" w:lineRule="atLeast"/>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0"/>
                <w:szCs w:val="20"/>
                <w:highlight w:val="none"/>
                <w:lang w:bidi="ar"/>
              </w:rPr>
              <w:t>1.5ml离心管</w:t>
            </w:r>
          </w:p>
        </w:tc>
        <w:tc>
          <w:tcPr>
            <w:tcW w:w="5109" w:type="dxa"/>
            <w:vAlign w:val="center"/>
          </w:tcPr>
          <w:p>
            <w:pPr>
              <w:widowControl/>
              <w:adjustRightInd w:val="0"/>
              <w:snapToGrid w:val="0"/>
              <w:spacing w:after="0" w:line="240" w:lineRule="atLeast"/>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18"/>
                <w:szCs w:val="18"/>
                <w:highlight w:val="none"/>
                <w:lang w:bidi="ar"/>
              </w:rPr>
              <w:t>▲2.不含 RNase/DNase，非</w:t>
            </w:r>
            <w:r>
              <w:rPr>
                <w:rFonts w:hint="eastAsia" w:ascii="宋体" w:hAnsi="宋体" w:cs="宋体"/>
                <w:color w:val="auto"/>
                <w:kern w:val="0"/>
                <w:sz w:val="18"/>
                <w:szCs w:val="18"/>
                <w:highlight w:val="none"/>
                <w:lang w:eastAsia="zh-CN" w:bidi="ar"/>
              </w:rPr>
              <w:t>热源</w:t>
            </w:r>
            <w:r>
              <w:rPr>
                <w:rFonts w:hint="eastAsia" w:ascii="宋体" w:hAnsi="宋体" w:eastAsia="宋体" w:cs="宋体"/>
                <w:color w:val="auto"/>
                <w:kern w:val="0"/>
                <w:sz w:val="18"/>
                <w:szCs w:val="18"/>
                <w:highlight w:val="none"/>
                <w:lang w:bidi="ar"/>
              </w:rPr>
              <w:t>;</w:t>
            </w:r>
          </w:p>
        </w:tc>
        <w:tc>
          <w:tcPr>
            <w:tcW w:w="708" w:type="dxa"/>
          </w:tcPr>
          <w:p>
            <w:pPr>
              <w:adjustRightInd w:val="0"/>
              <w:snapToGrid w:val="0"/>
              <w:spacing w:after="0" w:line="240" w:lineRule="atLeast"/>
              <w:rPr>
                <w:rFonts w:hint="eastAsia" w:ascii="宋体" w:hAnsi="宋体" w:cs="宋体"/>
                <w:color w:val="auto"/>
                <w:sz w:val="24"/>
                <w:highlight w:val="none"/>
              </w:rPr>
            </w:pPr>
          </w:p>
        </w:tc>
        <w:tc>
          <w:tcPr>
            <w:tcW w:w="851" w:type="dxa"/>
          </w:tcPr>
          <w:p>
            <w:pPr>
              <w:adjustRightInd w:val="0"/>
              <w:snapToGrid w:val="0"/>
              <w:spacing w:after="0" w:line="240" w:lineRule="atLeast"/>
              <w:rPr>
                <w:rFonts w:hint="eastAsia" w:ascii="宋体" w:hAnsi="宋体" w:cs="宋体"/>
                <w:color w:val="auto"/>
                <w:sz w:val="24"/>
                <w:highlight w:val="none"/>
              </w:rPr>
            </w:pPr>
          </w:p>
        </w:tc>
        <w:tc>
          <w:tcPr>
            <w:tcW w:w="992" w:type="dxa"/>
          </w:tcPr>
          <w:p>
            <w:pPr>
              <w:adjustRightInd w:val="0"/>
              <w:snapToGrid w:val="0"/>
              <w:spacing w:after="0" w:line="240" w:lineRule="atLeas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562"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843" w:type="dxa"/>
            <w:vAlign w:val="center"/>
          </w:tcPr>
          <w:p>
            <w:pPr>
              <w:widowControl/>
              <w:adjustRightInd w:val="0"/>
              <w:snapToGrid w:val="0"/>
              <w:spacing w:after="0" w:line="240" w:lineRule="atLeast"/>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0"/>
                <w:szCs w:val="20"/>
                <w:highlight w:val="none"/>
                <w:lang w:bidi="ar"/>
              </w:rPr>
              <w:t>2ml离心管</w:t>
            </w:r>
          </w:p>
        </w:tc>
        <w:tc>
          <w:tcPr>
            <w:tcW w:w="5109" w:type="dxa"/>
            <w:vAlign w:val="center"/>
          </w:tcPr>
          <w:p>
            <w:pPr>
              <w:widowControl/>
              <w:adjustRightInd w:val="0"/>
              <w:snapToGrid w:val="0"/>
              <w:spacing w:after="0" w:line="240" w:lineRule="atLeast"/>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18"/>
                <w:szCs w:val="18"/>
                <w:highlight w:val="none"/>
                <w:lang w:bidi="ar"/>
              </w:rPr>
              <w:t>▲3.无菌，无DNA/RNA酶，无热源；</w:t>
            </w:r>
          </w:p>
        </w:tc>
        <w:tc>
          <w:tcPr>
            <w:tcW w:w="708" w:type="dxa"/>
          </w:tcPr>
          <w:p>
            <w:pPr>
              <w:adjustRightInd w:val="0"/>
              <w:snapToGrid w:val="0"/>
              <w:spacing w:after="0" w:line="240" w:lineRule="atLeast"/>
              <w:rPr>
                <w:rFonts w:hint="eastAsia" w:ascii="宋体" w:hAnsi="宋体" w:cs="宋体"/>
                <w:color w:val="auto"/>
                <w:sz w:val="24"/>
                <w:highlight w:val="none"/>
              </w:rPr>
            </w:pPr>
          </w:p>
        </w:tc>
        <w:tc>
          <w:tcPr>
            <w:tcW w:w="851" w:type="dxa"/>
          </w:tcPr>
          <w:p>
            <w:pPr>
              <w:adjustRightInd w:val="0"/>
              <w:snapToGrid w:val="0"/>
              <w:spacing w:after="0" w:line="240" w:lineRule="atLeast"/>
              <w:rPr>
                <w:rFonts w:hint="eastAsia" w:ascii="宋体" w:hAnsi="宋体" w:cs="宋体"/>
                <w:color w:val="auto"/>
                <w:sz w:val="24"/>
                <w:highlight w:val="none"/>
              </w:rPr>
            </w:pPr>
          </w:p>
        </w:tc>
        <w:tc>
          <w:tcPr>
            <w:tcW w:w="992" w:type="dxa"/>
          </w:tcPr>
          <w:p>
            <w:pPr>
              <w:adjustRightInd w:val="0"/>
              <w:snapToGrid w:val="0"/>
              <w:spacing w:after="0" w:line="240" w:lineRule="atLeas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562"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843" w:type="dxa"/>
            <w:vAlign w:val="center"/>
          </w:tcPr>
          <w:p>
            <w:pPr>
              <w:widowControl/>
              <w:adjustRightInd w:val="0"/>
              <w:snapToGrid w:val="0"/>
              <w:spacing w:after="0" w:line="240" w:lineRule="atLeast"/>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0"/>
                <w:szCs w:val="20"/>
                <w:highlight w:val="none"/>
                <w:lang w:bidi="ar"/>
              </w:rPr>
              <w:t>10ml一次性移液管</w:t>
            </w:r>
          </w:p>
        </w:tc>
        <w:tc>
          <w:tcPr>
            <w:tcW w:w="5109" w:type="dxa"/>
            <w:vAlign w:val="center"/>
          </w:tcPr>
          <w:p>
            <w:pPr>
              <w:widowControl/>
              <w:adjustRightInd w:val="0"/>
              <w:snapToGrid w:val="0"/>
              <w:spacing w:after="0" w:line="240" w:lineRule="atLeast"/>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18"/>
                <w:szCs w:val="18"/>
                <w:highlight w:val="none"/>
                <w:lang w:bidi="ar"/>
              </w:rPr>
              <w:t>▲5、无菌、无热源，无DNA酶，无RNA酶</w:t>
            </w:r>
          </w:p>
        </w:tc>
        <w:tc>
          <w:tcPr>
            <w:tcW w:w="708" w:type="dxa"/>
          </w:tcPr>
          <w:p>
            <w:pPr>
              <w:adjustRightInd w:val="0"/>
              <w:snapToGrid w:val="0"/>
              <w:spacing w:after="0" w:line="240" w:lineRule="atLeast"/>
              <w:rPr>
                <w:rFonts w:hint="eastAsia" w:ascii="宋体" w:hAnsi="宋体" w:cs="宋体"/>
                <w:color w:val="auto"/>
                <w:sz w:val="24"/>
                <w:highlight w:val="none"/>
              </w:rPr>
            </w:pPr>
          </w:p>
        </w:tc>
        <w:tc>
          <w:tcPr>
            <w:tcW w:w="851" w:type="dxa"/>
          </w:tcPr>
          <w:p>
            <w:pPr>
              <w:adjustRightInd w:val="0"/>
              <w:snapToGrid w:val="0"/>
              <w:spacing w:after="0" w:line="240" w:lineRule="atLeast"/>
              <w:rPr>
                <w:rFonts w:hint="eastAsia" w:ascii="宋体" w:hAnsi="宋体" w:cs="宋体"/>
                <w:color w:val="auto"/>
                <w:sz w:val="24"/>
                <w:highlight w:val="none"/>
              </w:rPr>
            </w:pPr>
          </w:p>
        </w:tc>
        <w:tc>
          <w:tcPr>
            <w:tcW w:w="992" w:type="dxa"/>
          </w:tcPr>
          <w:p>
            <w:pPr>
              <w:adjustRightInd w:val="0"/>
              <w:snapToGrid w:val="0"/>
              <w:spacing w:after="0" w:line="240" w:lineRule="atLeas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62"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843" w:type="dxa"/>
            <w:vAlign w:val="center"/>
          </w:tcPr>
          <w:p>
            <w:pPr>
              <w:widowControl/>
              <w:adjustRightInd w:val="0"/>
              <w:snapToGrid w:val="0"/>
              <w:spacing w:after="0" w:line="240" w:lineRule="atLeast"/>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0"/>
                <w:szCs w:val="20"/>
                <w:highlight w:val="none"/>
                <w:lang w:bidi="ar"/>
              </w:rPr>
              <w:t>25ML一次性移液管</w:t>
            </w:r>
          </w:p>
        </w:tc>
        <w:tc>
          <w:tcPr>
            <w:tcW w:w="5109" w:type="dxa"/>
            <w:vAlign w:val="center"/>
          </w:tcPr>
          <w:p>
            <w:pPr>
              <w:widowControl/>
              <w:spacing w:after="0" w:line="240" w:lineRule="auto"/>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18"/>
                <w:szCs w:val="18"/>
                <w:highlight w:val="none"/>
                <w:lang w:bidi="ar"/>
              </w:rPr>
              <w:t>▲5、无菌、无热源，无DNA酶，无RNA酶</w:t>
            </w:r>
          </w:p>
        </w:tc>
        <w:tc>
          <w:tcPr>
            <w:tcW w:w="708" w:type="dxa"/>
          </w:tcPr>
          <w:p>
            <w:pPr>
              <w:adjustRightInd w:val="0"/>
              <w:snapToGrid w:val="0"/>
              <w:spacing w:after="0" w:line="240" w:lineRule="atLeast"/>
              <w:rPr>
                <w:rFonts w:hint="eastAsia" w:ascii="宋体" w:hAnsi="宋体" w:cs="宋体"/>
                <w:color w:val="auto"/>
                <w:sz w:val="24"/>
                <w:highlight w:val="none"/>
              </w:rPr>
            </w:pPr>
          </w:p>
        </w:tc>
        <w:tc>
          <w:tcPr>
            <w:tcW w:w="851" w:type="dxa"/>
          </w:tcPr>
          <w:p>
            <w:pPr>
              <w:adjustRightInd w:val="0"/>
              <w:snapToGrid w:val="0"/>
              <w:spacing w:after="0" w:line="240" w:lineRule="atLeast"/>
              <w:rPr>
                <w:rFonts w:hint="eastAsia" w:ascii="宋体" w:hAnsi="宋体" w:cs="宋体"/>
                <w:color w:val="auto"/>
                <w:sz w:val="24"/>
                <w:highlight w:val="none"/>
              </w:rPr>
            </w:pPr>
          </w:p>
        </w:tc>
        <w:tc>
          <w:tcPr>
            <w:tcW w:w="992" w:type="dxa"/>
          </w:tcPr>
          <w:p>
            <w:pPr>
              <w:adjustRightInd w:val="0"/>
              <w:snapToGrid w:val="0"/>
              <w:spacing w:after="0" w:line="240" w:lineRule="atLeas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562"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843" w:type="dxa"/>
            <w:vAlign w:val="center"/>
          </w:tcPr>
          <w:p>
            <w:pPr>
              <w:widowControl/>
              <w:adjustRightInd w:val="0"/>
              <w:snapToGrid w:val="0"/>
              <w:spacing w:after="0" w:line="240" w:lineRule="atLeast"/>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0"/>
                <w:szCs w:val="20"/>
                <w:highlight w:val="none"/>
                <w:lang w:bidi="ar"/>
              </w:rPr>
              <w:t>纯净水</w:t>
            </w:r>
          </w:p>
        </w:tc>
        <w:tc>
          <w:tcPr>
            <w:tcW w:w="5109" w:type="dxa"/>
            <w:vAlign w:val="center"/>
          </w:tcPr>
          <w:p>
            <w:pPr>
              <w:widowControl/>
              <w:adjustRightInd w:val="0"/>
              <w:snapToGrid w:val="0"/>
              <w:spacing w:after="0" w:line="240" w:lineRule="atLeast"/>
              <w:textAlignment w:val="center"/>
              <w:rPr>
                <w:rFonts w:hint="eastAsia" w:ascii="宋体" w:hAnsi="宋体" w:cs="宋体"/>
                <w:color w:val="auto"/>
                <w:kern w:val="0"/>
                <w:szCs w:val="21"/>
                <w:highlight w:val="none"/>
                <w:lang w:bidi="ar"/>
              </w:rPr>
            </w:pPr>
            <w:r>
              <w:rPr>
                <w:rFonts w:hint="eastAsia" w:ascii="宋体" w:hAnsi="宋体" w:cs="宋体"/>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bidi="ar"/>
              </w:rPr>
              <w:t xml:space="preserve">▲菌落总数：≤100 CFU/mL </w:t>
            </w:r>
          </w:p>
        </w:tc>
        <w:tc>
          <w:tcPr>
            <w:tcW w:w="708" w:type="dxa"/>
          </w:tcPr>
          <w:p>
            <w:pPr>
              <w:adjustRightInd w:val="0"/>
              <w:snapToGrid w:val="0"/>
              <w:spacing w:after="0" w:line="240" w:lineRule="atLeast"/>
              <w:rPr>
                <w:rFonts w:hint="eastAsia" w:ascii="宋体" w:hAnsi="宋体" w:cs="宋体"/>
                <w:color w:val="auto"/>
                <w:sz w:val="24"/>
                <w:highlight w:val="none"/>
              </w:rPr>
            </w:pPr>
          </w:p>
        </w:tc>
        <w:tc>
          <w:tcPr>
            <w:tcW w:w="851" w:type="dxa"/>
          </w:tcPr>
          <w:p>
            <w:pPr>
              <w:adjustRightInd w:val="0"/>
              <w:snapToGrid w:val="0"/>
              <w:spacing w:after="0" w:line="240" w:lineRule="atLeast"/>
              <w:rPr>
                <w:rFonts w:hint="eastAsia" w:ascii="宋体" w:hAnsi="宋体" w:cs="宋体"/>
                <w:color w:val="auto"/>
                <w:sz w:val="24"/>
                <w:highlight w:val="none"/>
              </w:rPr>
            </w:pPr>
          </w:p>
        </w:tc>
        <w:tc>
          <w:tcPr>
            <w:tcW w:w="992" w:type="dxa"/>
          </w:tcPr>
          <w:p>
            <w:pPr>
              <w:adjustRightInd w:val="0"/>
              <w:snapToGrid w:val="0"/>
              <w:spacing w:after="0" w:line="240" w:lineRule="atLeas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562"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1843" w:type="dxa"/>
            <w:vAlign w:val="center"/>
          </w:tcPr>
          <w:p>
            <w:pPr>
              <w:widowControl/>
              <w:adjustRightInd w:val="0"/>
              <w:snapToGrid w:val="0"/>
              <w:spacing w:after="0" w:line="240" w:lineRule="atLeast"/>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0"/>
                <w:szCs w:val="20"/>
                <w:highlight w:val="none"/>
                <w:lang w:bidi="ar"/>
              </w:rPr>
              <w:t>通用透明封板膜</w:t>
            </w:r>
          </w:p>
        </w:tc>
        <w:tc>
          <w:tcPr>
            <w:tcW w:w="5109" w:type="dxa"/>
            <w:vAlign w:val="center"/>
          </w:tcPr>
          <w:p>
            <w:pPr>
              <w:widowControl/>
              <w:adjustRightInd w:val="0"/>
              <w:snapToGrid w:val="0"/>
              <w:spacing w:after="0" w:line="240" w:lineRule="atLeast"/>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18"/>
                <w:szCs w:val="18"/>
                <w:highlight w:val="none"/>
                <w:lang w:bidi="ar"/>
              </w:rPr>
              <w:t>▲5、无DNA酶，无RNA酶</w:t>
            </w:r>
          </w:p>
        </w:tc>
        <w:tc>
          <w:tcPr>
            <w:tcW w:w="708" w:type="dxa"/>
          </w:tcPr>
          <w:p>
            <w:pPr>
              <w:adjustRightInd w:val="0"/>
              <w:snapToGrid w:val="0"/>
              <w:spacing w:after="0" w:line="240" w:lineRule="atLeast"/>
              <w:rPr>
                <w:rFonts w:hint="eastAsia" w:ascii="宋体" w:hAnsi="宋体" w:cs="宋体"/>
                <w:color w:val="auto"/>
                <w:sz w:val="24"/>
                <w:highlight w:val="none"/>
              </w:rPr>
            </w:pPr>
          </w:p>
        </w:tc>
        <w:tc>
          <w:tcPr>
            <w:tcW w:w="851" w:type="dxa"/>
          </w:tcPr>
          <w:p>
            <w:pPr>
              <w:adjustRightInd w:val="0"/>
              <w:snapToGrid w:val="0"/>
              <w:spacing w:after="0" w:line="240" w:lineRule="atLeast"/>
              <w:rPr>
                <w:rFonts w:hint="eastAsia" w:ascii="宋体" w:hAnsi="宋体" w:cs="宋体"/>
                <w:color w:val="auto"/>
                <w:sz w:val="24"/>
                <w:highlight w:val="none"/>
              </w:rPr>
            </w:pPr>
          </w:p>
        </w:tc>
        <w:tc>
          <w:tcPr>
            <w:tcW w:w="992" w:type="dxa"/>
          </w:tcPr>
          <w:p>
            <w:pPr>
              <w:adjustRightInd w:val="0"/>
              <w:snapToGrid w:val="0"/>
              <w:spacing w:after="0" w:line="240" w:lineRule="atLeas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562" w:type="dxa"/>
            <w:vAlign w:val="center"/>
          </w:tcPr>
          <w:p>
            <w:pPr>
              <w:adjustRightInd w:val="0"/>
              <w:snapToGrid w:val="0"/>
              <w:spacing w:after="0"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1843" w:type="dxa"/>
            <w:vAlign w:val="center"/>
          </w:tcPr>
          <w:p>
            <w:pPr>
              <w:widowControl/>
              <w:adjustRightInd w:val="0"/>
              <w:snapToGrid w:val="0"/>
              <w:spacing w:after="0" w:line="240" w:lineRule="atLeast"/>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0"/>
                <w:szCs w:val="20"/>
                <w:highlight w:val="none"/>
                <w:lang w:bidi="ar"/>
              </w:rPr>
              <w:t>标准分液管standard tube dispensing cassette</w:t>
            </w:r>
          </w:p>
        </w:tc>
        <w:tc>
          <w:tcPr>
            <w:tcW w:w="5109" w:type="dxa"/>
            <w:vAlign w:val="center"/>
          </w:tcPr>
          <w:p>
            <w:pPr>
              <w:widowControl/>
              <w:adjustRightInd w:val="0"/>
              <w:snapToGrid w:val="0"/>
              <w:spacing w:after="0" w:line="240" w:lineRule="atLeast"/>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18"/>
                <w:szCs w:val="18"/>
                <w:highlight w:val="none"/>
                <w:lang w:bidi="ar"/>
              </w:rPr>
              <w:t>▲1.适配于赛默飞Multidrop Combi分液器，与分液器配合使用（提供有效的证明材料）；</w:t>
            </w:r>
          </w:p>
        </w:tc>
        <w:tc>
          <w:tcPr>
            <w:tcW w:w="708" w:type="dxa"/>
          </w:tcPr>
          <w:p>
            <w:pPr>
              <w:adjustRightInd w:val="0"/>
              <w:snapToGrid w:val="0"/>
              <w:spacing w:after="0" w:line="240" w:lineRule="atLeast"/>
              <w:rPr>
                <w:rFonts w:hint="eastAsia" w:ascii="宋体" w:hAnsi="宋体" w:cs="宋体"/>
                <w:color w:val="auto"/>
                <w:sz w:val="24"/>
                <w:highlight w:val="none"/>
              </w:rPr>
            </w:pPr>
          </w:p>
        </w:tc>
        <w:tc>
          <w:tcPr>
            <w:tcW w:w="851" w:type="dxa"/>
          </w:tcPr>
          <w:p>
            <w:pPr>
              <w:adjustRightInd w:val="0"/>
              <w:snapToGrid w:val="0"/>
              <w:spacing w:after="0" w:line="240" w:lineRule="atLeast"/>
              <w:rPr>
                <w:rFonts w:hint="eastAsia" w:ascii="宋体" w:hAnsi="宋体" w:cs="宋体"/>
                <w:color w:val="auto"/>
                <w:sz w:val="24"/>
                <w:highlight w:val="none"/>
              </w:rPr>
            </w:pPr>
          </w:p>
        </w:tc>
        <w:tc>
          <w:tcPr>
            <w:tcW w:w="992" w:type="dxa"/>
          </w:tcPr>
          <w:p>
            <w:pPr>
              <w:adjustRightInd w:val="0"/>
              <w:snapToGrid w:val="0"/>
              <w:spacing w:after="0" w:line="240" w:lineRule="atLeast"/>
              <w:rPr>
                <w:rFonts w:hint="eastAsia" w:ascii="宋体" w:hAnsi="宋体" w:cs="宋体"/>
                <w:color w:val="auto"/>
                <w:sz w:val="24"/>
                <w:highlight w:val="none"/>
              </w:rPr>
            </w:pPr>
          </w:p>
        </w:tc>
      </w:tr>
    </w:tbl>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注：</w:t>
      </w:r>
    </w:p>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bCs/>
          <w:color w:val="auto"/>
          <w:sz w:val="24"/>
          <w:highlight w:val="none"/>
        </w:rPr>
        <w:t>投标人应在本表“投标文件页码”列中，填写响应内容详细证明材料对应的页码范围（如有）。</w:t>
      </w:r>
    </w:p>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2.“偏离情况”列应据实填写“正偏离”或“负偏离”或“无偏离”。</w:t>
      </w:r>
    </w:p>
    <w:p>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    ____________</w:t>
      </w:r>
    </w:p>
    <w:p>
      <w:pPr>
        <w:autoSpaceDE w:val="0"/>
        <w:autoSpaceDN w:val="0"/>
        <w:adjustRightInd w:val="0"/>
        <w:snapToGrid w:val="0"/>
        <w:spacing w:before="25" w:after="25" w:line="360" w:lineRule="auto"/>
        <w:rPr>
          <w:rFonts w:hint="eastAsia" w:ascii="宋体" w:hAnsi="宋体" w:cs="宋体"/>
          <w:color w:val="auto"/>
          <w:sz w:val="24"/>
          <w:szCs w:val="20"/>
          <w:highlight w:val="none"/>
        </w:rPr>
        <w:sectPr>
          <w:pgSz w:w="11901" w:h="16817"/>
          <w:pgMar w:top="1418" w:right="1701" w:bottom="1418" w:left="1701" w:header="851" w:footer="851" w:gutter="0"/>
          <w:cols w:space="720" w:num="1"/>
          <w:docGrid w:linePitch="462" w:charSpace="0"/>
        </w:sectPr>
      </w:pPr>
      <w:r>
        <w:rPr>
          <w:rFonts w:hint="eastAsia" w:ascii="宋体" w:hAnsi="宋体" w:cs="宋体"/>
          <w:color w:val="auto"/>
          <w:sz w:val="24"/>
          <w:szCs w:val="20"/>
          <w:highlight w:val="none"/>
        </w:rPr>
        <w:t xml:space="preserve">日期：_____年______月______日   </w:t>
      </w:r>
    </w:p>
    <w:p>
      <w:pPr>
        <w:autoSpaceDE w:val="0"/>
        <w:autoSpaceDN w:val="0"/>
        <w:adjustRightInd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采购需求偏离表（三）</w:t>
      </w:r>
    </w:p>
    <w:p>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s="宋体"/>
          <w:color w:val="auto"/>
          <w:sz w:val="24"/>
          <w:highlight w:val="none"/>
        </w:rPr>
        <w:t>_</w:t>
      </w:r>
    </w:p>
    <w:tbl>
      <w:tblPr>
        <w:tblStyle w:val="47"/>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3487"/>
        <w:gridCol w:w="1918"/>
        <w:gridCol w:w="1691"/>
        <w:gridCol w:w="1272"/>
      </w:tblGrid>
      <w:tr>
        <w:tblPrEx>
          <w:tblLayout w:type="fixed"/>
          <w:tblCellMar>
            <w:top w:w="0" w:type="dxa"/>
            <w:left w:w="108" w:type="dxa"/>
            <w:bottom w:w="0" w:type="dxa"/>
            <w:right w:w="108" w:type="dxa"/>
          </w:tblCellMar>
        </w:tblPrEx>
        <w:trPr>
          <w:trHeight w:val="1069" w:hRule="atLeast"/>
          <w:jc w:val="center"/>
        </w:trPr>
        <w:tc>
          <w:tcPr>
            <w:tcW w:w="699"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3487"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招标文件要求</w:t>
            </w:r>
          </w:p>
        </w:tc>
        <w:tc>
          <w:tcPr>
            <w:tcW w:w="1918"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投标响应内容</w:t>
            </w:r>
          </w:p>
        </w:tc>
        <w:tc>
          <w:tcPr>
            <w:tcW w:w="1691"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偏离情况</w:t>
            </w:r>
          </w:p>
        </w:tc>
        <w:tc>
          <w:tcPr>
            <w:tcW w:w="1272" w:type="dxa"/>
            <w:vAlign w:val="center"/>
          </w:tcPr>
          <w:p>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jc w:val="center"/>
        </w:trPr>
        <w:tc>
          <w:tcPr>
            <w:tcW w:w="9067" w:type="dxa"/>
            <w:gridSpan w:val="5"/>
            <w:vAlign w:val="center"/>
          </w:tcPr>
          <w:p>
            <w:pPr>
              <w:adjustRightInd w:val="0"/>
              <w:snapToGrid w:val="0"/>
              <w:jc w:val="left"/>
              <w:rPr>
                <w:rFonts w:hint="eastAsia" w:ascii="宋体" w:hAnsi="宋体" w:cs="宋体"/>
                <w:color w:val="auto"/>
                <w:sz w:val="24"/>
                <w:highlight w:val="none"/>
              </w:rPr>
            </w:pPr>
            <w:r>
              <w:rPr>
                <w:rFonts w:hint="eastAsia" w:ascii="宋体" w:hAnsi="宋体" w:cs="宋体"/>
                <w:color w:val="auto"/>
                <w:sz w:val="24"/>
                <w:highlight w:val="none"/>
              </w:rPr>
              <w:t>针对本招标文件第五章《采购需求》中</w:t>
            </w:r>
            <w:r>
              <w:rPr>
                <w:rFonts w:hint="eastAsia" w:ascii="宋体" w:hAnsi="宋体" w:cs="宋体"/>
                <w:b/>
                <w:color w:val="auto"/>
                <w:sz w:val="28"/>
                <w:szCs w:val="28"/>
                <w:highlight w:val="none"/>
              </w:rPr>
              <w:t>未标注</w:t>
            </w:r>
            <w:r>
              <w:rPr>
                <w:rFonts w:hint="eastAsia" w:ascii="宋体" w:hAnsi="宋体" w:cs="宋体"/>
                <w:color w:val="auto"/>
                <w:sz w:val="28"/>
                <w:szCs w:val="28"/>
                <w:highlight w:val="none"/>
              </w:rPr>
              <w:t>““★”、</w:t>
            </w:r>
            <w:r>
              <w:rPr>
                <w:rFonts w:ascii="宋体" w:hAnsi="宋体" w:cs="宋体"/>
                <w:color w:val="auto"/>
                <w:sz w:val="28"/>
                <w:szCs w:val="28"/>
                <w:highlight w:val="none"/>
              </w:rPr>
              <w:t xml:space="preserve"> “</w:t>
            </w:r>
            <w:r>
              <w:rPr>
                <w:rFonts w:hint="eastAsia" w:ascii="宋体" w:hAnsi="宋体" w:cs="宋体"/>
                <w:bCs/>
                <w:color w:val="auto"/>
                <w:sz w:val="24"/>
                <w:highlight w:val="none"/>
              </w:rPr>
              <w:t>▲</w:t>
            </w:r>
            <w:r>
              <w:rPr>
                <w:rFonts w:ascii="宋体" w:hAnsi="宋体" w:cs="宋体"/>
                <w:color w:val="auto"/>
                <w:sz w:val="28"/>
                <w:szCs w:val="28"/>
                <w:highlight w:val="none"/>
              </w:rPr>
              <w:t>”</w:t>
            </w:r>
            <w:r>
              <w:rPr>
                <w:rFonts w:hint="eastAsia" w:ascii="宋体" w:hAnsi="宋体" w:cs="宋体"/>
                <w:color w:val="auto"/>
                <w:sz w:val="28"/>
                <w:szCs w:val="28"/>
                <w:highlight w:val="none"/>
              </w:rPr>
              <w:t>”</w:t>
            </w:r>
            <w:r>
              <w:rPr>
                <w:rFonts w:hint="eastAsia" w:ascii="宋体" w:hAnsi="宋体" w:cs="宋体"/>
                <w:color w:val="auto"/>
                <w:sz w:val="24"/>
                <w:highlight w:val="none"/>
              </w:rPr>
              <w:t>的一般性条款的偏离情况（</w:t>
            </w:r>
            <w:r>
              <w:rPr>
                <w:rFonts w:hint="eastAsia" w:ascii="宋体" w:hAnsi="宋体" w:cs="宋体"/>
                <w:b/>
                <w:color w:val="auto"/>
                <w:sz w:val="24"/>
                <w:highlight w:val="none"/>
              </w:rPr>
              <w:t>应进行选择，未选择投标无效</w:t>
            </w:r>
            <w:r>
              <w:rPr>
                <w:rFonts w:hint="eastAsia" w:ascii="宋体" w:hAnsi="宋体" w:cs="宋体"/>
                <w:color w:val="auto"/>
                <w:sz w:val="24"/>
                <w:highlight w:val="none"/>
              </w:rPr>
              <w:t>）:</w:t>
            </w:r>
          </w:p>
          <w:p>
            <w:pPr>
              <w:adjustRightInd w:val="0"/>
              <w:snapToGrid w:val="0"/>
              <w:jc w:val="left"/>
              <w:rPr>
                <w:rFonts w:hint="eastAsia" w:ascii="宋体" w:hAnsi="宋体" w:cs="宋体"/>
                <w:b/>
                <w:color w:val="auto"/>
                <w:sz w:val="24"/>
                <w:highlight w:val="none"/>
              </w:rPr>
            </w:pPr>
            <w:r>
              <w:rPr>
                <w:rFonts w:hint="eastAsia" w:ascii="宋体" w:hAnsi="宋体" w:cs="宋体"/>
                <w:b/>
                <w:color w:val="auto"/>
                <w:sz w:val="24"/>
                <w:highlight w:val="none"/>
              </w:rPr>
              <w:t>□无偏离</w:t>
            </w:r>
            <w:r>
              <w:rPr>
                <w:rFonts w:hint="eastAsia" w:ascii="宋体" w:hAnsi="宋体" w:cs="宋体"/>
                <w:color w:val="auto"/>
                <w:sz w:val="24"/>
                <w:highlight w:val="none"/>
              </w:rPr>
              <w:t>（</w:t>
            </w:r>
            <w:r>
              <w:rPr>
                <w:rFonts w:hint="eastAsia" w:ascii="宋体" w:hAnsi="宋体" w:cs="宋体"/>
                <w:color w:val="auto"/>
                <w:sz w:val="24"/>
                <w:szCs w:val="21"/>
                <w:highlight w:val="none"/>
              </w:rPr>
              <w:t>如无偏离，仅选择无偏离即可；无偏离即为对采购需求中的所有</w:t>
            </w:r>
            <w:r>
              <w:rPr>
                <w:rFonts w:hint="eastAsia" w:ascii="宋体" w:hAnsi="宋体" w:cs="宋体"/>
                <w:color w:val="auto"/>
                <w:sz w:val="24"/>
                <w:highlight w:val="none"/>
              </w:rPr>
              <w:t>一般性条款</w:t>
            </w:r>
            <w:r>
              <w:rPr>
                <w:rFonts w:hint="eastAsia" w:ascii="宋体" w:hAnsi="宋体" w:cs="宋体"/>
                <w:color w:val="auto"/>
                <w:sz w:val="24"/>
                <w:szCs w:val="21"/>
                <w:highlight w:val="none"/>
              </w:rPr>
              <w:t>，均视作投标人已对之理解和响应。</w:t>
            </w:r>
            <w:r>
              <w:rPr>
                <w:rFonts w:hint="eastAsia" w:ascii="宋体" w:hAnsi="宋体" w:cs="宋体"/>
                <w:color w:val="auto"/>
                <w:sz w:val="24"/>
                <w:highlight w:val="none"/>
              </w:rPr>
              <w:t>）</w:t>
            </w:r>
          </w:p>
          <w:p>
            <w:pPr>
              <w:adjustRightInd w:val="0"/>
              <w:snapToGrid w:val="0"/>
              <w:jc w:val="left"/>
              <w:rPr>
                <w:rFonts w:hint="eastAsia" w:ascii="宋体" w:hAnsi="宋体" w:cs="宋体"/>
                <w:color w:val="auto"/>
                <w:sz w:val="24"/>
                <w:highlight w:val="none"/>
              </w:rPr>
            </w:pPr>
            <w:r>
              <w:rPr>
                <w:rFonts w:hint="eastAsia" w:ascii="宋体" w:hAnsi="宋体" w:cs="宋体"/>
                <w:b/>
                <w:color w:val="auto"/>
                <w:sz w:val="24"/>
                <w:highlight w:val="none"/>
              </w:rPr>
              <w:t>□有偏离</w:t>
            </w:r>
            <w:r>
              <w:rPr>
                <w:rFonts w:hint="eastAsia" w:ascii="宋体" w:hAnsi="宋体" w:cs="宋体"/>
                <w:color w:val="auto"/>
                <w:sz w:val="24"/>
                <w:highlight w:val="none"/>
              </w:rPr>
              <w:t>（</w:t>
            </w:r>
            <w:r>
              <w:rPr>
                <w:rFonts w:hint="eastAsia" w:ascii="宋体" w:hAnsi="宋体" w:cs="宋体"/>
                <w:color w:val="auto"/>
                <w:sz w:val="24"/>
                <w:szCs w:val="21"/>
                <w:highlight w:val="none"/>
              </w:rPr>
              <w:t>如有偏离，</w:t>
            </w:r>
            <w:r>
              <w:rPr>
                <w:rFonts w:hint="eastAsia" w:ascii="宋体" w:hAnsi="宋体" w:cs="宋体"/>
                <w:color w:val="auto"/>
                <w:sz w:val="24"/>
                <w:highlight w:val="none"/>
              </w:rPr>
              <w:t>则应在本表中对偏离项逐一列明，否则投标无效。）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99" w:type="dxa"/>
            <w:vAlign w:val="center"/>
          </w:tcPr>
          <w:p>
            <w:pPr>
              <w:adjustRightInd w:val="0"/>
              <w:snapToGrid w:val="0"/>
              <w:jc w:val="center"/>
              <w:rPr>
                <w:rFonts w:hint="eastAsia" w:ascii="宋体" w:hAnsi="宋体" w:cs="宋体"/>
                <w:color w:val="auto"/>
                <w:sz w:val="24"/>
                <w:highlight w:val="none"/>
              </w:rPr>
            </w:pPr>
          </w:p>
        </w:tc>
        <w:tc>
          <w:tcPr>
            <w:tcW w:w="3487" w:type="dxa"/>
            <w:vAlign w:val="center"/>
          </w:tcPr>
          <w:p>
            <w:pPr>
              <w:adjustRightInd w:val="0"/>
              <w:snapToGrid w:val="0"/>
              <w:jc w:val="center"/>
              <w:rPr>
                <w:rFonts w:hint="eastAsia" w:ascii="宋体" w:hAnsi="宋体" w:cs="宋体"/>
                <w:color w:val="auto"/>
                <w:sz w:val="24"/>
                <w:highlight w:val="none"/>
              </w:rPr>
            </w:pPr>
          </w:p>
        </w:tc>
        <w:tc>
          <w:tcPr>
            <w:tcW w:w="1918" w:type="dxa"/>
            <w:vAlign w:val="center"/>
          </w:tcPr>
          <w:p>
            <w:pPr>
              <w:adjustRightInd w:val="0"/>
              <w:snapToGrid w:val="0"/>
              <w:jc w:val="center"/>
              <w:rPr>
                <w:rFonts w:hint="eastAsia" w:ascii="宋体" w:hAnsi="宋体" w:cs="宋体"/>
                <w:color w:val="auto"/>
                <w:sz w:val="24"/>
                <w:highlight w:val="none"/>
              </w:rPr>
            </w:pPr>
          </w:p>
        </w:tc>
        <w:tc>
          <w:tcPr>
            <w:tcW w:w="1691" w:type="dxa"/>
            <w:vAlign w:val="center"/>
          </w:tcPr>
          <w:p>
            <w:pPr>
              <w:adjustRightInd w:val="0"/>
              <w:snapToGrid w:val="0"/>
              <w:jc w:val="center"/>
              <w:rPr>
                <w:rFonts w:hint="eastAsia" w:ascii="宋体" w:hAnsi="宋体" w:cs="宋体"/>
                <w:color w:val="auto"/>
                <w:sz w:val="24"/>
                <w:highlight w:val="none"/>
              </w:rPr>
            </w:pPr>
          </w:p>
        </w:tc>
        <w:tc>
          <w:tcPr>
            <w:tcW w:w="1272" w:type="dxa"/>
            <w:vAlign w:val="center"/>
          </w:tcPr>
          <w:p>
            <w:pPr>
              <w:adjustRightInd w:val="0"/>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99" w:type="dxa"/>
            <w:vAlign w:val="center"/>
          </w:tcPr>
          <w:p>
            <w:pPr>
              <w:adjustRightInd w:val="0"/>
              <w:snapToGrid w:val="0"/>
              <w:jc w:val="center"/>
              <w:rPr>
                <w:rFonts w:hint="eastAsia" w:ascii="宋体" w:hAnsi="宋体" w:cs="宋体"/>
                <w:color w:val="auto"/>
                <w:sz w:val="24"/>
                <w:highlight w:val="none"/>
              </w:rPr>
            </w:pPr>
          </w:p>
        </w:tc>
        <w:tc>
          <w:tcPr>
            <w:tcW w:w="3487" w:type="dxa"/>
            <w:vAlign w:val="center"/>
          </w:tcPr>
          <w:p>
            <w:pPr>
              <w:adjustRightInd w:val="0"/>
              <w:snapToGrid w:val="0"/>
              <w:jc w:val="center"/>
              <w:rPr>
                <w:rFonts w:hint="eastAsia" w:ascii="宋体" w:hAnsi="宋体" w:cs="宋体"/>
                <w:color w:val="auto"/>
                <w:sz w:val="24"/>
                <w:highlight w:val="none"/>
              </w:rPr>
            </w:pPr>
          </w:p>
        </w:tc>
        <w:tc>
          <w:tcPr>
            <w:tcW w:w="1918" w:type="dxa"/>
            <w:vAlign w:val="center"/>
          </w:tcPr>
          <w:p>
            <w:pPr>
              <w:adjustRightInd w:val="0"/>
              <w:snapToGrid w:val="0"/>
              <w:jc w:val="center"/>
              <w:rPr>
                <w:rFonts w:hint="eastAsia" w:ascii="宋体" w:hAnsi="宋体" w:cs="宋体"/>
                <w:color w:val="auto"/>
                <w:sz w:val="24"/>
                <w:highlight w:val="none"/>
              </w:rPr>
            </w:pPr>
          </w:p>
        </w:tc>
        <w:tc>
          <w:tcPr>
            <w:tcW w:w="1691" w:type="dxa"/>
            <w:vAlign w:val="center"/>
          </w:tcPr>
          <w:p>
            <w:pPr>
              <w:adjustRightInd w:val="0"/>
              <w:snapToGrid w:val="0"/>
              <w:jc w:val="center"/>
              <w:rPr>
                <w:rFonts w:hint="eastAsia" w:ascii="宋体" w:hAnsi="宋体" w:cs="宋体"/>
                <w:color w:val="auto"/>
                <w:sz w:val="24"/>
                <w:highlight w:val="none"/>
              </w:rPr>
            </w:pPr>
          </w:p>
        </w:tc>
        <w:tc>
          <w:tcPr>
            <w:tcW w:w="1272" w:type="dxa"/>
            <w:vAlign w:val="center"/>
          </w:tcPr>
          <w:p>
            <w:pPr>
              <w:adjustRightInd w:val="0"/>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99" w:type="dxa"/>
            <w:vAlign w:val="center"/>
          </w:tcPr>
          <w:p>
            <w:pPr>
              <w:adjustRightInd w:val="0"/>
              <w:snapToGrid w:val="0"/>
              <w:jc w:val="center"/>
              <w:rPr>
                <w:rFonts w:hint="eastAsia" w:ascii="宋体" w:hAnsi="宋体" w:cs="宋体"/>
                <w:color w:val="auto"/>
                <w:sz w:val="24"/>
                <w:highlight w:val="none"/>
              </w:rPr>
            </w:pPr>
          </w:p>
        </w:tc>
        <w:tc>
          <w:tcPr>
            <w:tcW w:w="3487" w:type="dxa"/>
            <w:vAlign w:val="center"/>
          </w:tcPr>
          <w:p>
            <w:pPr>
              <w:adjustRightInd w:val="0"/>
              <w:snapToGrid w:val="0"/>
              <w:jc w:val="center"/>
              <w:rPr>
                <w:rFonts w:hint="eastAsia" w:ascii="宋体" w:hAnsi="宋体" w:cs="宋体"/>
                <w:color w:val="auto"/>
                <w:sz w:val="24"/>
                <w:highlight w:val="none"/>
              </w:rPr>
            </w:pPr>
          </w:p>
        </w:tc>
        <w:tc>
          <w:tcPr>
            <w:tcW w:w="1918" w:type="dxa"/>
            <w:vAlign w:val="center"/>
          </w:tcPr>
          <w:p>
            <w:pPr>
              <w:adjustRightInd w:val="0"/>
              <w:snapToGrid w:val="0"/>
              <w:jc w:val="center"/>
              <w:rPr>
                <w:rFonts w:hint="eastAsia" w:ascii="宋体" w:hAnsi="宋体" w:cs="宋体"/>
                <w:color w:val="auto"/>
                <w:sz w:val="24"/>
                <w:highlight w:val="none"/>
              </w:rPr>
            </w:pPr>
          </w:p>
        </w:tc>
        <w:tc>
          <w:tcPr>
            <w:tcW w:w="1691" w:type="dxa"/>
            <w:vAlign w:val="center"/>
          </w:tcPr>
          <w:p>
            <w:pPr>
              <w:adjustRightInd w:val="0"/>
              <w:snapToGrid w:val="0"/>
              <w:jc w:val="center"/>
              <w:rPr>
                <w:rFonts w:hint="eastAsia" w:ascii="宋体" w:hAnsi="宋体" w:cs="宋体"/>
                <w:color w:val="auto"/>
                <w:sz w:val="24"/>
                <w:highlight w:val="none"/>
              </w:rPr>
            </w:pPr>
          </w:p>
        </w:tc>
        <w:tc>
          <w:tcPr>
            <w:tcW w:w="1272" w:type="dxa"/>
            <w:vAlign w:val="center"/>
          </w:tcPr>
          <w:p>
            <w:pPr>
              <w:adjustRightInd w:val="0"/>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699" w:type="dxa"/>
            <w:vAlign w:val="center"/>
          </w:tcPr>
          <w:p>
            <w:pPr>
              <w:adjustRightInd w:val="0"/>
              <w:snapToGrid w:val="0"/>
              <w:jc w:val="center"/>
              <w:rPr>
                <w:rFonts w:hint="eastAsia" w:ascii="宋体" w:hAnsi="宋体" w:cs="宋体"/>
                <w:color w:val="auto"/>
                <w:sz w:val="24"/>
                <w:highlight w:val="none"/>
              </w:rPr>
            </w:pPr>
          </w:p>
        </w:tc>
        <w:tc>
          <w:tcPr>
            <w:tcW w:w="3487" w:type="dxa"/>
            <w:vAlign w:val="center"/>
          </w:tcPr>
          <w:p>
            <w:pPr>
              <w:adjustRightInd w:val="0"/>
              <w:snapToGrid w:val="0"/>
              <w:jc w:val="center"/>
              <w:rPr>
                <w:rFonts w:hint="eastAsia" w:ascii="宋体" w:hAnsi="宋体" w:cs="宋体"/>
                <w:color w:val="auto"/>
                <w:sz w:val="24"/>
                <w:highlight w:val="none"/>
              </w:rPr>
            </w:pPr>
          </w:p>
        </w:tc>
        <w:tc>
          <w:tcPr>
            <w:tcW w:w="1918" w:type="dxa"/>
            <w:vAlign w:val="center"/>
          </w:tcPr>
          <w:p>
            <w:pPr>
              <w:adjustRightInd w:val="0"/>
              <w:snapToGrid w:val="0"/>
              <w:jc w:val="center"/>
              <w:rPr>
                <w:rFonts w:hint="eastAsia" w:ascii="宋体" w:hAnsi="宋体" w:cs="宋体"/>
                <w:color w:val="auto"/>
                <w:sz w:val="24"/>
                <w:highlight w:val="none"/>
              </w:rPr>
            </w:pPr>
          </w:p>
        </w:tc>
        <w:tc>
          <w:tcPr>
            <w:tcW w:w="1691" w:type="dxa"/>
            <w:vAlign w:val="center"/>
          </w:tcPr>
          <w:p>
            <w:pPr>
              <w:adjustRightInd w:val="0"/>
              <w:snapToGrid w:val="0"/>
              <w:jc w:val="center"/>
              <w:rPr>
                <w:rFonts w:hint="eastAsia" w:ascii="宋体" w:hAnsi="宋体" w:cs="宋体"/>
                <w:color w:val="auto"/>
                <w:sz w:val="24"/>
                <w:highlight w:val="none"/>
              </w:rPr>
            </w:pPr>
          </w:p>
        </w:tc>
        <w:tc>
          <w:tcPr>
            <w:tcW w:w="1272" w:type="dxa"/>
            <w:vAlign w:val="center"/>
          </w:tcPr>
          <w:p>
            <w:pPr>
              <w:adjustRightInd w:val="0"/>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699" w:type="dxa"/>
            <w:vAlign w:val="center"/>
          </w:tcPr>
          <w:p>
            <w:pPr>
              <w:adjustRightInd w:val="0"/>
              <w:snapToGrid w:val="0"/>
              <w:jc w:val="center"/>
              <w:rPr>
                <w:rFonts w:hint="eastAsia" w:ascii="宋体" w:hAnsi="宋体" w:cs="宋体"/>
                <w:color w:val="auto"/>
                <w:sz w:val="24"/>
                <w:highlight w:val="none"/>
              </w:rPr>
            </w:pPr>
          </w:p>
        </w:tc>
        <w:tc>
          <w:tcPr>
            <w:tcW w:w="3487" w:type="dxa"/>
            <w:vAlign w:val="center"/>
          </w:tcPr>
          <w:p>
            <w:pPr>
              <w:adjustRightInd w:val="0"/>
              <w:snapToGrid w:val="0"/>
              <w:jc w:val="center"/>
              <w:rPr>
                <w:rFonts w:hint="eastAsia" w:ascii="宋体" w:hAnsi="宋体" w:cs="宋体"/>
                <w:color w:val="auto"/>
                <w:sz w:val="24"/>
                <w:highlight w:val="none"/>
              </w:rPr>
            </w:pPr>
          </w:p>
        </w:tc>
        <w:tc>
          <w:tcPr>
            <w:tcW w:w="1918" w:type="dxa"/>
            <w:vAlign w:val="center"/>
          </w:tcPr>
          <w:p>
            <w:pPr>
              <w:adjustRightInd w:val="0"/>
              <w:snapToGrid w:val="0"/>
              <w:jc w:val="center"/>
              <w:rPr>
                <w:rFonts w:hint="eastAsia" w:ascii="宋体" w:hAnsi="宋体" w:cs="宋体"/>
                <w:color w:val="auto"/>
                <w:sz w:val="24"/>
                <w:highlight w:val="none"/>
              </w:rPr>
            </w:pPr>
          </w:p>
        </w:tc>
        <w:tc>
          <w:tcPr>
            <w:tcW w:w="1691" w:type="dxa"/>
            <w:vAlign w:val="center"/>
          </w:tcPr>
          <w:p>
            <w:pPr>
              <w:adjustRightInd w:val="0"/>
              <w:snapToGrid w:val="0"/>
              <w:jc w:val="center"/>
              <w:rPr>
                <w:rFonts w:hint="eastAsia" w:ascii="宋体" w:hAnsi="宋体" w:cs="宋体"/>
                <w:color w:val="auto"/>
                <w:sz w:val="24"/>
                <w:highlight w:val="none"/>
              </w:rPr>
            </w:pPr>
          </w:p>
        </w:tc>
        <w:tc>
          <w:tcPr>
            <w:tcW w:w="1272" w:type="dxa"/>
            <w:vAlign w:val="center"/>
          </w:tcPr>
          <w:p>
            <w:pPr>
              <w:adjustRightInd w:val="0"/>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699" w:type="dxa"/>
            <w:vAlign w:val="center"/>
          </w:tcPr>
          <w:p>
            <w:pPr>
              <w:adjustRightInd w:val="0"/>
              <w:snapToGrid w:val="0"/>
              <w:jc w:val="center"/>
              <w:rPr>
                <w:rFonts w:hint="eastAsia" w:ascii="宋体" w:hAnsi="宋体" w:cs="宋体"/>
                <w:color w:val="auto"/>
                <w:sz w:val="24"/>
                <w:highlight w:val="none"/>
              </w:rPr>
            </w:pPr>
          </w:p>
        </w:tc>
        <w:tc>
          <w:tcPr>
            <w:tcW w:w="3487" w:type="dxa"/>
            <w:vAlign w:val="center"/>
          </w:tcPr>
          <w:p>
            <w:pPr>
              <w:adjustRightInd w:val="0"/>
              <w:snapToGrid w:val="0"/>
              <w:jc w:val="center"/>
              <w:rPr>
                <w:rFonts w:hint="eastAsia" w:ascii="宋体" w:hAnsi="宋体" w:cs="宋体"/>
                <w:color w:val="auto"/>
                <w:sz w:val="24"/>
                <w:highlight w:val="none"/>
              </w:rPr>
            </w:pPr>
          </w:p>
        </w:tc>
        <w:tc>
          <w:tcPr>
            <w:tcW w:w="1918" w:type="dxa"/>
            <w:vAlign w:val="center"/>
          </w:tcPr>
          <w:p>
            <w:pPr>
              <w:adjustRightInd w:val="0"/>
              <w:snapToGrid w:val="0"/>
              <w:jc w:val="center"/>
              <w:rPr>
                <w:rFonts w:hint="eastAsia" w:ascii="宋体" w:hAnsi="宋体" w:cs="宋体"/>
                <w:color w:val="auto"/>
                <w:sz w:val="24"/>
                <w:highlight w:val="none"/>
              </w:rPr>
            </w:pPr>
          </w:p>
        </w:tc>
        <w:tc>
          <w:tcPr>
            <w:tcW w:w="1691" w:type="dxa"/>
            <w:vAlign w:val="center"/>
          </w:tcPr>
          <w:p>
            <w:pPr>
              <w:adjustRightInd w:val="0"/>
              <w:snapToGrid w:val="0"/>
              <w:jc w:val="center"/>
              <w:rPr>
                <w:rFonts w:hint="eastAsia" w:ascii="宋体" w:hAnsi="宋体" w:cs="宋体"/>
                <w:color w:val="auto"/>
                <w:sz w:val="24"/>
                <w:highlight w:val="none"/>
              </w:rPr>
            </w:pPr>
          </w:p>
        </w:tc>
        <w:tc>
          <w:tcPr>
            <w:tcW w:w="1272" w:type="dxa"/>
            <w:vAlign w:val="center"/>
          </w:tcPr>
          <w:p>
            <w:pPr>
              <w:adjustRightInd w:val="0"/>
              <w:snapToGrid w:val="0"/>
              <w:jc w:val="center"/>
              <w:rPr>
                <w:rFonts w:hint="eastAsia" w:ascii="宋体" w:hAnsi="宋体" w:cs="宋体"/>
                <w:color w:val="auto"/>
                <w:sz w:val="24"/>
                <w:highlight w:val="none"/>
              </w:rPr>
            </w:pPr>
          </w:p>
        </w:tc>
      </w:tr>
    </w:tbl>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注：</w:t>
      </w:r>
    </w:p>
    <w:p>
      <w:pPr>
        <w:tabs>
          <w:tab w:val="left" w:pos="1800"/>
          <w:tab w:val="left" w:pos="5580"/>
        </w:tabs>
        <w:jc w:val="left"/>
        <w:rPr>
          <w:rFonts w:hint="eastAsia" w:ascii="宋体" w:hAnsi="宋体" w:cs="宋体"/>
          <w:b/>
          <w:color w:val="auto"/>
          <w:sz w:val="24"/>
          <w:highlight w:val="none"/>
        </w:rPr>
      </w:pPr>
      <w:r>
        <w:rPr>
          <w:rFonts w:hint="eastAsia" w:ascii="宋体" w:hAnsi="宋体" w:cs="宋体"/>
          <w:color w:val="auto"/>
          <w:sz w:val="24"/>
          <w:highlight w:val="none"/>
        </w:rPr>
        <w:t>1. 对招标文件第五章《采购需求》中</w:t>
      </w:r>
      <w:r>
        <w:rPr>
          <w:rFonts w:hint="eastAsia" w:ascii="宋体" w:hAnsi="宋体" w:cs="宋体"/>
          <w:b/>
          <w:color w:val="auto"/>
          <w:sz w:val="24"/>
          <w:highlight w:val="none"/>
        </w:rPr>
        <w:t>未标注</w:t>
      </w:r>
      <w:r>
        <w:rPr>
          <w:rFonts w:hint="eastAsia" w:ascii="宋体" w:hAnsi="宋体" w:cs="宋体"/>
          <w:color w:val="auto"/>
          <w:sz w:val="28"/>
          <w:szCs w:val="28"/>
          <w:highlight w:val="none"/>
        </w:rPr>
        <w:t>““★”、</w:t>
      </w:r>
      <w:r>
        <w:rPr>
          <w:rFonts w:ascii="宋体" w:hAnsi="宋体" w:cs="宋体"/>
          <w:color w:val="auto"/>
          <w:sz w:val="28"/>
          <w:szCs w:val="28"/>
          <w:highlight w:val="none"/>
        </w:rPr>
        <w:t xml:space="preserve"> “</w:t>
      </w:r>
      <w:r>
        <w:rPr>
          <w:rFonts w:hint="eastAsia" w:ascii="宋体" w:hAnsi="宋体" w:cs="宋体"/>
          <w:bCs/>
          <w:color w:val="auto"/>
          <w:sz w:val="24"/>
          <w:highlight w:val="none"/>
        </w:rPr>
        <w:t>▲</w:t>
      </w:r>
      <w:r>
        <w:rPr>
          <w:rFonts w:ascii="宋体" w:hAnsi="宋体" w:cs="宋体"/>
          <w:color w:val="auto"/>
          <w:sz w:val="28"/>
          <w:szCs w:val="28"/>
          <w:highlight w:val="none"/>
        </w:rPr>
        <w:t>”</w:t>
      </w:r>
      <w:r>
        <w:rPr>
          <w:rFonts w:hint="eastAsia" w:ascii="宋体" w:hAnsi="宋体" w:cs="宋体"/>
          <w:color w:val="auto"/>
          <w:sz w:val="28"/>
          <w:szCs w:val="28"/>
          <w:highlight w:val="none"/>
        </w:rPr>
        <w:t>”</w:t>
      </w:r>
      <w:r>
        <w:rPr>
          <w:rFonts w:hint="eastAsia" w:ascii="宋体" w:hAnsi="宋体" w:cs="宋体"/>
          <w:color w:val="auto"/>
          <w:sz w:val="24"/>
          <w:highlight w:val="none"/>
        </w:rPr>
        <w:t>的一般性条款，除本表所列明的所有偏离外，均视作投标人已对之理解和响应。</w:t>
      </w:r>
    </w:p>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2.“偏离情况”列应据实填写“正偏离”或“负偏离”或“无偏离”。</w:t>
      </w:r>
    </w:p>
    <w:p>
      <w:pPr>
        <w:tabs>
          <w:tab w:val="left" w:pos="1800"/>
          <w:tab w:val="left" w:pos="5580"/>
        </w:tabs>
        <w:jc w:val="left"/>
        <w:rPr>
          <w:rFonts w:hint="eastAsia" w:ascii="宋体" w:hAnsi="宋体" w:cs="宋体"/>
          <w:color w:val="auto"/>
          <w:sz w:val="24"/>
          <w:highlight w:val="none"/>
        </w:rPr>
      </w:pPr>
    </w:p>
    <w:p>
      <w:pPr>
        <w:autoSpaceDE w:val="0"/>
        <w:autoSpaceDN w:val="0"/>
        <w:adjustRightInd w:val="0"/>
        <w:snapToGrid w:val="0"/>
        <w:spacing w:before="25" w:after="25" w:line="360" w:lineRule="auto"/>
        <w:rPr>
          <w:rFonts w:hint="eastAsia" w:ascii="宋体" w:hAnsi="宋体" w:cs="宋体"/>
          <w:color w:val="auto"/>
          <w:sz w:val="24"/>
          <w:highlight w:val="none"/>
          <w:lang w:val="zh-CN"/>
        </w:rPr>
      </w:pPr>
    </w:p>
    <w:p>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    ____________</w:t>
      </w:r>
    </w:p>
    <w:p>
      <w:pPr>
        <w:autoSpaceDE w:val="0"/>
        <w:autoSpaceDN w:val="0"/>
        <w:adjustRightInd w:val="0"/>
        <w:snapToGrid w:val="0"/>
        <w:spacing w:before="25" w:after="25" w:line="360" w:lineRule="auto"/>
        <w:rPr>
          <w:rFonts w:hint="eastAsia" w:ascii="宋体" w:hAnsi="宋体" w:cs="宋体"/>
          <w:b/>
          <w:color w:val="auto"/>
          <w:sz w:val="24"/>
          <w:highlight w:val="none"/>
        </w:rPr>
      </w:pPr>
      <w:r>
        <w:rPr>
          <w:rFonts w:hint="eastAsia" w:ascii="宋体" w:hAnsi="宋体" w:cs="宋体"/>
          <w:color w:val="auto"/>
          <w:sz w:val="24"/>
          <w:szCs w:val="20"/>
          <w:highlight w:val="none"/>
        </w:rPr>
        <w:t xml:space="preserve">日期：_____年______月______日   </w:t>
      </w:r>
    </w:p>
    <w:p>
      <w:pPr>
        <w:autoSpaceDE w:val="0"/>
        <w:autoSpaceDN w:val="0"/>
        <w:adjustRightInd w:val="0"/>
        <w:spacing w:line="360" w:lineRule="auto"/>
        <w:jc w:val="center"/>
        <w:rPr>
          <w:rFonts w:hint="eastAsia" w:ascii="宋体" w:hAnsi="宋体" w:cs="宋体"/>
          <w:b/>
          <w:color w:val="auto"/>
          <w:sz w:val="36"/>
          <w:szCs w:val="36"/>
          <w:highlight w:val="none"/>
        </w:rPr>
        <w:sectPr>
          <w:pgSz w:w="11901" w:h="16817"/>
          <w:pgMar w:top="1418" w:right="1701" w:bottom="1418" w:left="1701" w:header="851" w:footer="851" w:gutter="0"/>
          <w:cols w:space="720" w:num="1"/>
          <w:docGrid w:linePitch="462" w:charSpace="0"/>
        </w:sectPr>
      </w:pPr>
    </w:p>
    <w:p>
      <w:pPr>
        <w:numPr>
          <w:ilvl w:val="0"/>
          <w:numId w:val="34"/>
        </w:numPr>
        <w:tabs>
          <w:tab w:val="left" w:pos="360"/>
        </w:tabs>
        <w:snapToGrid w:val="0"/>
        <w:spacing w:line="360" w:lineRule="auto"/>
        <w:outlineLvl w:val="1"/>
        <w:rPr>
          <w:rFonts w:hint="eastAsia" w:ascii="宋体" w:hAnsi="宋体" w:cs="宋体"/>
          <w:b/>
          <w:bCs/>
          <w:color w:val="auto"/>
          <w:sz w:val="24"/>
          <w:szCs w:val="20"/>
          <w:highlight w:val="none"/>
        </w:rPr>
      </w:pPr>
      <w:r>
        <w:rPr>
          <w:rFonts w:hint="eastAsia" w:ascii="宋体" w:hAnsi="宋体" w:cs="宋体"/>
          <w:b/>
          <w:bCs/>
          <w:color w:val="auto"/>
          <w:sz w:val="24"/>
          <w:szCs w:val="20"/>
          <w:highlight w:val="none"/>
        </w:rPr>
        <w:t>本国产品标准证明文件</w:t>
      </w:r>
      <w:r>
        <w:rPr>
          <w:rFonts w:hint="eastAsia" w:ascii="宋体" w:hAnsi="宋体" w:cs="宋体"/>
          <w:b/>
          <w:bCs/>
          <w:color w:val="auto"/>
          <w:sz w:val="24"/>
          <w:szCs w:val="20"/>
          <w:highlight w:val="none"/>
          <w:lang w:eastAsia="zh-CN"/>
        </w:rPr>
        <w:t>（</w:t>
      </w:r>
      <w:r>
        <w:rPr>
          <w:rFonts w:hint="eastAsia" w:ascii="宋体" w:hAnsi="宋体" w:cs="宋体"/>
          <w:b/>
          <w:bCs/>
          <w:color w:val="auto"/>
          <w:sz w:val="24"/>
          <w:szCs w:val="20"/>
          <w:highlight w:val="none"/>
          <w:lang w:val="en-US" w:eastAsia="zh-CN"/>
        </w:rPr>
        <w:t>实质性格式）</w:t>
      </w:r>
    </w:p>
    <w:p>
      <w:pPr>
        <w:pStyle w:val="41"/>
        <w:shd w:val="clear" w:color="auto" w:fill="FFFFFF"/>
        <w:spacing w:before="30" w:beforeAutospacing="0" w:after="30" w:afterAutospacing="0"/>
        <w:jc w:val="center"/>
        <w:rPr>
          <w:rFonts w:hint="eastAsia"/>
          <w:color w:val="auto"/>
          <w:sz w:val="36"/>
          <w:szCs w:val="36"/>
          <w:highlight w:val="none"/>
        </w:rPr>
      </w:pPr>
      <w:r>
        <w:rPr>
          <w:rStyle w:val="51"/>
          <w:rFonts w:hint="eastAsia"/>
          <w:color w:val="auto"/>
          <w:sz w:val="36"/>
          <w:szCs w:val="36"/>
          <w:highlight w:val="none"/>
          <w:shd w:val="clear" w:color="auto" w:fill="FFFFFF"/>
        </w:rPr>
        <w:t>关于符合本国产品标准的声明函</w:t>
      </w:r>
    </w:p>
    <w:p>
      <w:pPr>
        <w:pStyle w:val="41"/>
        <w:shd w:val="clear" w:color="auto" w:fill="FFFFFF"/>
        <w:spacing w:before="30" w:beforeAutospacing="0" w:after="30" w:afterAutospacing="0"/>
        <w:ind w:firstLine="420"/>
        <w:rPr>
          <w:rFonts w:hint="eastAsia"/>
          <w:color w:val="auto"/>
          <w:highlight w:val="none"/>
        </w:rPr>
      </w:pPr>
    </w:p>
    <w:p>
      <w:pPr>
        <w:pStyle w:val="41"/>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41"/>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1.</w:t>
      </w:r>
      <w:r>
        <w:rPr>
          <w:rStyle w:val="54"/>
          <w:rFonts w:hint="eastAsia"/>
          <w:color w:val="auto"/>
          <w:highlight w:val="none"/>
          <w:u w:val="single"/>
          <w:shd w:val="clear" w:color="auto" w:fill="FFFFFF"/>
        </w:rPr>
        <w:t>（产品名称1）</w:t>
      </w:r>
      <w:r>
        <w:rPr>
          <w:rStyle w:val="54"/>
          <w:rFonts w:hint="eastAsia"/>
          <w:color w:val="auto"/>
          <w:highlight w:val="none"/>
          <w:shd w:val="clear" w:color="auto" w:fill="FFFFFF"/>
          <w:vertAlign w:val="superscript"/>
        </w:rPr>
        <w:t>1</w:t>
      </w:r>
      <w:r>
        <w:rPr>
          <w:rFonts w:hint="eastAsia"/>
          <w:color w:val="auto"/>
          <w:highlight w:val="none"/>
          <w:shd w:val="clear" w:color="auto" w:fill="FFFFFF"/>
        </w:rPr>
        <w:t>，生产厂为</w:t>
      </w:r>
      <w:r>
        <w:rPr>
          <w:rStyle w:val="54"/>
          <w:rFonts w:hint="eastAsia"/>
          <w:color w:val="auto"/>
          <w:highlight w:val="none"/>
          <w:u w:val="single"/>
          <w:shd w:val="clear" w:color="auto" w:fill="FFFFFF"/>
        </w:rPr>
        <w:t>（厂名）</w:t>
      </w:r>
      <w:r>
        <w:rPr>
          <w:rStyle w:val="54"/>
          <w:rFonts w:hint="eastAsia"/>
          <w:color w:val="auto"/>
          <w:highlight w:val="none"/>
          <w:shd w:val="clear" w:color="auto" w:fill="FFFFFF"/>
          <w:vertAlign w:val="superscript"/>
        </w:rPr>
        <w:t>2</w:t>
      </w:r>
      <w:r>
        <w:rPr>
          <w:rFonts w:hint="eastAsia"/>
          <w:color w:val="auto"/>
          <w:highlight w:val="none"/>
          <w:shd w:val="clear" w:color="auto" w:fill="FFFFFF"/>
        </w:rPr>
        <w:t>，厂址为</w:t>
      </w:r>
      <w:r>
        <w:rPr>
          <w:rStyle w:val="54"/>
          <w:rFonts w:hint="eastAsia"/>
          <w:color w:val="auto"/>
          <w:highlight w:val="none"/>
          <w:u w:val="single"/>
          <w:shd w:val="clear" w:color="auto" w:fill="FFFFFF"/>
        </w:rPr>
        <w:t>（生产厂址）</w:t>
      </w:r>
      <w:r>
        <w:rPr>
          <w:rFonts w:hint="eastAsia"/>
          <w:color w:val="auto"/>
          <w:highlight w:val="none"/>
          <w:shd w:val="clear" w:color="auto" w:fill="FFFFFF"/>
        </w:rPr>
        <w:t>。</w:t>
      </w:r>
      <w:r>
        <w:rPr>
          <w:rStyle w:val="54"/>
          <w:rFonts w:hint="eastAsia"/>
          <w:color w:val="auto"/>
          <w:highlight w:val="none"/>
          <w:u w:val="single"/>
          <w:shd w:val="clear" w:color="auto" w:fill="FFFFFF"/>
        </w:rPr>
        <w:t>（产品名称1）</w:t>
      </w:r>
      <w:r>
        <w:rPr>
          <w:rFonts w:hint="eastAsia"/>
          <w:color w:val="auto"/>
          <w:highlight w:val="none"/>
          <w:shd w:val="clear" w:color="auto" w:fill="FFFFFF"/>
        </w:rPr>
        <w:t>的中国境内生产的组件成本占比≥</w:t>
      </w:r>
      <w:r>
        <w:rPr>
          <w:rStyle w:val="54"/>
          <w:rFonts w:hint="eastAsia"/>
          <w:color w:val="auto"/>
          <w:highlight w:val="none"/>
          <w:u w:val="single"/>
          <w:shd w:val="clear" w:color="auto" w:fill="FFFFFF"/>
        </w:rPr>
        <w:t>（规定比例）</w:t>
      </w:r>
      <w:r>
        <w:rPr>
          <w:rStyle w:val="54"/>
          <w:rFonts w:hint="eastAsia"/>
          <w:color w:val="auto"/>
          <w:highlight w:val="none"/>
          <w:shd w:val="clear" w:color="auto" w:fill="FFFFFF"/>
          <w:vertAlign w:val="superscript"/>
        </w:rPr>
        <w:t>3</w:t>
      </w:r>
      <w:r>
        <w:rPr>
          <w:rFonts w:hint="eastAsia"/>
          <w:color w:val="auto"/>
          <w:highlight w:val="none"/>
          <w:shd w:val="clear" w:color="auto" w:fill="FFFFFF"/>
        </w:rPr>
        <w:t>。</w:t>
      </w:r>
      <w:r>
        <w:rPr>
          <w:rStyle w:val="54"/>
          <w:rFonts w:hint="eastAsia"/>
          <w:color w:val="auto"/>
          <w:highlight w:val="none"/>
          <w:u w:val="single"/>
          <w:shd w:val="clear" w:color="auto" w:fill="FFFFFF"/>
        </w:rPr>
        <w:t>（产品名称1）</w:t>
      </w:r>
      <w:r>
        <w:rPr>
          <w:rFonts w:hint="eastAsia"/>
          <w:color w:val="auto"/>
          <w:highlight w:val="none"/>
          <w:shd w:val="clear" w:color="auto" w:fill="FFFFFF"/>
        </w:rPr>
        <w:t>的</w:t>
      </w:r>
      <w:r>
        <w:rPr>
          <w:rStyle w:val="54"/>
          <w:rFonts w:hint="eastAsia"/>
          <w:color w:val="auto"/>
          <w:highlight w:val="none"/>
          <w:u w:val="single"/>
          <w:shd w:val="clear" w:color="auto" w:fill="FFFFFF"/>
        </w:rPr>
        <w:t>（关键组件）</w:t>
      </w:r>
      <w:r>
        <w:rPr>
          <w:rStyle w:val="54"/>
          <w:rFonts w:hint="eastAsia"/>
          <w:color w:val="auto"/>
          <w:highlight w:val="none"/>
          <w:shd w:val="clear" w:color="auto" w:fill="FFFFFF"/>
          <w:vertAlign w:val="superscript"/>
        </w:rPr>
        <w:t>4</w:t>
      </w:r>
      <w:r>
        <w:rPr>
          <w:rFonts w:hint="eastAsia"/>
          <w:color w:val="auto"/>
          <w:highlight w:val="none"/>
          <w:shd w:val="clear" w:color="auto" w:fill="FFFFFF"/>
        </w:rPr>
        <w:t>在中国境内生产。</w:t>
      </w:r>
      <w:r>
        <w:rPr>
          <w:rStyle w:val="54"/>
          <w:rFonts w:hint="eastAsia"/>
          <w:color w:val="auto"/>
          <w:highlight w:val="none"/>
          <w:u w:val="single"/>
          <w:shd w:val="clear" w:color="auto" w:fill="FFFFFF"/>
        </w:rPr>
        <w:t>（产品名称1）</w:t>
      </w:r>
      <w:r>
        <w:rPr>
          <w:rFonts w:hint="eastAsia"/>
          <w:color w:val="auto"/>
          <w:highlight w:val="none"/>
          <w:shd w:val="clear" w:color="auto" w:fill="FFFFFF"/>
        </w:rPr>
        <w:t>的</w:t>
      </w:r>
      <w:r>
        <w:rPr>
          <w:rStyle w:val="54"/>
          <w:rFonts w:hint="eastAsia"/>
          <w:color w:val="auto"/>
          <w:highlight w:val="none"/>
          <w:u w:val="single"/>
          <w:shd w:val="clear" w:color="auto" w:fill="FFFFFF"/>
        </w:rPr>
        <w:t>（关键工序）</w:t>
      </w:r>
      <w:r>
        <w:rPr>
          <w:rStyle w:val="54"/>
          <w:rFonts w:hint="eastAsia"/>
          <w:color w:val="auto"/>
          <w:highlight w:val="none"/>
          <w:shd w:val="clear" w:color="auto" w:fill="FFFFFF"/>
          <w:vertAlign w:val="superscript"/>
        </w:rPr>
        <w:t>5</w:t>
      </w:r>
      <w:r>
        <w:rPr>
          <w:rFonts w:hint="eastAsia"/>
          <w:color w:val="auto"/>
          <w:highlight w:val="none"/>
          <w:shd w:val="clear" w:color="auto" w:fill="FFFFFF"/>
        </w:rPr>
        <w:t>在中国境内完成。</w:t>
      </w:r>
    </w:p>
    <w:p>
      <w:pPr>
        <w:pStyle w:val="41"/>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2.</w:t>
      </w:r>
      <w:r>
        <w:rPr>
          <w:rStyle w:val="54"/>
          <w:rFonts w:hint="eastAsia"/>
          <w:color w:val="auto"/>
          <w:highlight w:val="none"/>
          <w:u w:val="single"/>
          <w:shd w:val="clear" w:color="auto" w:fill="FFFFFF"/>
        </w:rPr>
        <w:t>（产品名称2）</w:t>
      </w:r>
      <w:r>
        <w:rPr>
          <w:rFonts w:hint="eastAsia"/>
          <w:color w:val="auto"/>
          <w:highlight w:val="none"/>
          <w:shd w:val="clear" w:color="auto" w:fill="FFFFFF"/>
        </w:rPr>
        <w:t>，生产厂为</w:t>
      </w:r>
      <w:r>
        <w:rPr>
          <w:rStyle w:val="54"/>
          <w:rFonts w:hint="eastAsia"/>
          <w:color w:val="auto"/>
          <w:highlight w:val="none"/>
          <w:u w:val="single"/>
          <w:shd w:val="clear" w:color="auto" w:fill="FFFFFF"/>
        </w:rPr>
        <w:t>（厂名）</w:t>
      </w:r>
      <w:r>
        <w:rPr>
          <w:rFonts w:hint="eastAsia"/>
          <w:color w:val="auto"/>
          <w:highlight w:val="none"/>
          <w:shd w:val="clear" w:color="auto" w:fill="FFFFFF"/>
        </w:rPr>
        <w:t>，厂址为</w:t>
      </w:r>
      <w:r>
        <w:rPr>
          <w:rStyle w:val="54"/>
          <w:rFonts w:hint="eastAsia"/>
          <w:color w:val="auto"/>
          <w:highlight w:val="none"/>
          <w:u w:val="single"/>
          <w:shd w:val="clear" w:color="auto" w:fill="FFFFFF"/>
        </w:rPr>
        <w:t>（生产厂址）</w:t>
      </w:r>
      <w:r>
        <w:rPr>
          <w:rFonts w:hint="eastAsia"/>
          <w:color w:val="auto"/>
          <w:highlight w:val="none"/>
          <w:shd w:val="clear" w:color="auto" w:fill="FFFFFF"/>
        </w:rPr>
        <w:t>。</w:t>
      </w:r>
      <w:r>
        <w:rPr>
          <w:rStyle w:val="54"/>
          <w:rFonts w:hint="eastAsia"/>
          <w:color w:val="auto"/>
          <w:highlight w:val="none"/>
          <w:u w:val="single"/>
          <w:shd w:val="clear" w:color="auto" w:fill="FFFFFF"/>
        </w:rPr>
        <w:t>（产品名称2）</w:t>
      </w:r>
      <w:r>
        <w:rPr>
          <w:rFonts w:hint="eastAsia"/>
          <w:color w:val="auto"/>
          <w:highlight w:val="none"/>
          <w:shd w:val="clear" w:color="auto" w:fill="FFFFFF"/>
        </w:rPr>
        <w:t>的中国境内生产的组件成本占比≥</w:t>
      </w:r>
      <w:r>
        <w:rPr>
          <w:rStyle w:val="54"/>
          <w:rFonts w:hint="eastAsia"/>
          <w:color w:val="auto"/>
          <w:highlight w:val="none"/>
          <w:u w:val="single"/>
          <w:shd w:val="clear" w:color="auto" w:fill="FFFFFF"/>
        </w:rPr>
        <w:t>（规定比例）</w:t>
      </w:r>
      <w:r>
        <w:rPr>
          <w:rFonts w:hint="eastAsia"/>
          <w:color w:val="auto"/>
          <w:highlight w:val="none"/>
          <w:shd w:val="clear" w:color="auto" w:fill="FFFFFF"/>
        </w:rPr>
        <w:t>。</w:t>
      </w:r>
      <w:r>
        <w:rPr>
          <w:rStyle w:val="54"/>
          <w:rFonts w:hint="eastAsia"/>
          <w:color w:val="auto"/>
          <w:highlight w:val="none"/>
          <w:u w:val="single"/>
          <w:shd w:val="clear" w:color="auto" w:fill="FFFFFF"/>
        </w:rPr>
        <w:t>（产品名称2）</w:t>
      </w:r>
      <w:r>
        <w:rPr>
          <w:rFonts w:hint="eastAsia"/>
          <w:color w:val="auto"/>
          <w:highlight w:val="none"/>
          <w:shd w:val="clear" w:color="auto" w:fill="FFFFFF"/>
        </w:rPr>
        <w:t>的</w:t>
      </w:r>
      <w:r>
        <w:rPr>
          <w:rStyle w:val="54"/>
          <w:rFonts w:hint="eastAsia"/>
          <w:color w:val="auto"/>
          <w:highlight w:val="none"/>
          <w:u w:val="single"/>
          <w:shd w:val="clear" w:color="auto" w:fill="FFFFFF"/>
        </w:rPr>
        <w:t>（关键组件）</w:t>
      </w:r>
      <w:r>
        <w:rPr>
          <w:rFonts w:hint="eastAsia"/>
          <w:color w:val="auto"/>
          <w:highlight w:val="none"/>
          <w:shd w:val="clear" w:color="auto" w:fill="FFFFFF"/>
        </w:rPr>
        <w:t>在中国境内生产。</w:t>
      </w:r>
      <w:r>
        <w:rPr>
          <w:rStyle w:val="54"/>
          <w:rFonts w:hint="eastAsia"/>
          <w:color w:val="auto"/>
          <w:highlight w:val="none"/>
          <w:u w:val="single"/>
          <w:shd w:val="clear" w:color="auto" w:fill="FFFFFF"/>
        </w:rPr>
        <w:t>（产品名称2）</w:t>
      </w:r>
      <w:r>
        <w:rPr>
          <w:rFonts w:hint="eastAsia"/>
          <w:color w:val="auto"/>
          <w:highlight w:val="none"/>
          <w:shd w:val="clear" w:color="auto" w:fill="FFFFFF"/>
        </w:rPr>
        <w:t>的</w:t>
      </w:r>
      <w:r>
        <w:rPr>
          <w:rStyle w:val="54"/>
          <w:rFonts w:hint="eastAsia"/>
          <w:color w:val="auto"/>
          <w:highlight w:val="none"/>
          <w:u w:val="single"/>
          <w:shd w:val="clear" w:color="auto" w:fill="FFFFFF"/>
        </w:rPr>
        <w:t>（关键工序）</w:t>
      </w:r>
      <w:r>
        <w:rPr>
          <w:rFonts w:hint="eastAsia"/>
          <w:color w:val="auto"/>
          <w:highlight w:val="none"/>
          <w:shd w:val="clear" w:color="auto" w:fill="FFFFFF"/>
        </w:rPr>
        <w:t>在中国境内完成。</w:t>
      </w:r>
    </w:p>
    <w:p>
      <w:pPr>
        <w:pStyle w:val="41"/>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w:t>
      </w:r>
    </w:p>
    <w:p>
      <w:pPr>
        <w:pStyle w:val="41"/>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本公司（单位）对上述声明内容的真实性负责。如有虚假，愿承担相应法律责任。</w:t>
      </w:r>
    </w:p>
    <w:p>
      <w:pPr>
        <w:pStyle w:val="41"/>
        <w:shd w:val="clear" w:color="auto" w:fill="FFFFFF"/>
        <w:spacing w:before="0" w:beforeAutospacing="0" w:after="0" w:afterAutospacing="0" w:line="360" w:lineRule="auto"/>
        <w:rPr>
          <w:rFonts w:hint="eastAsia"/>
          <w:color w:val="auto"/>
          <w:highlight w:val="none"/>
        </w:rPr>
      </w:pPr>
    </w:p>
    <w:p>
      <w:pPr>
        <w:pStyle w:val="41"/>
        <w:shd w:val="clear" w:color="auto" w:fill="FFFFFF"/>
        <w:spacing w:before="0" w:beforeAutospacing="0" w:after="0" w:afterAutospacing="0" w:line="360" w:lineRule="auto"/>
        <w:jc w:val="right"/>
        <w:rPr>
          <w:rFonts w:hint="eastAsia"/>
          <w:color w:val="auto"/>
          <w:highlight w:val="none"/>
          <w:shd w:val="clear" w:color="auto" w:fill="FFFFFF"/>
        </w:rPr>
      </w:pPr>
    </w:p>
    <w:p>
      <w:pPr>
        <w:pStyle w:val="41"/>
        <w:shd w:val="clear" w:color="auto" w:fill="FFFFFF"/>
        <w:spacing w:before="0" w:beforeAutospacing="0" w:after="0" w:afterAutospacing="0" w:line="360" w:lineRule="auto"/>
        <w:jc w:val="right"/>
        <w:rPr>
          <w:rFonts w:hint="eastAsia"/>
          <w:color w:val="auto"/>
          <w:highlight w:val="none"/>
        </w:rPr>
      </w:pPr>
      <w:r>
        <w:rPr>
          <w:rFonts w:hint="eastAsia"/>
          <w:color w:val="auto"/>
          <w:highlight w:val="none"/>
          <w:shd w:val="clear" w:color="auto" w:fill="FFFFFF"/>
        </w:rPr>
        <w:t>公司（单位）名称（盖章）：　        </w:t>
      </w:r>
    </w:p>
    <w:p>
      <w:pPr>
        <w:pStyle w:val="41"/>
        <w:shd w:val="clear" w:color="auto" w:fill="FFFFFF"/>
        <w:spacing w:before="0" w:beforeAutospacing="0" w:after="0" w:afterAutospacing="0" w:line="360" w:lineRule="auto"/>
        <w:jc w:val="right"/>
        <w:rPr>
          <w:rFonts w:hint="eastAsia"/>
          <w:color w:val="auto"/>
          <w:highlight w:val="none"/>
        </w:rPr>
      </w:pPr>
      <w:r>
        <w:rPr>
          <w:rFonts w:hint="eastAsia"/>
          <w:color w:val="auto"/>
          <w:highlight w:val="none"/>
          <w:shd w:val="clear" w:color="auto" w:fill="FFFFFF"/>
        </w:rPr>
        <w:t>日期：　     年　  月　  日         </w:t>
      </w:r>
    </w:p>
    <w:p>
      <w:pPr>
        <w:pStyle w:val="41"/>
        <w:shd w:val="clear" w:color="auto" w:fill="FFFFFF"/>
        <w:spacing w:before="0" w:beforeAutospacing="0" w:after="0" w:afterAutospacing="0" w:line="360" w:lineRule="auto"/>
        <w:rPr>
          <w:rFonts w:hint="eastAsia"/>
          <w:color w:val="auto"/>
          <w:highlight w:val="none"/>
          <w:shd w:val="clear" w:color="auto" w:fill="FFFFFF"/>
        </w:rPr>
      </w:pPr>
    </w:p>
    <w:p>
      <w:pPr>
        <w:pStyle w:val="41"/>
        <w:shd w:val="clear" w:color="auto" w:fill="FFFFFF"/>
        <w:spacing w:before="0" w:beforeAutospacing="0" w:after="0" w:afterAutospacing="0" w:line="360" w:lineRule="auto"/>
        <w:rPr>
          <w:rFonts w:hint="eastAsia"/>
          <w:color w:val="auto"/>
          <w:highlight w:val="none"/>
          <w:shd w:val="clear" w:color="auto" w:fill="FFFFFF"/>
        </w:rPr>
      </w:pPr>
    </w:p>
    <w:p>
      <w:pPr>
        <w:spacing w:line="360" w:lineRule="auto"/>
        <w:ind w:left="424" w:leftChars="1" w:hanging="422" w:hangingChars="201"/>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注：1.产品如有型号，请在“产品名称”栏一并填写。</w:t>
      </w:r>
    </w:p>
    <w:p>
      <w:pPr>
        <w:spacing w:line="360" w:lineRule="auto"/>
        <w:ind w:left="420" w:left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2.生产厂名与厂址应与生产厂营业执照载明的相关信息保持一致。</w:t>
      </w:r>
    </w:p>
    <w:p>
      <w:pPr>
        <w:spacing w:line="360" w:lineRule="auto"/>
        <w:ind w:left="420" w:left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3.该产品的中国境内生产的组件成本占比相关要求实施前，“规定比例”栏可不填。</w:t>
      </w:r>
    </w:p>
    <w:p>
      <w:pPr>
        <w:spacing w:line="360" w:lineRule="auto"/>
        <w:ind w:left="420" w:left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4.该产品的关键组件要求实施前，“关键组件”栏可不填。</w:t>
      </w:r>
    </w:p>
    <w:p>
      <w:pPr>
        <w:spacing w:line="360" w:lineRule="auto"/>
        <w:ind w:left="420" w:left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5.该产品的关键工序要求实施前，“关键工序”栏可不填。</w:t>
      </w:r>
    </w:p>
    <w:p>
      <w:pPr>
        <w:widowControl/>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br w:type="page"/>
      </w:r>
    </w:p>
    <w:p>
      <w:pPr>
        <w:pStyle w:val="41"/>
        <w:shd w:val="clear" w:color="auto" w:fill="FFFFFF"/>
        <w:spacing w:before="30" w:beforeAutospacing="0" w:after="30" w:afterAutospacing="0"/>
        <w:jc w:val="center"/>
        <w:rPr>
          <w:rStyle w:val="51"/>
          <w:rFonts w:hint="eastAsia"/>
          <w:color w:val="auto"/>
          <w:sz w:val="36"/>
          <w:szCs w:val="36"/>
          <w:highlight w:val="none"/>
        </w:rPr>
      </w:pPr>
      <w:r>
        <w:rPr>
          <w:rStyle w:val="51"/>
          <w:rFonts w:hint="eastAsia"/>
          <w:color w:val="auto"/>
          <w:sz w:val="36"/>
          <w:szCs w:val="36"/>
          <w:highlight w:val="none"/>
        </w:rPr>
        <w:t>产品成本占比承诺函</w:t>
      </w:r>
    </w:p>
    <w:p>
      <w:pPr>
        <w:pStyle w:val="41"/>
        <w:shd w:val="clear" w:color="auto" w:fill="FFFFFF"/>
        <w:spacing w:before="30" w:beforeAutospacing="0" w:after="30" w:afterAutospacing="0"/>
        <w:rPr>
          <w:rStyle w:val="51"/>
          <w:rFonts w:hint="eastAsia"/>
          <w:color w:val="auto"/>
          <w:sz w:val="36"/>
          <w:szCs w:val="36"/>
          <w:highlight w:val="none"/>
        </w:rPr>
      </w:pPr>
    </w:p>
    <w:p>
      <w:pPr>
        <w:widowControl/>
        <w:spacing w:line="360" w:lineRule="auto"/>
        <w:ind w:firstLine="480" w:firstLineChars="200"/>
        <w:jc w:val="left"/>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我公司（单位）郑重承诺，我公司已阅读并理解《国务院办公厅关于在政府采购中实施本国产品标准及相关政策的通知》（国办发〔2025〕34号）的规定。据此承诺如下：</w:t>
      </w:r>
    </w:p>
    <w:p>
      <w:pPr>
        <w:widowControl/>
        <w:spacing w:line="360" w:lineRule="auto"/>
        <w:ind w:firstLine="480" w:firstLineChars="200"/>
        <w:jc w:val="left"/>
        <w:rPr>
          <w:rFonts w:hint="eastAsia" w:ascii="宋体" w:hAnsi="宋体" w:cs="宋体"/>
          <w:color w:val="auto"/>
          <w:spacing w:val="6"/>
          <w:sz w:val="24"/>
          <w:highlight w:val="none"/>
        </w:rPr>
      </w:pPr>
      <w:r>
        <w:rPr>
          <w:rFonts w:hint="eastAsia" w:ascii="宋体" w:hAnsi="宋体" w:cs="宋体"/>
          <w:color w:val="auto"/>
          <w:sz w:val="24"/>
          <w:highlight w:val="none"/>
          <w:shd w:val="clear" w:color="auto" w:fill="FFFFFF"/>
        </w:rPr>
        <w:t>为本采购项目或者采购包提供的符合本国产品标准的产品成本之和占提供的全部产品成本之和的比例为</w:t>
      </w:r>
      <w:r>
        <w:rPr>
          <w:rFonts w:hint="eastAsia" w:ascii="宋体" w:hAnsi="宋体" w:cs="宋体"/>
          <w:color w:val="auto"/>
          <w:spacing w:val="6"/>
          <w:sz w:val="24"/>
          <w:highlight w:val="none"/>
        </w:rPr>
        <w:t>______%。</w:t>
      </w:r>
    </w:p>
    <w:p>
      <w:pPr>
        <w:widowControl/>
        <w:spacing w:line="360" w:lineRule="auto"/>
        <w:ind w:firstLine="480" w:firstLineChars="200"/>
        <w:jc w:val="left"/>
        <w:rPr>
          <w:rFonts w:hint="eastAsia" w:ascii="宋体" w:hAnsi="宋体" w:cs="宋体"/>
          <w:color w:val="auto"/>
          <w:sz w:val="24"/>
          <w:highlight w:val="none"/>
        </w:rPr>
      </w:pPr>
    </w:p>
    <w:p>
      <w:pPr>
        <w:pStyle w:val="41"/>
        <w:shd w:val="clear" w:color="auto" w:fill="FFFFFF"/>
        <w:spacing w:before="0" w:beforeAutospacing="0" w:after="0" w:afterAutospacing="0" w:line="360" w:lineRule="auto"/>
        <w:jc w:val="right"/>
        <w:rPr>
          <w:rFonts w:hint="eastAsia"/>
          <w:color w:val="auto"/>
          <w:highlight w:val="none"/>
        </w:rPr>
      </w:pPr>
      <w:r>
        <w:rPr>
          <w:rFonts w:hint="eastAsia"/>
          <w:color w:val="auto"/>
          <w:highlight w:val="none"/>
          <w:shd w:val="clear" w:color="auto" w:fill="FFFFFF"/>
        </w:rPr>
        <w:t>公司（单位）名称（盖章）：　        </w:t>
      </w:r>
    </w:p>
    <w:p>
      <w:pPr>
        <w:widowControl/>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shd w:val="clear" w:color="auto" w:fill="FFFFFF"/>
        </w:rPr>
        <w:t>日期：　     年　  月　  日     </w:t>
      </w:r>
    </w:p>
    <w:p>
      <w:pPr>
        <w:widowControl/>
        <w:spacing w:line="360" w:lineRule="auto"/>
        <w:jc w:val="left"/>
        <w:rPr>
          <w:rFonts w:hint="eastAsia" w:ascii="宋体" w:hAnsi="宋体" w:cs="宋体"/>
          <w:color w:val="auto"/>
          <w:sz w:val="24"/>
          <w:highlight w:val="none"/>
        </w:rPr>
      </w:pPr>
    </w:p>
    <w:p>
      <w:pPr>
        <w:widowControl/>
        <w:spacing w:line="360" w:lineRule="auto"/>
        <w:jc w:val="left"/>
        <w:rPr>
          <w:rFonts w:hint="eastAsia" w:ascii="宋体" w:hAnsi="宋体" w:cs="宋体"/>
          <w:color w:val="auto"/>
          <w:sz w:val="24"/>
          <w:highlight w:val="none"/>
        </w:rPr>
      </w:pP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注：</w:t>
      </w:r>
    </w:p>
    <w:p>
      <w:pPr>
        <w:spacing w:line="360" w:lineRule="auto"/>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 本承诺函应按包分别提供。</w:t>
      </w:r>
    </w:p>
    <w:p>
      <w:pPr>
        <w:spacing w:line="360" w:lineRule="auto"/>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 单一产品采购无须提供本承诺函；供应商提供产品全部为本国产品，且提供了《关于符合本国产品标准的声明函》时，无须提供本承诺函。</w:t>
      </w:r>
    </w:p>
    <w:p>
      <w:pPr>
        <w:spacing w:line="360" w:lineRule="auto"/>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cs="宋体"/>
          <w:color w:val="auto"/>
          <w:highlight w:val="none"/>
        </w:rPr>
        <w:t>价格评审优惠</w:t>
      </w:r>
      <w:r>
        <w:rPr>
          <w:rFonts w:hint="eastAsia" w:ascii="宋体" w:hAnsi="宋体" w:cs="宋体"/>
          <w:color w:val="auto"/>
          <w:szCs w:val="21"/>
          <w:highlight w:val="none"/>
          <w:shd w:val="clear" w:color="auto" w:fill="FFFFFF"/>
        </w:rPr>
        <w:t>。</w:t>
      </w:r>
    </w:p>
    <w:p>
      <w:pPr>
        <w:spacing w:line="360" w:lineRule="auto"/>
        <w:outlineLvl w:val="2"/>
        <w:rPr>
          <w:rFonts w:hint="eastAsia" w:ascii="宋体" w:hAnsi="宋体" w:cs="宋体"/>
          <w:b/>
          <w:bCs/>
          <w:color w:val="auto"/>
          <w:sz w:val="24"/>
          <w:szCs w:val="20"/>
          <w:highlight w:val="none"/>
        </w:rPr>
        <w:sectPr>
          <w:pgSz w:w="11901" w:h="16817"/>
          <w:pgMar w:top="1418" w:right="1701" w:bottom="1418" w:left="1701" w:header="851" w:footer="851" w:gutter="0"/>
          <w:cols w:space="720" w:num="1"/>
          <w:docGrid w:linePitch="462" w:charSpace="0"/>
        </w:sectPr>
      </w:pPr>
    </w:p>
    <w:p>
      <w:pPr>
        <w:spacing w:line="360" w:lineRule="auto"/>
        <w:outlineLvl w:val="2"/>
        <w:rPr>
          <w:rFonts w:hint="eastAsia" w:ascii="宋体" w:hAnsi="宋体" w:cs="宋体"/>
          <w:b/>
          <w:bCs/>
          <w:color w:val="auto"/>
          <w:sz w:val="24"/>
          <w:szCs w:val="20"/>
          <w:highlight w:val="none"/>
        </w:rPr>
      </w:pPr>
      <w:r>
        <w:rPr>
          <w:rFonts w:hint="eastAsia" w:ascii="宋体" w:hAnsi="宋体" w:cs="宋体"/>
          <w:b/>
          <w:bCs/>
          <w:color w:val="auto"/>
          <w:sz w:val="24"/>
          <w:szCs w:val="20"/>
          <w:highlight w:val="none"/>
        </w:rPr>
        <w:t>8 招标文件要求提供或投标人认为应附的其他材料</w:t>
      </w:r>
    </w:p>
    <w:p>
      <w:pPr>
        <w:tabs>
          <w:tab w:val="left" w:pos="5580"/>
        </w:tabs>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附件1、类似项目业绩</w:t>
      </w:r>
    </w:p>
    <w:p>
      <w:pPr>
        <w:adjustRightInd w:val="0"/>
        <w:snapToGrid w:val="0"/>
        <w:spacing w:line="360" w:lineRule="auto"/>
        <w:rPr>
          <w:rFonts w:hint="eastAsia" w:ascii="宋体" w:hAnsi="宋体" w:cs="宋体"/>
          <w:b/>
          <w:color w:val="auto"/>
          <w:szCs w:val="21"/>
          <w:highlight w:val="non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s="宋体"/>
          <w:color w:val="auto"/>
          <w:sz w:val="24"/>
          <w:highlight w:val="none"/>
        </w:rPr>
        <w:t>_</w:t>
      </w:r>
    </w:p>
    <w:tbl>
      <w:tblPr>
        <w:tblStyle w:val="47"/>
        <w:tblW w:w="793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3"/>
        <w:gridCol w:w="1966"/>
        <w:gridCol w:w="1559"/>
        <w:gridCol w:w="1843"/>
        <w:gridCol w:w="14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5"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业主名称</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项目内容</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r>
    </w:tbl>
    <w:p>
      <w:pPr>
        <w:adjustRightInd w:val="0"/>
        <w:snapToGrid w:val="0"/>
        <w:spacing w:line="360" w:lineRule="auto"/>
        <w:ind w:firstLine="620" w:firstLineChars="294"/>
        <w:jc w:val="left"/>
        <w:rPr>
          <w:rFonts w:hint="eastAsia" w:ascii="宋体" w:hAnsi="宋体" w:cs="宋体"/>
          <w:b/>
          <w:color w:val="auto"/>
          <w:szCs w:val="21"/>
          <w:highlight w:val="none"/>
        </w:rPr>
      </w:pPr>
    </w:p>
    <w:p>
      <w:pPr>
        <w:autoSpaceDE w:val="0"/>
        <w:autoSpaceDN w:val="0"/>
        <w:adjustRightInd w:val="0"/>
        <w:snapToGrid w:val="0"/>
        <w:spacing w:before="25" w:after="25"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    ____________</w:t>
      </w:r>
    </w:p>
    <w:p>
      <w:pPr>
        <w:pStyle w:val="42"/>
        <w:spacing w:line="360" w:lineRule="auto"/>
        <w:ind w:firstLine="480" w:firstLineChars="200"/>
        <w:jc w:val="left"/>
        <w:rPr>
          <w:rFonts w:hint="eastAsia" w:ascii="宋体" w:hAnsi="宋体" w:cs="宋体"/>
          <w:color w:val="auto"/>
          <w:highlight w:val="none"/>
        </w:rPr>
      </w:pPr>
      <w:r>
        <w:rPr>
          <w:rFonts w:hint="eastAsia" w:ascii="宋体" w:hAnsi="宋体" w:cs="宋体"/>
          <w:color w:val="auto"/>
          <w:sz w:val="24"/>
          <w:highlight w:val="none"/>
        </w:rPr>
        <w:t>日期：_____年______月______日</w:t>
      </w:r>
    </w:p>
    <w:p>
      <w:pPr>
        <w:pStyle w:val="23"/>
        <w:spacing w:line="360" w:lineRule="auto"/>
        <w:ind w:firstLine="420" w:firstLineChars="200"/>
        <w:jc w:val="left"/>
        <w:rPr>
          <w:rFonts w:hAnsi="宋体" w:cs="宋体"/>
          <w:color w:val="auto"/>
          <w:szCs w:val="21"/>
          <w:highlight w:val="none"/>
        </w:rPr>
      </w:pPr>
      <w:r>
        <w:rPr>
          <w:rFonts w:hAnsi="宋体" w:cs="宋体"/>
          <w:color w:val="auto"/>
          <w:szCs w:val="21"/>
          <w:highlight w:val="none"/>
        </w:rPr>
        <w:tab/>
      </w:r>
    </w:p>
    <w:p>
      <w:pPr>
        <w:widowControl/>
        <w:jc w:val="left"/>
        <w:rPr>
          <w:rFonts w:hint="eastAsia" w:ascii="宋体" w:hAnsi="宋体" w:cs="宋体"/>
          <w:color w:val="auto"/>
          <w:szCs w:val="21"/>
          <w:highlight w:val="none"/>
        </w:rPr>
      </w:pPr>
      <w:r>
        <w:rPr>
          <w:rFonts w:hint="eastAsia" w:ascii="宋体" w:hAnsi="宋体" w:cs="宋体"/>
          <w:color w:val="auto"/>
          <w:szCs w:val="21"/>
          <w:highlight w:val="none"/>
        </w:rPr>
        <w:br w:type="page"/>
      </w:r>
    </w:p>
    <w:p>
      <w:pPr>
        <w:tabs>
          <w:tab w:val="left" w:pos="5580"/>
        </w:tabs>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附件2、招标服务费缴费承诺书</w:t>
      </w:r>
    </w:p>
    <w:p>
      <w:pPr>
        <w:tabs>
          <w:tab w:val="left" w:pos="5580"/>
        </w:tabs>
        <w:spacing w:line="360" w:lineRule="auto"/>
        <w:jc w:val="center"/>
        <w:rPr>
          <w:rFonts w:hint="eastAsia" w:ascii="宋体" w:hAnsi="宋体" w:cs="宋体"/>
          <w:b/>
          <w:bCs/>
          <w:color w:val="auto"/>
          <w:sz w:val="24"/>
          <w:highlight w:val="none"/>
        </w:rPr>
      </w:pPr>
    </w:p>
    <w:p>
      <w:pPr>
        <w:tabs>
          <w:tab w:val="left" w:pos="5580"/>
        </w:tabs>
        <w:spacing w:line="360" w:lineRule="auto"/>
        <w:jc w:val="center"/>
        <w:rPr>
          <w:rFonts w:hint="eastAsia" w:ascii="宋体" w:hAnsi="宋体" w:cs="宋体"/>
          <w:b/>
          <w:bCs/>
          <w:color w:val="auto"/>
          <w:sz w:val="24"/>
          <w:highlight w:val="none"/>
        </w:rPr>
      </w:pPr>
    </w:p>
    <w:p>
      <w:pPr>
        <w:tabs>
          <w:tab w:val="left" w:pos="5580"/>
        </w:tabs>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《招标服务费缴费承诺书》</w:t>
      </w:r>
    </w:p>
    <w:p>
      <w:pPr>
        <w:pStyle w:val="23"/>
        <w:spacing w:line="360" w:lineRule="auto"/>
        <w:rPr>
          <w:rFonts w:hAnsi="宋体" w:cs="宋体"/>
          <w:color w:val="auto"/>
          <w:sz w:val="24"/>
          <w:szCs w:val="24"/>
          <w:highlight w:val="none"/>
        </w:rPr>
      </w:pPr>
    </w:p>
    <w:p>
      <w:pPr>
        <w:pStyle w:val="23"/>
        <w:spacing w:line="360" w:lineRule="auto"/>
        <w:rPr>
          <w:rFonts w:hAnsi="宋体" w:cs="宋体"/>
          <w:color w:val="auto"/>
          <w:sz w:val="24"/>
          <w:szCs w:val="24"/>
          <w:highlight w:val="none"/>
        </w:rPr>
      </w:pPr>
      <w:r>
        <w:rPr>
          <w:rFonts w:hAnsi="宋体" w:cs="宋体"/>
          <w:color w:val="auto"/>
          <w:sz w:val="24"/>
          <w:szCs w:val="24"/>
          <w:highlight w:val="none"/>
        </w:rPr>
        <w:t xml:space="preserve">致北京国泰建中管理咨询有限公司：   </w:t>
      </w:r>
    </w:p>
    <w:p>
      <w:pPr>
        <w:pStyle w:val="23"/>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我们在贵公司组织的</w:t>
      </w:r>
      <w:r>
        <w:rPr>
          <w:rFonts w:hAnsi="宋体" w:cs="宋体"/>
          <w:color w:val="auto"/>
          <w:sz w:val="24"/>
          <w:szCs w:val="24"/>
          <w:highlight w:val="none"/>
          <w:u w:val="single"/>
        </w:rPr>
        <w:tab/>
      </w:r>
      <w:r>
        <w:rPr>
          <w:rFonts w:hAnsi="宋体" w:cs="宋体"/>
          <w:color w:val="auto"/>
          <w:sz w:val="24"/>
          <w:szCs w:val="24"/>
          <w:highlight w:val="none"/>
          <w:u w:val="single"/>
        </w:rPr>
        <w:t xml:space="preserve">       </w:t>
      </w:r>
      <w:r>
        <w:rPr>
          <w:rFonts w:hAnsi="宋体" w:cs="宋体"/>
          <w:color w:val="auto"/>
          <w:sz w:val="24"/>
          <w:szCs w:val="24"/>
          <w:highlight w:val="none"/>
          <w:u w:val="single"/>
        </w:rPr>
        <w:tab/>
      </w:r>
      <w:r>
        <w:rPr>
          <w:rFonts w:hAnsi="宋体" w:cs="宋体"/>
          <w:color w:val="auto"/>
          <w:sz w:val="24"/>
          <w:szCs w:val="24"/>
          <w:highlight w:val="none"/>
          <w:u w:val="single"/>
        </w:rPr>
        <w:t>（项目名称）</w:t>
      </w:r>
      <w:r>
        <w:rPr>
          <w:rFonts w:hint="eastAsia" w:hAnsi="宋体" w:cs="宋体"/>
          <w:color w:val="auto"/>
          <w:sz w:val="24"/>
          <w:szCs w:val="24"/>
          <w:highlight w:val="none"/>
          <w:u w:val="single"/>
          <w:lang w:val="en-US" w:eastAsia="zh-CN"/>
        </w:rPr>
        <w:t xml:space="preserve">   （分包名称）</w:t>
      </w:r>
      <w:r>
        <w:rPr>
          <w:rFonts w:hAnsi="宋体" w:cs="宋体"/>
          <w:color w:val="auto"/>
          <w:sz w:val="24"/>
          <w:szCs w:val="24"/>
          <w:highlight w:val="none"/>
        </w:rPr>
        <w:t>招标中若获中标资格，保证在领取中标通知书的同时按招标文件的规定，以支票、电汇形式，向贵公司即北京国泰建中管理咨询有限公司（地址：</w:t>
      </w:r>
      <w:r>
        <w:rPr>
          <w:rFonts w:hAnsi="宋体" w:cs="宋体"/>
          <w:color w:val="auto"/>
          <w:sz w:val="24"/>
          <w:szCs w:val="24"/>
          <w:highlight w:val="none"/>
          <w:u w:val="single"/>
        </w:rPr>
        <w:t>北京市海淀区成府路中科科仪院内</w:t>
      </w:r>
      <w:r>
        <w:rPr>
          <w:rFonts w:hint="eastAsia" w:hAnsi="宋体" w:cs="宋体"/>
          <w:color w:val="auto"/>
          <w:sz w:val="24"/>
          <w:szCs w:val="24"/>
          <w:highlight w:val="none"/>
          <w:u w:val="single"/>
        </w:rPr>
        <w:t>6</w:t>
      </w:r>
      <w:r>
        <w:rPr>
          <w:rFonts w:hAnsi="宋体" w:cs="宋体"/>
          <w:color w:val="auto"/>
          <w:sz w:val="24"/>
          <w:szCs w:val="24"/>
          <w:highlight w:val="none"/>
          <w:u w:val="single"/>
        </w:rPr>
        <w:t>号楼</w:t>
      </w:r>
      <w:r>
        <w:rPr>
          <w:rFonts w:hint="eastAsia" w:hAnsi="宋体" w:cs="宋体"/>
          <w:color w:val="auto"/>
          <w:sz w:val="24"/>
          <w:szCs w:val="24"/>
          <w:highlight w:val="none"/>
          <w:u w:val="single"/>
        </w:rPr>
        <w:t>3</w:t>
      </w:r>
      <w:r>
        <w:rPr>
          <w:rFonts w:hAnsi="宋体" w:cs="宋体"/>
          <w:color w:val="auto"/>
          <w:sz w:val="24"/>
          <w:szCs w:val="24"/>
          <w:highlight w:val="none"/>
          <w:u w:val="single"/>
        </w:rPr>
        <w:t>层</w:t>
      </w:r>
      <w:r>
        <w:rPr>
          <w:rFonts w:hAnsi="宋体" w:cs="宋体"/>
          <w:color w:val="auto"/>
          <w:sz w:val="24"/>
          <w:szCs w:val="24"/>
          <w:highlight w:val="none"/>
        </w:rPr>
        <w:t>，开户银行：</w:t>
      </w:r>
      <w:r>
        <w:rPr>
          <w:rFonts w:hAnsi="宋体" w:cs="宋体"/>
          <w:color w:val="auto"/>
          <w:sz w:val="24"/>
          <w:szCs w:val="24"/>
          <w:highlight w:val="none"/>
          <w:u w:val="single"/>
        </w:rPr>
        <w:t>招商银行股份有限公司北京分行甘家口支行</w:t>
      </w:r>
      <w:r>
        <w:rPr>
          <w:rFonts w:hAnsi="宋体" w:cs="宋体"/>
          <w:color w:val="auto"/>
          <w:sz w:val="24"/>
          <w:szCs w:val="24"/>
          <w:highlight w:val="none"/>
        </w:rPr>
        <w:t>，账号：</w:t>
      </w:r>
      <w:r>
        <w:rPr>
          <w:rFonts w:hAnsi="宋体" w:cs="宋体"/>
          <w:color w:val="auto"/>
          <w:sz w:val="24"/>
          <w:szCs w:val="24"/>
          <w:highlight w:val="none"/>
          <w:u w:val="single"/>
        </w:rPr>
        <w:t>531902429310101</w:t>
      </w:r>
      <w:r>
        <w:rPr>
          <w:rFonts w:hAnsi="宋体" w:cs="宋体"/>
          <w:color w:val="auto"/>
          <w:sz w:val="24"/>
          <w:szCs w:val="24"/>
          <w:highlight w:val="none"/>
        </w:rPr>
        <w:t>），一次性支付应缴费用。代理收费标准参考原国家计委印发的计价格[2002]1980号关于《招标代理机构服务费管理暂行办法》、发改办价格[2003]857号文《国家发展改革委办公厅关于招标代理服务收费有关问题的通知》及发改价格【2011】534号文等。根据工商税务部门的有关要求，凡中标人支付代理服务费的项目需要代理机构与中标人补签相关费用支付协议。因此，我单位理解并同意如果中标将按贵方规定支付相关费用并签署支付协议。</w:t>
      </w:r>
    </w:p>
    <w:p>
      <w:pPr>
        <w:pStyle w:val="23"/>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ab/>
      </w:r>
      <w:r>
        <w:rPr>
          <w:rFonts w:hAnsi="宋体" w:cs="宋体"/>
          <w:color w:val="auto"/>
          <w:sz w:val="24"/>
          <w:szCs w:val="24"/>
          <w:highlight w:val="none"/>
        </w:rPr>
        <w:t>特此承诺！</w:t>
      </w:r>
    </w:p>
    <w:p>
      <w:pPr>
        <w:autoSpaceDE w:val="0"/>
        <w:autoSpaceDN w:val="0"/>
        <w:adjustRightInd w:val="0"/>
        <w:snapToGrid w:val="0"/>
        <w:spacing w:before="25" w:after="25" w:line="360" w:lineRule="auto"/>
        <w:rPr>
          <w:rFonts w:hint="eastAsia" w:ascii="宋体" w:hAnsi="宋体" w:cs="宋体"/>
          <w:color w:val="auto"/>
          <w:sz w:val="24"/>
          <w:highlight w:val="none"/>
        </w:rPr>
      </w:pPr>
      <w:r>
        <w:rPr>
          <w:rFonts w:hint="eastAsia" w:ascii="宋体" w:hAnsi="宋体" w:cs="宋体"/>
          <w:color w:val="auto"/>
          <w:sz w:val="24"/>
          <w:highlight w:val="none"/>
        </w:rPr>
        <w:tab/>
      </w:r>
    </w:p>
    <w:p>
      <w:pPr>
        <w:autoSpaceDE w:val="0"/>
        <w:autoSpaceDN w:val="0"/>
        <w:adjustRightInd w:val="0"/>
        <w:snapToGrid w:val="0"/>
        <w:spacing w:before="25" w:after="25"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    ____________</w:t>
      </w:r>
    </w:p>
    <w:p>
      <w:pPr>
        <w:pStyle w:val="42"/>
        <w:spacing w:line="360" w:lineRule="auto"/>
        <w:ind w:firstLine="480" w:firstLineChars="200"/>
        <w:jc w:val="left"/>
        <w:rPr>
          <w:rFonts w:hint="eastAsia" w:ascii="宋体" w:hAnsi="宋体" w:cs="宋体"/>
          <w:color w:val="auto"/>
          <w:sz w:val="24"/>
          <w:highlight w:val="none"/>
        </w:rPr>
        <w:sectPr>
          <w:pgSz w:w="11901" w:h="16817"/>
          <w:pgMar w:top="1418" w:right="1701" w:bottom="1418" w:left="1701" w:header="851" w:footer="851" w:gutter="0"/>
          <w:cols w:space="720" w:num="1"/>
          <w:docGrid w:linePitch="462" w:charSpace="0"/>
        </w:sectPr>
      </w:pPr>
      <w:r>
        <w:rPr>
          <w:rFonts w:hint="eastAsia" w:ascii="宋体" w:hAnsi="宋体" w:cs="宋体"/>
          <w:color w:val="auto"/>
          <w:sz w:val="24"/>
          <w:highlight w:val="none"/>
        </w:rPr>
        <w:t>日期：_____年______月______日</w:t>
      </w:r>
    </w:p>
    <w:p>
      <w:pPr>
        <w:rPr>
          <w:rFonts w:hint="eastAsia" w:ascii="宋体" w:hAnsi="宋体" w:cs="宋体"/>
          <w:b/>
          <w:color w:val="auto"/>
          <w:sz w:val="24"/>
          <w:szCs w:val="20"/>
          <w:highlight w:val="none"/>
        </w:rPr>
      </w:pPr>
      <w:r>
        <w:rPr>
          <w:rFonts w:hint="eastAsia" w:ascii="宋体" w:hAnsi="宋体" w:cs="宋体"/>
          <w:b/>
          <w:color w:val="auto"/>
          <w:sz w:val="24"/>
          <w:szCs w:val="20"/>
          <w:highlight w:val="none"/>
        </w:rPr>
        <w:t xml:space="preserve">附件3 </w:t>
      </w:r>
    </w:p>
    <w:p>
      <w:pPr>
        <w:widowControl/>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投标人信息采集表</w:t>
      </w:r>
    </w:p>
    <w:tbl>
      <w:tblPr>
        <w:tblStyle w:val="48"/>
        <w:tblW w:w="84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3"/>
        <w:gridCol w:w="2122"/>
        <w:gridCol w:w="2122"/>
        <w:gridCol w:w="21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123" w:type="dxa"/>
          </w:tcPr>
          <w:p>
            <w:pPr>
              <w:jc w:val="center"/>
              <w:rPr>
                <w:rFonts w:hint="eastAsia" w:ascii="宋体" w:hAnsi="宋体" w:cs="宋体"/>
                <w:color w:val="auto"/>
                <w:sz w:val="24"/>
                <w:highlight w:val="none"/>
              </w:rPr>
            </w:pPr>
            <w:r>
              <w:rPr>
                <w:rFonts w:hint="eastAsia" w:ascii="宋体" w:hAnsi="宋体" w:cs="宋体"/>
                <w:color w:val="auto"/>
                <w:sz w:val="24"/>
                <w:highlight w:val="none"/>
              </w:rPr>
              <w:t>投标人名称</w:t>
            </w:r>
          </w:p>
        </w:tc>
        <w:tc>
          <w:tcPr>
            <w:tcW w:w="2122" w:type="dxa"/>
          </w:tcPr>
          <w:p>
            <w:pPr>
              <w:jc w:val="center"/>
              <w:rPr>
                <w:rFonts w:hint="eastAsia" w:ascii="宋体" w:hAnsi="宋体" w:cs="宋体"/>
                <w:color w:val="auto"/>
                <w:sz w:val="24"/>
                <w:highlight w:val="none"/>
              </w:rPr>
            </w:pPr>
            <w:r>
              <w:rPr>
                <w:rFonts w:hint="eastAsia" w:ascii="宋体" w:hAnsi="宋体" w:cs="宋体"/>
                <w:color w:val="auto"/>
                <w:sz w:val="24"/>
                <w:highlight w:val="none"/>
              </w:rPr>
              <w:t>投标人所属性别</w:t>
            </w:r>
          </w:p>
        </w:tc>
        <w:tc>
          <w:tcPr>
            <w:tcW w:w="2122" w:type="dxa"/>
          </w:tcPr>
          <w:p>
            <w:pPr>
              <w:jc w:val="center"/>
              <w:rPr>
                <w:rFonts w:hint="eastAsia" w:ascii="宋体" w:hAnsi="宋体" w:cs="宋体"/>
                <w:color w:val="auto"/>
                <w:sz w:val="24"/>
                <w:highlight w:val="none"/>
              </w:rPr>
            </w:pPr>
            <w:r>
              <w:rPr>
                <w:rFonts w:hint="eastAsia" w:ascii="宋体" w:hAnsi="宋体" w:cs="宋体"/>
                <w:color w:val="auto"/>
                <w:sz w:val="24"/>
                <w:highlight w:val="none"/>
              </w:rPr>
              <w:t>外商投资类型</w:t>
            </w:r>
          </w:p>
        </w:tc>
        <w:tc>
          <w:tcPr>
            <w:tcW w:w="2122" w:type="dxa"/>
          </w:tcPr>
          <w:p>
            <w:pPr>
              <w:jc w:val="center"/>
              <w:rPr>
                <w:rFonts w:hint="eastAsia" w:ascii="宋体" w:hAnsi="宋体" w:cs="宋体"/>
                <w:color w:val="auto"/>
                <w:sz w:val="24"/>
                <w:highlight w:val="none"/>
              </w:rPr>
            </w:pPr>
            <w:r>
              <w:rPr>
                <w:rFonts w:hint="eastAsia" w:ascii="宋体" w:hAnsi="宋体" w:cs="宋体"/>
                <w:color w:val="auto"/>
                <w:sz w:val="24"/>
                <w:highlight w:val="none"/>
              </w:rPr>
              <w:t>规模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2123" w:type="dxa"/>
          </w:tcPr>
          <w:p>
            <w:pPr>
              <w:rPr>
                <w:rFonts w:hint="eastAsia" w:ascii="宋体" w:hAnsi="宋体" w:cs="宋体"/>
                <w:color w:val="auto"/>
                <w:sz w:val="24"/>
                <w:highlight w:val="none"/>
              </w:rPr>
            </w:pPr>
          </w:p>
        </w:tc>
        <w:tc>
          <w:tcPr>
            <w:tcW w:w="2122" w:type="dxa"/>
          </w:tcPr>
          <w:p>
            <w:pPr>
              <w:rPr>
                <w:rFonts w:hint="eastAsia" w:ascii="宋体" w:hAnsi="宋体" w:cs="宋体"/>
                <w:color w:val="auto"/>
                <w:sz w:val="24"/>
                <w:highlight w:val="none"/>
              </w:rPr>
            </w:pPr>
          </w:p>
        </w:tc>
        <w:tc>
          <w:tcPr>
            <w:tcW w:w="2122" w:type="dxa"/>
          </w:tcPr>
          <w:p>
            <w:pPr>
              <w:rPr>
                <w:rFonts w:hint="eastAsia" w:ascii="宋体" w:hAnsi="宋体" w:cs="宋体"/>
                <w:color w:val="auto"/>
                <w:sz w:val="24"/>
                <w:highlight w:val="none"/>
              </w:rPr>
            </w:pPr>
          </w:p>
        </w:tc>
        <w:tc>
          <w:tcPr>
            <w:tcW w:w="2122" w:type="dxa"/>
          </w:tcPr>
          <w:p>
            <w:pP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2123" w:type="dxa"/>
          </w:tcPr>
          <w:p>
            <w:pPr>
              <w:rPr>
                <w:rFonts w:hint="eastAsia" w:ascii="宋体" w:hAnsi="宋体" w:cs="宋体"/>
                <w:color w:val="auto"/>
                <w:sz w:val="24"/>
                <w:highlight w:val="none"/>
              </w:rPr>
            </w:pPr>
          </w:p>
        </w:tc>
        <w:tc>
          <w:tcPr>
            <w:tcW w:w="2122" w:type="dxa"/>
          </w:tcPr>
          <w:p>
            <w:pPr>
              <w:rPr>
                <w:rFonts w:hint="eastAsia" w:ascii="宋体" w:hAnsi="宋体" w:cs="宋体"/>
                <w:color w:val="auto"/>
                <w:sz w:val="24"/>
                <w:highlight w:val="none"/>
              </w:rPr>
            </w:pPr>
          </w:p>
        </w:tc>
        <w:tc>
          <w:tcPr>
            <w:tcW w:w="2122" w:type="dxa"/>
          </w:tcPr>
          <w:p>
            <w:pPr>
              <w:rPr>
                <w:rFonts w:hint="eastAsia" w:ascii="宋体" w:hAnsi="宋体" w:cs="宋体"/>
                <w:color w:val="auto"/>
                <w:sz w:val="24"/>
                <w:highlight w:val="none"/>
              </w:rPr>
            </w:pPr>
          </w:p>
        </w:tc>
        <w:tc>
          <w:tcPr>
            <w:tcW w:w="2122" w:type="dxa"/>
          </w:tcPr>
          <w:p>
            <w:pP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1" w:hRule="atLeast"/>
        </w:trPr>
        <w:tc>
          <w:tcPr>
            <w:tcW w:w="2123" w:type="dxa"/>
          </w:tcPr>
          <w:p>
            <w:pPr>
              <w:rPr>
                <w:rFonts w:hint="eastAsia" w:ascii="宋体" w:hAnsi="宋体" w:cs="宋体"/>
                <w:color w:val="auto"/>
                <w:sz w:val="24"/>
                <w:highlight w:val="none"/>
              </w:rPr>
            </w:pPr>
          </w:p>
        </w:tc>
        <w:tc>
          <w:tcPr>
            <w:tcW w:w="2122" w:type="dxa"/>
          </w:tcPr>
          <w:p>
            <w:pPr>
              <w:rPr>
                <w:rFonts w:hint="eastAsia" w:ascii="宋体" w:hAnsi="宋体" w:cs="宋体"/>
                <w:color w:val="auto"/>
                <w:sz w:val="24"/>
                <w:highlight w:val="none"/>
              </w:rPr>
            </w:pPr>
          </w:p>
        </w:tc>
        <w:tc>
          <w:tcPr>
            <w:tcW w:w="2122" w:type="dxa"/>
          </w:tcPr>
          <w:p>
            <w:pPr>
              <w:rPr>
                <w:rFonts w:hint="eastAsia" w:ascii="宋体" w:hAnsi="宋体" w:cs="宋体"/>
                <w:color w:val="auto"/>
                <w:sz w:val="24"/>
                <w:highlight w:val="none"/>
              </w:rPr>
            </w:pPr>
          </w:p>
        </w:tc>
        <w:tc>
          <w:tcPr>
            <w:tcW w:w="2122" w:type="dxa"/>
          </w:tcPr>
          <w:p>
            <w:pP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2123" w:type="dxa"/>
          </w:tcPr>
          <w:p>
            <w:pPr>
              <w:rPr>
                <w:rFonts w:hint="eastAsia" w:ascii="宋体" w:hAnsi="宋体" w:cs="宋体"/>
                <w:color w:val="auto"/>
                <w:sz w:val="24"/>
                <w:highlight w:val="none"/>
              </w:rPr>
            </w:pPr>
          </w:p>
        </w:tc>
        <w:tc>
          <w:tcPr>
            <w:tcW w:w="2122" w:type="dxa"/>
          </w:tcPr>
          <w:p>
            <w:pPr>
              <w:rPr>
                <w:rFonts w:hint="eastAsia" w:ascii="宋体" w:hAnsi="宋体" w:cs="宋体"/>
                <w:color w:val="auto"/>
                <w:sz w:val="24"/>
                <w:highlight w:val="none"/>
              </w:rPr>
            </w:pPr>
          </w:p>
        </w:tc>
        <w:tc>
          <w:tcPr>
            <w:tcW w:w="2122" w:type="dxa"/>
          </w:tcPr>
          <w:p>
            <w:pPr>
              <w:rPr>
                <w:rFonts w:hint="eastAsia" w:ascii="宋体" w:hAnsi="宋体" w:cs="宋体"/>
                <w:color w:val="auto"/>
                <w:sz w:val="24"/>
                <w:highlight w:val="none"/>
              </w:rPr>
            </w:pPr>
          </w:p>
        </w:tc>
        <w:tc>
          <w:tcPr>
            <w:tcW w:w="2122" w:type="dxa"/>
          </w:tcPr>
          <w:p>
            <w:pPr>
              <w:rPr>
                <w:rFonts w:hint="eastAsia" w:ascii="宋体" w:hAnsi="宋体" w:cs="宋体"/>
                <w:color w:val="auto"/>
                <w:sz w:val="24"/>
                <w:highlight w:val="none"/>
              </w:rPr>
            </w:pPr>
          </w:p>
        </w:tc>
      </w:tr>
    </w:tbl>
    <w:p>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注：1.供应商如为联合体，则应填写联合体各成员信息。</w:t>
      </w:r>
    </w:p>
    <w:p>
      <w:pPr>
        <w:tabs>
          <w:tab w:val="left" w:pos="1800"/>
          <w:tab w:val="left" w:pos="5580"/>
        </w:tabs>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rPr>
        <w:t>供应商所属性别请填写“男”或“女”，指拥有供应商51%以上绝对所有权的性别;绝对所有权拥有者可以是一个人，也可以是多人合计计算。</w:t>
      </w:r>
    </w:p>
    <w:p>
      <w:pPr>
        <w:tabs>
          <w:tab w:val="left" w:pos="1800"/>
          <w:tab w:val="left" w:pos="5580"/>
        </w:tabs>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3.外商投资类型请填写“外商单独投资”、“外商部分投资”或“内资”。</w:t>
      </w:r>
    </w:p>
    <w:p>
      <w:pPr>
        <w:pStyle w:val="42"/>
        <w:spacing w:line="360" w:lineRule="auto"/>
        <w:ind w:firstLine="480" w:firstLineChars="200"/>
        <w:jc w:val="left"/>
        <w:rPr>
          <w:rFonts w:hint="eastAsia" w:ascii="宋体" w:hAnsi="宋体" w:cs="宋体"/>
          <w:color w:val="auto"/>
          <w:szCs w:val="21"/>
          <w:highlight w:val="none"/>
        </w:rPr>
      </w:pPr>
      <w:r>
        <w:rPr>
          <w:rFonts w:hint="eastAsia" w:ascii="宋体" w:hAnsi="宋体" w:cs="宋体"/>
          <w:color w:val="auto"/>
          <w:sz w:val="24"/>
          <w:szCs w:val="24"/>
          <w:highlight w:val="none"/>
        </w:rPr>
        <w:t>4.规模请填写“大型企业”、“中型企业”、“小微企业”、“其他”</w:t>
      </w:r>
    </w:p>
    <w:p>
      <w:pPr>
        <w:tabs>
          <w:tab w:val="left" w:pos="5580"/>
        </w:tabs>
        <w:spacing w:line="480" w:lineRule="auto"/>
        <w:ind w:firstLine="482" w:firstLineChars="200"/>
        <w:rPr>
          <w:rFonts w:hint="eastAsia" w:ascii="宋体" w:hAnsi="宋体" w:cs="宋体"/>
          <w:b/>
          <w:bCs/>
          <w:color w:val="auto"/>
          <w:sz w:val="24"/>
          <w:highlight w:val="none"/>
        </w:rPr>
        <w:sectPr>
          <w:pgSz w:w="11901" w:h="16817"/>
          <w:pgMar w:top="1418" w:right="1701" w:bottom="1418" w:left="1701" w:header="851" w:footer="851" w:gutter="0"/>
          <w:cols w:space="720" w:num="1"/>
          <w:docGrid w:linePitch="462" w:charSpace="0"/>
        </w:sectPr>
      </w:pPr>
    </w:p>
    <w:p>
      <w:pPr>
        <w:rPr>
          <w:rFonts w:hint="eastAsia" w:ascii="宋体" w:hAnsi="宋体" w:cs="宋体"/>
          <w:color w:val="auto"/>
          <w:sz w:val="24"/>
          <w:szCs w:val="20"/>
          <w:highlight w:val="none"/>
        </w:rPr>
      </w:pPr>
      <w:r>
        <w:rPr>
          <w:rFonts w:hint="eastAsia" w:ascii="宋体" w:hAnsi="宋体" w:cs="宋体"/>
          <w:b/>
          <w:bCs/>
          <w:color w:val="auto"/>
          <w:sz w:val="24"/>
          <w:szCs w:val="20"/>
          <w:highlight w:val="none"/>
        </w:rPr>
        <w:t>附件4中小企业声明函</w:t>
      </w:r>
    </w:p>
    <w:p>
      <w:pPr>
        <w:tabs>
          <w:tab w:val="left" w:pos="5580"/>
        </w:tabs>
        <w:spacing w:line="360" w:lineRule="auto"/>
        <w:rPr>
          <w:rFonts w:hint="eastAsia" w:ascii="宋体" w:hAnsi="宋体" w:cs="宋体"/>
          <w:color w:val="auto"/>
          <w:sz w:val="24"/>
          <w:highlight w:val="none"/>
        </w:rPr>
      </w:pPr>
    </w:p>
    <w:p>
      <w:pPr>
        <w:tabs>
          <w:tab w:val="left" w:pos="55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说明：</w:t>
      </w:r>
    </w:p>
    <w:p>
      <w:pPr>
        <w:tabs>
          <w:tab w:val="left" w:pos="55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并参与价格评审扣除。</w:t>
      </w:r>
    </w:p>
    <w:p>
      <w:pPr>
        <w:tabs>
          <w:tab w:val="left" w:pos="55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（2）中小企业声明函填写注意事项：</w:t>
      </w:r>
    </w:p>
    <w:p>
      <w:pPr>
        <w:tabs>
          <w:tab w:val="left" w:pos="558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1）《中小企业声明函》由参加政府采购活动的投标人出具。</w:t>
      </w:r>
    </w:p>
    <w:p>
      <w:pPr>
        <w:tabs>
          <w:tab w:val="left" w:pos="558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对于联合体中由中小企业承担的部分，或者分包给中小企业的部分，必须全部由中小企业制造、承建或者承接。投标人应当在声明函“项目名称”部分标明联合体中中小企业承担的具体内容或者中小企业的具体分包内容。</w:t>
      </w:r>
    </w:p>
    <w:p>
      <w:pPr>
        <w:tabs>
          <w:tab w:val="left" w:pos="5580"/>
        </w:tabs>
        <w:spacing w:line="360" w:lineRule="auto"/>
        <w:ind w:firstLine="482" w:firstLineChars="200"/>
        <w:rPr>
          <w:rFonts w:hint="eastAsia" w:ascii="宋体" w:hAnsi="宋体" w:cs="宋体"/>
          <w:b/>
          <w:bCs/>
          <w:color w:val="auto"/>
          <w:sz w:val="24"/>
          <w:highlight w:val="none"/>
        </w:rPr>
      </w:pPr>
      <w:bookmarkStart w:id="942" w:name="_Hlk176865208"/>
      <w:r>
        <w:rPr>
          <w:rFonts w:hint="eastAsia" w:ascii="宋体" w:hAnsi="宋体" w:cs="宋体"/>
          <w:b/>
          <w:bCs/>
          <w:color w:val="auto"/>
          <w:sz w:val="24"/>
          <w:highlight w:val="none"/>
        </w:rPr>
        <w:t>3）对于多标的采购项目，投标人应充分、准确地了解所提供货物的制造企业信息。对相关情况了解不清楚的，不建议填报本声明函。</w:t>
      </w:r>
      <w:bookmarkEnd w:id="942"/>
    </w:p>
    <w:p>
      <w:pPr>
        <w:tabs>
          <w:tab w:val="left" w:pos="55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3）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 2011 ﹞300号)》及本项目文件规定的中小企业划分标准所属行业执行。</w:t>
      </w:r>
    </w:p>
    <w:p>
      <w:pPr>
        <w:spacing w:before="240" w:beforeLines="100" w:after="240" w:afterLines="100" w:line="360" w:lineRule="auto"/>
        <w:jc w:val="center"/>
        <w:rPr>
          <w:rFonts w:hint="eastAsia" w:ascii="宋体" w:hAnsi="宋体" w:cs="宋体"/>
          <w:b/>
          <w:color w:val="auto"/>
          <w:sz w:val="36"/>
          <w:szCs w:val="36"/>
          <w:highlight w:val="none"/>
        </w:rPr>
      </w:pPr>
      <w:r>
        <w:rPr>
          <w:rFonts w:hint="eastAsia" w:ascii="宋体" w:hAnsi="宋体" w:cs="宋体"/>
          <w:color w:val="auto"/>
          <w:sz w:val="24"/>
          <w:highlight w:val="none"/>
        </w:rPr>
        <w:br w:type="page"/>
      </w:r>
      <w:r>
        <w:rPr>
          <w:rFonts w:hint="eastAsia" w:ascii="宋体" w:hAnsi="宋体" w:cs="宋体"/>
          <w:b/>
          <w:bCs/>
          <w:color w:val="auto"/>
          <w:sz w:val="36"/>
          <w:szCs w:val="36"/>
          <w:highlight w:val="none"/>
        </w:rPr>
        <w:t>中小企业声明函（货物）格式</w:t>
      </w:r>
    </w:p>
    <w:p>
      <w:pPr>
        <w:spacing w:line="360" w:lineRule="auto"/>
        <w:ind w:firstLine="504"/>
        <w:rPr>
          <w:rFonts w:hint="eastAsia"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 号）的规定，本公司（联合体）参加</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（采购人名称）的</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（项目名称）</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lang w:val="en-US" w:eastAsia="zh-CN"/>
        </w:rPr>
        <w:t xml:space="preserve"> </w:t>
      </w:r>
      <w:r>
        <w:rPr>
          <w:rFonts w:hint="eastAsia" w:ascii="宋体" w:hAnsi="宋体" w:cs="宋体"/>
          <w:color w:val="auto"/>
          <w:spacing w:val="6"/>
          <w:sz w:val="24"/>
          <w:highlight w:val="none"/>
          <w:lang w:eastAsia="zh-CN"/>
        </w:rPr>
        <w:t>（</w:t>
      </w:r>
      <w:r>
        <w:rPr>
          <w:rFonts w:hint="eastAsia" w:ascii="宋体" w:hAnsi="宋体" w:cs="宋体"/>
          <w:color w:val="auto"/>
          <w:spacing w:val="6"/>
          <w:sz w:val="24"/>
          <w:highlight w:val="none"/>
          <w:lang w:val="en-US" w:eastAsia="zh-CN"/>
        </w:rPr>
        <w:t>分包名称）</w:t>
      </w:r>
      <w:r>
        <w:rPr>
          <w:rFonts w:hint="eastAsia" w:ascii="宋体" w:hAnsi="宋体" w:cs="宋体"/>
          <w:color w:val="auto"/>
          <w:spacing w:val="6"/>
          <w:sz w:val="24"/>
          <w:highlight w:val="none"/>
        </w:rPr>
        <w:t>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（招标文件中明确的所属行业）</w:t>
      </w:r>
      <w:r>
        <w:rPr>
          <w:rFonts w:hint="eastAsia" w:ascii="宋体" w:hAnsi="宋体" w:cs="宋体"/>
          <w:color w:val="auto"/>
          <w:spacing w:val="6"/>
          <w:sz w:val="24"/>
          <w:highlight w:val="none"/>
        </w:rPr>
        <w:t>行业；制造商为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，从业人员______人，营业收入为______万元，资产总额为______万元</w:t>
      </w:r>
      <w:r>
        <w:rPr>
          <w:rFonts w:hint="eastAsia" w:ascii="宋体" w:hAnsi="宋体" w:cs="宋体"/>
          <w:color w:val="auto"/>
          <w:spacing w:val="6"/>
          <w:sz w:val="24"/>
          <w:highlight w:val="none"/>
          <w:vertAlign w:val="superscript"/>
        </w:rPr>
        <w:t>1</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pPr>
        <w:spacing w:line="360" w:lineRule="auto"/>
        <w:ind w:firstLine="504"/>
        <w:rPr>
          <w:rFonts w:hint="eastAsia"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（招标文件中明确的所属行业）</w:t>
      </w:r>
      <w:r>
        <w:rPr>
          <w:rFonts w:hint="eastAsia" w:ascii="宋体" w:hAnsi="宋体" w:cs="宋体"/>
          <w:color w:val="auto"/>
          <w:spacing w:val="6"/>
          <w:sz w:val="24"/>
          <w:highlight w:val="none"/>
        </w:rPr>
        <w:t>行业；制造商为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，从业人员______人，营业收入为______万元，资产总额为______万元，属于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pPr>
        <w:spacing w:line="360" w:lineRule="auto"/>
        <w:ind w:firstLine="504"/>
        <w:rPr>
          <w:rFonts w:hint="eastAsia" w:ascii="宋体" w:hAnsi="宋体" w:cs="宋体"/>
          <w:color w:val="auto"/>
          <w:spacing w:val="6"/>
          <w:sz w:val="24"/>
          <w:highlight w:val="none"/>
        </w:rPr>
      </w:pPr>
      <w:r>
        <w:rPr>
          <w:rFonts w:hint="eastAsia" w:ascii="宋体" w:hAnsi="宋体" w:cs="宋体"/>
          <w:color w:val="auto"/>
          <w:spacing w:val="6"/>
          <w:sz w:val="24"/>
          <w:highlight w:val="none"/>
        </w:rPr>
        <w:t>……</w:t>
      </w:r>
    </w:p>
    <w:p>
      <w:pPr>
        <w:spacing w:line="360" w:lineRule="auto"/>
        <w:ind w:firstLine="504"/>
        <w:rPr>
          <w:rFonts w:hint="eastAsia"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pPr>
        <w:spacing w:line="360" w:lineRule="auto"/>
        <w:ind w:firstLine="504"/>
        <w:rPr>
          <w:rFonts w:hint="eastAsia" w:ascii="宋体" w:hAnsi="宋体" w:cs="宋体"/>
          <w:color w:val="auto"/>
          <w:spacing w:val="6"/>
          <w:sz w:val="24"/>
          <w:highlight w:val="none"/>
        </w:rPr>
      </w:pPr>
    </w:p>
    <w:p>
      <w:pPr>
        <w:spacing w:line="360" w:lineRule="auto"/>
        <w:ind w:right="360" w:firstLine="480"/>
        <w:jc w:val="right"/>
        <w:rPr>
          <w:rFonts w:hint="eastAsia" w:ascii="宋体" w:hAnsi="宋体" w:cs="宋体"/>
          <w:color w:val="auto"/>
          <w:sz w:val="24"/>
          <w:highlight w:val="none"/>
        </w:rPr>
      </w:pPr>
      <w:r>
        <w:rPr>
          <w:rFonts w:hint="eastAsia" w:ascii="宋体" w:hAnsi="宋体" w:cs="宋体"/>
          <w:color w:val="auto"/>
          <w:sz w:val="24"/>
          <w:highlight w:val="none"/>
        </w:rPr>
        <w:t>企业名称（盖章）：________</w:t>
      </w:r>
    </w:p>
    <w:p>
      <w:pPr>
        <w:spacing w:line="360" w:lineRule="auto"/>
        <w:ind w:right="360" w:firstLine="480"/>
        <w:jc w:val="right"/>
        <w:rPr>
          <w:rFonts w:hint="eastAsia" w:ascii="宋体" w:hAnsi="宋体" w:cs="宋体"/>
          <w:color w:val="auto"/>
          <w:sz w:val="24"/>
          <w:highlight w:val="none"/>
        </w:rPr>
      </w:pPr>
      <w:r>
        <w:rPr>
          <w:rFonts w:hint="eastAsia" w:ascii="宋体" w:hAnsi="宋体" w:cs="宋体"/>
          <w:color w:val="auto"/>
          <w:sz w:val="24"/>
          <w:highlight w:val="none"/>
        </w:rPr>
        <w:t>日 期：________</w:t>
      </w:r>
    </w:p>
    <w:p>
      <w:pPr>
        <w:spacing w:line="360" w:lineRule="auto"/>
        <w:ind w:right="360" w:firstLine="480"/>
        <w:jc w:val="right"/>
        <w:rPr>
          <w:rFonts w:hint="eastAsia" w:ascii="宋体" w:hAnsi="宋体" w:cs="宋体"/>
          <w:color w:val="auto"/>
          <w:sz w:val="24"/>
          <w:highlight w:val="none"/>
        </w:rPr>
      </w:pPr>
    </w:p>
    <w:p>
      <w:pPr>
        <w:spacing w:line="360" w:lineRule="auto"/>
        <w:ind w:right="360" w:firstLine="480"/>
        <w:jc w:val="right"/>
        <w:rPr>
          <w:rFonts w:hint="eastAsia" w:ascii="宋体" w:hAnsi="宋体" w:cs="宋体"/>
          <w:color w:val="auto"/>
          <w:sz w:val="24"/>
          <w:highlight w:val="none"/>
        </w:rPr>
      </w:pPr>
    </w:p>
    <w:tbl>
      <w:tblPr>
        <w:tblStyle w:val="47"/>
        <w:tblW w:w="8499"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9"/>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99" w:type="dxa"/>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vertAlign w:val="superscript"/>
              </w:rPr>
              <w:t>1</w:t>
            </w:r>
            <w:r>
              <w:rPr>
                <w:rFonts w:hint="eastAsia" w:ascii="宋体" w:hAnsi="宋体" w:cs="宋体"/>
                <w:color w:val="auto"/>
                <w:szCs w:val="21"/>
                <w:highlight w:val="none"/>
              </w:rPr>
              <w:t>从业人员、营业收入、资产总额填报上一年度数据，无上一年度数据的新成立企业可不填报。</w:t>
            </w:r>
          </w:p>
        </w:tc>
      </w:tr>
    </w:tbl>
    <w:p>
      <w:pPr>
        <w:widowControl/>
        <w:jc w:val="center"/>
        <w:rPr>
          <w:rFonts w:hint="eastAsia" w:ascii="宋体" w:hAnsi="宋体" w:cs="宋体"/>
          <w:color w:val="auto"/>
          <w:szCs w:val="21"/>
          <w:highlight w:val="none"/>
          <w:vertAlign w:val="superscript"/>
        </w:rPr>
      </w:pPr>
    </w:p>
    <w:p>
      <w:pPr>
        <w:rPr>
          <w:rFonts w:hint="eastAsia" w:ascii="宋体" w:hAnsi="宋体" w:cs="宋体"/>
          <w:color w:val="auto"/>
          <w:sz w:val="24"/>
          <w:szCs w:val="20"/>
          <w:highlight w:val="none"/>
        </w:rPr>
      </w:pPr>
    </w:p>
    <w:p>
      <w:pPr>
        <w:spacing w:before="240" w:beforeLines="100" w:after="240" w:afterLines="100" w:line="360" w:lineRule="auto"/>
        <w:jc w:val="center"/>
        <w:rPr>
          <w:rFonts w:hint="eastAsia" w:ascii="宋体" w:hAnsi="宋体" w:cs="宋体"/>
          <w:b/>
          <w:color w:val="auto"/>
          <w:sz w:val="36"/>
          <w:szCs w:val="36"/>
          <w:highlight w:val="none"/>
        </w:rPr>
      </w:pPr>
      <w:r>
        <w:rPr>
          <w:rFonts w:hint="eastAsia" w:ascii="宋体" w:hAnsi="宋体" w:cs="宋体"/>
          <w:b/>
          <w:bCs/>
          <w:color w:val="auto"/>
          <w:sz w:val="36"/>
          <w:szCs w:val="36"/>
          <w:highlight w:val="none"/>
        </w:rPr>
        <w:t>残疾人福利性单位声明函格式</w:t>
      </w:r>
    </w:p>
    <w:p>
      <w:pPr>
        <w:spacing w:line="588" w:lineRule="exact"/>
        <w:ind w:firstLine="504"/>
        <w:rPr>
          <w:rFonts w:hint="eastAsia"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w:t>
      </w:r>
      <w:r>
        <w:rPr>
          <w:rFonts w:hint="eastAsia" w:ascii="宋体" w:hAnsi="宋体" w:cs="宋体"/>
          <w:b/>
          <w:color w:val="auto"/>
          <w:sz w:val="24"/>
          <w:highlight w:val="none"/>
        </w:rPr>
        <w:t>（请进行勾选）</w:t>
      </w:r>
      <w:r>
        <w:rPr>
          <w:rFonts w:hint="eastAsia" w:ascii="宋体" w:hAnsi="宋体" w:cs="宋体"/>
          <w:color w:val="auto"/>
          <w:spacing w:val="6"/>
          <w:sz w:val="24"/>
          <w:highlight w:val="none"/>
        </w:rPr>
        <w:t>：</w:t>
      </w:r>
    </w:p>
    <w:p>
      <w:pPr>
        <w:spacing w:line="588" w:lineRule="exact"/>
        <w:ind w:firstLine="482"/>
        <w:rPr>
          <w:rFonts w:hint="eastAsia" w:ascii="宋体" w:hAnsi="宋体" w:cs="宋体"/>
          <w:b/>
          <w:color w:val="auto"/>
          <w:spacing w:val="6"/>
          <w:sz w:val="24"/>
          <w:highlight w:val="none"/>
        </w:rPr>
      </w:pPr>
      <w:r>
        <w:rPr>
          <w:rFonts w:hint="eastAsia" w:ascii="宋体" w:hAnsi="宋体" w:cs="宋体"/>
          <w:b/>
          <w:color w:val="auto"/>
          <w:sz w:val="24"/>
          <w:highlight w:val="none"/>
        </w:rPr>
        <w:t>□</w:t>
      </w:r>
      <w:r>
        <w:rPr>
          <w:rFonts w:hint="eastAsia" w:ascii="宋体" w:hAnsi="宋体" w:cs="宋体"/>
          <w:b/>
          <w:color w:val="auto"/>
          <w:spacing w:val="6"/>
          <w:sz w:val="24"/>
          <w:highlight w:val="none"/>
        </w:rPr>
        <w:t>不属于符合条件的残疾人福利性单位。</w:t>
      </w:r>
    </w:p>
    <w:p>
      <w:pPr>
        <w:spacing w:line="588" w:lineRule="exact"/>
        <w:ind w:firstLine="482"/>
        <w:rPr>
          <w:rFonts w:hint="eastAsia" w:ascii="宋体" w:hAnsi="宋体" w:cs="宋体"/>
          <w:color w:val="auto"/>
          <w:spacing w:val="6"/>
          <w:sz w:val="24"/>
          <w:highlight w:val="none"/>
        </w:rPr>
      </w:pPr>
      <w:r>
        <w:rPr>
          <w:rFonts w:hint="eastAsia" w:ascii="宋体" w:hAnsi="宋体" w:cs="宋体"/>
          <w:b/>
          <w:color w:val="auto"/>
          <w:sz w:val="24"/>
          <w:highlight w:val="none"/>
        </w:rPr>
        <w:t>□</w:t>
      </w:r>
      <w:r>
        <w:rPr>
          <w:rFonts w:hint="eastAsia" w:ascii="宋体" w:hAnsi="宋体" w:cs="宋体"/>
          <w:b/>
          <w:color w:val="auto"/>
          <w:spacing w:val="6"/>
          <w:sz w:val="24"/>
          <w:highlight w:val="none"/>
        </w:rPr>
        <w:t>属于符合条件的残疾人福利性单位，</w:t>
      </w:r>
      <w:r>
        <w:rPr>
          <w:rFonts w:hint="eastAsia" w:ascii="宋体" w:hAnsi="宋体" w:cs="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宋体" w:hAnsi="宋体" w:cs="宋体"/>
          <w:color w:val="auto"/>
          <w:spacing w:val="6"/>
          <w:sz w:val="24"/>
          <w:highlight w:val="none"/>
        </w:rPr>
      </w:pPr>
      <w:r>
        <w:rPr>
          <w:rFonts w:hint="eastAsia" w:ascii="宋体" w:hAnsi="宋体" w:cs="宋体"/>
          <w:b/>
          <w:color w:val="auto"/>
          <w:spacing w:val="6"/>
          <w:sz w:val="24"/>
          <w:highlight w:val="none"/>
        </w:rPr>
        <w:t>本单位对上述声明的真实性负责。如有虚假，将依法承担相应责任。</w:t>
      </w:r>
    </w:p>
    <w:p>
      <w:pPr>
        <w:spacing w:line="588" w:lineRule="exact"/>
        <w:ind w:firstLine="504" w:firstLineChars="200"/>
        <w:rPr>
          <w:rFonts w:hint="eastAsia" w:ascii="宋体" w:hAnsi="宋体" w:cs="宋体"/>
          <w:color w:val="auto"/>
          <w:spacing w:val="6"/>
          <w:sz w:val="24"/>
          <w:highlight w:val="none"/>
        </w:rPr>
      </w:pPr>
    </w:p>
    <w:p>
      <w:pPr>
        <w:spacing w:line="588" w:lineRule="exact"/>
        <w:ind w:firstLine="504" w:firstLineChars="200"/>
        <w:rPr>
          <w:rFonts w:hint="eastAsia" w:ascii="宋体" w:hAnsi="宋体" w:cs="宋体"/>
          <w:color w:val="auto"/>
          <w:spacing w:val="6"/>
          <w:sz w:val="24"/>
          <w:highlight w:val="none"/>
        </w:rPr>
      </w:pPr>
    </w:p>
    <w:p>
      <w:pPr>
        <w:tabs>
          <w:tab w:val="left" w:pos="4860"/>
        </w:tabs>
        <w:spacing w:line="588" w:lineRule="exact"/>
        <w:ind w:right="1560" w:firstLine="504" w:firstLineChars="200"/>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               单位名称（盖章）：</w:t>
      </w:r>
    </w:p>
    <w:p>
      <w:pPr>
        <w:tabs>
          <w:tab w:val="left" w:pos="4860"/>
        </w:tabs>
        <w:spacing w:line="588" w:lineRule="exact"/>
        <w:ind w:right="1560" w:firstLine="504" w:firstLineChars="200"/>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       日  期：</w:t>
      </w:r>
    </w:p>
    <w:p>
      <w:pPr>
        <w:widowControl/>
        <w:jc w:val="left"/>
        <w:rPr>
          <w:rFonts w:hint="eastAsia" w:ascii="宋体" w:hAnsi="宋体" w:cs="宋体"/>
          <w:color w:val="auto"/>
          <w:sz w:val="24"/>
          <w:szCs w:val="20"/>
          <w:highlight w:val="none"/>
        </w:rPr>
      </w:pPr>
      <w:r>
        <w:rPr>
          <w:rFonts w:hint="eastAsia" w:ascii="宋体" w:hAnsi="宋体" w:cs="宋体"/>
          <w:color w:val="auto"/>
          <w:sz w:val="24"/>
          <w:szCs w:val="20"/>
          <w:highlight w:val="none"/>
        </w:rPr>
        <w:br w:type="page"/>
      </w:r>
    </w:p>
    <w:p>
      <w:pPr>
        <w:pStyle w:val="41"/>
        <w:ind w:firstLine="480"/>
        <w:rPr>
          <w:rFonts w:hint="eastAsia"/>
          <w:b/>
          <w:bCs/>
          <w:color w:val="auto"/>
          <w:sz w:val="21"/>
          <w:szCs w:val="21"/>
          <w:highlight w:val="none"/>
        </w:rPr>
      </w:pPr>
      <w:r>
        <w:rPr>
          <w:rFonts w:hint="eastAsia"/>
          <w:b/>
          <w:bCs/>
          <w:color w:val="auto"/>
          <w:sz w:val="21"/>
          <w:szCs w:val="21"/>
          <w:highlight w:val="none"/>
        </w:rPr>
        <w:t>附件：《中小企业划型标准规定》</w:t>
      </w:r>
    </w:p>
    <w:p>
      <w:pPr>
        <w:pStyle w:val="41"/>
        <w:ind w:firstLine="480"/>
        <w:rPr>
          <w:rFonts w:hint="eastAsia"/>
          <w:color w:val="auto"/>
          <w:sz w:val="21"/>
          <w:szCs w:val="21"/>
          <w:highlight w:val="none"/>
        </w:rPr>
      </w:pPr>
      <w:r>
        <w:rPr>
          <w:rFonts w:hint="eastAsia"/>
          <w:color w:val="auto"/>
          <w:sz w:val="21"/>
          <w:szCs w:val="21"/>
          <w:highlight w:val="none"/>
        </w:rPr>
        <w:t>　　一、根据《中华人民共和国中小企业促进法》和《国务院关于进一步促进中小企业发展的若干意见》(国发〔2009〕36号)，制定本规定。</w:t>
      </w:r>
    </w:p>
    <w:p>
      <w:pPr>
        <w:pStyle w:val="41"/>
        <w:ind w:firstLine="480"/>
        <w:rPr>
          <w:rFonts w:hint="eastAsia"/>
          <w:color w:val="auto"/>
          <w:sz w:val="21"/>
          <w:szCs w:val="21"/>
          <w:highlight w:val="none"/>
        </w:rPr>
      </w:pPr>
      <w:r>
        <w:rPr>
          <w:rFonts w:hint="eastAsia"/>
          <w:color w:val="auto"/>
          <w:sz w:val="21"/>
          <w:szCs w:val="21"/>
          <w:highlight w:val="none"/>
        </w:rPr>
        <w:t>　　二、中小企业划分为中型、小型、微型三种类型，具体标准根据企业从业人员、营业收入、资产总额等指标，结合行业特点制定。</w:t>
      </w:r>
    </w:p>
    <w:p>
      <w:pPr>
        <w:pStyle w:val="41"/>
        <w:ind w:firstLine="480"/>
        <w:rPr>
          <w:rFonts w:hint="eastAsia"/>
          <w:color w:val="auto"/>
          <w:sz w:val="21"/>
          <w:szCs w:val="21"/>
          <w:highlight w:val="none"/>
        </w:rPr>
      </w:pPr>
      <w:r>
        <w:rPr>
          <w:rFonts w:hint="eastAsia"/>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41"/>
        <w:ind w:firstLine="480"/>
        <w:rPr>
          <w:rFonts w:hint="eastAsia"/>
          <w:color w:val="auto"/>
          <w:sz w:val="21"/>
          <w:szCs w:val="21"/>
          <w:highlight w:val="none"/>
        </w:rPr>
      </w:pPr>
      <w:r>
        <w:rPr>
          <w:rFonts w:hint="eastAsia"/>
          <w:color w:val="auto"/>
          <w:sz w:val="21"/>
          <w:szCs w:val="21"/>
          <w:highlight w:val="none"/>
        </w:rPr>
        <w:t>　　四、各行业划型标准为：</w:t>
      </w:r>
    </w:p>
    <w:p>
      <w:pPr>
        <w:pStyle w:val="41"/>
        <w:ind w:firstLine="480"/>
        <w:rPr>
          <w:rFonts w:hint="eastAsia"/>
          <w:color w:val="auto"/>
          <w:sz w:val="21"/>
          <w:szCs w:val="21"/>
          <w:highlight w:val="none"/>
        </w:rPr>
      </w:pPr>
      <w:r>
        <w:rPr>
          <w:rFonts w:hint="eastAsia"/>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pPr>
        <w:pStyle w:val="41"/>
        <w:ind w:firstLine="480"/>
        <w:rPr>
          <w:rFonts w:hint="eastAsia"/>
          <w:color w:val="auto"/>
          <w:sz w:val="21"/>
          <w:szCs w:val="21"/>
          <w:highlight w:val="none"/>
        </w:rPr>
      </w:pPr>
      <w:r>
        <w:rPr>
          <w:rFonts w:hint="eastAsia"/>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41"/>
        <w:ind w:firstLine="480"/>
        <w:rPr>
          <w:rFonts w:hint="eastAsia"/>
          <w:color w:val="auto"/>
          <w:sz w:val="21"/>
          <w:szCs w:val="21"/>
          <w:highlight w:val="none"/>
        </w:rPr>
      </w:pPr>
      <w:r>
        <w:rPr>
          <w:rFonts w:hint="eastAsia"/>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41"/>
        <w:ind w:firstLine="480"/>
        <w:rPr>
          <w:rFonts w:hint="eastAsia"/>
          <w:color w:val="auto"/>
          <w:sz w:val="21"/>
          <w:szCs w:val="21"/>
          <w:highlight w:val="none"/>
        </w:rPr>
      </w:pPr>
      <w:r>
        <w:rPr>
          <w:rFonts w:hint="eastAsia"/>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41"/>
        <w:ind w:firstLine="480"/>
        <w:rPr>
          <w:rFonts w:hint="eastAsia"/>
          <w:color w:val="auto"/>
          <w:sz w:val="21"/>
          <w:szCs w:val="21"/>
          <w:highlight w:val="none"/>
        </w:rPr>
      </w:pPr>
      <w:r>
        <w:rPr>
          <w:rFonts w:hint="eastAsia"/>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41"/>
        <w:ind w:firstLine="480"/>
        <w:rPr>
          <w:rFonts w:hint="eastAsia"/>
          <w:color w:val="auto"/>
          <w:sz w:val="21"/>
          <w:szCs w:val="21"/>
          <w:highlight w:val="none"/>
        </w:rPr>
      </w:pPr>
      <w:r>
        <w:rPr>
          <w:rFonts w:hint="eastAsia"/>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41"/>
        <w:ind w:firstLine="480"/>
        <w:rPr>
          <w:rFonts w:hint="eastAsia"/>
          <w:color w:val="auto"/>
          <w:sz w:val="21"/>
          <w:szCs w:val="21"/>
          <w:highlight w:val="none"/>
        </w:rPr>
      </w:pPr>
      <w:r>
        <w:rPr>
          <w:rFonts w:hint="eastAsia"/>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41"/>
        <w:ind w:firstLine="480"/>
        <w:rPr>
          <w:rFonts w:hint="eastAsia"/>
          <w:color w:val="auto"/>
          <w:sz w:val="21"/>
          <w:szCs w:val="21"/>
          <w:highlight w:val="none"/>
        </w:rPr>
      </w:pPr>
      <w:r>
        <w:rPr>
          <w:rFonts w:hint="eastAsia"/>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41"/>
        <w:ind w:firstLine="480"/>
        <w:rPr>
          <w:rFonts w:hint="eastAsia"/>
          <w:color w:val="auto"/>
          <w:sz w:val="21"/>
          <w:szCs w:val="21"/>
          <w:highlight w:val="none"/>
        </w:rPr>
      </w:pPr>
      <w:r>
        <w:rPr>
          <w:rFonts w:hint="eastAsia"/>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1"/>
        <w:ind w:firstLine="480"/>
        <w:rPr>
          <w:rFonts w:hint="eastAsia"/>
          <w:color w:val="auto"/>
          <w:sz w:val="21"/>
          <w:szCs w:val="21"/>
          <w:highlight w:val="none"/>
        </w:rPr>
      </w:pPr>
      <w:r>
        <w:rPr>
          <w:rFonts w:hint="eastAsia"/>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1"/>
        <w:ind w:firstLine="480"/>
        <w:rPr>
          <w:rFonts w:hint="eastAsia"/>
          <w:color w:val="auto"/>
          <w:sz w:val="21"/>
          <w:szCs w:val="21"/>
          <w:highlight w:val="none"/>
        </w:rPr>
      </w:pPr>
      <w:r>
        <w:rPr>
          <w:rFonts w:hint="eastAsia"/>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41"/>
        <w:ind w:firstLine="480"/>
        <w:rPr>
          <w:rFonts w:hint="eastAsia"/>
          <w:color w:val="auto"/>
          <w:sz w:val="21"/>
          <w:szCs w:val="21"/>
          <w:highlight w:val="none"/>
        </w:rPr>
      </w:pPr>
      <w:r>
        <w:rPr>
          <w:rFonts w:hint="eastAsia"/>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41"/>
        <w:ind w:firstLine="480"/>
        <w:rPr>
          <w:rFonts w:hint="eastAsia"/>
          <w:color w:val="auto"/>
          <w:sz w:val="21"/>
          <w:szCs w:val="21"/>
          <w:highlight w:val="none"/>
        </w:rPr>
      </w:pPr>
      <w:r>
        <w:rPr>
          <w:rFonts w:hint="eastAsia"/>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41"/>
        <w:ind w:firstLine="480"/>
        <w:rPr>
          <w:rFonts w:hint="eastAsia"/>
          <w:color w:val="auto"/>
          <w:sz w:val="21"/>
          <w:szCs w:val="21"/>
          <w:highlight w:val="none"/>
        </w:rPr>
      </w:pPr>
      <w:r>
        <w:rPr>
          <w:rFonts w:hint="eastAsia"/>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41"/>
        <w:ind w:firstLine="480"/>
        <w:rPr>
          <w:rFonts w:hint="eastAsia"/>
          <w:color w:val="auto"/>
          <w:sz w:val="21"/>
          <w:szCs w:val="21"/>
          <w:highlight w:val="none"/>
        </w:rPr>
      </w:pPr>
      <w:r>
        <w:rPr>
          <w:rFonts w:hint="eastAsia"/>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41"/>
        <w:ind w:firstLine="480"/>
        <w:rPr>
          <w:rFonts w:hint="eastAsia"/>
          <w:color w:val="auto"/>
          <w:sz w:val="21"/>
          <w:szCs w:val="21"/>
          <w:highlight w:val="none"/>
        </w:rPr>
      </w:pPr>
      <w:r>
        <w:rPr>
          <w:rFonts w:hint="eastAsia"/>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pPr>
        <w:pStyle w:val="41"/>
        <w:ind w:firstLine="480"/>
        <w:rPr>
          <w:rFonts w:hint="eastAsia"/>
          <w:color w:val="auto"/>
          <w:sz w:val="21"/>
          <w:szCs w:val="21"/>
          <w:highlight w:val="none"/>
        </w:rPr>
      </w:pPr>
      <w:r>
        <w:rPr>
          <w:rFonts w:hint="eastAsia"/>
          <w:color w:val="auto"/>
          <w:sz w:val="21"/>
          <w:szCs w:val="21"/>
          <w:highlight w:val="none"/>
        </w:rPr>
        <w:t>　　五、企业类型的划分以统计部门的统计数据为依据。</w:t>
      </w:r>
    </w:p>
    <w:p>
      <w:pPr>
        <w:pStyle w:val="41"/>
        <w:ind w:firstLine="480"/>
        <w:rPr>
          <w:rFonts w:hint="eastAsia"/>
          <w:color w:val="auto"/>
          <w:sz w:val="21"/>
          <w:szCs w:val="21"/>
          <w:highlight w:val="none"/>
        </w:rPr>
      </w:pPr>
      <w:r>
        <w:rPr>
          <w:rFonts w:hint="eastAsia"/>
          <w:color w:val="auto"/>
          <w:sz w:val="21"/>
          <w:szCs w:val="21"/>
          <w:highlight w:val="none"/>
        </w:rPr>
        <w:t>　　六、本规定适用于在中华人民共和国境内依法设立的各类所有制和各种组织形式的企业。个体工商户和本规定以外的行业，参照本规定进行划型。</w:t>
      </w:r>
    </w:p>
    <w:p>
      <w:pPr>
        <w:pStyle w:val="41"/>
        <w:ind w:firstLine="480"/>
        <w:rPr>
          <w:rFonts w:hint="eastAsia"/>
          <w:color w:val="auto"/>
          <w:sz w:val="21"/>
          <w:szCs w:val="21"/>
          <w:highlight w:val="none"/>
        </w:rPr>
      </w:pPr>
      <w:r>
        <w:rPr>
          <w:rFonts w:hint="eastAsia"/>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41"/>
        <w:ind w:firstLine="480"/>
        <w:rPr>
          <w:rFonts w:hint="eastAsia"/>
          <w:color w:val="auto"/>
          <w:sz w:val="21"/>
          <w:szCs w:val="21"/>
          <w:highlight w:val="none"/>
        </w:rPr>
      </w:pPr>
      <w:r>
        <w:rPr>
          <w:rFonts w:hint="eastAsia"/>
          <w:color w:val="auto"/>
          <w:sz w:val="21"/>
          <w:szCs w:val="21"/>
          <w:highlight w:val="none"/>
        </w:rPr>
        <w:t>　　八、本规定由工业和信息化部、国家统计局会同有关部门根据《国民经济行业分类》修订情况和企业发展变化情况适时修订。</w:t>
      </w:r>
    </w:p>
    <w:p>
      <w:pPr>
        <w:pStyle w:val="41"/>
        <w:ind w:firstLine="480"/>
        <w:rPr>
          <w:rFonts w:hint="eastAsia"/>
          <w:color w:val="auto"/>
          <w:sz w:val="21"/>
          <w:szCs w:val="21"/>
          <w:highlight w:val="none"/>
        </w:rPr>
      </w:pPr>
      <w:r>
        <w:rPr>
          <w:rFonts w:hint="eastAsia"/>
          <w:color w:val="auto"/>
          <w:sz w:val="21"/>
          <w:szCs w:val="21"/>
          <w:highlight w:val="none"/>
        </w:rPr>
        <w:t>　　九、本规定由工业和信息化部、国家统计局会同有关部门负责解释。</w:t>
      </w:r>
    </w:p>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　　十、本规定自发布之日起执行，原国家经贸委、原国家计委、财政部和国家统计局2003年颁布的《中小企业标准暂行规定》同时废止。</w:t>
      </w:r>
    </w:p>
    <w:p>
      <w:pPr>
        <w:tabs>
          <w:tab w:val="left" w:pos="5580"/>
        </w:tabs>
        <w:spacing w:line="480" w:lineRule="auto"/>
        <w:ind w:firstLine="482" w:firstLineChars="200"/>
        <w:rPr>
          <w:rFonts w:hint="eastAsia" w:ascii="宋体" w:hAnsi="宋体" w:cs="宋体"/>
          <w:b/>
          <w:bCs/>
          <w:color w:val="auto"/>
          <w:sz w:val="24"/>
          <w:highlight w:val="none"/>
        </w:rPr>
        <w:sectPr>
          <w:pgSz w:w="11901" w:h="16817"/>
          <w:pgMar w:top="1418" w:right="1701" w:bottom="1418" w:left="1701" w:header="851" w:footer="851" w:gutter="0"/>
          <w:cols w:space="720" w:num="1"/>
          <w:docGrid w:linePitch="462" w:charSpace="0"/>
        </w:sectPr>
      </w:pPr>
    </w:p>
    <w:p>
      <w:pPr>
        <w:pStyle w:val="4"/>
        <w:spacing w:line="480" w:lineRule="auto"/>
        <w:rPr>
          <w:rFonts w:hint="eastAsia" w:hAnsi="宋体" w:cs="宋体"/>
          <w:color w:val="auto"/>
          <w:highlight w:val="none"/>
        </w:rPr>
      </w:pPr>
      <w:r>
        <w:rPr>
          <w:rFonts w:hint="eastAsia" w:hAnsi="宋体" w:cs="宋体"/>
          <w:bCs/>
          <w:color w:val="auto"/>
          <w:highlight w:val="none"/>
        </w:rPr>
        <w:t>8  技术部分</w:t>
      </w:r>
    </w:p>
    <w:p>
      <w:pPr>
        <w:tabs>
          <w:tab w:val="left" w:pos="5580"/>
        </w:tabs>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说明：</w:t>
      </w:r>
    </w:p>
    <w:p>
      <w:pPr>
        <w:tabs>
          <w:tab w:val="left" w:pos="5580"/>
        </w:tabs>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1.请根据本项目的需求，自行编写技术部分的实施（服务）方案</w:t>
      </w:r>
    </w:p>
    <w:p>
      <w:pPr>
        <w:widowControl/>
        <w:spacing w:line="480" w:lineRule="auto"/>
        <w:ind w:firstLine="480" w:firstLineChars="200"/>
        <w:jc w:val="left"/>
        <w:rPr>
          <w:rFonts w:hint="eastAsia" w:ascii="宋体" w:hAnsi="宋体" w:cs="宋体"/>
          <w:b/>
          <w:color w:val="auto"/>
          <w:sz w:val="24"/>
          <w:highlight w:val="none"/>
        </w:rPr>
      </w:pPr>
      <w:r>
        <w:rPr>
          <w:rFonts w:hint="eastAsia" w:ascii="宋体" w:hAnsi="宋体" w:cs="宋体"/>
          <w:color w:val="auto"/>
          <w:sz w:val="24"/>
          <w:highlight w:val="none"/>
        </w:rPr>
        <w:t>2.另外投标人可以自行提供其他对本项目有关的证明材料。</w:t>
      </w:r>
      <w:bookmarkEnd w:id="851"/>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2250A12-3355-41C8-B836-8A790CAA5DE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swiss"/>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ˎ̥">
    <w:altName w:val="yyb"/>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entury Gothic">
    <w:altName w:val="ksdb"/>
    <w:panose1 w:val="020B050202020202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华文楷体">
    <w:altName w:val="宋体"/>
    <w:panose1 w:val="02010600040101010101"/>
    <w:charset w:val="86"/>
    <w:family w:val="auto"/>
    <w:pitch w:val="default"/>
    <w:sig w:usb0="00000000" w:usb1="00000000" w:usb2="00000010" w:usb3="00000000" w:csb0="0004009F" w:csb1="00000000"/>
  </w:font>
  <w:font w:name="方正书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1271424"/>
    </w:sdtPr>
    <w:sdtContent>
      <w:p>
        <w:pPr>
          <w:pStyle w:val="28"/>
          <w:jc w:val="center"/>
        </w:pPr>
        <w:r>
          <w:fldChar w:fldCharType="begin"/>
        </w:r>
        <w:r>
          <w:instrText xml:space="preserve">PAGE   \* MERGEFORMAT</w:instrText>
        </w:r>
        <w:r>
          <w:fldChar w:fldCharType="separate"/>
        </w:r>
        <w:r>
          <w:rPr>
            <w:lang w:val="zh-CN"/>
          </w:rPr>
          <w:t>50</w:t>
        </w:r>
        <w:r>
          <w:fldChar w:fldCharType="end"/>
        </w:r>
      </w:p>
    </w:sdtContent>
  </w:sdt>
  <w:p>
    <w:pPr>
      <w:pStyle w:val="22"/>
      <w:wordWrap w:val="0"/>
      <w:ind w:right="54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28"/>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E58C84"/>
    <w:multiLevelType w:val="singleLevel"/>
    <w:tmpl w:val="92E58C84"/>
    <w:lvl w:ilvl="0" w:tentative="0">
      <w:start w:val="5"/>
      <w:numFmt w:val="decimal"/>
      <w:lvlText w:val="%1."/>
      <w:lvlJc w:val="left"/>
      <w:pPr>
        <w:tabs>
          <w:tab w:val="left" w:pos="312"/>
        </w:tabs>
      </w:pPr>
    </w:lvl>
  </w:abstractNum>
  <w:abstractNum w:abstractNumId="1">
    <w:nsid w:val="B4792743"/>
    <w:multiLevelType w:val="singleLevel"/>
    <w:tmpl w:val="B4792743"/>
    <w:lvl w:ilvl="0" w:tentative="0">
      <w:start w:val="1"/>
      <w:numFmt w:val="decimal"/>
      <w:suff w:val="nothing"/>
      <w:lvlText w:val="%1、"/>
      <w:lvlJc w:val="left"/>
    </w:lvl>
  </w:abstractNum>
  <w:abstractNum w:abstractNumId="2">
    <w:nsid w:val="BC490CCC"/>
    <w:multiLevelType w:val="singleLevel"/>
    <w:tmpl w:val="BC490CCC"/>
    <w:lvl w:ilvl="0" w:tentative="0">
      <w:start w:val="1"/>
      <w:numFmt w:val="decimal"/>
      <w:lvlText w:val="%1."/>
      <w:lvlJc w:val="left"/>
      <w:pPr>
        <w:tabs>
          <w:tab w:val="left" w:pos="312"/>
        </w:tabs>
      </w:pPr>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A89B13E"/>
    <w:multiLevelType w:val="singleLevel"/>
    <w:tmpl w:val="EA89B13E"/>
    <w:lvl w:ilvl="0" w:tentative="0">
      <w:start w:val="1"/>
      <w:numFmt w:val="decimal"/>
      <w:suff w:val="nothing"/>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1">
    <w:nsid w:val="0000000A"/>
    <w:multiLevelType w:val="multilevel"/>
    <w:tmpl w:val="0000000A"/>
    <w:lvl w:ilvl="0" w:tentative="0">
      <w:start w:val="1"/>
      <w:numFmt w:val="decimal"/>
      <w:pStyle w:val="11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3">
    <w:nsid w:val="00000011"/>
    <w:multiLevelType w:val="multilevel"/>
    <w:tmpl w:val="00000011"/>
    <w:lvl w:ilvl="0" w:tentative="0">
      <w:start w:val="1"/>
      <w:numFmt w:val="bullet"/>
      <w:pStyle w:val="256"/>
      <w:lvlText w:val=""/>
      <w:lvlJc w:val="left"/>
      <w:pPr>
        <w:ind w:left="860" w:hanging="420"/>
      </w:pPr>
      <w:rPr>
        <w:rFonts w:hint="default" w:ascii="Wingdings" w:hAnsi="Wingdings"/>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14">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15">
    <w:nsid w:val="00000026"/>
    <w:multiLevelType w:val="multilevel"/>
    <w:tmpl w:val="00000026"/>
    <w:lvl w:ilvl="0" w:tentative="0">
      <w:start w:val="1"/>
      <w:numFmt w:val="decimal"/>
      <w:pStyle w:val="11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0"/>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2580"/>
        </w:tabs>
        <w:ind w:left="2459"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0000002F"/>
    <w:multiLevelType w:val="multilevel"/>
    <w:tmpl w:val="0000002F"/>
    <w:lvl w:ilvl="0" w:tentative="0">
      <w:start w:val="1"/>
      <w:numFmt w:val="decimal"/>
      <w:pStyle w:val="11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2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249FFB79"/>
    <w:multiLevelType w:val="singleLevel"/>
    <w:tmpl w:val="249FFB79"/>
    <w:lvl w:ilvl="0" w:tentative="0">
      <w:start w:val="2"/>
      <w:numFmt w:val="decimal"/>
      <w:suff w:val="space"/>
      <w:lvlText w:val="%1."/>
      <w:lvlJc w:val="left"/>
    </w:lvl>
  </w:abstractNum>
  <w:abstractNum w:abstractNumId="24">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6">
    <w:nsid w:val="317100B5"/>
    <w:multiLevelType w:val="multilevel"/>
    <w:tmpl w:val="317100B5"/>
    <w:lvl w:ilvl="0" w:tentative="0">
      <w:start w:val="19"/>
      <w:numFmt w:val="decimal"/>
      <w:lvlText w:val="%1"/>
      <w:lvlJc w:val="left"/>
      <w:pPr>
        <w:ind w:left="562" w:hanging="420"/>
      </w:pPr>
      <w:rPr>
        <w:rFonts w:hint="default"/>
      </w:rPr>
    </w:lvl>
    <w:lvl w:ilvl="1" w:tentative="0">
      <w:start w:val="1"/>
      <w:numFmt w:val="decimal"/>
      <w:lvlText w:val="%1.%2"/>
      <w:lvlJc w:val="left"/>
      <w:pPr>
        <w:ind w:left="845"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7">
    <w:nsid w:val="31E11A9F"/>
    <w:multiLevelType w:val="singleLevel"/>
    <w:tmpl w:val="31E11A9F"/>
    <w:lvl w:ilvl="0" w:tentative="0">
      <w:start w:val="1"/>
      <w:numFmt w:val="decimal"/>
      <w:lvlText w:val="%1."/>
      <w:lvlJc w:val="left"/>
      <w:pPr>
        <w:tabs>
          <w:tab w:val="left" w:pos="312"/>
        </w:tabs>
      </w:pPr>
    </w:lvl>
  </w:abstractNum>
  <w:abstractNum w:abstractNumId="28">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9">
    <w:nsid w:val="52FF46A2"/>
    <w:multiLevelType w:val="multilevel"/>
    <w:tmpl w:val="52FF46A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0">
    <w:nsid w:val="7A0F6431"/>
    <w:multiLevelType w:val="singleLevel"/>
    <w:tmpl w:val="7A0F6431"/>
    <w:lvl w:ilvl="0" w:tentative="0">
      <w:start w:val="1"/>
      <w:numFmt w:val="decimal"/>
      <w:suff w:val="space"/>
      <w:lvlText w:val="%1."/>
      <w:lvlJc w:val="left"/>
    </w:lvl>
  </w:abstractNum>
  <w:abstractNum w:abstractNumId="31">
    <w:nsid w:val="7B164E20"/>
    <w:multiLevelType w:val="multilevel"/>
    <w:tmpl w:val="7B164E20"/>
    <w:lvl w:ilvl="0" w:tentative="0">
      <w:start w:val="3"/>
      <w:numFmt w:val="decimal"/>
      <w:lvlText w:val="%1."/>
      <w:lvlJc w:val="left"/>
      <w:pPr>
        <w:ind w:left="420" w:hanging="420"/>
      </w:pPr>
      <w:rPr>
        <w:rFonts w:hint="eastAsia"/>
      </w:rPr>
    </w:lvl>
    <w:lvl w:ilvl="1" w:tentative="0">
      <w:start w:val="1"/>
      <w:numFmt w:val="lowerLetter"/>
      <w:pStyle w:val="355"/>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2">
    <w:nsid w:val="7EDC1C16"/>
    <w:multiLevelType w:val="multilevel"/>
    <w:tmpl w:val="7EDC1C16"/>
    <w:lvl w:ilvl="0" w:tentative="0">
      <w:start w:val="1"/>
      <w:numFmt w:val="decimalEnclosedCircle"/>
      <w:lvlText w:val="%1"/>
      <w:lvlJc w:val="left"/>
      <w:pPr>
        <w:ind w:left="922" w:hanging="360"/>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33">
    <w:nsid w:val="7F5562DB"/>
    <w:multiLevelType w:val="singleLevel"/>
    <w:tmpl w:val="7F5562DB"/>
    <w:lvl w:ilvl="0" w:tentative="0">
      <w:start w:val="1"/>
      <w:numFmt w:val="decimal"/>
      <w:suff w:val="nothing"/>
      <w:lvlText w:val="%1、"/>
      <w:lvlJc w:val="left"/>
    </w:lvl>
  </w:abstractNum>
  <w:num w:numId="1">
    <w:abstractNumId w:val="15"/>
  </w:num>
  <w:num w:numId="2">
    <w:abstractNumId w:val="18"/>
  </w:num>
  <w:num w:numId="3">
    <w:abstractNumId w:val="11"/>
  </w:num>
  <w:num w:numId="4">
    <w:abstractNumId w:val="16"/>
  </w:num>
  <w:num w:numId="5">
    <w:abstractNumId w:val="14"/>
  </w:num>
  <w:num w:numId="6">
    <w:abstractNumId w:val="12"/>
  </w:num>
  <w:num w:numId="7">
    <w:abstractNumId w:val="19"/>
  </w:num>
  <w:num w:numId="8">
    <w:abstractNumId w:val="13"/>
  </w:num>
  <w:num w:numId="9">
    <w:abstractNumId w:val="31"/>
  </w:num>
  <w:num w:numId="10">
    <w:abstractNumId w:val="23"/>
  </w:num>
  <w:num w:numId="11">
    <w:abstractNumId w:val="0"/>
  </w:num>
  <w:num w:numId="12">
    <w:abstractNumId w:val="17"/>
  </w:num>
  <w:num w:numId="13">
    <w:abstractNumId w:val="22"/>
  </w:num>
  <w:num w:numId="14">
    <w:abstractNumId w:val="10"/>
  </w:num>
  <w:num w:numId="15">
    <w:abstractNumId w:val="26"/>
  </w:num>
  <w:num w:numId="16">
    <w:abstractNumId w:val="28"/>
  </w:num>
  <w:num w:numId="17">
    <w:abstractNumId w:val="29"/>
  </w:num>
  <w:num w:numId="18">
    <w:abstractNumId w:val="20"/>
  </w:num>
  <w:num w:numId="19">
    <w:abstractNumId w:val="21"/>
  </w:num>
  <w:num w:numId="20">
    <w:abstractNumId w:val="2"/>
  </w:num>
  <w:num w:numId="21">
    <w:abstractNumId w:val="27"/>
  </w:num>
  <w:num w:numId="22">
    <w:abstractNumId w:val="8"/>
  </w:num>
  <w:num w:numId="23">
    <w:abstractNumId w:val="33"/>
  </w:num>
  <w:num w:numId="24">
    <w:abstractNumId w:val="1"/>
  </w:num>
  <w:num w:numId="25">
    <w:abstractNumId w:val="30"/>
  </w:num>
  <w:num w:numId="26">
    <w:abstractNumId w:val="4"/>
  </w:num>
  <w:num w:numId="27">
    <w:abstractNumId w:val="9"/>
  </w:num>
  <w:num w:numId="28">
    <w:abstractNumId w:val="6"/>
  </w:num>
  <w:num w:numId="29">
    <w:abstractNumId w:val="5"/>
  </w:num>
  <w:num w:numId="30">
    <w:abstractNumId w:val="3"/>
  </w:num>
  <w:num w:numId="31">
    <w:abstractNumId w:val="7"/>
  </w:num>
  <w:num w:numId="32">
    <w:abstractNumId w:val="25"/>
  </w:num>
  <w:num w:numId="33">
    <w:abstractNumId w:val="32"/>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jZTIwMzk0ZDJmMWY4YmRlOTk5ZmJlYWU0ZTU2MDQifQ=="/>
  </w:docVars>
  <w:rsids>
    <w:rsidRoot w:val="00E83D6D"/>
    <w:rsid w:val="000024CA"/>
    <w:rsid w:val="00005E4D"/>
    <w:rsid w:val="00006989"/>
    <w:rsid w:val="0000747D"/>
    <w:rsid w:val="0001093C"/>
    <w:rsid w:val="0001621F"/>
    <w:rsid w:val="00020893"/>
    <w:rsid w:val="000214FE"/>
    <w:rsid w:val="0002154D"/>
    <w:rsid w:val="0002245E"/>
    <w:rsid w:val="00024AAE"/>
    <w:rsid w:val="000261BF"/>
    <w:rsid w:val="000271B9"/>
    <w:rsid w:val="0002748D"/>
    <w:rsid w:val="00030137"/>
    <w:rsid w:val="0003515B"/>
    <w:rsid w:val="000366E5"/>
    <w:rsid w:val="000415C2"/>
    <w:rsid w:val="00043536"/>
    <w:rsid w:val="00044794"/>
    <w:rsid w:val="000504C5"/>
    <w:rsid w:val="00050F62"/>
    <w:rsid w:val="00057613"/>
    <w:rsid w:val="000577A9"/>
    <w:rsid w:val="0006139C"/>
    <w:rsid w:val="00063A95"/>
    <w:rsid w:val="00065AF3"/>
    <w:rsid w:val="000671D8"/>
    <w:rsid w:val="00070E42"/>
    <w:rsid w:val="00071A4E"/>
    <w:rsid w:val="00072BC4"/>
    <w:rsid w:val="000776CA"/>
    <w:rsid w:val="00080962"/>
    <w:rsid w:val="000819C3"/>
    <w:rsid w:val="0008384E"/>
    <w:rsid w:val="000843BA"/>
    <w:rsid w:val="000860B2"/>
    <w:rsid w:val="00090BD5"/>
    <w:rsid w:val="000931EA"/>
    <w:rsid w:val="00096C24"/>
    <w:rsid w:val="000A119E"/>
    <w:rsid w:val="000A364C"/>
    <w:rsid w:val="000B1470"/>
    <w:rsid w:val="000B2A31"/>
    <w:rsid w:val="000C33BB"/>
    <w:rsid w:val="000C4A1B"/>
    <w:rsid w:val="000C781A"/>
    <w:rsid w:val="000D2628"/>
    <w:rsid w:val="000D41BD"/>
    <w:rsid w:val="000D7368"/>
    <w:rsid w:val="000D7A22"/>
    <w:rsid w:val="000E044E"/>
    <w:rsid w:val="000E05C9"/>
    <w:rsid w:val="000E0717"/>
    <w:rsid w:val="000E569B"/>
    <w:rsid w:val="000E7254"/>
    <w:rsid w:val="000E7BE0"/>
    <w:rsid w:val="000F2BFB"/>
    <w:rsid w:val="000F2D2A"/>
    <w:rsid w:val="000F359E"/>
    <w:rsid w:val="000F7335"/>
    <w:rsid w:val="000F7D9A"/>
    <w:rsid w:val="0010031F"/>
    <w:rsid w:val="001008D5"/>
    <w:rsid w:val="001023B0"/>
    <w:rsid w:val="00105A0B"/>
    <w:rsid w:val="001123A7"/>
    <w:rsid w:val="00113B4D"/>
    <w:rsid w:val="00115494"/>
    <w:rsid w:val="00116555"/>
    <w:rsid w:val="0011718A"/>
    <w:rsid w:val="00117959"/>
    <w:rsid w:val="00121E68"/>
    <w:rsid w:val="00122AA0"/>
    <w:rsid w:val="00133569"/>
    <w:rsid w:val="0013462C"/>
    <w:rsid w:val="00136BAC"/>
    <w:rsid w:val="001377E9"/>
    <w:rsid w:val="001463B8"/>
    <w:rsid w:val="00147FF9"/>
    <w:rsid w:val="001511E6"/>
    <w:rsid w:val="00155778"/>
    <w:rsid w:val="00161A28"/>
    <w:rsid w:val="00163161"/>
    <w:rsid w:val="00165845"/>
    <w:rsid w:val="00165CA1"/>
    <w:rsid w:val="00167570"/>
    <w:rsid w:val="00170610"/>
    <w:rsid w:val="001710B3"/>
    <w:rsid w:val="00172363"/>
    <w:rsid w:val="0017239B"/>
    <w:rsid w:val="00180650"/>
    <w:rsid w:val="001813BA"/>
    <w:rsid w:val="001826BC"/>
    <w:rsid w:val="001857CB"/>
    <w:rsid w:val="001873FF"/>
    <w:rsid w:val="00187AF3"/>
    <w:rsid w:val="00193D0F"/>
    <w:rsid w:val="0019433D"/>
    <w:rsid w:val="00194EB0"/>
    <w:rsid w:val="001952B4"/>
    <w:rsid w:val="001A0A6A"/>
    <w:rsid w:val="001A3128"/>
    <w:rsid w:val="001A331E"/>
    <w:rsid w:val="001A4D84"/>
    <w:rsid w:val="001A747A"/>
    <w:rsid w:val="001A7762"/>
    <w:rsid w:val="001A7A86"/>
    <w:rsid w:val="001B0CDE"/>
    <w:rsid w:val="001B1472"/>
    <w:rsid w:val="001B1EF2"/>
    <w:rsid w:val="001B207C"/>
    <w:rsid w:val="001B3254"/>
    <w:rsid w:val="001B325B"/>
    <w:rsid w:val="001B3851"/>
    <w:rsid w:val="001B5A83"/>
    <w:rsid w:val="001C470C"/>
    <w:rsid w:val="001D2998"/>
    <w:rsid w:val="001D2ED1"/>
    <w:rsid w:val="001D32A2"/>
    <w:rsid w:val="001D547C"/>
    <w:rsid w:val="001D5CA7"/>
    <w:rsid w:val="001D6CC8"/>
    <w:rsid w:val="001D772B"/>
    <w:rsid w:val="001E4E35"/>
    <w:rsid w:val="001E4FCA"/>
    <w:rsid w:val="001E580D"/>
    <w:rsid w:val="001E682D"/>
    <w:rsid w:val="001E6A55"/>
    <w:rsid w:val="001F2A6B"/>
    <w:rsid w:val="001F3F10"/>
    <w:rsid w:val="001F54F7"/>
    <w:rsid w:val="001F6EDE"/>
    <w:rsid w:val="00204EA9"/>
    <w:rsid w:val="00206DB3"/>
    <w:rsid w:val="00206DC7"/>
    <w:rsid w:val="00211102"/>
    <w:rsid w:val="002166C4"/>
    <w:rsid w:val="00220B79"/>
    <w:rsid w:val="002226B3"/>
    <w:rsid w:val="002238DB"/>
    <w:rsid w:val="0022407A"/>
    <w:rsid w:val="00226C23"/>
    <w:rsid w:val="002274BB"/>
    <w:rsid w:val="002305E5"/>
    <w:rsid w:val="00230C1E"/>
    <w:rsid w:val="002319CD"/>
    <w:rsid w:val="00233D0D"/>
    <w:rsid w:val="00235020"/>
    <w:rsid w:val="00235A8D"/>
    <w:rsid w:val="00236E3D"/>
    <w:rsid w:val="00237492"/>
    <w:rsid w:val="0024138D"/>
    <w:rsid w:val="00243558"/>
    <w:rsid w:val="0025135A"/>
    <w:rsid w:val="00251832"/>
    <w:rsid w:val="002521C0"/>
    <w:rsid w:val="00253294"/>
    <w:rsid w:val="00254117"/>
    <w:rsid w:val="00254177"/>
    <w:rsid w:val="00255579"/>
    <w:rsid w:val="00255D20"/>
    <w:rsid w:val="002563FF"/>
    <w:rsid w:val="00257761"/>
    <w:rsid w:val="00260A67"/>
    <w:rsid w:val="0026222B"/>
    <w:rsid w:val="002646FE"/>
    <w:rsid w:val="0026542B"/>
    <w:rsid w:val="00265E92"/>
    <w:rsid w:val="002679CD"/>
    <w:rsid w:val="00271857"/>
    <w:rsid w:val="0027297D"/>
    <w:rsid w:val="00274AFF"/>
    <w:rsid w:val="00274F62"/>
    <w:rsid w:val="00275A54"/>
    <w:rsid w:val="00275C73"/>
    <w:rsid w:val="00275E51"/>
    <w:rsid w:val="002761BE"/>
    <w:rsid w:val="00284104"/>
    <w:rsid w:val="0028531B"/>
    <w:rsid w:val="0028643C"/>
    <w:rsid w:val="002864D2"/>
    <w:rsid w:val="00286E1A"/>
    <w:rsid w:val="002877CE"/>
    <w:rsid w:val="0029426A"/>
    <w:rsid w:val="00296F52"/>
    <w:rsid w:val="00297CAC"/>
    <w:rsid w:val="002A14B7"/>
    <w:rsid w:val="002A16A8"/>
    <w:rsid w:val="002A51DF"/>
    <w:rsid w:val="002A6223"/>
    <w:rsid w:val="002B3901"/>
    <w:rsid w:val="002B4767"/>
    <w:rsid w:val="002B4E92"/>
    <w:rsid w:val="002B50E1"/>
    <w:rsid w:val="002B51AB"/>
    <w:rsid w:val="002B73BE"/>
    <w:rsid w:val="002B785F"/>
    <w:rsid w:val="002C4FDF"/>
    <w:rsid w:val="002C6413"/>
    <w:rsid w:val="002C6BFA"/>
    <w:rsid w:val="002C76D4"/>
    <w:rsid w:val="002D222C"/>
    <w:rsid w:val="002D30BB"/>
    <w:rsid w:val="002D4250"/>
    <w:rsid w:val="002D46FF"/>
    <w:rsid w:val="002D4CC8"/>
    <w:rsid w:val="002D4F3F"/>
    <w:rsid w:val="002D5BA7"/>
    <w:rsid w:val="002D6D66"/>
    <w:rsid w:val="002E5A1F"/>
    <w:rsid w:val="002E5FF8"/>
    <w:rsid w:val="002E74C8"/>
    <w:rsid w:val="002E7F24"/>
    <w:rsid w:val="002F7843"/>
    <w:rsid w:val="003003A6"/>
    <w:rsid w:val="003012AA"/>
    <w:rsid w:val="00301443"/>
    <w:rsid w:val="00302353"/>
    <w:rsid w:val="00303BC8"/>
    <w:rsid w:val="00303CCC"/>
    <w:rsid w:val="00303EF1"/>
    <w:rsid w:val="003062DF"/>
    <w:rsid w:val="00306FB4"/>
    <w:rsid w:val="003241BC"/>
    <w:rsid w:val="0032516A"/>
    <w:rsid w:val="00334D52"/>
    <w:rsid w:val="00340919"/>
    <w:rsid w:val="003516FC"/>
    <w:rsid w:val="003522F3"/>
    <w:rsid w:val="0035715C"/>
    <w:rsid w:val="003624D9"/>
    <w:rsid w:val="003650E0"/>
    <w:rsid w:val="0037060B"/>
    <w:rsid w:val="0038148F"/>
    <w:rsid w:val="00384792"/>
    <w:rsid w:val="00392333"/>
    <w:rsid w:val="003A0592"/>
    <w:rsid w:val="003A4E7C"/>
    <w:rsid w:val="003A5B1B"/>
    <w:rsid w:val="003A73C1"/>
    <w:rsid w:val="003B15A7"/>
    <w:rsid w:val="003B160C"/>
    <w:rsid w:val="003B3F03"/>
    <w:rsid w:val="003B66C6"/>
    <w:rsid w:val="003B66C8"/>
    <w:rsid w:val="003C0190"/>
    <w:rsid w:val="003C059D"/>
    <w:rsid w:val="003C1D50"/>
    <w:rsid w:val="003C2341"/>
    <w:rsid w:val="003C2CD6"/>
    <w:rsid w:val="003C36AF"/>
    <w:rsid w:val="003C5C25"/>
    <w:rsid w:val="003D0664"/>
    <w:rsid w:val="003D44FC"/>
    <w:rsid w:val="003D55EC"/>
    <w:rsid w:val="003D6B97"/>
    <w:rsid w:val="003D71B0"/>
    <w:rsid w:val="003E306B"/>
    <w:rsid w:val="003E4BEB"/>
    <w:rsid w:val="003E4CC0"/>
    <w:rsid w:val="003E5513"/>
    <w:rsid w:val="003E6A09"/>
    <w:rsid w:val="003E6DE1"/>
    <w:rsid w:val="003F176E"/>
    <w:rsid w:val="003F3907"/>
    <w:rsid w:val="003F6ADB"/>
    <w:rsid w:val="00401228"/>
    <w:rsid w:val="00403905"/>
    <w:rsid w:val="0040424D"/>
    <w:rsid w:val="004048EF"/>
    <w:rsid w:val="004049F9"/>
    <w:rsid w:val="004059DC"/>
    <w:rsid w:val="00406519"/>
    <w:rsid w:val="004070A8"/>
    <w:rsid w:val="00407E12"/>
    <w:rsid w:val="0041043F"/>
    <w:rsid w:val="00415A2E"/>
    <w:rsid w:val="00417FD5"/>
    <w:rsid w:val="00421122"/>
    <w:rsid w:val="00421F3D"/>
    <w:rsid w:val="0042676D"/>
    <w:rsid w:val="00432C4A"/>
    <w:rsid w:val="004403D9"/>
    <w:rsid w:val="00440A8B"/>
    <w:rsid w:val="004422B2"/>
    <w:rsid w:val="00443B6F"/>
    <w:rsid w:val="004446E2"/>
    <w:rsid w:val="0044579D"/>
    <w:rsid w:val="00450EE3"/>
    <w:rsid w:val="00451CD2"/>
    <w:rsid w:val="00452D49"/>
    <w:rsid w:val="004564DD"/>
    <w:rsid w:val="00457DCB"/>
    <w:rsid w:val="0046102C"/>
    <w:rsid w:val="0046116F"/>
    <w:rsid w:val="00462D13"/>
    <w:rsid w:val="004635A0"/>
    <w:rsid w:val="0046536A"/>
    <w:rsid w:val="00466F08"/>
    <w:rsid w:val="0046736E"/>
    <w:rsid w:val="00467D11"/>
    <w:rsid w:val="004722D6"/>
    <w:rsid w:val="004757EF"/>
    <w:rsid w:val="00477448"/>
    <w:rsid w:val="00477B23"/>
    <w:rsid w:val="00482F4E"/>
    <w:rsid w:val="0048717C"/>
    <w:rsid w:val="004877B2"/>
    <w:rsid w:val="00491ACB"/>
    <w:rsid w:val="00493D74"/>
    <w:rsid w:val="00496A6F"/>
    <w:rsid w:val="00496CCA"/>
    <w:rsid w:val="004A10AF"/>
    <w:rsid w:val="004A204B"/>
    <w:rsid w:val="004A2DFA"/>
    <w:rsid w:val="004A3C54"/>
    <w:rsid w:val="004A48AD"/>
    <w:rsid w:val="004A60D2"/>
    <w:rsid w:val="004A7A82"/>
    <w:rsid w:val="004B0076"/>
    <w:rsid w:val="004B0DB4"/>
    <w:rsid w:val="004B4096"/>
    <w:rsid w:val="004B46CD"/>
    <w:rsid w:val="004B4C57"/>
    <w:rsid w:val="004B51E1"/>
    <w:rsid w:val="004B66DD"/>
    <w:rsid w:val="004C2778"/>
    <w:rsid w:val="004C2AEB"/>
    <w:rsid w:val="004C3879"/>
    <w:rsid w:val="004C65F8"/>
    <w:rsid w:val="004C75D1"/>
    <w:rsid w:val="004C7A55"/>
    <w:rsid w:val="004D1BF5"/>
    <w:rsid w:val="004D3E1A"/>
    <w:rsid w:val="004D4CCC"/>
    <w:rsid w:val="004D52FF"/>
    <w:rsid w:val="004D63CC"/>
    <w:rsid w:val="004D7F9F"/>
    <w:rsid w:val="004E1186"/>
    <w:rsid w:val="004E2EE8"/>
    <w:rsid w:val="004E3DA2"/>
    <w:rsid w:val="004E46FB"/>
    <w:rsid w:val="004F0271"/>
    <w:rsid w:val="004F1E99"/>
    <w:rsid w:val="004F3F5C"/>
    <w:rsid w:val="004F4052"/>
    <w:rsid w:val="004F4EC8"/>
    <w:rsid w:val="004F720C"/>
    <w:rsid w:val="004F732D"/>
    <w:rsid w:val="00501332"/>
    <w:rsid w:val="005017E6"/>
    <w:rsid w:val="0050382D"/>
    <w:rsid w:val="00505252"/>
    <w:rsid w:val="00505C09"/>
    <w:rsid w:val="00507642"/>
    <w:rsid w:val="0051015E"/>
    <w:rsid w:val="00514D33"/>
    <w:rsid w:val="005211D7"/>
    <w:rsid w:val="00524B1C"/>
    <w:rsid w:val="0052532D"/>
    <w:rsid w:val="00531333"/>
    <w:rsid w:val="00531663"/>
    <w:rsid w:val="00542F78"/>
    <w:rsid w:val="00545F77"/>
    <w:rsid w:val="00550033"/>
    <w:rsid w:val="005507B9"/>
    <w:rsid w:val="00552B34"/>
    <w:rsid w:val="005536C5"/>
    <w:rsid w:val="00554181"/>
    <w:rsid w:val="005563C0"/>
    <w:rsid w:val="00556D85"/>
    <w:rsid w:val="00557CB7"/>
    <w:rsid w:val="00560151"/>
    <w:rsid w:val="00565AE5"/>
    <w:rsid w:val="00565B5B"/>
    <w:rsid w:val="00573E74"/>
    <w:rsid w:val="00573F88"/>
    <w:rsid w:val="00580788"/>
    <w:rsid w:val="00581411"/>
    <w:rsid w:val="005825EC"/>
    <w:rsid w:val="00583E79"/>
    <w:rsid w:val="0058544E"/>
    <w:rsid w:val="0059008F"/>
    <w:rsid w:val="00591FE6"/>
    <w:rsid w:val="0059311A"/>
    <w:rsid w:val="005961D6"/>
    <w:rsid w:val="005970A1"/>
    <w:rsid w:val="00597ABC"/>
    <w:rsid w:val="005A06D6"/>
    <w:rsid w:val="005A59BE"/>
    <w:rsid w:val="005A5B30"/>
    <w:rsid w:val="005A6ED6"/>
    <w:rsid w:val="005A7296"/>
    <w:rsid w:val="005A7DE6"/>
    <w:rsid w:val="005B4352"/>
    <w:rsid w:val="005B5505"/>
    <w:rsid w:val="005B7F00"/>
    <w:rsid w:val="005C141D"/>
    <w:rsid w:val="005C1489"/>
    <w:rsid w:val="005C4271"/>
    <w:rsid w:val="005C4932"/>
    <w:rsid w:val="005C6858"/>
    <w:rsid w:val="005C6BEB"/>
    <w:rsid w:val="005D01CF"/>
    <w:rsid w:val="005D191E"/>
    <w:rsid w:val="005D5A67"/>
    <w:rsid w:val="005D721F"/>
    <w:rsid w:val="005F3A8B"/>
    <w:rsid w:val="005F5489"/>
    <w:rsid w:val="005F5F7B"/>
    <w:rsid w:val="00604796"/>
    <w:rsid w:val="00607113"/>
    <w:rsid w:val="00607752"/>
    <w:rsid w:val="0061239F"/>
    <w:rsid w:val="00615565"/>
    <w:rsid w:val="006162F4"/>
    <w:rsid w:val="00617136"/>
    <w:rsid w:val="00617760"/>
    <w:rsid w:val="00622E28"/>
    <w:rsid w:val="006243FE"/>
    <w:rsid w:val="00624A17"/>
    <w:rsid w:val="00627FDE"/>
    <w:rsid w:val="00630357"/>
    <w:rsid w:val="00632DB3"/>
    <w:rsid w:val="00636AAE"/>
    <w:rsid w:val="00637B5B"/>
    <w:rsid w:val="00644B73"/>
    <w:rsid w:val="00645B96"/>
    <w:rsid w:val="00647C10"/>
    <w:rsid w:val="00650744"/>
    <w:rsid w:val="006535F5"/>
    <w:rsid w:val="00656D33"/>
    <w:rsid w:val="00660122"/>
    <w:rsid w:val="0066048C"/>
    <w:rsid w:val="00661D4C"/>
    <w:rsid w:val="00665BEB"/>
    <w:rsid w:val="00666591"/>
    <w:rsid w:val="0067030E"/>
    <w:rsid w:val="0067071E"/>
    <w:rsid w:val="00670832"/>
    <w:rsid w:val="00670DA1"/>
    <w:rsid w:val="006733F0"/>
    <w:rsid w:val="00675264"/>
    <w:rsid w:val="00677269"/>
    <w:rsid w:val="00682383"/>
    <w:rsid w:val="00686921"/>
    <w:rsid w:val="00686A08"/>
    <w:rsid w:val="0068747B"/>
    <w:rsid w:val="006911A9"/>
    <w:rsid w:val="00692F78"/>
    <w:rsid w:val="006932A8"/>
    <w:rsid w:val="0069497D"/>
    <w:rsid w:val="00696E9B"/>
    <w:rsid w:val="006A0A0E"/>
    <w:rsid w:val="006A0CC0"/>
    <w:rsid w:val="006A39E1"/>
    <w:rsid w:val="006A41A3"/>
    <w:rsid w:val="006A7AB1"/>
    <w:rsid w:val="006B07C8"/>
    <w:rsid w:val="006B13F8"/>
    <w:rsid w:val="006B3EAC"/>
    <w:rsid w:val="006B601D"/>
    <w:rsid w:val="006B70D4"/>
    <w:rsid w:val="006C2B1F"/>
    <w:rsid w:val="006C2F75"/>
    <w:rsid w:val="006C44B6"/>
    <w:rsid w:val="006C7BAB"/>
    <w:rsid w:val="006D2C51"/>
    <w:rsid w:val="006D7C3C"/>
    <w:rsid w:val="006E2265"/>
    <w:rsid w:val="006E5945"/>
    <w:rsid w:val="006F286B"/>
    <w:rsid w:val="006F2E97"/>
    <w:rsid w:val="006F44B2"/>
    <w:rsid w:val="006F4B67"/>
    <w:rsid w:val="006F5212"/>
    <w:rsid w:val="006F77A9"/>
    <w:rsid w:val="00700E6A"/>
    <w:rsid w:val="00707B0F"/>
    <w:rsid w:val="00707CB0"/>
    <w:rsid w:val="007102BB"/>
    <w:rsid w:val="00710555"/>
    <w:rsid w:val="00711075"/>
    <w:rsid w:val="00712EDD"/>
    <w:rsid w:val="00714BA9"/>
    <w:rsid w:val="00717CE2"/>
    <w:rsid w:val="00723347"/>
    <w:rsid w:val="00727447"/>
    <w:rsid w:val="00727AB1"/>
    <w:rsid w:val="00731EC3"/>
    <w:rsid w:val="007324A6"/>
    <w:rsid w:val="007337E5"/>
    <w:rsid w:val="00733BDB"/>
    <w:rsid w:val="00733DCE"/>
    <w:rsid w:val="00735D71"/>
    <w:rsid w:val="007412F6"/>
    <w:rsid w:val="00745A6F"/>
    <w:rsid w:val="0074782A"/>
    <w:rsid w:val="00747B1F"/>
    <w:rsid w:val="0075092F"/>
    <w:rsid w:val="00754DA7"/>
    <w:rsid w:val="00756A42"/>
    <w:rsid w:val="00763003"/>
    <w:rsid w:val="00765961"/>
    <w:rsid w:val="007675CF"/>
    <w:rsid w:val="0077124B"/>
    <w:rsid w:val="007737D0"/>
    <w:rsid w:val="00774E1A"/>
    <w:rsid w:val="00775B09"/>
    <w:rsid w:val="00776F4C"/>
    <w:rsid w:val="00781185"/>
    <w:rsid w:val="00781661"/>
    <w:rsid w:val="0078356F"/>
    <w:rsid w:val="00786A1C"/>
    <w:rsid w:val="00791710"/>
    <w:rsid w:val="0079224C"/>
    <w:rsid w:val="00794466"/>
    <w:rsid w:val="00794A6B"/>
    <w:rsid w:val="0079648B"/>
    <w:rsid w:val="00796853"/>
    <w:rsid w:val="007A11E9"/>
    <w:rsid w:val="007A4292"/>
    <w:rsid w:val="007A5DB7"/>
    <w:rsid w:val="007A61FE"/>
    <w:rsid w:val="007A7796"/>
    <w:rsid w:val="007B00FC"/>
    <w:rsid w:val="007B0231"/>
    <w:rsid w:val="007B08DD"/>
    <w:rsid w:val="007B2823"/>
    <w:rsid w:val="007B485D"/>
    <w:rsid w:val="007B4AAE"/>
    <w:rsid w:val="007B6342"/>
    <w:rsid w:val="007B6D8A"/>
    <w:rsid w:val="007C1AAB"/>
    <w:rsid w:val="007C4560"/>
    <w:rsid w:val="007C7712"/>
    <w:rsid w:val="007C783A"/>
    <w:rsid w:val="007D47D7"/>
    <w:rsid w:val="007D58F9"/>
    <w:rsid w:val="007D7E62"/>
    <w:rsid w:val="007E42E0"/>
    <w:rsid w:val="007E53D4"/>
    <w:rsid w:val="007E63DD"/>
    <w:rsid w:val="007E69F5"/>
    <w:rsid w:val="007E7608"/>
    <w:rsid w:val="007F131B"/>
    <w:rsid w:val="007F34FD"/>
    <w:rsid w:val="007F4424"/>
    <w:rsid w:val="007F6A2A"/>
    <w:rsid w:val="008010D5"/>
    <w:rsid w:val="00801275"/>
    <w:rsid w:val="0080146B"/>
    <w:rsid w:val="00801E6B"/>
    <w:rsid w:val="008036C7"/>
    <w:rsid w:val="00804E0B"/>
    <w:rsid w:val="00804E5F"/>
    <w:rsid w:val="00806A2B"/>
    <w:rsid w:val="00806E09"/>
    <w:rsid w:val="00810EA5"/>
    <w:rsid w:val="00811697"/>
    <w:rsid w:val="00811C78"/>
    <w:rsid w:val="008140F2"/>
    <w:rsid w:val="008146EB"/>
    <w:rsid w:val="00815BC0"/>
    <w:rsid w:val="00817563"/>
    <w:rsid w:val="00821CBF"/>
    <w:rsid w:val="0082236F"/>
    <w:rsid w:val="00824E80"/>
    <w:rsid w:val="00825562"/>
    <w:rsid w:val="00830875"/>
    <w:rsid w:val="00831985"/>
    <w:rsid w:val="00833C27"/>
    <w:rsid w:val="0083417B"/>
    <w:rsid w:val="008351EB"/>
    <w:rsid w:val="00837F87"/>
    <w:rsid w:val="00841234"/>
    <w:rsid w:val="00844AD0"/>
    <w:rsid w:val="00846711"/>
    <w:rsid w:val="008469AF"/>
    <w:rsid w:val="008512FD"/>
    <w:rsid w:val="00851309"/>
    <w:rsid w:val="008517E0"/>
    <w:rsid w:val="00855B9B"/>
    <w:rsid w:val="0085647E"/>
    <w:rsid w:val="00860007"/>
    <w:rsid w:val="00860029"/>
    <w:rsid w:val="00860787"/>
    <w:rsid w:val="008608E8"/>
    <w:rsid w:val="00860F37"/>
    <w:rsid w:val="0086423B"/>
    <w:rsid w:val="00867781"/>
    <w:rsid w:val="00870467"/>
    <w:rsid w:val="00875611"/>
    <w:rsid w:val="00875B89"/>
    <w:rsid w:val="00876014"/>
    <w:rsid w:val="00880B09"/>
    <w:rsid w:val="00883176"/>
    <w:rsid w:val="00883BF1"/>
    <w:rsid w:val="00885B0B"/>
    <w:rsid w:val="008860EE"/>
    <w:rsid w:val="0088699F"/>
    <w:rsid w:val="008910B4"/>
    <w:rsid w:val="00891755"/>
    <w:rsid w:val="00894F02"/>
    <w:rsid w:val="008952C1"/>
    <w:rsid w:val="008A02F4"/>
    <w:rsid w:val="008A073A"/>
    <w:rsid w:val="008A17A0"/>
    <w:rsid w:val="008B0EFA"/>
    <w:rsid w:val="008B124B"/>
    <w:rsid w:val="008B371D"/>
    <w:rsid w:val="008B4238"/>
    <w:rsid w:val="008B54B5"/>
    <w:rsid w:val="008C0972"/>
    <w:rsid w:val="008C1E95"/>
    <w:rsid w:val="008C1F65"/>
    <w:rsid w:val="008C3C43"/>
    <w:rsid w:val="008C44B8"/>
    <w:rsid w:val="008C4D4F"/>
    <w:rsid w:val="008C5252"/>
    <w:rsid w:val="008D11B1"/>
    <w:rsid w:val="008D2B28"/>
    <w:rsid w:val="008D37CB"/>
    <w:rsid w:val="008D3890"/>
    <w:rsid w:val="008D41B2"/>
    <w:rsid w:val="008D44BB"/>
    <w:rsid w:val="008D6A98"/>
    <w:rsid w:val="008D7284"/>
    <w:rsid w:val="008E0837"/>
    <w:rsid w:val="008E0C03"/>
    <w:rsid w:val="008E3D54"/>
    <w:rsid w:val="008E509D"/>
    <w:rsid w:val="008F2AFD"/>
    <w:rsid w:val="008F2DA9"/>
    <w:rsid w:val="008F4F52"/>
    <w:rsid w:val="008F5EBC"/>
    <w:rsid w:val="008F700D"/>
    <w:rsid w:val="00902ADC"/>
    <w:rsid w:val="00903308"/>
    <w:rsid w:val="00903879"/>
    <w:rsid w:val="0090645D"/>
    <w:rsid w:val="00913009"/>
    <w:rsid w:val="00913098"/>
    <w:rsid w:val="00915161"/>
    <w:rsid w:val="0091636C"/>
    <w:rsid w:val="009178C2"/>
    <w:rsid w:val="009200E1"/>
    <w:rsid w:val="00923816"/>
    <w:rsid w:val="00924A85"/>
    <w:rsid w:val="009257EC"/>
    <w:rsid w:val="00925BA3"/>
    <w:rsid w:val="0092678C"/>
    <w:rsid w:val="00926FFA"/>
    <w:rsid w:val="0092721D"/>
    <w:rsid w:val="00931A79"/>
    <w:rsid w:val="009324D8"/>
    <w:rsid w:val="00932AB5"/>
    <w:rsid w:val="009345F7"/>
    <w:rsid w:val="00937F8B"/>
    <w:rsid w:val="00940F47"/>
    <w:rsid w:val="009430C1"/>
    <w:rsid w:val="00946C39"/>
    <w:rsid w:val="0095141C"/>
    <w:rsid w:val="00951B92"/>
    <w:rsid w:val="0095382A"/>
    <w:rsid w:val="00954480"/>
    <w:rsid w:val="00954666"/>
    <w:rsid w:val="00955A29"/>
    <w:rsid w:val="00956D29"/>
    <w:rsid w:val="009572B3"/>
    <w:rsid w:val="00957518"/>
    <w:rsid w:val="0096445E"/>
    <w:rsid w:val="00965A4D"/>
    <w:rsid w:val="00970235"/>
    <w:rsid w:val="00971272"/>
    <w:rsid w:val="009735C9"/>
    <w:rsid w:val="00974D08"/>
    <w:rsid w:val="00974FA6"/>
    <w:rsid w:val="00976602"/>
    <w:rsid w:val="00980B13"/>
    <w:rsid w:val="0098201F"/>
    <w:rsid w:val="00982673"/>
    <w:rsid w:val="0098509A"/>
    <w:rsid w:val="00985FC8"/>
    <w:rsid w:val="00987470"/>
    <w:rsid w:val="00987911"/>
    <w:rsid w:val="00996ECD"/>
    <w:rsid w:val="00997F32"/>
    <w:rsid w:val="009A1381"/>
    <w:rsid w:val="009A2C26"/>
    <w:rsid w:val="009A31F7"/>
    <w:rsid w:val="009A737D"/>
    <w:rsid w:val="009A7A19"/>
    <w:rsid w:val="009B3B47"/>
    <w:rsid w:val="009B7433"/>
    <w:rsid w:val="009C0CD5"/>
    <w:rsid w:val="009C3DC1"/>
    <w:rsid w:val="009C4D63"/>
    <w:rsid w:val="009C7DEA"/>
    <w:rsid w:val="009D4644"/>
    <w:rsid w:val="009D4FDF"/>
    <w:rsid w:val="009D52E3"/>
    <w:rsid w:val="009D5C06"/>
    <w:rsid w:val="009D5E2F"/>
    <w:rsid w:val="009E04E0"/>
    <w:rsid w:val="009E226B"/>
    <w:rsid w:val="009E6750"/>
    <w:rsid w:val="009E6CEC"/>
    <w:rsid w:val="009F49E3"/>
    <w:rsid w:val="009F5F06"/>
    <w:rsid w:val="00A0073C"/>
    <w:rsid w:val="00A00E18"/>
    <w:rsid w:val="00A01EB6"/>
    <w:rsid w:val="00A05300"/>
    <w:rsid w:val="00A06671"/>
    <w:rsid w:val="00A07448"/>
    <w:rsid w:val="00A10905"/>
    <w:rsid w:val="00A10CFE"/>
    <w:rsid w:val="00A1192C"/>
    <w:rsid w:val="00A12323"/>
    <w:rsid w:val="00A12C42"/>
    <w:rsid w:val="00A14850"/>
    <w:rsid w:val="00A203B7"/>
    <w:rsid w:val="00A21461"/>
    <w:rsid w:val="00A22A20"/>
    <w:rsid w:val="00A2487F"/>
    <w:rsid w:val="00A3048B"/>
    <w:rsid w:val="00A30831"/>
    <w:rsid w:val="00A30A11"/>
    <w:rsid w:val="00A31485"/>
    <w:rsid w:val="00A31933"/>
    <w:rsid w:val="00A3774F"/>
    <w:rsid w:val="00A37CA3"/>
    <w:rsid w:val="00A41402"/>
    <w:rsid w:val="00A41F93"/>
    <w:rsid w:val="00A4471C"/>
    <w:rsid w:val="00A46C60"/>
    <w:rsid w:val="00A47D8D"/>
    <w:rsid w:val="00A5048F"/>
    <w:rsid w:val="00A51C6E"/>
    <w:rsid w:val="00A5209D"/>
    <w:rsid w:val="00A619C5"/>
    <w:rsid w:val="00A63F8F"/>
    <w:rsid w:val="00A70E9C"/>
    <w:rsid w:val="00A71130"/>
    <w:rsid w:val="00A712D3"/>
    <w:rsid w:val="00A73209"/>
    <w:rsid w:val="00A737FA"/>
    <w:rsid w:val="00A74356"/>
    <w:rsid w:val="00A800FB"/>
    <w:rsid w:val="00A8032B"/>
    <w:rsid w:val="00A8178B"/>
    <w:rsid w:val="00A81C2B"/>
    <w:rsid w:val="00A84014"/>
    <w:rsid w:val="00A8553C"/>
    <w:rsid w:val="00A85E84"/>
    <w:rsid w:val="00A9102F"/>
    <w:rsid w:val="00A91F43"/>
    <w:rsid w:val="00A94846"/>
    <w:rsid w:val="00A95D1A"/>
    <w:rsid w:val="00A971BA"/>
    <w:rsid w:val="00A9762A"/>
    <w:rsid w:val="00A97F27"/>
    <w:rsid w:val="00AA0FCF"/>
    <w:rsid w:val="00AA188E"/>
    <w:rsid w:val="00AA345C"/>
    <w:rsid w:val="00AA3FCD"/>
    <w:rsid w:val="00AA4267"/>
    <w:rsid w:val="00AA5AA0"/>
    <w:rsid w:val="00AA5F7E"/>
    <w:rsid w:val="00AA6B9C"/>
    <w:rsid w:val="00AA7D85"/>
    <w:rsid w:val="00AB1C3E"/>
    <w:rsid w:val="00AB2415"/>
    <w:rsid w:val="00AB3FA5"/>
    <w:rsid w:val="00AB49F0"/>
    <w:rsid w:val="00AB51F4"/>
    <w:rsid w:val="00AB67EB"/>
    <w:rsid w:val="00AB6E8B"/>
    <w:rsid w:val="00AB7573"/>
    <w:rsid w:val="00AC012D"/>
    <w:rsid w:val="00AC20D3"/>
    <w:rsid w:val="00AC3ABA"/>
    <w:rsid w:val="00AC4AF7"/>
    <w:rsid w:val="00AC5CB3"/>
    <w:rsid w:val="00AC65D0"/>
    <w:rsid w:val="00AD4DFD"/>
    <w:rsid w:val="00AD595C"/>
    <w:rsid w:val="00AE07AD"/>
    <w:rsid w:val="00AE5688"/>
    <w:rsid w:val="00AE59C8"/>
    <w:rsid w:val="00AE5BC6"/>
    <w:rsid w:val="00AE6F09"/>
    <w:rsid w:val="00AE71EE"/>
    <w:rsid w:val="00AF191C"/>
    <w:rsid w:val="00AF3013"/>
    <w:rsid w:val="00AF43C6"/>
    <w:rsid w:val="00AF4ED6"/>
    <w:rsid w:val="00B000AD"/>
    <w:rsid w:val="00B029D4"/>
    <w:rsid w:val="00B0523F"/>
    <w:rsid w:val="00B059BB"/>
    <w:rsid w:val="00B0702E"/>
    <w:rsid w:val="00B13205"/>
    <w:rsid w:val="00B13225"/>
    <w:rsid w:val="00B149B3"/>
    <w:rsid w:val="00B15B93"/>
    <w:rsid w:val="00B17DCC"/>
    <w:rsid w:val="00B21032"/>
    <w:rsid w:val="00B258B8"/>
    <w:rsid w:val="00B31684"/>
    <w:rsid w:val="00B31DC9"/>
    <w:rsid w:val="00B31F3A"/>
    <w:rsid w:val="00B320C7"/>
    <w:rsid w:val="00B32AAD"/>
    <w:rsid w:val="00B33888"/>
    <w:rsid w:val="00B34A7D"/>
    <w:rsid w:val="00B35ED9"/>
    <w:rsid w:val="00B4159B"/>
    <w:rsid w:val="00B42EF3"/>
    <w:rsid w:val="00B43E20"/>
    <w:rsid w:val="00B44578"/>
    <w:rsid w:val="00B46594"/>
    <w:rsid w:val="00B52F1E"/>
    <w:rsid w:val="00B60DC6"/>
    <w:rsid w:val="00B62B3B"/>
    <w:rsid w:val="00B635DC"/>
    <w:rsid w:val="00B713BD"/>
    <w:rsid w:val="00B744DF"/>
    <w:rsid w:val="00B76A10"/>
    <w:rsid w:val="00B77434"/>
    <w:rsid w:val="00B806D8"/>
    <w:rsid w:val="00B82999"/>
    <w:rsid w:val="00B91897"/>
    <w:rsid w:val="00B948DA"/>
    <w:rsid w:val="00B94D4D"/>
    <w:rsid w:val="00BA0063"/>
    <w:rsid w:val="00BA2310"/>
    <w:rsid w:val="00BA3130"/>
    <w:rsid w:val="00BA31A3"/>
    <w:rsid w:val="00BA4366"/>
    <w:rsid w:val="00BA53B2"/>
    <w:rsid w:val="00BA7907"/>
    <w:rsid w:val="00BB2880"/>
    <w:rsid w:val="00BB4AD1"/>
    <w:rsid w:val="00BB6AA6"/>
    <w:rsid w:val="00BB7D3C"/>
    <w:rsid w:val="00BC03D6"/>
    <w:rsid w:val="00BC11CF"/>
    <w:rsid w:val="00BC3136"/>
    <w:rsid w:val="00BC38D9"/>
    <w:rsid w:val="00BC6678"/>
    <w:rsid w:val="00BD2005"/>
    <w:rsid w:val="00BD2139"/>
    <w:rsid w:val="00BD30C7"/>
    <w:rsid w:val="00BD30F1"/>
    <w:rsid w:val="00BD602C"/>
    <w:rsid w:val="00BD608C"/>
    <w:rsid w:val="00BD63DE"/>
    <w:rsid w:val="00BD6B4D"/>
    <w:rsid w:val="00BE0382"/>
    <w:rsid w:val="00BE3D9A"/>
    <w:rsid w:val="00BF2D28"/>
    <w:rsid w:val="00BF53A6"/>
    <w:rsid w:val="00BF55CD"/>
    <w:rsid w:val="00BF7715"/>
    <w:rsid w:val="00BF7E88"/>
    <w:rsid w:val="00C01973"/>
    <w:rsid w:val="00C079E3"/>
    <w:rsid w:val="00C13145"/>
    <w:rsid w:val="00C1344C"/>
    <w:rsid w:val="00C136D0"/>
    <w:rsid w:val="00C13788"/>
    <w:rsid w:val="00C140E9"/>
    <w:rsid w:val="00C201DF"/>
    <w:rsid w:val="00C2530F"/>
    <w:rsid w:val="00C2689D"/>
    <w:rsid w:val="00C26F0F"/>
    <w:rsid w:val="00C30096"/>
    <w:rsid w:val="00C327AB"/>
    <w:rsid w:val="00C34D83"/>
    <w:rsid w:val="00C35330"/>
    <w:rsid w:val="00C35C9F"/>
    <w:rsid w:val="00C35D8E"/>
    <w:rsid w:val="00C405D6"/>
    <w:rsid w:val="00C4092E"/>
    <w:rsid w:val="00C42662"/>
    <w:rsid w:val="00C44F43"/>
    <w:rsid w:val="00C4793E"/>
    <w:rsid w:val="00C51C81"/>
    <w:rsid w:val="00C51EA4"/>
    <w:rsid w:val="00C522D2"/>
    <w:rsid w:val="00C52B43"/>
    <w:rsid w:val="00C538F9"/>
    <w:rsid w:val="00C54EDA"/>
    <w:rsid w:val="00C56123"/>
    <w:rsid w:val="00C561C6"/>
    <w:rsid w:val="00C56593"/>
    <w:rsid w:val="00C617E9"/>
    <w:rsid w:val="00C62158"/>
    <w:rsid w:val="00C626FF"/>
    <w:rsid w:val="00C63502"/>
    <w:rsid w:val="00C73C6E"/>
    <w:rsid w:val="00C7604A"/>
    <w:rsid w:val="00C76480"/>
    <w:rsid w:val="00C76AEB"/>
    <w:rsid w:val="00C77A68"/>
    <w:rsid w:val="00C9260D"/>
    <w:rsid w:val="00C96E6A"/>
    <w:rsid w:val="00CA0199"/>
    <w:rsid w:val="00CA06E8"/>
    <w:rsid w:val="00CA0961"/>
    <w:rsid w:val="00CA3EB4"/>
    <w:rsid w:val="00CA4995"/>
    <w:rsid w:val="00CA4D3F"/>
    <w:rsid w:val="00CA563F"/>
    <w:rsid w:val="00CA5C2C"/>
    <w:rsid w:val="00CB33AA"/>
    <w:rsid w:val="00CB34AF"/>
    <w:rsid w:val="00CB7619"/>
    <w:rsid w:val="00CC60B5"/>
    <w:rsid w:val="00CC6804"/>
    <w:rsid w:val="00CD677B"/>
    <w:rsid w:val="00CE6FD4"/>
    <w:rsid w:val="00CE6FEE"/>
    <w:rsid w:val="00CE7B86"/>
    <w:rsid w:val="00CF35B6"/>
    <w:rsid w:val="00CF4AB1"/>
    <w:rsid w:val="00D03834"/>
    <w:rsid w:val="00D06380"/>
    <w:rsid w:val="00D07CF5"/>
    <w:rsid w:val="00D10919"/>
    <w:rsid w:val="00D12103"/>
    <w:rsid w:val="00D1221B"/>
    <w:rsid w:val="00D13196"/>
    <w:rsid w:val="00D14987"/>
    <w:rsid w:val="00D1573E"/>
    <w:rsid w:val="00D168DA"/>
    <w:rsid w:val="00D17CC1"/>
    <w:rsid w:val="00D2162E"/>
    <w:rsid w:val="00D21BA8"/>
    <w:rsid w:val="00D23543"/>
    <w:rsid w:val="00D2368C"/>
    <w:rsid w:val="00D26E15"/>
    <w:rsid w:val="00D311E0"/>
    <w:rsid w:val="00D319E6"/>
    <w:rsid w:val="00D31A25"/>
    <w:rsid w:val="00D31F95"/>
    <w:rsid w:val="00D345EC"/>
    <w:rsid w:val="00D35EC7"/>
    <w:rsid w:val="00D3628A"/>
    <w:rsid w:val="00D36AA6"/>
    <w:rsid w:val="00D37FEF"/>
    <w:rsid w:val="00D43DC1"/>
    <w:rsid w:val="00D444D8"/>
    <w:rsid w:val="00D531A2"/>
    <w:rsid w:val="00D533A7"/>
    <w:rsid w:val="00D5573F"/>
    <w:rsid w:val="00D56D58"/>
    <w:rsid w:val="00D56F3A"/>
    <w:rsid w:val="00D57DAE"/>
    <w:rsid w:val="00D57E0E"/>
    <w:rsid w:val="00D700C3"/>
    <w:rsid w:val="00D719F1"/>
    <w:rsid w:val="00D74CEF"/>
    <w:rsid w:val="00D75B5F"/>
    <w:rsid w:val="00D7764F"/>
    <w:rsid w:val="00D77B64"/>
    <w:rsid w:val="00D77D9E"/>
    <w:rsid w:val="00D80B64"/>
    <w:rsid w:val="00D82863"/>
    <w:rsid w:val="00D83C74"/>
    <w:rsid w:val="00D84650"/>
    <w:rsid w:val="00D869DA"/>
    <w:rsid w:val="00D87C46"/>
    <w:rsid w:val="00D87F06"/>
    <w:rsid w:val="00D9224A"/>
    <w:rsid w:val="00D9274F"/>
    <w:rsid w:val="00D92B4C"/>
    <w:rsid w:val="00D94F65"/>
    <w:rsid w:val="00DA1E06"/>
    <w:rsid w:val="00DA5411"/>
    <w:rsid w:val="00DA5992"/>
    <w:rsid w:val="00DA5DBA"/>
    <w:rsid w:val="00DB00DA"/>
    <w:rsid w:val="00DB216E"/>
    <w:rsid w:val="00DB431C"/>
    <w:rsid w:val="00DB467F"/>
    <w:rsid w:val="00DB471C"/>
    <w:rsid w:val="00DB67D5"/>
    <w:rsid w:val="00DC05BF"/>
    <w:rsid w:val="00DC4319"/>
    <w:rsid w:val="00DC4385"/>
    <w:rsid w:val="00DC5075"/>
    <w:rsid w:val="00DC7132"/>
    <w:rsid w:val="00DD1B37"/>
    <w:rsid w:val="00DD2F6D"/>
    <w:rsid w:val="00DD4FF8"/>
    <w:rsid w:val="00DD5069"/>
    <w:rsid w:val="00DE3B83"/>
    <w:rsid w:val="00DE52F4"/>
    <w:rsid w:val="00DE5E5A"/>
    <w:rsid w:val="00DE6C89"/>
    <w:rsid w:val="00DE72D9"/>
    <w:rsid w:val="00DE74C1"/>
    <w:rsid w:val="00DF0379"/>
    <w:rsid w:val="00DF52FB"/>
    <w:rsid w:val="00DF5565"/>
    <w:rsid w:val="00E00AA8"/>
    <w:rsid w:val="00E02FC3"/>
    <w:rsid w:val="00E05858"/>
    <w:rsid w:val="00E0675D"/>
    <w:rsid w:val="00E06BBA"/>
    <w:rsid w:val="00E07EA3"/>
    <w:rsid w:val="00E12572"/>
    <w:rsid w:val="00E12727"/>
    <w:rsid w:val="00E13C3E"/>
    <w:rsid w:val="00E1595A"/>
    <w:rsid w:val="00E15B60"/>
    <w:rsid w:val="00E20F6D"/>
    <w:rsid w:val="00E226FD"/>
    <w:rsid w:val="00E25556"/>
    <w:rsid w:val="00E27997"/>
    <w:rsid w:val="00E31C52"/>
    <w:rsid w:val="00E32CC2"/>
    <w:rsid w:val="00E34033"/>
    <w:rsid w:val="00E359A9"/>
    <w:rsid w:val="00E36A63"/>
    <w:rsid w:val="00E370ED"/>
    <w:rsid w:val="00E41F13"/>
    <w:rsid w:val="00E430DD"/>
    <w:rsid w:val="00E4371A"/>
    <w:rsid w:val="00E43BC8"/>
    <w:rsid w:val="00E44446"/>
    <w:rsid w:val="00E45EB0"/>
    <w:rsid w:val="00E51323"/>
    <w:rsid w:val="00E62376"/>
    <w:rsid w:val="00E62393"/>
    <w:rsid w:val="00E62821"/>
    <w:rsid w:val="00E632DA"/>
    <w:rsid w:val="00E65D45"/>
    <w:rsid w:val="00E67261"/>
    <w:rsid w:val="00E6751E"/>
    <w:rsid w:val="00E71010"/>
    <w:rsid w:val="00E730EC"/>
    <w:rsid w:val="00E815C6"/>
    <w:rsid w:val="00E83D6D"/>
    <w:rsid w:val="00E841BF"/>
    <w:rsid w:val="00E842ED"/>
    <w:rsid w:val="00E8452D"/>
    <w:rsid w:val="00E86A1A"/>
    <w:rsid w:val="00E87CB7"/>
    <w:rsid w:val="00E915C6"/>
    <w:rsid w:val="00E91CA1"/>
    <w:rsid w:val="00E925A4"/>
    <w:rsid w:val="00E9325F"/>
    <w:rsid w:val="00EA012D"/>
    <w:rsid w:val="00EA0D69"/>
    <w:rsid w:val="00EA101E"/>
    <w:rsid w:val="00EA6503"/>
    <w:rsid w:val="00EB05CB"/>
    <w:rsid w:val="00EB0D5B"/>
    <w:rsid w:val="00EB29E2"/>
    <w:rsid w:val="00EB2C8F"/>
    <w:rsid w:val="00EB2DE6"/>
    <w:rsid w:val="00EC15FE"/>
    <w:rsid w:val="00EC1ABC"/>
    <w:rsid w:val="00EC3409"/>
    <w:rsid w:val="00EC6CF8"/>
    <w:rsid w:val="00ED1D84"/>
    <w:rsid w:val="00ED3A31"/>
    <w:rsid w:val="00ED44CA"/>
    <w:rsid w:val="00ED4C08"/>
    <w:rsid w:val="00ED749F"/>
    <w:rsid w:val="00ED7D6F"/>
    <w:rsid w:val="00EE115E"/>
    <w:rsid w:val="00EE189D"/>
    <w:rsid w:val="00EE4E89"/>
    <w:rsid w:val="00EF1F7A"/>
    <w:rsid w:val="00EF42A1"/>
    <w:rsid w:val="00EF5332"/>
    <w:rsid w:val="00EF5818"/>
    <w:rsid w:val="00F00B7D"/>
    <w:rsid w:val="00F00C30"/>
    <w:rsid w:val="00F00E7F"/>
    <w:rsid w:val="00F0142C"/>
    <w:rsid w:val="00F0155B"/>
    <w:rsid w:val="00F0451D"/>
    <w:rsid w:val="00F06A27"/>
    <w:rsid w:val="00F128AF"/>
    <w:rsid w:val="00F13CB9"/>
    <w:rsid w:val="00F170E0"/>
    <w:rsid w:val="00F172BF"/>
    <w:rsid w:val="00F24F2C"/>
    <w:rsid w:val="00F30F3C"/>
    <w:rsid w:val="00F31E7C"/>
    <w:rsid w:val="00F34AFD"/>
    <w:rsid w:val="00F34F94"/>
    <w:rsid w:val="00F368D5"/>
    <w:rsid w:val="00F37A7F"/>
    <w:rsid w:val="00F423C7"/>
    <w:rsid w:val="00F42A52"/>
    <w:rsid w:val="00F44645"/>
    <w:rsid w:val="00F45C7B"/>
    <w:rsid w:val="00F462CB"/>
    <w:rsid w:val="00F464D2"/>
    <w:rsid w:val="00F46516"/>
    <w:rsid w:val="00F510F0"/>
    <w:rsid w:val="00F51289"/>
    <w:rsid w:val="00F547B3"/>
    <w:rsid w:val="00F5496B"/>
    <w:rsid w:val="00F56DA8"/>
    <w:rsid w:val="00F60C0B"/>
    <w:rsid w:val="00F62541"/>
    <w:rsid w:val="00F6630A"/>
    <w:rsid w:val="00F667D2"/>
    <w:rsid w:val="00F6689A"/>
    <w:rsid w:val="00F71B91"/>
    <w:rsid w:val="00F72524"/>
    <w:rsid w:val="00F75A66"/>
    <w:rsid w:val="00F81F5F"/>
    <w:rsid w:val="00F8219C"/>
    <w:rsid w:val="00F8350A"/>
    <w:rsid w:val="00F84CCD"/>
    <w:rsid w:val="00F85C25"/>
    <w:rsid w:val="00F913DD"/>
    <w:rsid w:val="00F917B9"/>
    <w:rsid w:val="00FA05ED"/>
    <w:rsid w:val="00FA1399"/>
    <w:rsid w:val="00FA190D"/>
    <w:rsid w:val="00FA3A15"/>
    <w:rsid w:val="00FA7FB9"/>
    <w:rsid w:val="00FB15F0"/>
    <w:rsid w:val="00FB3705"/>
    <w:rsid w:val="00FB55E1"/>
    <w:rsid w:val="00FB68BB"/>
    <w:rsid w:val="00FB7363"/>
    <w:rsid w:val="00FC263C"/>
    <w:rsid w:val="00FC4107"/>
    <w:rsid w:val="00FC4DC0"/>
    <w:rsid w:val="00FC6622"/>
    <w:rsid w:val="00FC7817"/>
    <w:rsid w:val="00FD024D"/>
    <w:rsid w:val="00FD5875"/>
    <w:rsid w:val="00FD768A"/>
    <w:rsid w:val="00FE088B"/>
    <w:rsid w:val="00FE18CE"/>
    <w:rsid w:val="00FE20A2"/>
    <w:rsid w:val="00FE42D5"/>
    <w:rsid w:val="00FE51EB"/>
    <w:rsid w:val="00FE6032"/>
    <w:rsid w:val="00FE6E6D"/>
    <w:rsid w:val="00FF0593"/>
    <w:rsid w:val="00FF12CA"/>
    <w:rsid w:val="00FF2F56"/>
    <w:rsid w:val="00FF3CE3"/>
    <w:rsid w:val="00FF478A"/>
    <w:rsid w:val="01255816"/>
    <w:rsid w:val="0817778D"/>
    <w:rsid w:val="0822685D"/>
    <w:rsid w:val="087F20B0"/>
    <w:rsid w:val="0BBA61DF"/>
    <w:rsid w:val="0C992E66"/>
    <w:rsid w:val="0D206ADC"/>
    <w:rsid w:val="0D4855DC"/>
    <w:rsid w:val="0E4C0D05"/>
    <w:rsid w:val="0F57435D"/>
    <w:rsid w:val="100C30CC"/>
    <w:rsid w:val="10710D74"/>
    <w:rsid w:val="10BC218D"/>
    <w:rsid w:val="11E078E4"/>
    <w:rsid w:val="121B764F"/>
    <w:rsid w:val="124F7DAD"/>
    <w:rsid w:val="130E5DA8"/>
    <w:rsid w:val="13AB136F"/>
    <w:rsid w:val="1451270C"/>
    <w:rsid w:val="147C6004"/>
    <w:rsid w:val="16764AFF"/>
    <w:rsid w:val="1690077A"/>
    <w:rsid w:val="17254E91"/>
    <w:rsid w:val="179D7382"/>
    <w:rsid w:val="194E4F0F"/>
    <w:rsid w:val="1A3657A6"/>
    <w:rsid w:val="1BD030DF"/>
    <w:rsid w:val="1C491350"/>
    <w:rsid w:val="1C763E69"/>
    <w:rsid w:val="1E00655E"/>
    <w:rsid w:val="1E3F6A78"/>
    <w:rsid w:val="1E935BAD"/>
    <w:rsid w:val="1EF85BDC"/>
    <w:rsid w:val="215A2B7B"/>
    <w:rsid w:val="21951468"/>
    <w:rsid w:val="24D47306"/>
    <w:rsid w:val="24E2207A"/>
    <w:rsid w:val="24EE130C"/>
    <w:rsid w:val="25012D6C"/>
    <w:rsid w:val="255676EF"/>
    <w:rsid w:val="27CD4BAE"/>
    <w:rsid w:val="28AC1220"/>
    <w:rsid w:val="28DE60A1"/>
    <w:rsid w:val="2961623A"/>
    <w:rsid w:val="2A8D26BB"/>
    <w:rsid w:val="2A9276C8"/>
    <w:rsid w:val="2B425003"/>
    <w:rsid w:val="2C1E3C6A"/>
    <w:rsid w:val="2C3326B9"/>
    <w:rsid w:val="2C4A4213"/>
    <w:rsid w:val="2CC1076E"/>
    <w:rsid w:val="2E17071E"/>
    <w:rsid w:val="2ED5012F"/>
    <w:rsid w:val="2ED81174"/>
    <w:rsid w:val="2EE31FF3"/>
    <w:rsid w:val="30760FCC"/>
    <w:rsid w:val="31124D22"/>
    <w:rsid w:val="32D241E5"/>
    <w:rsid w:val="32DA3C5A"/>
    <w:rsid w:val="32DC55BA"/>
    <w:rsid w:val="331B765D"/>
    <w:rsid w:val="346E5E0F"/>
    <w:rsid w:val="361C0E40"/>
    <w:rsid w:val="377D5729"/>
    <w:rsid w:val="37B67995"/>
    <w:rsid w:val="39CF6A29"/>
    <w:rsid w:val="39D11C13"/>
    <w:rsid w:val="3A0C3554"/>
    <w:rsid w:val="3A1249CA"/>
    <w:rsid w:val="3AE57B9E"/>
    <w:rsid w:val="3AFC74DE"/>
    <w:rsid w:val="3BAC12DA"/>
    <w:rsid w:val="3BCA7E24"/>
    <w:rsid w:val="3BF54D71"/>
    <w:rsid w:val="3CEB0E12"/>
    <w:rsid w:val="3D5660DF"/>
    <w:rsid w:val="3FD6873B"/>
    <w:rsid w:val="404C1170"/>
    <w:rsid w:val="40F75EF9"/>
    <w:rsid w:val="41275BAC"/>
    <w:rsid w:val="41B6273B"/>
    <w:rsid w:val="41F368AC"/>
    <w:rsid w:val="42E20186"/>
    <w:rsid w:val="44B00772"/>
    <w:rsid w:val="4530711A"/>
    <w:rsid w:val="464C7252"/>
    <w:rsid w:val="490E5A67"/>
    <w:rsid w:val="493A4AAE"/>
    <w:rsid w:val="49BA1D04"/>
    <w:rsid w:val="49C016C4"/>
    <w:rsid w:val="4A98641A"/>
    <w:rsid w:val="4D4C34C7"/>
    <w:rsid w:val="4E725CD8"/>
    <w:rsid w:val="4E814D9B"/>
    <w:rsid w:val="4F044518"/>
    <w:rsid w:val="4F764366"/>
    <w:rsid w:val="5000382F"/>
    <w:rsid w:val="52481FEA"/>
    <w:rsid w:val="53937294"/>
    <w:rsid w:val="547C33CE"/>
    <w:rsid w:val="54F54F90"/>
    <w:rsid w:val="55F10680"/>
    <w:rsid w:val="569B6EDB"/>
    <w:rsid w:val="57735FF4"/>
    <w:rsid w:val="57EF6381"/>
    <w:rsid w:val="582A546F"/>
    <w:rsid w:val="598313CA"/>
    <w:rsid w:val="5B6D0D13"/>
    <w:rsid w:val="5B892397"/>
    <w:rsid w:val="5C2C0458"/>
    <w:rsid w:val="5D0E05B6"/>
    <w:rsid w:val="5F8B75CB"/>
    <w:rsid w:val="5FBB4BE1"/>
    <w:rsid w:val="6098175A"/>
    <w:rsid w:val="60D32ED2"/>
    <w:rsid w:val="620D4BAF"/>
    <w:rsid w:val="62EF5B33"/>
    <w:rsid w:val="63EB108A"/>
    <w:rsid w:val="646E25DC"/>
    <w:rsid w:val="64BB6DC7"/>
    <w:rsid w:val="64F61E44"/>
    <w:rsid w:val="658B0713"/>
    <w:rsid w:val="65F43E3F"/>
    <w:rsid w:val="67D23610"/>
    <w:rsid w:val="69F05C67"/>
    <w:rsid w:val="6A9B71F6"/>
    <w:rsid w:val="6AE32E1B"/>
    <w:rsid w:val="6B482BE2"/>
    <w:rsid w:val="6B63067C"/>
    <w:rsid w:val="6E2062DB"/>
    <w:rsid w:val="6F5C6C7D"/>
    <w:rsid w:val="6FD84896"/>
    <w:rsid w:val="6FFC69A7"/>
    <w:rsid w:val="71DF7346"/>
    <w:rsid w:val="72C37B09"/>
    <w:rsid w:val="72D20EBB"/>
    <w:rsid w:val="7358077A"/>
    <w:rsid w:val="73EB44C0"/>
    <w:rsid w:val="744D4DE6"/>
    <w:rsid w:val="749654C4"/>
    <w:rsid w:val="780802FA"/>
    <w:rsid w:val="787B63C5"/>
    <w:rsid w:val="78E431C9"/>
    <w:rsid w:val="7B256B32"/>
    <w:rsid w:val="7DAB141B"/>
    <w:rsid w:val="7EBB435B"/>
    <w:rsid w:val="7EED0C67"/>
    <w:rsid w:val="EF7FF6B9"/>
    <w:rsid w:val="FDFD10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0" w:semiHidden="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6"/>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8"/>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71"/>
    <w:qFormat/>
    <w:uiPriority w:val="0"/>
    <w:pPr>
      <w:shd w:val="clear" w:color="auto" w:fill="000080"/>
    </w:pPr>
  </w:style>
  <w:style w:type="paragraph" w:styleId="15">
    <w:name w:val="annotation text"/>
    <w:basedOn w:val="1"/>
    <w:link w:val="72"/>
    <w:qFormat/>
    <w:uiPriority w:val="0"/>
    <w:pPr>
      <w:jc w:val="left"/>
    </w:pPr>
  </w:style>
  <w:style w:type="paragraph" w:styleId="16">
    <w:name w:val="Body Text 3"/>
    <w:basedOn w:val="1"/>
    <w:link w:val="73"/>
    <w:qFormat/>
    <w:uiPriority w:val="99"/>
    <w:pPr>
      <w:spacing w:after="120"/>
    </w:pPr>
    <w:rPr>
      <w:sz w:val="16"/>
      <w:szCs w:val="16"/>
    </w:rPr>
  </w:style>
  <w:style w:type="paragraph" w:styleId="17">
    <w:name w:val="Body Text"/>
    <w:basedOn w:val="1"/>
    <w:next w:val="1"/>
    <w:link w:val="74"/>
    <w:qFormat/>
    <w:uiPriority w:val="0"/>
    <w:pPr>
      <w:tabs>
        <w:tab w:val="left" w:pos="567"/>
      </w:tabs>
      <w:spacing w:before="120" w:line="22" w:lineRule="atLeast"/>
    </w:pPr>
    <w:rPr>
      <w:rFonts w:ascii="宋体" w:hAnsi="宋体"/>
      <w:sz w:val="24"/>
    </w:rPr>
  </w:style>
  <w:style w:type="paragraph" w:styleId="18">
    <w:name w:val="Body Text Indent"/>
    <w:basedOn w:val="1"/>
    <w:link w:val="75"/>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76"/>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7"/>
    <w:qFormat/>
    <w:uiPriority w:val="99"/>
    <w:pPr>
      <w:ind w:left="100" w:leftChars="2500"/>
    </w:pPr>
    <w:rPr>
      <w:rFonts w:ascii="仿宋_GB2312" w:hAnsi="宋体" w:eastAsia="仿宋_GB2312"/>
      <w:color w:val="000000"/>
      <w:sz w:val="24"/>
    </w:rPr>
  </w:style>
  <w:style w:type="paragraph" w:styleId="26">
    <w:name w:val="Body Text Indent 2"/>
    <w:basedOn w:val="1"/>
    <w:link w:val="78"/>
    <w:qFormat/>
    <w:uiPriority w:val="0"/>
    <w:pPr>
      <w:spacing w:line="360" w:lineRule="auto"/>
      <w:ind w:firstLine="560" w:firstLineChars="200"/>
    </w:pPr>
    <w:rPr>
      <w:rFonts w:ascii="宋体" w:hAnsi="宋体" w:eastAsia="仿宋_GB2312" w:cs="宋体"/>
      <w:sz w:val="28"/>
      <w:szCs w:val="28"/>
    </w:rPr>
  </w:style>
  <w:style w:type="paragraph" w:styleId="27">
    <w:name w:val="Balloon Text"/>
    <w:basedOn w:val="1"/>
    <w:link w:val="79"/>
    <w:qFormat/>
    <w:uiPriority w:val="99"/>
    <w:rPr>
      <w:sz w:val="18"/>
      <w:szCs w:val="18"/>
    </w:rPr>
  </w:style>
  <w:style w:type="paragraph" w:styleId="28">
    <w:name w:val="footer"/>
    <w:basedOn w:val="1"/>
    <w:link w:val="80"/>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List"/>
    <w:basedOn w:val="1"/>
    <w:unhideWhenUsed/>
    <w:qFormat/>
    <w:uiPriority w:val="0"/>
    <w:pPr>
      <w:ind w:left="200" w:hanging="200" w:hangingChars="200"/>
      <w:contextualSpacing/>
    </w:pPr>
  </w:style>
  <w:style w:type="paragraph" w:styleId="33">
    <w:name w:val="footnote text"/>
    <w:basedOn w:val="1"/>
    <w:link w:val="269"/>
    <w:qFormat/>
    <w:uiPriority w:val="0"/>
    <w:pPr>
      <w:suppressAutoHyphens/>
      <w:snapToGrid w:val="0"/>
      <w:jc w:val="left"/>
    </w:pPr>
    <w:rPr>
      <w:rFonts w:ascii="Calibri" w:hAnsi="Calibri" w:eastAsia="等线"/>
      <w:sz w:val="18"/>
      <w:szCs w:val="18"/>
    </w:rPr>
  </w:style>
  <w:style w:type="paragraph" w:styleId="34">
    <w:name w:val="toc 6"/>
    <w:basedOn w:val="1"/>
    <w:next w:val="1"/>
    <w:qFormat/>
    <w:uiPriority w:val="0"/>
    <w:pPr>
      <w:ind w:left="2100" w:leftChars="1000"/>
    </w:pPr>
  </w:style>
  <w:style w:type="paragraph" w:styleId="35">
    <w:name w:val="Body Text Indent 3"/>
    <w:basedOn w:val="1"/>
    <w:link w:val="8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able of figures"/>
    <w:basedOn w:val="1"/>
    <w:next w:val="1"/>
    <w:unhideWhenUsed/>
    <w:qFormat/>
    <w:uiPriority w:val="0"/>
    <w:pPr>
      <w:spacing w:line="360" w:lineRule="auto"/>
      <w:ind w:left="840" w:hanging="420"/>
    </w:pPr>
    <w:rPr>
      <w:kern w:val="0"/>
      <w:szCs w:val="20"/>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Body Text 2"/>
    <w:basedOn w:val="1"/>
    <w:link w:val="272"/>
    <w:unhideWhenUsed/>
    <w:qFormat/>
    <w:uiPriority w:val="0"/>
    <w:pPr>
      <w:spacing w:after="120" w:line="480" w:lineRule="auto"/>
    </w:pPr>
  </w:style>
  <w:style w:type="paragraph" w:styleId="40">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84"/>
    <w:qFormat/>
    <w:uiPriority w:val="0"/>
    <w:pPr>
      <w:jc w:val="center"/>
      <w:outlineLvl w:val="0"/>
    </w:pPr>
    <w:rPr>
      <w:b/>
      <w:sz w:val="32"/>
      <w:szCs w:val="20"/>
    </w:rPr>
  </w:style>
  <w:style w:type="paragraph" w:styleId="44">
    <w:name w:val="annotation subject"/>
    <w:basedOn w:val="15"/>
    <w:next w:val="15"/>
    <w:link w:val="85"/>
    <w:qFormat/>
    <w:uiPriority w:val="99"/>
    <w:rPr>
      <w:b/>
      <w:bCs/>
    </w:rPr>
  </w:style>
  <w:style w:type="paragraph" w:styleId="45">
    <w:name w:val="Body Text First Indent"/>
    <w:basedOn w:val="17"/>
    <w:link w:val="266"/>
    <w:unhideWhenUsed/>
    <w:qFormat/>
    <w:uiPriority w:val="0"/>
    <w:pPr>
      <w:spacing w:before="0" w:after="120" w:line="276" w:lineRule="auto"/>
    </w:pPr>
    <w:rPr>
      <w:rFonts w:ascii="Times New Roman" w:hAnsi="Times New Roman"/>
      <w:sz w:val="21"/>
    </w:rPr>
  </w:style>
  <w:style w:type="paragraph" w:styleId="46">
    <w:name w:val="Body Text First Indent 2"/>
    <w:basedOn w:val="18"/>
    <w:link w:val="87"/>
    <w:qFormat/>
    <w:uiPriority w:val="0"/>
    <w:pPr>
      <w:spacing w:after="120" w:line="480" w:lineRule="exact"/>
      <w:ind w:left="420" w:leftChars="200" w:firstLine="420" w:firstLineChars="200"/>
    </w:pPr>
    <w:rPr>
      <w:szCs w:val="20"/>
    </w:rPr>
  </w:style>
  <w:style w:type="table" w:styleId="48">
    <w:name w:val="Table Grid"/>
    <w:basedOn w:val="4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49">
    <w:name w:val="Medium Grid 1 Accent 2"/>
    <w:basedOn w:val="4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1">
    <w:name w:val="Strong"/>
    <w:qFormat/>
    <w:uiPriority w:val="0"/>
    <w:rPr>
      <w:b/>
      <w:bCs/>
    </w:rPr>
  </w:style>
  <w:style w:type="character" w:styleId="52">
    <w:name w:val="page number"/>
    <w:qFormat/>
    <w:uiPriority w:val="0"/>
  </w:style>
  <w:style w:type="character" w:styleId="53">
    <w:name w:val="FollowedHyperlink"/>
    <w:qFormat/>
    <w:uiPriority w:val="99"/>
    <w:rPr>
      <w:color w:val="800080"/>
      <w:u w:val="single"/>
    </w:rPr>
  </w:style>
  <w:style w:type="character" w:styleId="54">
    <w:name w:val="Emphasis"/>
    <w:qFormat/>
    <w:uiPriority w:val="0"/>
    <w:rPr>
      <w:color w:val="CC0033"/>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HTML Cite"/>
    <w:qFormat/>
    <w:uiPriority w:val="0"/>
    <w:rPr>
      <w:i/>
      <w:iCs/>
    </w:rPr>
  </w:style>
  <w:style w:type="character" w:styleId="58">
    <w:name w:val="footnote reference"/>
    <w:unhideWhenUsed/>
    <w:qFormat/>
    <w:uiPriority w:val="0"/>
    <w:rPr>
      <w:vertAlign w:val="superscript"/>
    </w:rPr>
  </w:style>
  <w:style w:type="paragraph" w:customStyle="1" w:styleId="59">
    <w:name w:val="1"/>
    <w:link w:val="201"/>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60">
    <w:name w:val="List Paragraph1"/>
    <w:basedOn w:val="1"/>
    <w:qFormat/>
    <w:uiPriority w:val="0"/>
    <w:pPr>
      <w:ind w:firstLine="420" w:firstLineChars="200"/>
    </w:pPr>
    <w:rPr>
      <w:rFonts w:ascii="Calibri" w:hAnsi="Calibri"/>
      <w:szCs w:val="22"/>
    </w:rPr>
  </w:style>
  <w:style w:type="character" w:customStyle="1" w:styleId="61">
    <w:name w:val="标题 1 字符"/>
    <w:link w:val="2"/>
    <w:qFormat/>
    <w:uiPriority w:val="0"/>
    <w:rPr>
      <w:rFonts w:ascii="宋体"/>
      <w:b/>
      <w:kern w:val="44"/>
      <w:sz w:val="32"/>
    </w:rPr>
  </w:style>
  <w:style w:type="character" w:customStyle="1" w:styleId="62">
    <w:name w:val="标题 2 字符"/>
    <w:link w:val="3"/>
    <w:qFormat/>
    <w:uiPriority w:val="0"/>
    <w:rPr>
      <w:rFonts w:ascii="Arial" w:hAnsi="Arial" w:eastAsia="黑体"/>
      <w:b/>
      <w:sz w:val="30"/>
      <w:lang w:val="en-US" w:eastAsia="zh-CN" w:bidi="ar-SA"/>
    </w:rPr>
  </w:style>
  <w:style w:type="character" w:customStyle="1" w:styleId="63">
    <w:name w:val="正文缩进 字符"/>
    <w:link w:val="5"/>
    <w:qFormat/>
    <w:uiPriority w:val="0"/>
    <w:rPr>
      <w:rFonts w:ascii="宋体" w:eastAsia="宋体"/>
      <w:kern w:val="2"/>
      <w:sz w:val="24"/>
      <w:szCs w:val="24"/>
      <w:lang w:val="en-US" w:eastAsia="zh-CN" w:bidi="ar-SA"/>
    </w:rPr>
  </w:style>
  <w:style w:type="character" w:customStyle="1" w:styleId="64">
    <w:name w:val="标题 3 字符"/>
    <w:link w:val="4"/>
    <w:qFormat/>
    <w:uiPriority w:val="0"/>
    <w:rPr>
      <w:rFonts w:ascii="宋体" w:eastAsia="宋体"/>
      <w:b/>
      <w:sz w:val="24"/>
      <w:u w:val="single"/>
      <w:lang w:val="en-US" w:eastAsia="zh-CN" w:bidi="ar-SA"/>
    </w:rPr>
  </w:style>
  <w:style w:type="character" w:customStyle="1" w:styleId="65">
    <w:name w:val="标题 4 字符"/>
    <w:link w:val="6"/>
    <w:qFormat/>
    <w:uiPriority w:val="0"/>
    <w:rPr>
      <w:rFonts w:ascii="Arial" w:hAnsi="Arial" w:eastAsia="黑体"/>
      <w:b/>
      <w:sz w:val="28"/>
    </w:rPr>
  </w:style>
  <w:style w:type="character" w:customStyle="1" w:styleId="66">
    <w:name w:val="标题 5 字符"/>
    <w:link w:val="7"/>
    <w:qFormat/>
    <w:uiPriority w:val="0"/>
    <w:rPr>
      <w:b/>
      <w:sz w:val="28"/>
    </w:rPr>
  </w:style>
  <w:style w:type="character" w:customStyle="1" w:styleId="67">
    <w:name w:val="标题 6 字符"/>
    <w:link w:val="8"/>
    <w:qFormat/>
    <w:uiPriority w:val="0"/>
    <w:rPr>
      <w:rFonts w:ascii="Arial" w:hAnsi="Arial" w:eastAsia="黑体"/>
      <w:b/>
      <w:sz w:val="24"/>
    </w:rPr>
  </w:style>
  <w:style w:type="character" w:customStyle="1" w:styleId="68">
    <w:name w:val="标题 7 字符"/>
    <w:link w:val="9"/>
    <w:qFormat/>
    <w:uiPriority w:val="0"/>
    <w:rPr>
      <w:b/>
      <w:sz w:val="24"/>
    </w:rPr>
  </w:style>
  <w:style w:type="character" w:customStyle="1" w:styleId="69">
    <w:name w:val="标题 8 字符"/>
    <w:link w:val="10"/>
    <w:qFormat/>
    <w:uiPriority w:val="0"/>
    <w:rPr>
      <w:rFonts w:ascii="Arial" w:hAnsi="Arial" w:eastAsia="黑体"/>
      <w:sz w:val="24"/>
    </w:rPr>
  </w:style>
  <w:style w:type="character" w:customStyle="1" w:styleId="70">
    <w:name w:val="标题 9 字符"/>
    <w:link w:val="11"/>
    <w:qFormat/>
    <w:uiPriority w:val="0"/>
    <w:rPr>
      <w:rFonts w:ascii="Arial" w:hAnsi="Arial" w:eastAsia="黑体"/>
      <w:sz w:val="21"/>
    </w:rPr>
  </w:style>
  <w:style w:type="character" w:customStyle="1" w:styleId="71">
    <w:name w:val="文档结构图 字符"/>
    <w:link w:val="14"/>
    <w:qFormat/>
    <w:uiPriority w:val="0"/>
    <w:rPr>
      <w:kern w:val="2"/>
      <w:sz w:val="21"/>
      <w:szCs w:val="24"/>
      <w:shd w:val="clear" w:color="auto" w:fill="000080"/>
    </w:rPr>
  </w:style>
  <w:style w:type="character" w:customStyle="1" w:styleId="72">
    <w:name w:val="批注文字 字符1"/>
    <w:link w:val="15"/>
    <w:qFormat/>
    <w:uiPriority w:val="99"/>
    <w:rPr>
      <w:kern w:val="2"/>
      <w:sz w:val="21"/>
      <w:szCs w:val="24"/>
    </w:rPr>
  </w:style>
  <w:style w:type="character" w:customStyle="1" w:styleId="73">
    <w:name w:val="正文文本 3 字符"/>
    <w:link w:val="16"/>
    <w:qFormat/>
    <w:uiPriority w:val="0"/>
    <w:rPr>
      <w:kern w:val="2"/>
      <w:sz w:val="16"/>
      <w:szCs w:val="16"/>
    </w:rPr>
  </w:style>
  <w:style w:type="character" w:customStyle="1" w:styleId="74">
    <w:name w:val="正文文本 字符"/>
    <w:link w:val="17"/>
    <w:qFormat/>
    <w:uiPriority w:val="99"/>
    <w:rPr>
      <w:rFonts w:ascii="宋体" w:hAnsi="宋体"/>
      <w:kern w:val="2"/>
      <w:sz w:val="24"/>
      <w:szCs w:val="24"/>
    </w:rPr>
  </w:style>
  <w:style w:type="character" w:customStyle="1" w:styleId="75">
    <w:name w:val="正文文本缩进 字符"/>
    <w:link w:val="18"/>
    <w:qFormat/>
    <w:uiPriority w:val="0"/>
    <w:rPr>
      <w:rFonts w:eastAsia="宋体"/>
      <w:kern w:val="2"/>
      <w:sz w:val="24"/>
      <w:szCs w:val="24"/>
      <w:lang w:val="en-US" w:eastAsia="zh-CN" w:bidi="ar-SA"/>
    </w:rPr>
  </w:style>
  <w:style w:type="character" w:customStyle="1" w:styleId="76">
    <w:name w:val="纯文本 字符2"/>
    <w:link w:val="23"/>
    <w:qFormat/>
    <w:uiPriority w:val="0"/>
    <w:rPr>
      <w:rFonts w:hint="eastAsia" w:ascii="宋体" w:hAnsi="Courier New" w:eastAsia="宋体" w:cs="宋体"/>
      <w:kern w:val="2"/>
      <w:sz w:val="21"/>
    </w:rPr>
  </w:style>
  <w:style w:type="character" w:customStyle="1" w:styleId="77">
    <w:name w:val="日期 字符"/>
    <w:link w:val="25"/>
    <w:qFormat/>
    <w:uiPriority w:val="99"/>
    <w:rPr>
      <w:rFonts w:ascii="仿宋_GB2312" w:hAnsi="宋体" w:eastAsia="仿宋_GB2312"/>
      <w:color w:val="000000"/>
      <w:kern w:val="2"/>
      <w:sz w:val="24"/>
      <w:szCs w:val="24"/>
    </w:rPr>
  </w:style>
  <w:style w:type="character" w:customStyle="1" w:styleId="78">
    <w:name w:val="正文文本缩进 2 字符"/>
    <w:link w:val="26"/>
    <w:qFormat/>
    <w:uiPriority w:val="0"/>
    <w:rPr>
      <w:rFonts w:ascii="宋体" w:hAnsi="宋体" w:eastAsia="仿宋_GB2312" w:cs="宋体"/>
      <w:kern w:val="2"/>
      <w:sz w:val="28"/>
      <w:szCs w:val="28"/>
    </w:rPr>
  </w:style>
  <w:style w:type="character" w:customStyle="1" w:styleId="79">
    <w:name w:val="批注框文本 字符1"/>
    <w:link w:val="27"/>
    <w:qFormat/>
    <w:uiPriority w:val="99"/>
    <w:rPr>
      <w:kern w:val="2"/>
      <w:sz w:val="18"/>
      <w:szCs w:val="18"/>
    </w:rPr>
  </w:style>
  <w:style w:type="character" w:customStyle="1" w:styleId="80">
    <w:name w:val="页脚 字符1"/>
    <w:link w:val="28"/>
    <w:qFormat/>
    <w:uiPriority w:val="99"/>
    <w:rPr>
      <w:rFonts w:ascii="宋体" w:eastAsia="宋体"/>
      <w:sz w:val="18"/>
      <w:lang w:val="en-US" w:eastAsia="zh-CN" w:bidi="ar-SA"/>
    </w:rPr>
  </w:style>
  <w:style w:type="character" w:customStyle="1" w:styleId="81">
    <w:name w:val="页眉 字符1"/>
    <w:link w:val="29"/>
    <w:qFormat/>
    <w:uiPriority w:val="0"/>
    <w:rPr>
      <w:rFonts w:eastAsia="宋体"/>
      <w:kern w:val="2"/>
      <w:sz w:val="18"/>
      <w:szCs w:val="18"/>
      <w:lang w:val="en-US" w:eastAsia="zh-CN" w:bidi="ar-SA"/>
    </w:rPr>
  </w:style>
  <w:style w:type="character" w:customStyle="1" w:styleId="82">
    <w:name w:val="正文文本缩进 3 字符"/>
    <w:link w:val="35"/>
    <w:qFormat/>
    <w:uiPriority w:val="0"/>
    <w:rPr>
      <w:rFonts w:ascii="宋体"/>
      <w:sz w:val="24"/>
    </w:rPr>
  </w:style>
  <w:style w:type="character" w:customStyle="1" w:styleId="83">
    <w:name w:val="HTML 预设格式 字符"/>
    <w:link w:val="40"/>
    <w:qFormat/>
    <w:uiPriority w:val="0"/>
    <w:rPr>
      <w:rFonts w:ascii="宋体" w:hAnsi="宋体" w:cs="宋体"/>
      <w:sz w:val="24"/>
      <w:szCs w:val="24"/>
    </w:rPr>
  </w:style>
  <w:style w:type="character" w:customStyle="1" w:styleId="84">
    <w:name w:val="标题 字符"/>
    <w:link w:val="43"/>
    <w:qFormat/>
    <w:uiPriority w:val="0"/>
    <w:rPr>
      <w:b/>
      <w:kern w:val="2"/>
      <w:sz w:val="32"/>
    </w:rPr>
  </w:style>
  <w:style w:type="character" w:customStyle="1" w:styleId="85">
    <w:name w:val="批注主题 字符"/>
    <w:link w:val="44"/>
    <w:qFormat/>
    <w:uiPriority w:val="99"/>
    <w:rPr>
      <w:rFonts w:ascii="Times New Roman" w:hAnsi="Times New Roman" w:eastAsia="宋体" w:cs="Times New Roman"/>
      <w:b/>
      <w:bCs/>
      <w:kern w:val="2"/>
      <w:sz w:val="21"/>
      <w:szCs w:val="24"/>
      <w:lang w:val="en-US" w:eastAsia="zh-CN" w:bidi="ar-SA"/>
    </w:rPr>
  </w:style>
  <w:style w:type="character" w:customStyle="1" w:styleId="86">
    <w:name w:val="批注文字 字符"/>
    <w:qFormat/>
    <w:uiPriority w:val="99"/>
    <w:rPr>
      <w:rFonts w:ascii="Times New Roman" w:hAnsi="Times New Roman" w:eastAsia="宋体" w:cs="Times New Roman"/>
      <w:sz w:val="24"/>
      <w:lang w:val="en-US" w:eastAsia="zh-CN" w:bidi="ar-SA"/>
    </w:rPr>
  </w:style>
  <w:style w:type="character" w:customStyle="1" w:styleId="87">
    <w:name w:val="正文文本首行缩进 2 字符"/>
    <w:link w:val="46"/>
    <w:qFormat/>
    <w:uiPriority w:val="0"/>
    <w:rPr>
      <w:rFonts w:eastAsia="宋体"/>
      <w:kern w:val="2"/>
      <w:sz w:val="24"/>
      <w:szCs w:val="24"/>
      <w:lang w:val="en-US" w:eastAsia="zh-CN" w:bidi="ar-SA"/>
    </w:rPr>
  </w:style>
  <w:style w:type="character" w:customStyle="1" w:styleId="88">
    <w:name w:val="c21"/>
    <w:qFormat/>
    <w:uiPriority w:val="0"/>
    <w:rPr>
      <w:rFonts w:hint="default" w:ascii="ˎ̥" w:hAnsi="ˎ̥"/>
      <w:color w:val="000000"/>
      <w:sz w:val="20"/>
      <w:szCs w:val="20"/>
      <w:u w:val="none"/>
    </w:rPr>
  </w:style>
  <w:style w:type="character" w:customStyle="1" w:styleId="89">
    <w:name w:val="title4"/>
    <w:qFormat/>
    <w:uiPriority w:val="0"/>
    <w:rPr>
      <w:b/>
      <w:bCs/>
      <w:color w:val="1D87B3"/>
      <w:sz w:val="15"/>
      <w:szCs w:val="15"/>
    </w:rPr>
  </w:style>
  <w:style w:type="character" w:customStyle="1" w:styleId="90">
    <w:name w:val="标题 2 Char Char"/>
    <w:qFormat/>
    <w:uiPriority w:val="0"/>
    <w:rPr>
      <w:rFonts w:ascii="Arial" w:hAnsi="Arial" w:eastAsia="黑体"/>
      <w:b/>
      <w:bCs/>
      <w:kern w:val="2"/>
      <w:sz w:val="32"/>
      <w:szCs w:val="32"/>
      <w:lang w:val="en-US" w:eastAsia="zh-CN" w:bidi="ar-SA"/>
    </w:rPr>
  </w:style>
  <w:style w:type="character" w:customStyle="1" w:styleId="91">
    <w:name w:val="black1"/>
    <w:qFormat/>
    <w:uiPriority w:val="0"/>
    <w:rPr>
      <w:color w:val="000000"/>
    </w:rPr>
  </w:style>
  <w:style w:type="character" w:customStyle="1" w:styleId="92">
    <w:name w:val="street-address"/>
    <w:qFormat/>
    <w:uiPriority w:val="0"/>
  </w:style>
  <w:style w:type="character" w:customStyle="1" w:styleId="93">
    <w:name w:val="locality"/>
    <w:qFormat/>
    <w:uiPriority w:val="0"/>
  </w:style>
  <w:style w:type="character" w:customStyle="1" w:styleId="94">
    <w:name w:val="正文文本缩进 Char1"/>
    <w:link w:val="95"/>
    <w:qFormat/>
    <w:uiPriority w:val="0"/>
    <w:rPr>
      <w:rFonts w:ascii="宋体" w:hAnsi="宋体" w:eastAsia="宋体"/>
      <w:sz w:val="24"/>
      <w:szCs w:val="24"/>
      <w:lang w:bidi="ar-SA"/>
    </w:rPr>
  </w:style>
  <w:style w:type="paragraph" w:customStyle="1" w:styleId="95">
    <w:name w:val="正文文本缩进1"/>
    <w:basedOn w:val="1"/>
    <w:link w:val="94"/>
    <w:qFormat/>
    <w:uiPriority w:val="0"/>
    <w:pPr>
      <w:spacing w:line="480" w:lineRule="exact"/>
      <w:ind w:firstLine="480" w:firstLineChars="200"/>
    </w:pPr>
    <w:rPr>
      <w:rFonts w:ascii="宋体" w:hAnsi="宋体"/>
      <w:kern w:val="0"/>
      <w:sz w:val="24"/>
    </w:rPr>
  </w:style>
  <w:style w:type="character" w:customStyle="1" w:styleId="96">
    <w:name w:val="Char Char11"/>
    <w:qFormat/>
    <w:uiPriority w:val="0"/>
    <w:rPr>
      <w:rFonts w:ascii="宋体" w:eastAsia="宋体"/>
      <w:b/>
      <w:sz w:val="24"/>
      <w:u w:val="single"/>
      <w:lang w:val="en-US" w:eastAsia="zh-CN" w:bidi="ar-SA"/>
    </w:rPr>
  </w:style>
  <w:style w:type="character" w:customStyle="1" w:styleId="97">
    <w:name w:val="txt"/>
    <w:qFormat/>
    <w:uiPriority w:val="0"/>
  </w:style>
  <w:style w:type="character" w:customStyle="1" w:styleId="98">
    <w:name w:val="正文缩进 Char Char"/>
    <w:link w:val="99"/>
    <w:qFormat/>
    <w:uiPriority w:val="0"/>
    <w:rPr>
      <w:rFonts w:ascii="宋体" w:eastAsia="宋体"/>
      <w:snapToGrid w:val="0"/>
      <w:color w:val="000000"/>
      <w:kern w:val="28"/>
      <w:sz w:val="28"/>
      <w:lang w:bidi="ar-SA"/>
    </w:rPr>
  </w:style>
  <w:style w:type="paragraph" w:customStyle="1" w:styleId="99">
    <w:name w:val="正文缩进1"/>
    <w:basedOn w:val="1"/>
    <w:link w:val="9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0">
    <w:name w:val="普通文字1 Char1"/>
    <w:qFormat/>
    <w:uiPriority w:val="0"/>
    <w:rPr>
      <w:rFonts w:ascii="宋体" w:hAnsi="Courier New" w:eastAsia="宋体"/>
      <w:kern w:val="2"/>
      <w:sz w:val="21"/>
      <w:lang w:val="en-US" w:eastAsia="zh-CN" w:bidi="ar-SA"/>
    </w:rPr>
  </w:style>
  <w:style w:type="character" w:customStyle="1" w:styleId="101">
    <w:name w:val="chanpin1"/>
    <w:qFormat/>
    <w:uiPriority w:val="0"/>
    <w:rPr>
      <w:rFonts w:hint="default" w:ascii="ˎ̥" w:hAnsi="ˎ̥"/>
      <w:color w:val="000000"/>
      <w:sz w:val="20"/>
      <w:szCs w:val="20"/>
      <w:u w:val="none"/>
    </w:rPr>
  </w:style>
  <w:style w:type="character" w:customStyle="1" w:styleId="102">
    <w:name w:val="列表段落 字符"/>
    <w:link w:val="103"/>
    <w:qFormat/>
    <w:uiPriority w:val="34"/>
    <w:rPr>
      <w:rFonts w:ascii="宋体" w:hAnsi="宋体"/>
      <w:b/>
      <w:kern w:val="2"/>
      <w:sz w:val="28"/>
      <w:szCs w:val="28"/>
    </w:rPr>
  </w:style>
  <w:style w:type="paragraph" w:customStyle="1" w:styleId="103">
    <w:name w:val="列表段落1"/>
    <w:basedOn w:val="1"/>
    <w:link w:val="102"/>
    <w:qFormat/>
    <w:uiPriority w:val="34"/>
    <w:pPr>
      <w:spacing w:line="500" w:lineRule="exact"/>
      <w:ind w:firstLine="562" w:firstLineChars="200"/>
      <w:contextualSpacing/>
    </w:pPr>
    <w:rPr>
      <w:rFonts w:ascii="宋体" w:hAnsi="宋体"/>
      <w:b/>
      <w:sz w:val="28"/>
      <w:szCs w:val="28"/>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段1 Char"/>
    <w:qFormat/>
    <w:uiPriority w:val="0"/>
    <w:rPr>
      <w:rFonts w:ascii="宋体" w:eastAsia="宋体"/>
      <w:sz w:val="24"/>
      <w:lang w:val="en-US" w:eastAsia="zh-CN" w:bidi="ar-SA"/>
    </w:rPr>
  </w:style>
  <w:style w:type="character" w:customStyle="1" w:styleId="106">
    <w:name w:val="chanpin拷贝"/>
    <w:qFormat/>
    <w:uiPriority w:val="0"/>
  </w:style>
  <w:style w:type="character" w:customStyle="1" w:styleId="107">
    <w:name w:val="纯文本 Char1"/>
    <w:qFormat/>
    <w:uiPriority w:val="0"/>
    <w:rPr>
      <w:rFonts w:ascii="宋体" w:hAnsi="Courier New" w:eastAsia="宋体"/>
      <w:kern w:val="2"/>
      <w:sz w:val="21"/>
      <w:lang w:val="en-US" w:eastAsia="zh-CN" w:bidi="ar-SA"/>
    </w:rPr>
  </w:style>
  <w:style w:type="character" w:customStyle="1" w:styleId="108">
    <w:name w:val="apple-style-span"/>
    <w:qFormat/>
    <w:uiPriority w:val="0"/>
    <w:rPr>
      <w:rFonts w:cs="Times New Roman"/>
    </w:rPr>
  </w:style>
  <w:style w:type="paragraph" w:customStyle="1" w:styleId="109">
    <w:name w:val="二级条标题"/>
    <w:basedOn w:val="110"/>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0">
    <w:name w:val="一级条标题"/>
    <w:basedOn w:val="111"/>
    <w:next w:val="1"/>
    <w:qFormat/>
    <w:uiPriority w:val="0"/>
    <w:pPr>
      <w:numPr>
        <w:ilvl w:val="1"/>
      </w:numPr>
      <w:tabs>
        <w:tab w:val="left" w:pos="360"/>
        <w:tab w:val="left" w:pos="840"/>
      </w:tabs>
      <w:ind w:left="0" w:hanging="840"/>
      <w:outlineLvl w:val="1"/>
    </w:pPr>
  </w:style>
  <w:style w:type="paragraph" w:customStyle="1" w:styleId="111">
    <w:name w:val="章标题"/>
    <w:next w:val="1"/>
    <w:qFormat/>
    <w:uiPriority w:val="0"/>
    <w:pPr>
      <w:numPr>
        <w:ilvl w:val="0"/>
        <w:numId w:val="1"/>
      </w:numPr>
      <w:spacing w:beforeLines="50" w:after="16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3">
    <w:name w:val="字元 字元"/>
    <w:basedOn w:val="1"/>
    <w:qFormat/>
    <w:uiPriority w:val="0"/>
    <w:rPr>
      <w:rFonts w:ascii="Tahoma" w:hAnsi="Tahoma"/>
      <w:sz w:val="24"/>
      <w:szCs w:val="20"/>
    </w:rPr>
  </w:style>
  <w:style w:type="paragraph" w:customStyle="1" w:styleId="114">
    <w:name w:val="Char3 Char Char Char"/>
    <w:basedOn w:val="1"/>
    <w:qFormat/>
    <w:uiPriority w:val="0"/>
    <w:rPr>
      <w:rFonts w:ascii="Tahoma" w:hAnsi="Tahoma"/>
      <w:sz w:val="24"/>
      <w:szCs w:val="20"/>
    </w:rPr>
  </w:style>
  <w:style w:type="paragraph" w:customStyle="1" w:styleId="11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6">
    <w:name w:val="项目编号2"/>
    <w:basedOn w:val="117"/>
    <w:qFormat/>
    <w:uiPriority w:val="0"/>
    <w:pPr>
      <w:numPr>
        <w:numId w:val="2"/>
      </w:numPr>
    </w:pPr>
  </w:style>
  <w:style w:type="paragraph" w:customStyle="1" w:styleId="11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8">
    <w:name w:val="图中文字"/>
    <w:basedOn w:val="1"/>
    <w:qFormat/>
    <w:uiPriority w:val="0"/>
    <w:pPr>
      <w:adjustRightInd w:val="0"/>
      <w:snapToGrid w:val="0"/>
      <w:spacing w:line="0" w:lineRule="atLeast"/>
      <w:jc w:val="center"/>
    </w:pPr>
    <w:rPr>
      <w:sz w:val="24"/>
      <w:szCs w:val="20"/>
    </w:rPr>
  </w:style>
  <w:style w:type="paragraph" w:customStyle="1" w:styleId="11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1">
    <w:name w:val="Char2"/>
    <w:basedOn w:val="1"/>
    <w:qFormat/>
    <w:uiPriority w:val="0"/>
    <w:rPr>
      <w:rFonts w:ascii="Tahoma" w:hAnsi="Tahoma"/>
      <w:sz w:val="24"/>
      <w:szCs w:val="20"/>
    </w:rPr>
  </w:style>
  <w:style w:type="paragraph" w:customStyle="1" w:styleId="1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5">
    <w:name w:val="font8"/>
    <w:basedOn w:val="1"/>
    <w:qFormat/>
    <w:uiPriority w:val="0"/>
    <w:pPr>
      <w:widowControl/>
      <w:spacing w:before="100" w:beforeAutospacing="1" w:after="100" w:afterAutospacing="1"/>
      <w:jc w:val="left"/>
    </w:pPr>
    <w:rPr>
      <w:kern w:val="0"/>
      <w:sz w:val="36"/>
      <w:szCs w:val="36"/>
    </w:rPr>
  </w:style>
  <w:style w:type="paragraph" w:customStyle="1" w:styleId="136">
    <w:name w:val="Char"/>
    <w:basedOn w:val="1"/>
    <w:qFormat/>
    <w:uiPriority w:val="0"/>
    <w:pPr>
      <w:tabs>
        <w:tab w:val="left" w:pos="360"/>
      </w:tabs>
    </w:pPr>
    <w:rPr>
      <w:sz w:val="24"/>
    </w:rPr>
  </w:style>
  <w:style w:type="paragraph" w:customStyle="1" w:styleId="137">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3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40">
    <w:name w:val="Char Char1"/>
    <w:basedOn w:val="14"/>
    <w:qFormat/>
    <w:uiPriority w:val="0"/>
    <w:rPr>
      <w:rFonts w:ascii="Tahoma" w:hAnsi="Tahoma"/>
      <w:sz w:val="24"/>
    </w:rPr>
  </w:style>
  <w:style w:type="paragraph" w:customStyle="1" w:styleId="1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5">
    <w:name w:val="Char1 Char Char Char1"/>
    <w:basedOn w:val="1"/>
    <w:qFormat/>
    <w:uiPriority w:val="0"/>
    <w:rPr>
      <w:rFonts w:ascii="Tahoma" w:hAnsi="Tahoma" w:cs="仿宋_GB2312"/>
      <w:sz w:val="24"/>
      <w:szCs w:val="28"/>
    </w:rPr>
  </w:style>
  <w:style w:type="paragraph" w:customStyle="1" w:styleId="146">
    <w:name w:val="四级条标题"/>
    <w:basedOn w:val="147"/>
    <w:next w:val="1"/>
    <w:qFormat/>
    <w:uiPriority w:val="0"/>
    <w:pPr>
      <w:numPr>
        <w:ilvl w:val="4"/>
      </w:numPr>
      <w:tabs>
        <w:tab w:val="left" w:pos="360"/>
        <w:tab w:val="left" w:pos="840"/>
      </w:tabs>
      <w:ind w:left="0" w:hanging="840"/>
      <w:outlineLvl w:val="4"/>
    </w:pPr>
  </w:style>
  <w:style w:type="paragraph" w:customStyle="1" w:styleId="147">
    <w:name w:val="三级条标题"/>
    <w:basedOn w:val="109"/>
    <w:next w:val="1"/>
    <w:qFormat/>
    <w:uiPriority w:val="0"/>
    <w:pPr>
      <w:numPr>
        <w:ilvl w:val="3"/>
        <w:numId w:val="1"/>
      </w:numPr>
      <w:ind w:left="0" w:hanging="840"/>
      <w:outlineLvl w:val="3"/>
    </w:pPr>
  </w:style>
  <w:style w:type="paragraph" w:customStyle="1" w:styleId="148">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4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0">
    <w:name w:val="项目符号1"/>
    <w:basedOn w:val="151"/>
    <w:qFormat/>
    <w:uiPriority w:val="0"/>
    <w:pPr>
      <w:ind w:left="-25" w:firstLine="0"/>
    </w:pPr>
  </w:style>
  <w:style w:type="paragraph" w:customStyle="1" w:styleId="151">
    <w:name w:val="正文文本样式"/>
    <w:basedOn w:val="1"/>
    <w:qFormat/>
    <w:uiPriority w:val="0"/>
    <w:pPr>
      <w:spacing w:line="360" w:lineRule="auto"/>
      <w:ind w:firstLine="482"/>
    </w:pPr>
    <w:rPr>
      <w:rFonts w:cs="宋体"/>
      <w:sz w:val="24"/>
      <w:szCs w:val="20"/>
    </w:rPr>
  </w:style>
  <w:style w:type="paragraph" w:customStyle="1" w:styleId="1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6"/>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qFormat/>
    <w:uiPriority w:val="0"/>
    <w:rPr>
      <w:rFonts w:ascii="Tahoma" w:hAnsi="Tahoma"/>
      <w:sz w:val="24"/>
      <w:szCs w:val="20"/>
    </w:rPr>
  </w:style>
  <w:style w:type="paragraph" w:customStyle="1" w:styleId="16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qFormat/>
    <w:uiPriority w:val="0"/>
    <w:pPr>
      <w:numPr>
        <w:ilvl w:val="0"/>
        <w:numId w:val="5"/>
      </w:numPr>
      <w:spacing w:before="120"/>
    </w:pPr>
    <w:rPr>
      <w:rFonts w:ascii="宋体"/>
      <w:sz w:val="28"/>
      <w:szCs w:val="20"/>
    </w:rPr>
  </w:style>
  <w:style w:type="paragraph" w:customStyle="1" w:styleId="16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qFormat/>
    <w:uiPriority w:val="0"/>
    <w:rPr>
      <w:rFonts w:ascii="Tahoma" w:hAnsi="Tahoma"/>
      <w:sz w:val="24"/>
      <w:szCs w:val="20"/>
    </w:rPr>
  </w:style>
  <w:style w:type="paragraph" w:customStyle="1" w:styleId="164">
    <w:name w:val="Char Char Char Char Char Char Char Char Char Char"/>
    <w:basedOn w:val="1"/>
    <w:qFormat/>
    <w:uiPriority w:val="0"/>
  </w:style>
  <w:style w:type="paragraph" w:customStyle="1" w:styleId="165">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66">
    <w:name w:val="Char1"/>
    <w:basedOn w:val="1"/>
    <w:qFormat/>
    <w:uiPriority w:val="0"/>
    <w:pPr>
      <w:tabs>
        <w:tab w:val="left" w:pos="360"/>
      </w:tabs>
    </w:pPr>
    <w:rPr>
      <w:sz w:val="24"/>
    </w:rPr>
  </w:style>
  <w:style w:type="paragraph" w:customStyle="1" w:styleId="167">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qFormat/>
    <w:uiPriority w:val="0"/>
    <w:pPr>
      <w:autoSpaceDE w:val="0"/>
      <w:autoSpaceDN w:val="0"/>
      <w:adjustRightInd w:val="0"/>
      <w:jc w:val="left"/>
    </w:pPr>
    <w:rPr>
      <w:kern w:val="0"/>
      <w:sz w:val="24"/>
    </w:rPr>
  </w:style>
  <w:style w:type="paragraph" w:customStyle="1" w:styleId="177">
    <w:name w:val="Char Char Char1"/>
    <w:basedOn w:val="1"/>
    <w:qFormat/>
    <w:uiPriority w:val="0"/>
    <w:rPr>
      <w:rFonts w:ascii="Tahoma" w:hAnsi="Tahoma"/>
      <w:sz w:val="24"/>
      <w:szCs w:val="20"/>
    </w:rPr>
  </w:style>
  <w:style w:type="paragraph" w:customStyle="1" w:styleId="17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2"/>
    <w:qFormat/>
    <w:uiPriority w:val="0"/>
    <w:pPr>
      <w:spacing w:line="360" w:lineRule="auto"/>
      <w:jc w:val="center"/>
    </w:pPr>
    <w:rPr>
      <w:sz w:val="24"/>
    </w:rPr>
  </w:style>
  <w:style w:type="paragraph" w:customStyle="1" w:styleId="18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qFormat/>
    <w:uiPriority w:val="0"/>
    <w:pPr>
      <w:widowControl/>
      <w:jc w:val="left"/>
    </w:pPr>
    <w:rPr>
      <w:rFonts w:ascii="楷体_GB2312" w:eastAsia="楷体_GB2312" w:cs="Arial"/>
      <w:kern w:val="0"/>
      <w:sz w:val="24"/>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qFormat/>
    <w:uiPriority w:val="0"/>
    <w:rPr>
      <w:rFonts w:ascii="Tahoma" w:hAnsi="Tahoma"/>
      <w:sz w:val="24"/>
      <w:szCs w:val="20"/>
    </w:rPr>
  </w:style>
  <w:style w:type="paragraph" w:customStyle="1" w:styleId="186">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87">
    <w:name w:val="列出段落1"/>
    <w:basedOn w:val="1"/>
    <w:link w:val="282"/>
    <w:qFormat/>
    <w:uiPriority w:val="0"/>
    <w:pPr>
      <w:spacing w:line="360" w:lineRule="auto"/>
      <w:ind w:firstLine="562" w:firstLineChars="200"/>
    </w:pPr>
    <w:rPr>
      <w:rFonts w:ascii="宋体" w:hAnsi="宋体"/>
      <w:b/>
      <w:sz w:val="28"/>
      <w:szCs w:val="28"/>
    </w:rPr>
  </w:style>
  <w:style w:type="paragraph" w:customStyle="1" w:styleId="18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qFormat/>
    <w:uiPriority w:val="0"/>
    <w:rPr>
      <w:rFonts w:ascii="Tahoma" w:hAnsi="Tahoma"/>
      <w:sz w:val="24"/>
      <w:szCs w:val="20"/>
    </w:rPr>
  </w:style>
  <w:style w:type="paragraph" w:customStyle="1" w:styleId="190">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91">
    <w:name w:val="项目编号3"/>
    <w:basedOn w:val="151"/>
    <w:qFormat/>
    <w:uiPriority w:val="0"/>
    <w:pPr>
      <w:numPr>
        <w:ilvl w:val="0"/>
        <w:numId w:val="6"/>
      </w:numPr>
    </w:pPr>
  </w:style>
  <w:style w:type="paragraph" w:customStyle="1" w:styleId="192">
    <w:name w:val="Char21"/>
    <w:basedOn w:val="1"/>
    <w:qFormat/>
    <w:uiPriority w:val="0"/>
    <w:rPr>
      <w:rFonts w:ascii="Tahoma" w:hAnsi="Tahoma"/>
      <w:sz w:val="24"/>
      <w:szCs w:val="20"/>
    </w:rPr>
  </w:style>
  <w:style w:type="paragraph" w:customStyle="1" w:styleId="193">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qFormat/>
    <w:uiPriority w:val="0"/>
    <w:rPr>
      <w:rFonts w:ascii="宋体" w:hAnsi="宋体" w:cs="Courier New"/>
      <w:sz w:val="32"/>
      <w:szCs w:val="32"/>
    </w:rPr>
  </w:style>
  <w:style w:type="paragraph" w:customStyle="1" w:styleId="195">
    <w:name w:val="正文文本样式 加粗"/>
    <w:basedOn w:val="151"/>
    <w:qFormat/>
    <w:uiPriority w:val="0"/>
    <w:rPr>
      <w:b/>
    </w:rPr>
  </w:style>
  <w:style w:type="paragraph" w:customStyle="1" w:styleId="196">
    <w:name w:val="Char2 Char Char Char Char Char Char"/>
    <w:basedOn w:val="1"/>
    <w:qFormat/>
    <w:uiPriority w:val="0"/>
    <w:pPr>
      <w:widowControl/>
      <w:spacing w:line="400" w:lineRule="exact"/>
      <w:jc w:val="center"/>
    </w:pPr>
  </w:style>
  <w:style w:type="paragraph" w:customStyle="1" w:styleId="197">
    <w:name w:val="Char Char4"/>
    <w:basedOn w:val="1"/>
    <w:qFormat/>
    <w:uiPriority w:val="0"/>
    <w:pPr>
      <w:widowControl/>
      <w:spacing w:line="400" w:lineRule="exact"/>
      <w:jc w:val="center"/>
    </w:pPr>
  </w:style>
  <w:style w:type="paragraph" w:customStyle="1" w:styleId="198">
    <w:name w:val="Char3 Char Char Char1"/>
    <w:basedOn w:val="1"/>
    <w:qFormat/>
    <w:uiPriority w:val="0"/>
    <w:rPr>
      <w:rFonts w:ascii="Tahoma" w:hAnsi="Tahoma"/>
      <w:sz w:val="24"/>
      <w:szCs w:val="20"/>
    </w:rPr>
  </w:style>
  <w:style w:type="paragraph" w:customStyle="1" w:styleId="199">
    <w:name w:val="无间隔1"/>
    <w:link w:val="258"/>
    <w:qFormat/>
    <w:uiPriority w:val="99"/>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59"/>
    <w:qFormat/>
    <w:uiPriority w:val="0"/>
    <w:rPr>
      <w:kern w:val="2"/>
      <w:sz w:val="21"/>
      <w:szCs w:val="24"/>
      <w:lang w:val="zh-CN" w:eastAsia="zh-CN"/>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2"/>
    <w:qFormat/>
    <w:uiPriority w:val="0"/>
    <w:pPr>
      <w:jc w:val="left"/>
    </w:pPr>
    <w:rPr>
      <w:sz w:val="24"/>
      <w:szCs w:val="24"/>
    </w:rPr>
  </w:style>
  <w:style w:type="paragraph" w:customStyle="1" w:styleId="209">
    <w:name w:val="正文小标题"/>
    <w:basedOn w:val="1"/>
    <w:next w:val="5"/>
    <w:link w:val="210"/>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5"/>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99"/>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0"/>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34"/>
    <w:rPr>
      <w:rFonts w:ascii="Calibri" w:hAnsi="Calibri" w:eastAsia="宋体"/>
      <w:kern w:val="2"/>
      <w:sz w:val="21"/>
      <w:szCs w:val="22"/>
      <w:lang w:val="en-US" w:eastAsia="zh-CN" w:bidi="ar-SA"/>
    </w:rPr>
  </w:style>
  <w:style w:type="character" w:customStyle="1" w:styleId="230">
    <w:name w:val="页眉 Char"/>
    <w:qFormat/>
    <w:uiPriority w:val="0"/>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99"/>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0"/>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0"/>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unhideWhenUsed/>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4">
    <w:name w:val="content-right_8zs40"/>
    <w:qFormat/>
    <w:uiPriority w:val="0"/>
  </w:style>
  <w:style w:type="character" w:customStyle="1" w:styleId="255">
    <w:name w:val="批注框文本 字符"/>
    <w:qFormat/>
    <w:uiPriority w:val="99"/>
    <w:rPr>
      <w:rFonts w:ascii="等线" w:hAnsi="等线" w:eastAsia="宋体" w:cs="Times New Roman"/>
      <w:kern w:val="2"/>
      <w:sz w:val="18"/>
      <w:szCs w:val="18"/>
      <w:lang w:val="en-US" w:eastAsia="zh-CN" w:bidi="ar-SA"/>
    </w:rPr>
  </w:style>
  <w:style w:type="paragraph" w:customStyle="1" w:styleId="256">
    <w:name w:val="功能点标示1"/>
    <w:basedOn w:val="1"/>
    <w:qFormat/>
    <w:uiPriority w:val="0"/>
    <w:pPr>
      <w:numPr>
        <w:ilvl w:val="0"/>
        <w:numId w:val="8"/>
      </w:numPr>
      <w:spacing w:line="360" w:lineRule="auto"/>
      <w:jc w:val="left"/>
    </w:pPr>
    <w:rPr>
      <w:rFonts w:ascii="等线" w:hAnsi="等线" w:eastAsia="等线"/>
      <w:sz w:val="24"/>
    </w:rPr>
  </w:style>
  <w:style w:type="character" w:customStyle="1" w:styleId="257">
    <w:name w:val="Ò³Ã¼ Char Char"/>
    <w:qFormat/>
    <w:uiPriority w:val="0"/>
    <w:rPr>
      <w:sz w:val="18"/>
      <w:szCs w:val="18"/>
    </w:rPr>
  </w:style>
  <w:style w:type="character" w:customStyle="1" w:styleId="258">
    <w:name w:val="无间隔 字符"/>
    <w:link w:val="199"/>
    <w:qFormat/>
    <w:uiPriority w:val="1"/>
    <w:rPr>
      <w:kern w:val="2"/>
      <w:sz w:val="21"/>
      <w:szCs w:val="24"/>
    </w:rPr>
  </w:style>
  <w:style w:type="character" w:customStyle="1" w:styleId="259">
    <w:name w:val="页脚 字符"/>
    <w:qFormat/>
    <w:uiPriority w:val="99"/>
    <w:rPr>
      <w:rFonts w:ascii="宋体" w:eastAsia="宋体"/>
      <w:sz w:val="18"/>
      <w:lang w:val="en-US" w:eastAsia="zh-CN" w:bidi="ar-SA"/>
    </w:rPr>
  </w:style>
  <w:style w:type="character" w:customStyle="1" w:styleId="260">
    <w:name w:val="List Paragraph Char"/>
    <w:link w:val="261"/>
    <w:qFormat/>
    <w:locked/>
    <w:uiPriority w:val="0"/>
    <w:rPr>
      <w:kern w:val="2"/>
      <w:sz w:val="21"/>
      <w:szCs w:val="21"/>
    </w:rPr>
  </w:style>
  <w:style w:type="paragraph" w:customStyle="1" w:styleId="261">
    <w:name w:val="列出段落3"/>
    <w:basedOn w:val="1"/>
    <w:link w:val="260"/>
    <w:qFormat/>
    <w:uiPriority w:val="0"/>
    <w:pPr>
      <w:ind w:firstLine="420" w:firstLineChars="200"/>
    </w:pPr>
    <w:rPr>
      <w:szCs w:val="21"/>
    </w:rPr>
  </w:style>
  <w:style w:type="paragraph" w:customStyle="1" w:styleId="262">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63">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264">
    <w:name w:val="页眉 字符"/>
    <w:qFormat/>
    <w:uiPriority w:val="99"/>
    <w:rPr>
      <w:rFonts w:eastAsia="宋体"/>
      <w:kern w:val="2"/>
      <w:sz w:val="18"/>
      <w:szCs w:val="18"/>
      <w:lang w:val="en-US" w:eastAsia="zh-CN" w:bidi="ar-SA"/>
    </w:rPr>
  </w:style>
  <w:style w:type="character" w:customStyle="1" w:styleId="265">
    <w:name w:val="标题 2 Char1"/>
    <w:qFormat/>
    <w:uiPriority w:val="0"/>
    <w:rPr>
      <w:rFonts w:ascii="Arial" w:hAnsi="Arial" w:eastAsia="黑体"/>
      <w:b/>
      <w:sz w:val="30"/>
      <w:lang w:val="en-US" w:eastAsia="zh-CN" w:bidi="ar-SA"/>
    </w:rPr>
  </w:style>
  <w:style w:type="character" w:customStyle="1" w:styleId="266">
    <w:name w:val="正文文本首行缩进 字符"/>
    <w:basedOn w:val="74"/>
    <w:link w:val="45"/>
    <w:qFormat/>
    <w:uiPriority w:val="0"/>
    <w:rPr>
      <w:rFonts w:ascii="宋体" w:hAnsi="宋体"/>
      <w:kern w:val="2"/>
      <w:sz w:val="21"/>
      <w:szCs w:val="24"/>
    </w:rPr>
  </w:style>
  <w:style w:type="paragraph" w:customStyle="1" w:styleId="267">
    <w:name w:val="样式 首行缩进:  2 字符"/>
    <w:basedOn w:val="1"/>
    <w:link w:val="268"/>
    <w:qFormat/>
    <w:uiPriority w:val="0"/>
    <w:pPr>
      <w:spacing w:line="360" w:lineRule="auto"/>
      <w:ind w:firstLine="480" w:firstLineChars="200"/>
    </w:pPr>
    <w:rPr>
      <w:rFonts w:cs="宋体"/>
      <w:sz w:val="28"/>
      <w:szCs w:val="20"/>
    </w:rPr>
  </w:style>
  <w:style w:type="character" w:customStyle="1" w:styleId="268">
    <w:name w:val="样式 首行缩进:  2 字符 Char"/>
    <w:link w:val="267"/>
    <w:qFormat/>
    <w:locked/>
    <w:uiPriority w:val="0"/>
    <w:rPr>
      <w:rFonts w:cs="宋体"/>
      <w:kern w:val="2"/>
      <w:sz w:val="28"/>
    </w:rPr>
  </w:style>
  <w:style w:type="character" w:customStyle="1" w:styleId="269">
    <w:name w:val="脚注文本 字符"/>
    <w:basedOn w:val="50"/>
    <w:link w:val="33"/>
    <w:qFormat/>
    <w:uiPriority w:val="99"/>
    <w:rPr>
      <w:rFonts w:ascii="Calibri" w:hAnsi="Calibri" w:eastAsia="等线"/>
      <w:kern w:val="2"/>
      <w:sz w:val="18"/>
      <w:szCs w:val="18"/>
    </w:rPr>
  </w:style>
  <w:style w:type="paragraph" w:customStyle="1" w:styleId="270">
    <w:name w:val="MM Topic 1"/>
    <w:basedOn w:val="2"/>
    <w:qFormat/>
    <w:uiPriority w:val="0"/>
    <w:pPr>
      <w:suppressAutoHyphens/>
    </w:pPr>
    <w:rPr>
      <w:rFonts w:hAnsi="Calibri"/>
    </w:rPr>
  </w:style>
  <w:style w:type="paragraph" w:customStyle="1" w:styleId="271">
    <w:name w:val="修订4"/>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272">
    <w:name w:val="正文文本 2 字符"/>
    <w:basedOn w:val="50"/>
    <w:link w:val="39"/>
    <w:qFormat/>
    <w:uiPriority w:val="0"/>
    <w:rPr>
      <w:kern w:val="2"/>
      <w:sz w:val="21"/>
      <w:szCs w:val="24"/>
    </w:rPr>
  </w:style>
  <w:style w:type="character" w:customStyle="1" w:styleId="273">
    <w:name w:val="标题 1 Char"/>
    <w:qFormat/>
    <w:uiPriority w:val="0"/>
    <w:rPr>
      <w:rFonts w:ascii="Times New Roman" w:hAnsi="Times New Roman" w:eastAsia="宋体" w:cs="Times New Roman"/>
      <w:b/>
      <w:bCs/>
      <w:kern w:val="44"/>
      <w:sz w:val="44"/>
      <w:szCs w:val="44"/>
    </w:rPr>
  </w:style>
  <w:style w:type="character" w:customStyle="1" w:styleId="274">
    <w:name w:val="正文文本缩进 2 Char"/>
    <w:qFormat/>
    <w:uiPriority w:val="0"/>
    <w:rPr>
      <w:rFonts w:ascii="宋体" w:hAnsi="Times New Roman" w:eastAsia="宋体" w:cs="Times New Roman"/>
      <w:kern w:val="0"/>
      <w:sz w:val="24"/>
      <w:szCs w:val="20"/>
    </w:rPr>
  </w:style>
  <w:style w:type="paragraph" w:customStyle="1" w:styleId="275">
    <w:name w:val="_Style 272"/>
    <w:basedOn w:val="1"/>
    <w:next w:val="1"/>
    <w:qFormat/>
    <w:uiPriority w:val="0"/>
    <w:pPr>
      <w:ind w:left="840" w:leftChars="400"/>
    </w:pPr>
    <w:rPr>
      <w:szCs w:val="20"/>
    </w:rPr>
  </w:style>
  <w:style w:type="character" w:customStyle="1" w:styleId="276">
    <w:name w:val="批注框文本 Char"/>
    <w:semiHidden/>
    <w:qFormat/>
    <w:uiPriority w:val="0"/>
    <w:rPr>
      <w:rFonts w:ascii="Times New Roman" w:hAnsi="Times New Roman" w:eastAsia="宋体" w:cs="Times New Roman"/>
      <w:sz w:val="18"/>
      <w:szCs w:val="18"/>
    </w:rPr>
  </w:style>
  <w:style w:type="character" w:customStyle="1" w:styleId="277">
    <w:name w:val="正文文本 Char"/>
    <w:qFormat/>
    <w:uiPriority w:val="0"/>
    <w:rPr>
      <w:rFonts w:ascii="Times New Roman" w:hAnsi="Times New Roman" w:eastAsia="宋体" w:cs="Times New Roman"/>
      <w:szCs w:val="20"/>
    </w:rPr>
  </w:style>
  <w:style w:type="character" w:customStyle="1" w:styleId="278">
    <w:name w:val="脚注文本 Char"/>
    <w:qFormat/>
    <w:uiPriority w:val="0"/>
    <w:rPr>
      <w:rFonts w:ascii="Times New Roman" w:hAnsi="Times New Roman" w:eastAsia="宋体" w:cs="Times New Roman"/>
      <w:sz w:val="18"/>
      <w:szCs w:val="18"/>
    </w:rPr>
  </w:style>
  <w:style w:type="character" w:customStyle="1" w:styleId="279">
    <w:name w:val="正文文本 2 Char"/>
    <w:qFormat/>
    <w:uiPriority w:val="0"/>
    <w:rPr>
      <w:rFonts w:ascii="Times New Roman" w:hAnsi="Times New Roman" w:eastAsia="宋体" w:cs="Times New Roman"/>
      <w:kern w:val="0"/>
      <w:szCs w:val="20"/>
    </w:rPr>
  </w:style>
  <w:style w:type="character" w:customStyle="1" w:styleId="280">
    <w:name w:val="批注主题 Char"/>
    <w:qFormat/>
    <w:uiPriority w:val="0"/>
    <w:rPr>
      <w:rFonts w:ascii="Times New Roman" w:hAnsi="Times New Roman" w:eastAsia="宋体" w:cs="Times New Roman"/>
      <w:b/>
      <w:bCs/>
      <w:szCs w:val="20"/>
    </w:rPr>
  </w:style>
  <w:style w:type="paragraph" w:customStyle="1" w:styleId="281">
    <w:name w:val="修订5"/>
    <w:hidden/>
    <w:semiHidden/>
    <w:qFormat/>
    <w:uiPriority w:val="99"/>
    <w:pPr>
      <w:spacing w:after="160" w:line="278" w:lineRule="auto"/>
    </w:pPr>
    <w:rPr>
      <w:rFonts w:ascii="Times New Roman" w:hAnsi="Times New Roman" w:eastAsia="宋体" w:cs="Times New Roman"/>
      <w:kern w:val="2"/>
      <w:sz w:val="21"/>
      <w:lang w:val="en-US" w:eastAsia="zh-CN" w:bidi="ar-SA"/>
    </w:rPr>
  </w:style>
  <w:style w:type="character" w:customStyle="1" w:styleId="282">
    <w:name w:val="列出段落 Char1"/>
    <w:link w:val="187"/>
    <w:qFormat/>
    <w:uiPriority w:val="34"/>
    <w:rPr>
      <w:rFonts w:ascii="宋体" w:hAnsi="宋体"/>
      <w:b/>
      <w:kern w:val="2"/>
      <w:sz w:val="28"/>
      <w:szCs w:val="28"/>
    </w:rPr>
  </w:style>
  <w:style w:type="paragraph" w:customStyle="1" w:styleId="283">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4">
    <w:name w:val="修订7"/>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5">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6">
    <w:name w:val="修订9"/>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7">
    <w:name w:val="修订10"/>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288">
    <w:name w:val="List Paragraph"/>
    <w:basedOn w:val="1"/>
    <w:unhideWhenUsed/>
    <w:qFormat/>
    <w:uiPriority w:val="34"/>
    <w:pPr>
      <w:ind w:firstLine="420" w:firstLineChars="200"/>
    </w:pPr>
  </w:style>
  <w:style w:type="character" w:customStyle="1" w:styleId="289">
    <w:name w:val="NormalCharacter"/>
    <w:semiHidden/>
    <w:qFormat/>
    <w:uiPriority w:val="0"/>
  </w:style>
  <w:style w:type="paragraph" w:customStyle="1" w:styleId="290">
    <w:name w:val="修订1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91">
    <w:name w:val="样式1"/>
    <w:basedOn w:val="1"/>
    <w:next w:val="1"/>
    <w:qFormat/>
    <w:uiPriority w:val="0"/>
    <w:pPr>
      <w:tabs>
        <w:tab w:val="left" w:pos="720"/>
      </w:tabs>
      <w:adjustRightInd w:val="0"/>
      <w:spacing w:after="0" w:line="240" w:lineRule="auto"/>
      <w:ind w:left="720" w:hanging="720"/>
      <w:textAlignment w:val="baseline"/>
    </w:pPr>
    <w:rPr>
      <w:rFonts w:ascii="宋体" w:hAnsi="宋体"/>
      <w:kern w:val="0"/>
      <w:szCs w:val="21"/>
    </w:rPr>
  </w:style>
  <w:style w:type="character" w:customStyle="1" w:styleId="292">
    <w:name w:val="纯文本 Char"/>
    <w:basedOn w:val="50"/>
    <w:qFormat/>
    <w:uiPriority w:val="0"/>
    <w:rPr>
      <w:rFonts w:ascii="宋体" w:hAnsi="Courier New" w:eastAsia="宋体" w:cs="Courier New"/>
      <w:szCs w:val="21"/>
    </w:rPr>
  </w:style>
  <w:style w:type="character" w:customStyle="1" w:styleId="293">
    <w:name w:val="日期 Char1"/>
    <w:basedOn w:val="50"/>
    <w:semiHidden/>
    <w:qFormat/>
    <w:uiPriority w:val="99"/>
  </w:style>
  <w:style w:type="paragraph" w:customStyle="1" w:styleId="294">
    <w:name w:val="p0"/>
    <w:basedOn w:val="1"/>
    <w:qFormat/>
    <w:uiPriority w:val="0"/>
    <w:pPr>
      <w:widowControl/>
      <w:suppressAutoHyphens/>
      <w:autoSpaceDN w:val="0"/>
      <w:spacing w:before="100" w:beforeAutospacing="1" w:after="100" w:afterAutospacing="1" w:line="240" w:lineRule="auto"/>
      <w:jc w:val="left"/>
      <w:textAlignment w:val="baseline"/>
    </w:pPr>
    <w:rPr>
      <w:rFonts w:ascii="宋体" w:hAnsi="宋体" w:cs="宋体"/>
      <w:kern w:val="0"/>
      <w:sz w:val="24"/>
    </w:rPr>
  </w:style>
  <w:style w:type="paragraph" w:customStyle="1" w:styleId="295">
    <w:name w:val="无间隔2"/>
    <w:qFormat/>
    <w:uiPriority w:val="99"/>
    <w:pPr>
      <w:widowControl w:val="0"/>
      <w:spacing w:after="160" w:line="278" w:lineRule="auto"/>
      <w:jc w:val="both"/>
    </w:pPr>
    <w:rPr>
      <w:rFonts w:ascii="Calibri" w:hAnsi="Calibri" w:eastAsia="宋体" w:cs="Times New Roman"/>
      <w:kern w:val="2"/>
      <w:sz w:val="21"/>
      <w:szCs w:val="21"/>
      <w:lang w:val="en-US" w:eastAsia="zh-CN" w:bidi="ar-SA"/>
    </w:rPr>
  </w:style>
  <w:style w:type="paragraph" w:customStyle="1" w:styleId="296">
    <w:name w:val="pf0"/>
    <w:basedOn w:val="1"/>
    <w:qFormat/>
    <w:uiPriority w:val="0"/>
    <w:pPr>
      <w:widowControl/>
      <w:spacing w:before="100" w:beforeAutospacing="1" w:after="100" w:afterAutospacing="1" w:line="240" w:lineRule="auto"/>
      <w:jc w:val="left"/>
    </w:pPr>
    <w:rPr>
      <w:rFonts w:ascii="宋体" w:hAnsi="宋体" w:cs="宋体"/>
      <w:kern w:val="0"/>
      <w:sz w:val="24"/>
    </w:rPr>
  </w:style>
  <w:style w:type="character" w:customStyle="1" w:styleId="297">
    <w:name w:val="font31"/>
    <w:basedOn w:val="50"/>
    <w:qFormat/>
    <w:uiPriority w:val="0"/>
    <w:rPr>
      <w:rFonts w:hint="default" w:ascii="仿宋" w:hAnsi="仿宋" w:eastAsia="仿宋" w:cs="仿宋"/>
      <w:b/>
      <w:color w:val="000000"/>
      <w:sz w:val="22"/>
      <w:szCs w:val="22"/>
      <w:u w:val="none"/>
    </w:rPr>
  </w:style>
  <w:style w:type="character" w:customStyle="1" w:styleId="298">
    <w:name w:val="font11"/>
    <w:basedOn w:val="50"/>
    <w:qFormat/>
    <w:uiPriority w:val="0"/>
    <w:rPr>
      <w:rFonts w:hint="default" w:ascii="仿宋" w:hAnsi="仿宋" w:eastAsia="仿宋" w:cs="仿宋"/>
      <w:b/>
      <w:color w:val="000000"/>
      <w:sz w:val="22"/>
      <w:szCs w:val="22"/>
      <w:u w:val="none"/>
      <w:vertAlign w:val="superscript"/>
    </w:rPr>
  </w:style>
  <w:style w:type="paragraph" w:customStyle="1" w:styleId="299">
    <w:name w:val="msonormal"/>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300">
    <w:name w:val="font10"/>
    <w:basedOn w:val="1"/>
    <w:qFormat/>
    <w:uiPriority w:val="0"/>
    <w:pPr>
      <w:widowControl/>
      <w:spacing w:before="100" w:beforeAutospacing="1" w:after="100" w:afterAutospacing="1" w:line="240" w:lineRule="auto"/>
      <w:jc w:val="left"/>
    </w:pPr>
    <w:rPr>
      <w:rFonts w:ascii="Calibri" w:hAnsi="Calibri" w:cs="Calibri"/>
      <w:color w:val="000000"/>
      <w:kern w:val="0"/>
      <w:sz w:val="24"/>
    </w:rPr>
  </w:style>
  <w:style w:type="paragraph" w:customStyle="1" w:styleId="301">
    <w:name w:val="font12"/>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2">
    <w:name w:val="font13"/>
    <w:basedOn w:val="1"/>
    <w:qFormat/>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303">
    <w:name w:val="font14"/>
    <w:basedOn w:val="1"/>
    <w:qFormat/>
    <w:uiPriority w:val="0"/>
    <w:pPr>
      <w:widowControl/>
      <w:spacing w:before="100" w:beforeAutospacing="1" w:after="100" w:afterAutospacing="1" w:line="240" w:lineRule="auto"/>
      <w:jc w:val="left"/>
    </w:pPr>
    <w:rPr>
      <w:rFonts w:ascii="PMingLiU" w:hAnsi="PMingLiU" w:eastAsia="PMingLiU" w:cs="宋体"/>
      <w:kern w:val="0"/>
      <w:sz w:val="18"/>
      <w:szCs w:val="18"/>
    </w:rPr>
  </w:style>
  <w:style w:type="paragraph" w:customStyle="1" w:styleId="30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0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0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b/>
      <w:bCs/>
      <w:kern w:val="0"/>
      <w:sz w:val="24"/>
    </w:rPr>
  </w:style>
  <w:style w:type="paragraph" w:customStyle="1" w:styleId="3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b/>
      <w:bCs/>
      <w:kern w:val="0"/>
      <w:sz w:val="24"/>
    </w:rPr>
  </w:style>
  <w:style w:type="paragraph" w:customStyle="1" w:styleId="30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310">
    <w:name w:val="xl70"/>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31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1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31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31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1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2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1">
    <w:name w:val="xl81"/>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2">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3">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4">
    <w:name w:val="xl84"/>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5">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2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w:hAnsi="Arial" w:cs="Arial"/>
      <w:kern w:val="0"/>
      <w:sz w:val="24"/>
    </w:rPr>
  </w:style>
  <w:style w:type="paragraph" w:customStyle="1" w:styleId="329">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0">
    <w:name w:val="xl90"/>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1">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32">
    <w:name w:val="xl92"/>
    <w:basedOn w:val="1"/>
    <w:qFormat/>
    <w:uiPriority w:val="0"/>
    <w:pPr>
      <w:widowControl/>
      <w:pBdr>
        <w:left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33">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4">
    <w:name w:val="xl94"/>
    <w:basedOn w:val="1"/>
    <w:qFormat/>
    <w:uiPriority w:val="0"/>
    <w:pPr>
      <w:widowControl/>
      <w:pBdr>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5">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6">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7">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8">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9">
    <w:name w:val="xl99"/>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0">
    <w:name w:val="xl100"/>
    <w:basedOn w:val="1"/>
    <w:qFormat/>
    <w:uiPriority w:val="0"/>
    <w:pPr>
      <w:widowControl/>
      <w:spacing w:before="100" w:beforeAutospacing="1" w:after="100" w:afterAutospacing="1" w:line="240" w:lineRule="auto"/>
      <w:jc w:val="left"/>
      <w:textAlignment w:val="top"/>
    </w:pPr>
    <w:rPr>
      <w:rFonts w:ascii="宋体" w:hAnsi="宋体" w:cs="宋体"/>
      <w:kern w:val="0"/>
      <w:sz w:val="24"/>
    </w:rPr>
  </w:style>
  <w:style w:type="paragraph" w:customStyle="1" w:styleId="341">
    <w:name w:val="xl101"/>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2">
    <w:name w:val="xl102"/>
    <w:basedOn w:val="1"/>
    <w:qFormat/>
    <w:uiPriority w:val="0"/>
    <w:pPr>
      <w:widowControl/>
      <w:spacing w:before="100" w:beforeAutospacing="1" w:after="100" w:afterAutospacing="1" w:line="240" w:lineRule="auto"/>
      <w:jc w:val="left"/>
      <w:textAlignment w:val="top"/>
    </w:pPr>
    <w:rPr>
      <w:rFonts w:ascii="宋体" w:hAnsi="宋体" w:cs="宋体"/>
      <w:kern w:val="0"/>
      <w:sz w:val="24"/>
    </w:rPr>
  </w:style>
  <w:style w:type="paragraph" w:customStyle="1" w:styleId="343">
    <w:name w:val="xl103"/>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4">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45">
    <w:name w:val="列出段落 字符"/>
    <w:link w:val="346"/>
    <w:qFormat/>
    <w:uiPriority w:val="0"/>
    <w:rPr>
      <w:kern w:val="2"/>
      <w:sz w:val="21"/>
    </w:rPr>
  </w:style>
  <w:style w:type="paragraph" w:customStyle="1" w:styleId="346">
    <w:name w:val="列表段落2"/>
    <w:basedOn w:val="1"/>
    <w:link w:val="345"/>
    <w:qFormat/>
    <w:uiPriority w:val="34"/>
    <w:pPr>
      <w:spacing w:after="0" w:line="360" w:lineRule="auto"/>
      <w:ind w:firstLine="420" w:firstLineChars="200"/>
    </w:pPr>
    <w:rPr>
      <w:szCs w:val="20"/>
    </w:rPr>
  </w:style>
  <w:style w:type="character" w:customStyle="1" w:styleId="347">
    <w:name w:val="apple-converted-space"/>
    <w:basedOn w:val="50"/>
    <w:qFormat/>
    <w:uiPriority w:val="0"/>
  </w:style>
  <w:style w:type="paragraph" w:customStyle="1" w:styleId="348">
    <w:name w:val="标题3"/>
    <w:basedOn w:val="1"/>
    <w:link w:val="349"/>
    <w:qFormat/>
    <w:uiPriority w:val="0"/>
    <w:pPr>
      <w:keepNext/>
      <w:keepLines/>
      <w:widowControl/>
      <w:spacing w:after="0" w:line="360" w:lineRule="auto"/>
      <w:jc w:val="left"/>
      <w:outlineLvl w:val="0"/>
    </w:pPr>
    <w:rPr>
      <w:rFonts w:ascii="宋体" w:hAnsi="宋体" w:cs="宋体"/>
      <w:b/>
      <w:bCs/>
      <w:kern w:val="44"/>
      <w:sz w:val="44"/>
      <w:szCs w:val="44"/>
    </w:rPr>
  </w:style>
  <w:style w:type="character" w:customStyle="1" w:styleId="349">
    <w:name w:val="标题3 字符"/>
    <w:basedOn w:val="50"/>
    <w:link w:val="348"/>
    <w:qFormat/>
    <w:uiPriority w:val="0"/>
    <w:rPr>
      <w:rFonts w:ascii="宋体" w:hAnsi="宋体" w:cs="宋体"/>
      <w:b/>
      <w:bCs/>
      <w:kern w:val="44"/>
      <w:sz w:val="44"/>
      <w:szCs w:val="44"/>
    </w:rPr>
  </w:style>
  <w:style w:type="character" w:customStyle="1" w:styleId="350">
    <w:name w:val="正文文本 字符1"/>
    <w:qFormat/>
    <w:uiPriority w:val="99"/>
    <w:rPr>
      <w:rFonts w:ascii="宋体" w:hAnsi="宋体" w:cs="Times New Roman"/>
      <w:szCs w:val="24"/>
    </w:rPr>
  </w:style>
  <w:style w:type="paragraph" w:customStyle="1" w:styleId="351">
    <w:name w:val="列出段落11"/>
    <w:basedOn w:val="1"/>
    <w:qFormat/>
    <w:uiPriority w:val="0"/>
    <w:pPr>
      <w:spacing w:after="0" w:line="240" w:lineRule="auto"/>
      <w:ind w:firstLine="420" w:firstLineChars="200"/>
    </w:pPr>
    <w:rPr>
      <w:rFonts w:ascii="Calibri" w:hAnsi="Calibri" w:cs="宋体"/>
      <w:szCs w:val="22"/>
    </w:rPr>
  </w:style>
  <w:style w:type="table" w:customStyle="1" w:styleId="352">
    <w:name w:val="网格型1"/>
    <w:basedOn w:val="47"/>
    <w:qFormat/>
    <w:uiPriority w:val="39"/>
    <w:rPr>
      <w:rFonts w:ascii="Arial" w:hAnsi="Arial"/>
      <w:kern w:val="2"/>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53">
    <w:name w:val="修订1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54">
    <w:name w:val="修订14"/>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55">
    <w:name w:val="2级原标题"/>
    <w:basedOn w:val="356"/>
    <w:qFormat/>
    <w:uiPriority w:val="0"/>
    <w:pPr>
      <w:keepLines/>
      <w:numPr>
        <w:ilvl w:val="1"/>
        <w:numId w:val="9"/>
      </w:numPr>
      <w:spacing w:before="240" w:after="120" w:line="360" w:lineRule="auto"/>
      <w:ind w:firstLine="0" w:firstLineChars="0"/>
      <w:contextualSpacing/>
      <w:jc w:val="left"/>
      <w:outlineLvl w:val="1"/>
    </w:pPr>
    <w:rPr>
      <w:b/>
      <w:kern w:val="0"/>
      <w:sz w:val="32"/>
      <w:szCs w:val="36"/>
      <w:lang w:eastAsia="en-US" w:bidi="en-US"/>
    </w:rPr>
  </w:style>
  <w:style w:type="paragraph" w:customStyle="1" w:styleId="356">
    <w:name w:val="列表段落3"/>
    <w:basedOn w:val="1"/>
    <w:qFormat/>
    <w:uiPriority w:val="34"/>
    <w:pPr>
      <w:spacing w:after="0" w:line="240" w:lineRule="auto"/>
      <w:ind w:firstLine="420" w:firstLineChars="200"/>
    </w:pPr>
    <w:rPr>
      <w:rFonts w:ascii="Calibri" w:hAnsi="Calibri" w:cs="宋体"/>
      <w:szCs w:val="22"/>
    </w:rPr>
  </w:style>
  <w:style w:type="character" w:customStyle="1" w:styleId="357">
    <w:name w:val="未处理的提及1"/>
    <w:basedOn w:val="50"/>
    <w:semiHidden/>
    <w:unhideWhenUsed/>
    <w:qFormat/>
    <w:uiPriority w:val="99"/>
    <w:rPr>
      <w:color w:val="605E5C"/>
      <w:shd w:val="clear" w:color="auto" w:fill="E1DFDD"/>
    </w:rPr>
  </w:style>
  <w:style w:type="paragraph" w:customStyle="1" w:styleId="358">
    <w:name w:val="修订15"/>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59">
    <w:name w:val="未处理的提及2"/>
    <w:basedOn w:val="50"/>
    <w:semiHidden/>
    <w:unhideWhenUsed/>
    <w:qFormat/>
    <w:uiPriority w:val="99"/>
    <w:rPr>
      <w:color w:val="605E5C"/>
      <w:shd w:val="clear" w:color="auto" w:fill="E1DFDD"/>
    </w:rPr>
  </w:style>
  <w:style w:type="paragraph" w:customStyle="1" w:styleId="360">
    <w:name w:val="修订16"/>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61">
    <w:name w:val="修订17"/>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62">
    <w:name w:val="未处理的提及3"/>
    <w:basedOn w:val="50"/>
    <w:semiHidden/>
    <w:unhideWhenUsed/>
    <w:qFormat/>
    <w:uiPriority w:val="99"/>
    <w:rPr>
      <w:color w:val="605E5C"/>
      <w:shd w:val="clear" w:color="auto" w:fill="E1DFDD"/>
    </w:rPr>
  </w:style>
  <w:style w:type="paragraph" w:customStyle="1" w:styleId="363">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paragraph" w:customStyle="1" w:styleId="364">
    <w:name w:val="目录 53"/>
    <w:next w:val="1"/>
    <w:qFormat/>
    <w:uiPriority w:val="0"/>
    <w:pPr>
      <w:wordWrap w:val="0"/>
      <w:spacing w:after="160" w:line="278" w:lineRule="auto"/>
      <w:ind w:left="1275"/>
      <w:jc w:val="both"/>
    </w:pPr>
    <w:rPr>
      <w:rFonts w:ascii="Times New Roman" w:hAnsi="Times New Roman" w:eastAsia="宋体" w:cs="Times New Roman"/>
      <w:sz w:val="21"/>
      <w:lang w:val="en-US" w:eastAsia="zh-CN" w:bidi="ar-SA"/>
    </w:rPr>
  </w:style>
  <w:style w:type="paragraph" w:customStyle="1" w:styleId="365">
    <w:name w:val="修订18"/>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66">
    <w:name w:val="修订19"/>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67">
    <w:name w:val="未处理的提及4"/>
    <w:basedOn w:val="50"/>
    <w:semiHidden/>
    <w:unhideWhenUsed/>
    <w:qFormat/>
    <w:uiPriority w:val="99"/>
    <w:rPr>
      <w:color w:val="605E5C"/>
      <w:shd w:val="clear" w:color="auto" w:fill="E1DFDD"/>
    </w:rPr>
  </w:style>
  <w:style w:type="character" w:customStyle="1" w:styleId="368">
    <w:name w:val="未处理的提及5"/>
    <w:basedOn w:val="50"/>
    <w:semiHidden/>
    <w:unhideWhenUsed/>
    <w:qFormat/>
    <w:uiPriority w:val="99"/>
    <w:rPr>
      <w:color w:val="605E5C"/>
      <w:shd w:val="clear" w:color="auto" w:fill="E1DFDD"/>
    </w:rPr>
  </w:style>
  <w:style w:type="character" w:customStyle="1" w:styleId="369">
    <w:name w:val="font01"/>
    <w:basedOn w:val="50"/>
    <w:qFormat/>
    <w:uiPriority w:val="0"/>
    <w:rPr>
      <w:rFonts w:hint="eastAsia" w:ascii="仿宋" w:hAnsi="仿宋" w:eastAsia="仿宋" w:cs="仿宋"/>
      <w:color w:val="000000"/>
      <w:sz w:val="18"/>
      <w:szCs w:val="18"/>
      <w:u w:val="none"/>
    </w:rPr>
  </w:style>
  <w:style w:type="character" w:customStyle="1" w:styleId="370">
    <w:name w:val="font21"/>
    <w:basedOn w:val="50"/>
    <w:qFormat/>
    <w:uiPriority w:val="0"/>
    <w:rPr>
      <w:rFonts w:hint="eastAsia" w:ascii="仿宋" w:hAnsi="仿宋" w:eastAsia="仿宋" w:cs="仿宋"/>
      <w:color w:val="000000"/>
      <w:sz w:val="18"/>
      <w:szCs w:val="18"/>
      <w:u w:val="none"/>
    </w:rPr>
  </w:style>
  <w:style w:type="character" w:customStyle="1" w:styleId="371">
    <w:name w:val="font41"/>
    <w:basedOn w:val="50"/>
    <w:qFormat/>
    <w:uiPriority w:val="0"/>
    <w:rPr>
      <w:rFonts w:hint="default" w:ascii="Calibri" w:hAnsi="Calibri" w:cs="Calibri"/>
      <w:color w:val="000000"/>
      <w:sz w:val="18"/>
      <w:szCs w:val="18"/>
      <w:u w:val="none"/>
    </w:rPr>
  </w:style>
  <w:style w:type="character" w:customStyle="1" w:styleId="372">
    <w:name w:val="font51"/>
    <w:basedOn w:val="50"/>
    <w:qFormat/>
    <w:uiPriority w:val="0"/>
    <w:rPr>
      <w:rFonts w:ascii="方正书宋_GBK" w:hAnsi="方正书宋_GBK" w:eastAsia="方正书宋_GBK" w:cs="方正书宋_GBK"/>
      <w:color w:val="000000"/>
      <w:sz w:val="18"/>
      <w:szCs w:val="18"/>
      <w:u w:val="none"/>
    </w:rPr>
  </w:style>
  <w:style w:type="character" w:customStyle="1" w:styleId="373">
    <w:name w:val="font61"/>
    <w:basedOn w:val="50"/>
    <w:qFormat/>
    <w:uiPriority w:val="0"/>
    <w:rPr>
      <w:rFonts w:hint="eastAsia" w:ascii="宋体" w:hAnsi="宋体" w:eastAsia="宋体" w:cs="宋体"/>
      <w:color w:val="000000"/>
      <w:sz w:val="18"/>
      <w:szCs w:val="18"/>
      <w:u w:val="none"/>
    </w:rPr>
  </w:style>
  <w:style w:type="character" w:customStyle="1" w:styleId="374">
    <w:name w:val="font71"/>
    <w:basedOn w:val="50"/>
    <w:qFormat/>
    <w:uiPriority w:val="0"/>
    <w:rPr>
      <w:rFonts w:hint="eastAsia" w:ascii="宋体" w:hAnsi="宋体" w:eastAsia="宋体" w:cs="宋体"/>
      <w:color w:val="000000"/>
      <w:sz w:val="18"/>
      <w:szCs w:val="18"/>
      <w:u w:val="none"/>
    </w:rPr>
  </w:style>
  <w:style w:type="paragraph" w:customStyle="1" w:styleId="37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118</Pages>
  <Words>32083</Words>
  <Characters>36254</Characters>
  <Lines>1908</Lines>
  <Paragraphs>1846</Paragraphs>
  <TotalTime>0</TotalTime>
  <ScaleCrop>false</ScaleCrop>
  <LinksUpToDate>false</LinksUpToDate>
  <CharactersWithSpaces>66491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2025-02-19T22:17:00Z</dcterms:created>
  <dc:creator>崔丽丽</dc:creator>
  <cp:lastModifiedBy>admin</cp:lastModifiedBy>
  <dcterms:modified xsi:type="dcterms:W3CDTF">2026-04-27T08:33:56Z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182941AD73764CA99386B6C915C8171D_13</vt:lpwstr>
  </property>
  <property fmtid="{D5CDD505-2E9C-101B-9397-08002B2CF9AE}" pid="4" name="KSOTemplateDocerSaveRecord">
    <vt:lpwstr>eyJoZGlkIjoiOGM5MDU3NzIzOWFiNTc4MmFlNTIxZGY5ZGM4NDgxZjQiLCJ1c2VySWQiOiIzODc4MjgwMjAifQ==</vt:lpwstr>
  </property>
</Properties>
</file>