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E8849">
      <w:pPr>
        <w:pStyle w:val="2"/>
        <w:tabs>
          <w:tab w:val="left" w:pos="0"/>
        </w:tabs>
        <w:autoSpaceDE w:val="0"/>
        <w:autoSpaceDN w:val="0"/>
        <w:adjustRightInd w:val="0"/>
        <w:spacing w:before="0" w:after="0" w:line="360" w:lineRule="auto"/>
        <w:jc w:val="center"/>
        <w:rPr>
          <w:rFonts w:ascii="华文中宋" w:hAnsi="华文中宋" w:eastAsia="华文中宋"/>
          <w:color w:val="auto"/>
          <w:sz w:val="36"/>
          <w:szCs w:val="36"/>
          <w:highlight w:val="none"/>
        </w:rPr>
      </w:pPr>
      <w:bookmarkStart w:id="2" w:name="_GoBack"/>
      <w:bookmarkEnd w:id="2"/>
      <w:bookmarkStart w:id="0" w:name="_Toc28359022"/>
      <w:bookmarkStart w:id="1" w:name="_Toc35393809"/>
      <w:r>
        <w:rPr>
          <w:rFonts w:hint="eastAsia" w:ascii="华文中宋" w:hAnsi="华文中宋" w:eastAsia="华文中宋"/>
          <w:color w:val="auto"/>
          <w:sz w:val="36"/>
          <w:szCs w:val="36"/>
          <w:highlight w:val="none"/>
          <w:lang w:eastAsia="zh-CN"/>
        </w:rPr>
        <w:t>北京市政务服务和数据管理局2026年党政机关信息化能力提升项目（北京市市民热线服务中心）</w:t>
      </w:r>
      <w:r>
        <w:rPr>
          <w:rFonts w:hint="eastAsia" w:ascii="华文中宋" w:hAnsi="华文中宋" w:eastAsia="华文中宋"/>
          <w:color w:val="auto"/>
          <w:sz w:val="36"/>
          <w:szCs w:val="36"/>
          <w:highlight w:val="none"/>
        </w:rPr>
        <w:t>中标结果公告</w:t>
      </w:r>
      <w:bookmarkEnd w:id="0"/>
      <w:bookmarkEnd w:id="1"/>
    </w:p>
    <w:p w14:paraId="2670C809">
      <w:pPr>
        <w:rPr>
          <w:rFonts w:hint="eastAsia" w:ascii="黑体" w:hAnsi="黑体" w:eastAsia="黑体"/>
          <w:color w:val="auto"/>
          <w:sz w:val="28"/>
          <w:szCs w:val="28"/>
          <w:highlight w:val="none"/>
          <w:lang w:eastAsia="zh-CN"/>
        </w:rPr>
      </w:pPr>
      <w:r>
        <w:rPr>
          <w:rFonts w:hint="eastAsia" w:ascii="黑体" w:hAnsi="黑体" w:eastAsia="黑体"/>
          <w:color w:val="auto"/>
          <w:sz w:val="28"/>
          <w:szCs w:val="28"/>
          <w:highlight w:val="none"/>
        </w:rPr>
        <w:t>一</w:t>
      </w:r>
      <w:r>
        <w:rPr>
          <w:rFonts w:ascii="黑体" w:hAnsi="黑体" w:eastAsia="黑体"/>
          <w:color w:val="auto"/>
          <w:sz w:val="28"/>
          <w:szCs w:val="28"/>
          <w:highlight w:val="none"/>
        </w:rPr>
        <w:t>、</w:t>
      </w:r>
      <w:r>
        <w:rPr>
          <w:rFonts w:hint="eastAsia" w:ascii="黑体" w:hAnsi="黑体" w:eastAsia="黑体"/>
          <w:color w:val="auto"/>
          <w:sz w:val="28"/>
          <w:szCs w:val="28"/>
          <w:highlight w:val="none"/>
        </w:rPr>
        <w:t>项目编号：</w:t>
      </w:r>
      <w:r>
        <w:rPr>
          <w:rFonts w:hint="eastAsia" w:ascii="黑体" w:hAnsi="黑体" w:eastAsia="黑体"/>
          <w:color w:val="auto"/>
          <w:sz w:val="28"/>
          <w:szCs w:val="28"/>
          <w:highlight w:val="none"/>
          <w:lang w:eastAsia="zh-CN"/>
        </w:rPr>
        <w:t>11000026210200163387-XM001</w:t>
      </w:r>
    </w:p>
    <w:p w14:paraId="49BC1329">
      <w:pPr>
        <w:rPr>
          <w:rFonts w:ascii="黑体" w:hAnsi="黑体" w:eastAsia="黑体"/>
          <w:color w:val="auto"/>
          <w:sz w:val="28"/>
          <w:szCs w:val="28"/>
          <w:highlight w:val="none"/>
          <w:u w:val="single"/>
        </w:rPr>
      </w:pPr>
      <w:r>
        <w:rPr>
          <w:rFonts w:hint="eastAsia" w:ascii="黑体" w:hAnsi="黑体" w:eastAsia="黑体"/>
          <w:color w:val="auto"/>
          <w:sz w:val="28"/>
          <w:szCs w:val="28"/>
          <w:highlight w:val="none"/>
        </w:rPr>
        <w:t>二</w:t>
      </w:r>
      <w:r>
        <w:rPr>
          <w:rFonts w:ascii="黑体" w:hAnsi="黑体" w:eastAsia="黑体"/>
          <w:color w:val="auto"/>
          <w:sz w:val="28"/>
          <w:szCs w:val="28"/>
          <w:highlight w:val="none"/>
        </w:rPr>
        <w:t>、</w:t>
      </w:r>
      <w:r>
        <w:rPr>
          <w:rFonts w:hint="eastAsia" w:ascii="黑体" w:hAnsi="黑体" w:eastAsia="黑体"/>
          <w:color w:val="auto"/>
          <w:sz w:val="28"/>
          <w:szCs w:val="28"/>
          <w:highlight w:val="none"/>
        </w:rPr>
        <w:t>项目名称：</w:t>
      </w:r>
      <w:r>
        <w:rPr>
          <w:rFonts w:hint="eastAsia" w:ascii="黑体" w:hAnsi="黑体" w:eastAsia="黑体"/>
          <w:color w:val="auto"/>
          <w:sz w:val="28"/>
          <w:szCs w:val="28"/>
          <w:highlight w:val="none"/>
          <w:lang w:eastAsia="zh-CN"/>
        </w:rPr>
        <w:t>北京市政务服务和数据管理局2026年党政机关信息化能力提升项目（北京市市民热线服务中心）</w:t>
      </w:r>
    </w:p>
    <w:p w14:paraId="2BEB35B3">
      <w:pPr>
        <w:rPr>
          <w:rFonts w:ascii="黑体" w:hAnsi="黑体" w:eastAsia="黑体"/>
          <w:color w:val="auto"/>
          <w:sz w:val="28"/>
          <w:szCs w:val="28"/>
          <w:highlight w:val="none"/>
        </w:rPr>
      </w:pPr>
      <w:r>
        <w:rPr>
          <w:rFonts w:hint="eastAsia" w:ascii="黑体" w:hAnsi="黑体" w:eastAsia="黑体"/>
          <w:color w:val="auto"/>
          <w:sz w:val="28"/>
          <w:szCs w:val="28"/>
          <w:highlight w:val="none"/>
        </w:rPr>
        <w:t>三、中标信息</w:t>
      </w:r>
    </w:p>
    <w:p w14:paraId="4CB15143">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第1包：</w:t>
      </w:r>
    </w:p>
    <w:p w14:paraId="0B0CB93B">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供应商名称：</w:t>
      </w:r>
      <w:r>
        <w:rPr>
          <w:rFonts w:hint="eastAsia" w:ascii="仿宋" w:hAnsi="仿宋" w:eastAsia="仿宋"/>
          <w:color w:val="auto"/>
          <w:sz w:val="28"/>
          <w:szCs w:val="28"/>
          <w:highlight w:val="none"/>
          <w:u w:val="single"/>
          <w:lang w:eastAsia="zh-CN"/>
        </w:rPr>
        <w:t>首都信息发展股份有限公司</w:t>
      </w:r>
    </w:p>
    <w:p w14:paraId="11D825B0">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供应商地址：</w:t>
      </w:r>
      <w:r>
        <w:rPr>
          <w:rFonts w:hint="eastAsia" w:ascii="仿宋" w:hAnsi="仿宋" w:eastAsia="仿宋"/>
          <w:color w:val="auto"/>
          <w:sz w:val="28"/>
          <w:szCs w:val="28"/>
          <w:highlight w:val="none"/>
          <w:u w:val="single"/>
          <w:lang w:eastAsia="zh-CN"/>
        </w:rPr>
        <w:t>北京市东城区隆福寺街95号隆福大厦5层</w:t>
      </w:r>
    </w:p>
    <w:p w14:paraId="46A070BA">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中标金额：</w:t>
      </w:r>
      <w:r>
        <w:rPr>
          <w:rFonts w:hint="eastAsia" w:ascii="仿宋" w:hAnsi="仿宋" w:eastAsia="仿宋"/>
          <w:color w:val="auto"/>
          <w:sz w:val="28"/>
          <w:szCs w:val="28"/>
          <w:highlight w:val="none"/>
          <w:u w:val="single"/>
          <w:lang w:val="en-US" w:eastAsia="zh-CN"/>
        </w:rPr>
        <w:t>1,620,000.00</w:t>
      </w:r>
      <w:r>
        <w:rPr>
          <w:rFonts w:hint="eastAsia" w:ascii="仿宋" w:hAnsi="仿宋" w:eastAsia="仿宋"/>
          <w:color w:val="auto"/>
          <w:sz w:val="28"/>
          <w:szCs w:val="28"/>
          <w:highlight w:val="none"/>
          <w:lang w:eastAsia="zh-CN"/>
        </w:rPr>
        <w:t>元（人民币）</w:t>
      </w:r>
    </w:p>
    <w:p w14:paraId="7A245877">
      <w:pPr>
        <w:ind w:firstLine="560" w:firstLineChars="200"/>
        <w:rPr>
          <w:rFonts w:hint="eastAsia" w:ascii="仿宋" w:hAnsi="仿宋" w:eastAsia="仿宋"/>
          <w:color w:val="auto"/>
          <w:sz w:val="28"/>
          <w:szCs w:val="28"/>
          <w:highlight w:val="none"/>
          <w:lang w:val="en-US" w:eastAsia="zh-CN"/>
        </w:rPr>
      </w:pPr>
    </w:p>
    <w:p w14:paraId="0A751746">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第2包：投标人不足3家，本包未开标。</w:t>
      </w:r>
    </w:p>
    <w:p w14:paraId="7E325155">
      <w:pPr>
        <w:numPr>
          <w:ilvl w:val="0"/>
          <w:numId w:val="1"/>
        </w:numPr>
        <w:rPr>
          <w:rFonts w:hint="eastAsia" w:ascii="黑体" w:hAnsi="黑体" w:eastAsia="黑体"/>
          <w:color w:val="auto"/>
          <w:sz w:val="28"/>
          <w:szCs w:val="28"/>
          <w:highlight w:val="none"/>
        </w:rPr>
      </w:pPr>
      <w:r>
        <w:rPr>
          <w:rFonts w:hint="eastAsia" w:ascii="黑体" w:hAnsi="黑体" w:eastAsia="黑体"/>
          <w:color w:val="auto"/>
          <w:sz w:val="28"/>
          <w:szCs w:val="28"/>
          <w:highlight w:val="none"/>
        </w:rPr>
        <w:t>主要标的信息</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946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522" w:type="dxa"/>
            <w:vAlign w:val="top"/>
          </w:tcPr>
          <w:p w14:paraId="64800938">
            <w:pPr>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服务类</w:t>
            </w:r>
          </w:p>
        </w:tc>
      </w:tr>
      <w:tr w14:paraId="0D5C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522" w:type="dxa"/>
            <w:vAlign w:val="top"/>
          </w:tcPr>
          <w:p w14:paraId="38113A10">
            <w:pPr>
              <w:rPr>
                <w:rFonts w:hint="eastAsia" w:ascii="仿宋" w:hAnsi="仿宋" w:eastAsia="仿宋"/>
                <w:color w:val="auto"/>
                <w:kern w:val="0"/>
                <w:sz w:val="28"/>
                <w:szCs w:val="28"/>
                <w:highlight w:val="none"/>
                <w:lang w:val="en-US" w:eastAsia="zh-CN"/>
              </w:rPr>
            </w:pPr>
            <w:r>
              <w:rPr>
                <w:rFonts w:hint="eastAsia" w:ascii="仿宋" w:hAnsi="仿宋" w:eastAsia="仿宋"/>
                <w:color w:val="auto"/>
                <w:kern w:val="0"/>
                <w:sz w:val="28"/>
                <w:szCs w:val="28"/>
                <w:highlight w:val="none"/>
                <w:lang w:val="en-US" w:eastAsia="zh-CN"/>
              </w:rPr>
              <w:t>第1包</w:t>
            </w:r>
          </w:p>
          <w:p w14:paraId="758EA8A7">
            <w:pPr>
              <w:rPr>
                <w:rFonts w:hint="eastAsia" w:ascii="仿宋" w:hAnsi="仿宋" w:eastAsia="仿宋"/>
                <w:kern w:val="0"/>
                <w:sz w:val="28"/>
                <w:szCs w:val="28"/>
              </w:rPr>
            </w:pPr>
            <w:r>
              <w:rPr>
                <w:rFonts w:hint="eastAsia" w:ascii="仿宋" w:hAnsi="仿宋" w:eastAsia="仿宋"/>
                <w:kern w:val="0"/>
                <w:sz w:val="28"/>
                <w:szCs w:val="28"/>
              </w:rPr>
              <w:t>名称：2026年党政机关信息化能力提升（北京市市民热线服务中心）</w:t>
            </w:r>
          </w:p>
          <w:p w14:paraId="41FCA0EC">
            <w:pPr>
              <w:rPr>
                <w:rFonts w:hint="eastAsia" w:ascii="仿宋" w:hAnsi="仿宋" w:eastAsia="仿宋"/>
                <w:kern w:val="0"/>
                <w:sz w:val="28"/>
                <w:szCs w:val="28"/>
                <w:lang w:eastAsia="zh-CN"/>
              </w:rPr>
            </w:pPr>
            <w:r>
              <w:rPr>
                <w:rFonts w:hint="eastAsia" w:ascii="仿宋" w:hAnsi="仿宋" w:eastAsia="仿宋"/>
                <w:kern w:val="0"/>
                <w:sz w:val="28"/>
                <w:szCs w:val="28"/>
              </w:rPr>
              <w:t>服务范围：为贯彻落实《中华人民共和国网络安全法》关于保障关键信息基础设施安全的要求，响应国家和北京市关于加快推进信息技术应用创新工作的系列战略部署，推进信息化能力提升改造工作，开展北京市12345市民热线服务平台进行信息化能力提升，包括监督平台、支撑辅助平台、挂图作战平台、运维管控平台、知识管理平台，共5个系统的信息化能力提升适配</w:t>
            </w:r>
            <w:r>
              <w:rPr>
                <w:rFonts w:hint="eastAsia" w:ascii="仿宋" w:hAnsi="仿宋" w:eastAsia="仿宋"/>
                <w:kern w:val="0"/>
                <w:sz w:val="28"/>
                <w:szCs w:val="28"/>
                <w:lang w:eastAsia="zh-CN"/>
              </w:rPr>
              <w:t>。</w:t>
            </w:r>
          </w:p>
          <w:p w14:paraId="7298511E">
            <w:pPr>
              <w:rPr>
                <w:rFonts w:hint="eastAsia" w:ascii="仿宋" w:hAnsi="仿宋" w:eastAsia="仿宋"/>
                <w:kern w:val="0"/>
                <w:sz w:val="28"/>
                <w:szCs w:val="28"/>
                <w:lang w:eastAsia="zh-CN"/>
              </w:rPr>
            </w:pPr>
            <w:r>
              <w:rPr>
                <w:rFonts w:hint="eastAsia" w:ascii="仿宋" w:hAnsi="仿宋" w:eastAsia="仿宋"/>
                <w:kern w:val="0"/>
                <w:sz w:val="28"/>
                <w:szCs w:val="28"/>
              </w:rPr>
              <w:t>服务要求：需完成北京市12345市民热线服务平台应用软件信息化能力提升适配，包括监督平台、支撑辅助平台、挂图作战平台、运维管控平台、知识管理平台，共5个系统的信息化能力提升适配</w:t>
            </w:r>
            <w:r>
              <w:rPr>
                <w:rFonts w:hint="eastAsia" w:ascii="仿宋" w:hAnsi="仿宋" w:eastAsia="仿宋"/>
                <w:kern w:val="0"/>
                <w:sz w:val="28"/>
                <w:szCs w:val="28"/>
                <w:lang w:eastAsia="zh-CN"/>
              </w:rPr>
              <w:t>。</w:t>
            </w:r>
          </w:p>
          <w:p w14:paraId="52E68830">
            <w:pPr>
              <w:rPr>
                <w:rFonts w:hint="eastAsia" w:ascii="仿宋" w:hAnsi="仿宋" w:eastAsia="仿宋"/>
                <w:kern w:val="0"/>
                <w:sz w:val="28"/>
                <w:szCs w:val="28"/>
                <w:lang w:eastAsia="zh-CN"/>
              </w:rPr>
            </w:pPr>
            <w:r>
              <w:rPr>
                <w:rFonts w:hint="eastAsia" w:ascii="仿宋" w:hAnsi="仿宋" w:eastAsia="仿宋"/>
                <w:kern w:val="0"/>
                <w:sz w:val="28"/>
                <w:szCs w:val="28"/>
              </w:rPr>
              <w:t>服务时间：项目实施总工期应不超过180天，要求合同签订后120天内完成招标文件要求的全部信息化能力提升要求，试运行60天</w:t>
            </w:r>
            <w:r>
              <w:rPr>
                <w:rFonts w:hint="eastAsia" w:ascii="仿宋" w:hAnsi="仿宋" w:eastAsia="仿宋"/>
                <w:kern w:val="0"/>
                <w:sz w:val="28"/>
                <w:szCs w:val="28"/>
                <w:lang w:eastAsia="zh-CN"/>
              </w:rPr>
              <w:t>。</w:t>
            </w:r>
          </w:p>
          <w:p w14:paraId="7AD22C7E">
            <w:pPr>
              <w:rPr>
                <w:rFonts w:hint="eastAsia" w:ascii="仿宋" w:hAnsi="仿宋" w:eastAsia="仿宋"/>
                <w:color w:val="auto"/>
                <w:kern w:val="0"/>
                <w:sz w:val="28"/>
                <w:szCs w:val="28"/>
                <w:highlight w:val="none"/>
              </w:rPr>
            </w:pPr>
            <w:r>
              <w:rPr>
                <w:rFonts w:hint="eastAsia" w:ascii="仿宋" w:hAnsi="仿宋" w:eastAsia="仿宋"/>
                <w:kern w:val="0"/>
                <w:sz w:val="28"/>
                <w:szCs w:val="28"/>
              </w:rPr>
              <w:t>服务标准：按照合同及采购需求进行验收</w:t>
            </w:r>
            <w:r>
              <w:rPr>
                <w:rFonts w:hint="eastAsia" w:ascii="仿宋" w:hAnsi="仿宋" w:eastAsia="仿宋"/>
                <w:kern w:val="0"/>
                <w:sz w:val="28"/>
                <w:szCs w:val="28"/>
                <w:lang w:eastAsia="zh-CN"/>
              </w:rPr>
              <w:t>。</w:t>
            </w:r>
          </w:p>
        </w:tc>
      </w:tr>
    </w:tbl>
    <w:p w14:paraId="14E8DBC1">
      <w:pPr>
        <w:numPr>
          <w:ilvl w:val="0"/>
          <w:numId w:val="2"/>
        </w:numPr>
        <w:rPr>
          <w:rFonts w:hint="eastAsia" w:ascii="黑体" w:hAnsi="黑体" w:eastAsia="黑体"/>
          <w:color w:val="auto"/>
          <w:sz w:val="28"/>
          <w:szCs w:val="28"/>
          <w:highlight w:val="none"/>
        </w:rPr>
      </w:pPr>
      <w:r>
        <w:rPr>
          <w:rFonts w:hint="eastAsia" w:ascii="黑体" w:hAnsi="黑体" w:eastAsia="黑体"/>
          <w:color w:val="auto"/>
          <w:sz w:val="28"/>
          <w:szCs w:val="28"/>
          <w:highlight w:val="none"/>
        </w:rPr>
        <w:t>评审专家名单：</w:t>
      </w:r>
    </w:p>
    <w:p w14:paraId="18E9BD9A">
      <w:pPr>
        <w:ind w:firstLine="560" w:firstLineChars="200"/>
        <w:rPr>
          <w:rFonts w:hint="eastAsia" w:ascii="黑体" w:hAnsi="黑体" w:eastAsia="黑体"/>
          <w:color w:val="auto"/>
          <w:sz w:val="28"/>
          <w:szCs w:val="28"/>
          <w:highlight w:val="none"/>
          <w:lang w:val="en-US" w:eastAsia="zh-CN"/>
        </w:rPr>
      </w:pPr>
      <w:r>
        <w:rPr>
          <w:rFonts w:hint="default" w:ascii="黑体" w:hAnsi="黑体" w:eastAsia="黑体"/>
          <w:color w:val="auto"/>
          <w:sz w:val="28"/>
          <w:szCs w:val="28"/>
          <w:highlight w:val="none"/>
        </w:rPr>
        <w:t>王文平</w:t>
      </w:r>
      <w:r>
        <w:rPr>
          <w:rFonts w:hint="eastAsia" w:ascii="黑体" w:hAnsi="黑体" w:eastAsia="黑体"/>
          <w:color w:val="auto"/>
          <w:sz w:val="28"/>
          <w:szCs w:val="28"/>
          <w:highlight w:val="none"/>
          <w:lang w:eastAsia="zh-CN"/>
        </w:rPr>
        <w:t>、</w:t>
      </w:r>
      <w:r>
        <w:rPr>
          <w:rFonts w:hint="default" w:ascii="黑体" w:hAnsi="黑体" w:eastAsia="黑体"/>
          <w:color w:val="auto"/>
          <w:sz w:val="28"/>
          <w:szCs w:val="28"/>
          <w:highlight w:val="none"/>
        </w:rPr>
        <w:t>王小亮</w:t>
      </w:r>
      <w:r>
        <w:rPr>
          <w:rFonts w:hint="eastAsia" w:ascii="黑体" w:hAnsi="黑体" w:eastAsia="黑体"/>
          <w:color w:val="auto"/>
          <w:sz w:val="28"/>
          <w:szCs w:val="28"/>
          <w:highlight w:val="none"/>
          <w:lang w:eastAsia="zh-CN"/>
        </w:rPr>
        <w:t>、</w:t>
      </w:r>
      <w:r>
        <w:rPr>
          <w:rFonts w:hint="default" w:ascii="黑体" w:hAnsi="黑体" w:eastAsia="黑体"/>
          <w:color w:val="auto"/>
          <w:sz w:val="28"/>
          <w:szCs w:val="28"/>
          <w:highlight w:val="none"/>
        </w:rPr>
        <w:t>张宝栋</w:t>
      </w:r>
      <w:r>
        <w:rPr>
          <w:rFonts w:hint="eastAsia" w:ascii="黑体" w:hAnsi="黑体" w:eastAsia="黑体"/>
          <w:color w:val="auto"/>
          <w:sz w:val="28"/>
          <w:szCs w:val="28"/>
          <w:highlight w:val="none"/>
          <w:lang w:eastAsia="zh-CN"/>
        </w:rPr>
        <w:t>、</w:t>
      </w:r>
      <w:r>
        <w:rPr>
          <w:rFonts w:hint="default" w:ascii="黑体" w:hAnsi="黑体" w:eastAsia="黑体"/>
          <w:color w:val="auto"/>
          <w:sz w:val="28"/>
          <w:szCs w:val="28"/>
          <w:highlight w:val="none"/>
        </w:rPr>
        <w:t>王安</w:t>
      </w:r>
      <w:r>
        <w:rPr>
          <w:rFonts w:hint="eastAsia" w:ascii="黑体" w:hAnsi="黑体" w:eastAsia="黑体"/>
          <w:color w:val="auto"/>
          <w:sz w:val="28"/>
          <w:szCs w:val="28"/>
          <w:highlight w:val="none"/>
          <w:lang w:eastAsia="zh-CN"/>
        </w:rPr>
        <w:t>、</w:t>
      </w:r>
      <w:r>
        <w:rPr>
          <w:rFonts w:hint="default" w:ascii="黑体" w:hAnsi="黑体" w:eastAsia="黑体"/>
          <w:color w:val="auto"/>
          <w:sz w:val="28"/>
          <w:szCs w:val="28"/>
          <w:highlight w:val="none"/>
        </w:rPr>
        <w:t>杨立志</w:t>
      </w:r>
    </w:p>
    <w:p w14:paraId="67FB38F2">
      <w:pPr>
        <w:numPr>
          <w:ilvl w:val="0"/>
          <w:numId w:val="2"/>
        </w:numPr>
        <w:rPr>
          <w:rFonts w:hint="eastAsia" w:ascii="黑体" w:hAnsi="黑体" w:eastAsia="黑体"/>
          <w:color w:val="auto"/>
          <w:sz w:val="28"/>
          <w:szCs w:val="28"/>
          <w:highlight w:val="none"/>
        </w:rPr>
      </w:pPr>
      <w:r>
        <w:rPr>
          <w:rFonts w:hint="eastAsia" w:ascii="黑体" w:hAnsi="黑体" w:eastAsia="黑体"/>
          <w:color w:val="auto"/>
          <w:sz w:val="28"/>
          <w:szCs w:val="28"/>
          <w:highlight w:val="none"/>
        </w:rPr>
        <w:t>代理服务收费标准及金额：</w:t>
      </w:r>
    </w:p>
    <w:p w14:paraId="2523D089">
      <w:pPr>
        <w:ind w:firstLine="560" w:firstLineChars="200"/>
        <w:rPr>
          <w:rFonts w:hint="default" w:ascii="仿宋" w:hAnsi="仿宋" w:eastAsia="仿宋" w:cs="Times New Roman"/>
          <w:color w:val="auto"/>
          <w:kern w:val="0"/>
          <w:sz w:val="28"/>
          <w:szCs w:val="28"/>
          <w:highlight w:val="none"/>
          <w:lang w:val="en-US" w:eastAsia="zh-CN"/>
        </w:rPr>
      </w:pPr>
      <w:r>
        <w:rPr>
          <w:rFonts w:hint="eastAsia" w:ascii="仿宋" w:hAnsi="仿宋" w:eastAsia="仿宋" w:cs="Times New Roman"/>
          <w:color w:val="auto"/>
          <w:kern w:val="0"/>
          <w:sz w:val="28"/>
          <w:szCs w:val="28"/>
          <w:highlight w:val="none"/>
          <w:lang w:val="en-US" w:eastAsia="zh-CN"/>
        </w:rPr>
        <w:t>采购代理机构采用差额累进方式计算服务费，具体收费标准详见其它补充事宜。本项目代理服务费金额为：1.5968万元。</w:t>
      </w:r>
    </w:p>
    <w:p w14:paraId="48111638">
      <w:pPr>
        <w:rPr>
          <w:rFonts w:ascii="黑体" w:hAnsi="黑体" w:eastAsia="黑体"/>
          <w:color w:val="auto"/>
          <w:sz w:val="28"/>
          <w:szCs w:val="28"/>
          <w:highlight w:val="none"/>
        </w:rPr>
      </w:pPr>
      <w:r>
        <w:rPr>
          <w:rFonts w:hint="eastAsia" w:ascii="黑体" w:hAnsi="黑体" w:eastAsia="黑体"/>
          <w:color w:val="auto"/>
          <w:sz w:val="28"/>
          <w:szCs w:val="28"/>
          <w:highlight w:val="none"/>
        </w:rPr>
        <w:t>七、公告期限</w:t>
      </w:r>
    </w:p>
    <w:p w14:paraId="1690D28B">
      <w:pPr>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ascii="仿宋" w:hAnsi="仿宋" w:eastAsia="仿宋" w:cs="宋体"/>
          <w:color w:val="auto"/>
          <w:kern w:val="0"/>
          <w:sz w:val="28"/>
          <w:szCs w:val="28"/>
          <w:highlight w:val="none"/>
        </w:rPr>
        <w:t>1</w:t>
      </w:r>
      <w:r>
        <w:rPr>
          <w:rFonts w:hint="eastAsia" w:ascii="仿宋" w:hAnsi="仿宋" w:eastAsia="仿宋" w:cs="宋体"/>
          <w:color w:val="auto"/>
          <w:kern w:val="0"/>
          <w:sz w:val="28"/>
          <w:szCs w:val="28"/>
          <w:highlight w:val="none"/>
        </w:rPr>
        <w:t>个工作日。</w:t>
      </w:r>
    </w:p>
    <w:p w14:paraId="20C19811">
      <w:pPr>
        <w:spacing w:line="240" w:lineRule="auto"/>
        <w:ind w:firstLine="0" w:firstLineChars="0"/>
        <w:rPr>
          <w:rFonts w:hint="eastAsia" w:ascii="黑体" w:hAnsi="黑体" w:eastAsia="黑体" w:cs="仿宋"/>
          <w:color w:val="auto"/>
          <w:sz w:val="28"/>
          <w:szCs w:val="28"/>
          <w:highlight w:val="none"/>
        </w:rPr>
      </w:pPr>
      <w:r>
        <w:rPr>
          <w:rFonts w:hint="eastAsia" w:ascii="黑体" w:hAnsi="黑体" w:eastAsia="黑体" w:cs="仿宋"/>
          <w:color w:val="auto"/>
          <w:sz w:val="28"/>
          <w:szCs w:val="28"/>
          <w:highlight w:val="none"/>
        </w:rPr>
        <w:t>八、其他补充事宜</w:t>
      </w:r>
    </w:p>
    <w:tbl>
      <w:tblPr>
        <w:tblStyle w:val="1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6043"/>
        <w:gridCol w:w="1575"/>
      </w:tblGrid>
      <w:tr w14:paraId="74903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150A">
            <w:pPr>
              <w:spacing w:line="240" w:lineRule="auto"/>
              <w:ind w:firstLine="0" w:firstLineChars="0"/>
              <w:jc w:val="center"/>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包号</w:t>
            </w:r>
          </w:p>
        </w:tc>
        <w:tc>
          <w:tcPr>
            <w:tcW w:w="3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A546">
            <w:pPr>
              <w:spacing w:line="240" w:lineRule="auto"/>
              <w:ind w:firstLine="0" w:firstLineChars="0"/>
              <w:jc w:val="center"/>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中标人名称</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AE44">
            <w:pPr>
              <w:spacing w:line="240" w:lineRule="auto"/>
              <w:jc w:val="center"/>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最终得分</w:t>
            </w:r>
          </w:p>
        </w:tc>
      </w:tr>
      <w:tr w14:paraId="175F0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52E7">
            <w:pPr>
              <w:keepNext w:val="0"/>
              <w:keepLines w:val="0"/>
              <w:widowControl/>
              <w:suppressLineNumbers w:val="0"/>
              <w:jc w:val="center"/>
              <w:textAlignment w:val="auto"/>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1</w:t>
            </w:r>
          </w:p>
        </w:tc>
        <w:tc>
          <w:tcPr>
            <w:tcW w:w="3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8F30">
            <w:pPr>
              <w:keepNext w:val="0"/>
              <w:keepLines w:val="0"/>
              <w:widowControl/>
              <w:suppressLineNumbers w:val="0"/>
              <w:jc w:val="center"/>
              <w:textAlignment w:val="auto"/>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sz w:val="24"/>
                <w:szCs w:val="24"/>
                <w:highlight w:val="none"/>
                <w:u w:val="none"/>
                <w:lang w:eastAsia="zh-CN"/>
              </w:rPr>
              <w:t>首都信息发展股份有限公司</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23F96">
            <w:pPr>
              <w:spacing w:line="240" w:lineRule="auto"/>
              <w:jc w:val="center"/>
              <w:rPr>
                <w:rFonts w:hint="default" w:ascii="仿宋" w:hAnsi="仿宋" w:eastAsia="仿宋" w:cs="仿宋"/>
                <w:color w:val="auto"/>
                <w:kern w:val="0"/>
                <w:sz w:val="24"/>
                <w:szCs w:val="24"/>
                <w:highlight w:val="none"/>
                <w:u w:val="none"/>
                <w:lang w:val="en-US" w:eastAsia="zh-CN"/>
              </w:rPr>
            </w:pPr>
            <w:r>
              <w:rPr>
                <w:rFonts w:hint="default" w:ascii="仿宋" w:hAnsi="仿宋" w:eastAsia="仿宋" w:cs="仿宋"/>
                <w:color w:val="auto"/>
                <w:kern w:val="0"/>
                <w:sz w:val="24"/>
                <w:szCs w:val="24"/>
                <w:highlight w:val="none"/>
                <w:u w:val="none"/>
                <w:lang w:val="en-US" w:eastAsia="zh-CN"/>
              </w:rPr>
              <w:t>89.60</w:t>
            </w:r>
          </w:p>
        </w:tc>
      </w:tr>
    </w:tbl>
    <w:p w14:paraId="0C931180">
      <w:pPr>
        <w:keepNext w:val="0"/>
        <w:keepLines w:val="0"/>
        <w:suppressLineNumbers w:val="0"/>
        <w:spacing w:before="0" w:beforeAutospacing="0" w:after="0" w:afterAutospacing="0" w:line="360" w:lineRule="auto"/>
        <w:ind w:left="0" w:right="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收费标准：</w:t>
      </w:r>
    </w:p>
    <w:p w14:paraId="0B185C81">
      <w:pPr>
        <w:keepNext w:val="0"/>
        <w:keepLines w:val="0"/>
        <w:suppressLineNumbers w:val="0"/>
        <w:spacing w:before="0" w:beforeAutospacing="0" w:after="0" w:afterAutospacing="0" w:line="360" w:lineRule="auto"/>
        <w:ind w:left="0" w:right="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采购代理机构按照如下标准</w:t>
      </w:r>
      <w:r>
        <w:rPr>
          <w:rFonts w:hint="eastAsia" w:ascii="仿宋" w:hAnsi="仿宋" w:eastAsia="仿宋" w:cs="仿宋"/>
          <w:color w:val="auto"/>
          <w:szCs w:val="21"/>
          <w:highlight w:val="none"/>
          <w:lang w:val="en-US" w:eastAsia="zh-CN"/>
        </w:rPr>
        <w:t>下浮20%</w:t>
      </w:r>
      <w:r>
        <w:rPr>
          <w:rFonts w:hint="eastAsia" w:ascii="仿宋" w:hAnsi="仿宋" w:eastAsia="仿宋" w:cs="仿宋"/>
          <w:color w:val="auto"/>
          <w:szCs w:val="21"/>
          <w:highlight w:val="none"/>
        </w:rPr>
        <w:t>，采用差额累进方式计算服务费。</w:t>
      </w:r>
    </w:p>
    <w:p w14:paraId="0BABEF19">
      <w:pPr>
        <w:keepNext w:val="0"/>
        <w:keepLines w:val="0"/>
        <w:suppressLineNumbers w:val="0"/>
        <w:spacing w:before="0" w:beforeAutospacing="0" w:after="0" w:afterAutospacing="0" w:line="360" w:lineRule="auto"/>
        <w:ind w:left="0" w:right="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具体标准见下表：</w:t>
      </w:r>
    </w:p>
    <w:tbl>
      <w:tblPr>
        <w:tblStyle w:val="11"/>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986"/>
        <w:gridCol w:w="1901"/>
        <w:gridCol w:w="1816"/>
        <w:gridCol w:w="1816"/>
      </w:tblGrid>
      <w:tr w14:paraId="2802FA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1752" w:type="pct"/>
            <w:tcBorders>
              <w:top w:val="single" w:color="auto" w:sz="4" w:space="0"/>
              <w:left w:val="single" w:color="auto" w:sz="4" w:space="0"/>
              <w:bottom w:val="single" w:color="auto" w:sz="4" w:space="0"/>
              <w:right w:val="single" w:color="auto" w:sz="4" w:space="0"/>
            </w:tcBorders>
            <w:vAlign w:val="top"/>
          </w:tcPr>
          <w:p w14:paraId="7C1BC8B9">
            <w:pPr>
              <w:keepNext w:val="0"/>
              <w:keepLines w:val="0"/>
              <w:widowControl w:val="0"/>
              <w:suppressLineNumbers w:val="0"/>
              <w:spacing w:before="0" w:beforeAutospacing="0" w:after="0" w:afterAutospacing="0" w:line="240" w:lineRule="auto"/>
              <w:ind w:left="0" w:right="0" w:firstLine="1275"/>
              <w:jc w:val="both"/>
              <w:rPr>
                <w:rFonts w:hint="eastAsia" w:ascii="仿宋" w:hAnsi="仿宋" w:eastAsia="仿宋" w:cs="仿宋"/>
                <w:bCs/>
                <w:color w:val="auto"/>
                <w:sz w:val="22"/>
                <w:szCs w:val="22"/>
                <w:highlight w:val="none"/>
              </w:rPr>
            </w:pPr>
            <w:r>
              <w:rPr>
                <w:rFonts w:hint="eastAsia" w:ascii="仿宋" w:hAnsi="仿宋" w:eastAsia="仿宋" w:cs="仿宋"/>
                <w:color w:val="auto"/>
                <w:sz w:val="22"/>
                <w:szCs w:val="22"/>
                <w:highlight w:val="none"/>
              </w:rPr>
              <mc:AlternateContent>
                <mc:Choice Requires="wps">
                  <w:drawing>
                    <wp:anchor distT="0" distB="0" distL="114300" distR="114300" simplePos="0" relativeHeight="251660288" behindDoc="0" locked="0" layoutInCell="1" allowOverlap="1">
                      <wp:simplePos x="0" y="0"/>
                      <wp:positionH relativeFrom="column">
                        <wp:posOffset>287655</wp:posOffset>
                      </wp:positionH>
                      <wp:positionV relativeFrom="paragraph">
                        <wp:posOffset>19050</wp:posOffset>
                      </wp:positionV>
                      <wp:extent cx="1106170" cy="1056005"/>
                      <wp:effectExtent l="3175" t="3175" r="8255" b="7620"/>
                      <wp:wrapNone/>
                      <wp:docPr id="1" name="直接箭头连接符 1"/>
                      <wp:cNvGraphicFramePr/>
                      <a:graphic xmlns:a="http://schemas.openxmlformats.org/drawingml/2006/main">
                        <a:graphicData uri="http://schemas.microsoft.com/office/word/2010/wordprocessingShape">
                          <wps:wsp>
                            <wps:cNvCnPr/>
                            <wps:spPr>
                              <a:xfrm>
                                <a:off x="0" y="0"/>
                                <a:ext cx="1106170" cy="10560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2.65pt;margin-top:1.5pt;height:83.15pt;width:87.1pt;z-index:251660288;mso-width-relative:page;mso-height-relative:page;" filled="f" stroked="t" coordsize="21600,21600" o:gfxdata="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xrVBHXAAAACAEAAA8AAAAAAAAAAQAgAAAAIgAAAGRycy9kb3du&#10;cmV2LnhtbFBLAQIUABQAAAAIAIdO4kCNG8/3AAIAAPIDAAAOAAAAAAAAAAEAIAAAACYBAABkcnMv&#10;ZTJvRG9jLnhtbFBLBQYAAAAABgAGAFkBAACYBQAAAAA=&#10;">
                      <v:fill on="f" focussize="0,0"/>
                      <v:stroke color="#000000" joinstyle="round"/>
                      <v:imagedata o:title=""/>
                      <o:lock v:ext="edit" aspectratio="f"/>
                    </v:shape>
                  </w:pict>
                </mc:Fallback>
              </mc:AlternateContent>
            </w:r>
            <w:r>
              <w:rPr>
                <w:rFonts w:hint="eastAsia" w:ascii="仿宋" w:hAnsi="仿宋" w:eastAsia="仿宋" w:cs="仿宋"/>
                <w:color w:val="auto"/>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-6350</wp:posOffset>
                      </wp:positionV>
                      <wp:extent cx="635" cy="0"/>
                      <wp:effectExtent l="0" t="4445" r="0" b="5080"/>
                      <wp:wrapNone/>
                      <wp:docPr id="17" name="直接连接符 1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0.5pt;height:0pt;width:0.05pt;z-index:251659264;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uR037VAAAACQEAAA8AAAAAAAAAAQAgAAAAIgAAAGRycy9kb3ducmV2LnhtbFBLAQIU&#10;ABQAAAAIAIdO4kAhiYgs9gEAAPADAAAOAAAAAAAAAAEAIAAAACQBAABkcnMvZTJvRG9jLnhtbFBL&#10;BQYAAAAABgAGAFkBAACMBQAAAAA=&#10;">
                      <v:fill on="f" focussize="0,0"/>
                      <v:stroke color="#000000" joinstyle="round"/>
                      <v:imagedata o:title=""/>
                      <o:lock v:ext="edit" aspectratio="f"/>
                    </v:line>
                  </w:pict>
                </mc:Fallback>
              </mc:AlternateContent>
            </w: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bCs/>
                <w:color w:val="auto"/>
                <w:sz w:val="22"/>
                <w:szCs w:val="22"/>
                <w:highlight w:val="none"/>
                <w:lang w:val="en-US" w:eastAsia="zh-CN"/>
              </w:rPr>
              <w:t xml:space="preserve">   </w:t>
            </w:r>
            <w:r>
              <w:rPr>
                <w:rFonts w:hint="eastAsia" w:ascii="仿宋" w:hAnsi="仿宋" w:eastAsia="仿宋" w:cs="仿宋"/>
                <w:bCs/>
                <w:color w:val="auto"/>
                <w:sz w:val="22"/>
                <w:szCs w:val="22"/>
                <w:highlight w:val="none"/>
              </w:rPr>
              <w:t>服</w:t>
            </w:r>
          </w:p>
          <w:p w14:paraId="21EBAFE7">
            <w:pPr>
              <w:keepNext w:val="0"/>
              <w:keepLines w:val="0"/>
              <w:widowControl w:val="0"/>
              <w:suppressLineNumbers w:val="0"/>
              <w:spacing w:before="0" w:beforeAutospacing="0" w:after="0" w:afterAutospacing="0" w:line="240" w:lineRule="auto"/>
              <w:ind w:left="0" w:right="0" w:firstLine="220" w:firstLineChars="100"/>
              <w:jc w:val="both"/>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费　　　　　</w:t>
            </w:r>
            <w:r>
              <w:rPr>
                <w:rFonts w:hint="eastAsia" w:ascii="仿宋" w:hAnsi="仿宋" w:eastAsia="仿宋" w:cs="仿宋"/>
                <w:bCs/>
                <w:color w:val="auto"/>
                <w:sz w:val="22"/>
                <w:szCs w:val="22"/>
                <w:highlight w:val="none"/>
                <w:lang w:val="en-US" w:eastAsia="zh-CN"/>
              </w:rPr>
              <w:t xml:space="preserve">  </w:t>
            </w:r>
            <w:r>
              <w:rPr>
                <w:rFonts w:hint="eastAsia" w:ascii="仿宋" w:hAnsi="仿宋" w:eastAsia="仿宋" w:cs="仿宋"/>
                <w:bCs/>
                <w:color w:val="auto"/>
                <w:sz w:val="22"/>
                <w:szCs w:val="22"/>
                <w:highlight w:val="none"/>
              </w:rPr>
              <w:t>务</w:t>
            </w:r>
          </w:p>
          <w:p w14:paraId="38C0CD20">
            <w:pPr>
              <w:keepNext w:val="0"/>
              <w:keepLines w:val="0"/>
              <w:widowControl w:val="0"/>
              <w:suppressLineNumbers w:val="0"/>
              <w:spacing w:before="0" w:beforeAutospacing="0" w:after="0" w:afterAutospacing="0" w:line="240" w:lineRule="auto"/>
              <w:ind w:left="0" w:right="0" w:firstLine="1100" w:firstLineChars="500"/>
              <w:jc w:val="both"/>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　　　类</w:t>
            </w:r>
          </w:p>
          <w:p w14:paraId="71E3B0F2">
            <w:pPr>
              <w:keepNext w:val="0"/>
              <w:keepLines w:val="0"/>
              <w:widowControl w:val="0"/>
              <w:suppressLineNumbers w:val="0"/>
              <w:spacing w:before="0" w:beforeAutospacing="0" w:after="0" w:afterAutospacing="0" w:line="240" w:lineRule="auto"/>
              <w:ind w:left="0" w:right="0" w:firstLine="880" w:firstLineChars="400"/>
              <w:jc w:val="both"/>
              <w:rPr>
                <w:rFonts w:hint="eastAsia" w:ascii="仿宋" w:hAnsi="仿宋" w:eastAsia="仿宋" w:cs="仿宋"/>
                <w:bCs/>
                <w:color w:val="auto"/>
                <w:sz w:val="22"/>
                <w:szCs w:val="22"/>
                <w:highlight w:val="none"/>
              </w:rPr>
            </w:pPr>
            <w:r>
              <w:rPr>
                <w:rFonts w:hint="eastAsia" w:ascii="仿宋" w:hAnsi="仿宋" w:eastAsia="仿宋" w:cs="仿宋"/>
                <w:color w:val="auto"/>
                <w:sz w:val="22"/>
                <w:szCs w:val="22"/>
                <w:highlight w:val="none"/>
              </w:rPr>
              <mc:AlternateContent>
                <mc:Choice Requires="wps">
                  <w:drawing>
                    <wp:anchor distT="0" distB="0" distL="114300" distR="114300" simplePos="0" relativeHeight="251661312" behindDoc="0" locked="0" layoutInCell="1" allowOverlap="1">
                      <wp:simplePos x="0" y="0"/>
                      <wp:positionH relativeFrom="column">
                        <wp:posOffset>-88900</wp:posOffset>
                      </wp:positionH>
                      <wp:positionV relativeFrom="paragraph">
                        <wp:posOffset>60325</wp:posOffset>
                      </wp:positionV>
                      <wp:extent cx="1477645" cy="455930"/>
                      <wp:effectExtent l="1270" t="4445" r="6985" b="9525"/>
                      <wp:wrapNone/>
                      <wp:docPr id="16" name="直接连接符 16"/>
                      <wp:cNvGraphicFramePr/>
                      <a:graphic xmlns:a="http://schemas.openxmlformats.org/drawingml/2006/main">
                        <a:graphicData uri="http://schemas.microsoft.com/office/word/2010/wordprocessingShape">
                          <wps:wsp>
                            <wps:cNvCnPr/>
                            <wps:spPr>
                              <a:xfrm flipH="1" flipV="1">
                                <a:off x="0" y="0"/>
                                <a:ext cx="1477645" cy="45593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 y;margin-left:-7pt;margin-top:4.75pt;height:35.9pt;width:116.35pt;z-index:251661312;mso-width-relative:page;mso-height-relative:page;" filled="f" stroked="t" coordsize="21600,21600" o:gfxdata="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7IrIu1QAAAAgBAAAPAAAAAAAAAAEAIAAAACIA&#10;AABkcnMvZG93bnJldi54bWxQSwECFAAUAAAACACHTuJAYt1W/QwCAAANBAAADgAAAAAAAAABACAA&#10;AAAkAQAAZHJzL2Uyb0RvYy54bWxQSwUGAAAAAAYABgBZAQAAogUAAAAA&#10;">
                      <v:fill on="f" focussize="0,0"/>
                      <v:stroke color="#000000" joinstyle="round"/>
                      <v:imagedata o:title=""/>
                      <o:lock v:ext="edit" aspectratio="f"/>
                    </v:line>
                  </w:pict>
                </mc:Fallback>
              </mc:AlternateContent>
            </w:r>
            <w:r>
              <w:rPr>
                <w:rFonts w:hint="eastAsia" w:ascii="仿宋" w:hAnsi="仿宋" w:eastAsia="仿宋" w:cs="仿宋"/>
                <w:bCs/>
                <w:color w:val="auto"/>
                <w:sz w:val="22"/>
                <w:szCs w:val="22"/>
                <w:highlight w:val="none"/>
              </w:rPr>
              <w:t>率　　　型</w:t>
            </w:r>
          </w:p>
          <w:p w14:paraId="2ED48AB4">
            <w:pPr>
              <w:keepNext w:val="0"/>
              <w:keepLines w:val="0"/>
              <w:widowControl w:val="0"/>
              <w:suppressLineNumbers w:val="0"/>
              <w:spacing w:before="0" w:beforeAutospacing="0" w:after="0" w:afterAutospacing="0" w:line="240" w:lineRule="auto"/>
              <w:ind w:left="0" w:right="0" w:firstLine="1100" w:firstLineChars="500"/>
              <w:jc w:val="both"/>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　　　　</w:t>
            </w:r>
          </w:p>
          <w:p w14:paraId="3CE75B20">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计费基数（万元）</w:t>
            </w:r>
          </w:p>
        </w:tc>
        <w:tc>
          <w:tcPr>
            <w:tcW w:w="1115" w:type="pct"/>
            <w:tcBorders>
              <w:top w:val="single" w:color="auto" w:sz="4" w:space="0"/>
              <w:left w:val="single" w:color="auto" w:sz="4" w:space="0"/>
              <w:bottom w:val="single" w:color="auto" w:sz="4" w:space="0"/>
              <w:right w:val="single" w:color="auto" w:sz="4" w:space="0"/>
            </w:tcBorders>
            <w:vAlign w:val="center"/>
          </w:tcPr>
          <w:p w14:paraId="261B86AF">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货物</w:t>
            </w:r>
          </w:p>
        </w:tc>
        <w:tc>
          <w:tcPr>
            <w:tcW w:w="1065" w:type="pct"/>
            <w:tcBorders>
              <w:top w:val="single" w:color="auto" w:sz="4" w:space="0"/>
              <w:left w:val="single" w:color="auto" w:sz="4" w:space="0"/>
              <w:bottom w:val="single" w:color="auto" w:sz="4" w:space="0"/>
              <w:right w:val="single" w:color="auto" w:sz="4" w:space="0"/>
            </w:tcBorders>
            <w:vAlign w:val="center"/>
          </w:tcPr>
          <w:p w14:paraId="1AFB373C">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服务</w:t>
            </w:r>
          </w:p>
        </w:tc>
        <w:tc>
          <w:tcPr>
            <w:tcW w:w="1065" w:type="pct"/>
            <w:tcBorders>
              <w:top w:val="single" w:color="auto" w:sz="4" w:space="0"/>
              <w:left w:val="single" w:color="auto" w:sz="4" w:space="0"/>
              <w:bottom w:val="single" w:color="auto" w:sz="4" w:space="0"/>
              <w:right w:val="single" w:color="auto" w:sz="4" w:space="0"/>
            </w:tcBorders>
            <w:vAlign w:val="center"/>
          </w:tcPr>
          <w:p w14:paraId="5470643F">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工程</w:t>
            </w:r>
          </w:p>
        </w:tc>
      </w:tr>
      <w:tr w14:paraId="53381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52" w:type="pct"/>
            <w:tcBorders>
              <w:top w:val="single" w:color="auto" w:sz="4" w:space="0"/>
              <w:left w:val="single" w:color="auto" w:sz="4" w:space="0"/>
              <w:bottom w:val="single" w:color="auto" w:sz="4" w:space="0"/>
              <w:right w:val="single" w:color="auto" w:sz="4" w:space="0"/>
            </w:tcBorders>
            <w:vAlign w:val="center"/>
          </w:tcPr>
          <w:p w14:paraId="72F69CE7">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100以下</w:t>
            </w:r>
          </w:p>
        </w:tc>
        <w:tc>
          <w:tcPr>
            <w:tcW w:w="1115" w:type="pct"/>
            <w:tcBorders>
              <w:top w:val="single" w:color="auto" w:sz="4" w:space="0"/>
              <w:left w:val="single" w:color="auto" w:sz="4" w:space="0"/>
              <w:bottom w:val="single" w:color="auto" w:sz="4" w:space="0"/>
              <w:right w:val="single" w:color="auto" w:sz="4" w:space="0"/>
            </w:tcBorders>
            <w:vAlign w:val="center"/>
          </w:tcPr>
          <w:p w14:paraId="78817178">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1.5%</w:t>
            </w:r>
          </w:p>
        </w:tc>
        <w:tc>
          <w:tcPr>
            <w:tcW w:w="1065" w:type="pct"/>
            <w:tcBorders>
              <w:top w:val="single" w:color="auto" w:sz="4" w:space="0"/>
              <w:left w:val="single" w:color="auto" w:sz="4" w:space="0"/>
              <w:bottom w:val="single" w:color="auto" w:sz="4" w:space="0"/>
              <w:right w:val="single" w:color="auto" w:sz="4" w:space="0"/>
            </w:tcBorders>
            <w:vAlign w:val="center"/>
          </w:tcPr>
          <w:p w14:paraId="7A2F717A">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1.5%</w:t>
            </w:r>
          </w:p>
        </w:tc>
        <w:tc>
          <w:tcPr>
            <w:tcW w:w="1065" w:type="pct"/>
            <w:tcBorders>
              <w:top w:val="single" w:color="auto" w:sz="4" w:space="0"/>
              <w:left w:val="single" w:color="auto" w:sz="4" w:space="0"/>
              <w:bottom w:val="single" w:color="auto" w:sz="4" w:space="0"/>
              <w:right w:val="single" w:color="auto" w:sz="4" w:space="0"/>
            </w:tcBorders>
            <w:vAlign w:val="center"/>
          </w:tcPr>
          <w:p w14:paraId="32F056A7">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1.0%</w:t>
            </w:r>
          </w:p>
        </w:tc>
      </w:tr>
      <w:tr w14:paraId="2DAAFE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52" w:type="pct"/>
            <w:tcBorders>
              <w:top w:val="single" w:color="auto" w:sz="4" w:space="0"/>
              <w:left w:val="single" w:color="auto" w:sz="4" w:space="0"/>
              <w:bottom w:val="single" w:color="auto" w:sz="4" w:space="0"/>
              <w:right w:val="single" w:color="auto" w:sz="4" w:space="0"/>
            </w:tcBorders>
            <w:vAlign w:val="center"/>
          </w:tcPr>
          <w:p w14:paraId="5C56DB54">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100-500</w:t>
            </w:r>
          </w:p>
        </w:tc>
        <w:tc>
          <w:tcPr>
            <w:tcW w:w="1115" w:type="pct"/>
            <w:tcBorders>
              <w:top w:val="single" w:color="auto" w:sz="4" w:space="0"/>
              <w:left w:val="single" w:color="auto" w:sz="4" w:space="0"/>
              <w:bottom w:val="single" w:color="auto" w:sz="4" w:space="0"/>
              <w:right w:val="single" w:color="auto" w:sz="4" w:space="0"/>
            </w:tcBorders>
            <w:vAlign w:val="center"/>
          </w:tcPr>
          <w:p w14:paraId="3F31A0F2">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1.1%</w:t>
            </w:r>
          </w:p>
        </w:tc>
        <w:tc>
          <w:tcPr>
            <w:tcW w:w="1065" w:type="pct"/>
            <w:tcBorders>
              <w:top w:val="single" w:color="auto" w:sz="4" w:space="0"/>
              <w:left w:val="single" w:color="auto" w:sz="4" w:space="0"/>
              <w:bottom w:val="single" w:color="auto" w:sz="4" w:space="0"/>
              <w:right w:val="single" w:color="auto" w:sz="4" w:space="0"/>
            </w:tcBorders>
            <w:vAlign w:val="center"/>
          </w:tcPr>
          <w:p w14:paraId="379FFEA7">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0.8%</w:t>
            </w:r>
          </w:p>
        </w:tc>
        <w:tc>
          <w:tcPr>
            <w:tcW w:w="1065" w:type="pct"/>
            <w:tcBorders>
              <w:top w:val="single" w:color="auto" w:sz="4" w:space="0"/>
              <w:left w:val="single" w:color="auto" w:sz="4" w:space="0"/>
              <w:bottom w:val="single" w:color="auto" w:sz="4" w:space="0"/>
              <w:right w:val="single" w:color="auto" w:sz="4" w:space="0"/>
            </w:tcBorders>
            <w:vAlign w:val="center"/>
          </w:tcPr>
          <w:p w14:paraId="4CB9E643">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0.7%</w:t>
            </w:r>
          </w:p>
        </w:tc>
      </w:tr>
      <w:tr w14:paraId="4B4EF9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52" w:type="pct"/>
            <w:tcBorders>
              <w:top w:val="single" w:color="auto" w:sz="4" w:space="0"/>
              <w:left w:val="single" w:color="auto" w:sz="4" w:space="0"/>
              <w:bottom w:val="single" w:color="auto" w:sz="4" w:space="0"/>
              <w:right w:val="single" w:color="auto" w:sz="4" w:space="0"/>
            </w:tcBorders>
            <w:vAlign w:val="center"/>
          </w:tcPr>
          <w:p w14:paraId="0104CD9E">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500-1000</w:t>
            </w:r>
          </w:p>
        </w:tc>
        <w:tc>
          <w:tcPr>
            <w:tcW w:w="1115" w:type="pct"/>
            <w:tcBorders>
              <w:top w:val="single" w:color="auto" w:sz="4" w:space="0"/>
              <w:left w:val="single" w:color="auto" w:sz="4" w:space="0"/>
              <w:bottom w:val="single" w:color="auto" w:sz="4" w:space="0"/>
              <w:right w:val="single" w:color="auto" w:sz="4" w:space="0"/>
            </w:tcBorders>
            <w:vAlign w:val="center"/>
          </w:tcPr>
          <w:p w14:paraId="59AFB35C">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0.8%</w:t>
            </w:r>
          </w:p>
        </w:tc>
        <w:tc>
          <w:tcPr>
            <w:tcW w:w="1065" w:type="pct"/>
            <w:tcBorders>
              <w:top w:val="single" w:color="auto" w:sz="4" w:space="0"/>
              <w:left w:val="single" w:color="auto" w:sz="4" w:space="0"/>
              <w:bottom w:val="single" w:color="auto" w:sz="4" w:space="0"/>
              <w:right w:val="single" w:color="auto" w:sz="4" w:space="0"/>
            </w:tcBorders>
            <w:vAlign w:val="center"/>
          </w:tcPr>
          <w:p w14:paraId="3DCC652A">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0.45%</w:t>
            </w:r>
          </w:p>
        </w:tc>
        <w:tc>
          <w:tcPr>
            <w:tcW w:w="1065" w:type="pct"/>
            <w:tcBorders>
              <w:top w:val="single" w:color="auto" w:sz="4" w:space="0"/>
              <w:left w:val="single" w:color="auto" w:sz="4" w:space="0"/>
              <w:bottom w:val="single" w:color="auto" w:sz="4" w:space="0"/>
              <w:right w:val="single" w:color="auto" w:sz="4" w:space="0"/>
            </w:tcBorders>
            <w:vAlign w:val="center"/>
          </w:tcPr>
          <w:p w14:paraId="2D1ED280">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0.55%</w:t>
            </w:r>
          </w:p>
        </w:tc>
      </w:tr>
      <w:tr w14:paraId="7138E3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52" w:type="pct"/>
            <w:tcBorders>
              <w:top w:val="single" w:color="auto" w:sz="4" w:space="0"/>
              <w:left w:val="single" w:color="auto" w:sz="4" w:space="0"/>
              <w:bottom w:val="single" w:color="auto" w:sz="4" w:space="0"/>
              <w:right w:val="single" w:color="auto" w:sz="4" w:space="0"/>
            </w:tcBorders>
            <w:vAlign w:val="center"/>
          </w:tcPr>
          <w:p w14:paraId="381840AE">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1000-5000</w:t>
            </w:r>
          </w:p>
        </w:tc>
        <w:tc>
          <w:tcPr>
            <w:tcW w:w="1115" w:type="pct"/>
            <w:tcBorders>
              <w:top w:val="single" w:color="auto" w:sz="4" w:space="0"/>
              <w:left w:val="single" w:color="auto" w:sz="4" w:space="0"/>
              <w:bottom w:val="single" w:color="auto" w:sz="4" w:space="0"/>
              <w:right w:val="single" w:color="auto" w:sz="4" w:space="0"/>
            </w:tcBorders>
            <w:vAlign w:val="center"/>
          </w:tcPr>
          <w:p w14:paraId="26B242E0">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0.5%</w:t>
            </w:r>
          </w:p>
        </w:tc>
        <w:tc>
          <w:tcPr>
            <w:tcW w:w="1065" w:type="pct"/>
            <w:tcBorders>
              <w:top w:val="single" w:color="auto" w:sz="4" w:space="0"/>
              <w:left w:val="single" w:color="auto" w:sz="4" w:space="0"/>
              <w:bottom w:val="single" w:color="auto" w:sz="4" w:space="0"/>
              <w:right w:val="single" w:color="auto" w:sz="4" w:space="0"/>
            </w:tcBorders>
            <w:vAlign w:val="center"/>
          </w:tcPr>
          <w:p w14:paraId="1893BEA5">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0.25%</w:t>
            </w:r>
          </w:p>
        </w:tc>
        <w:tc>
          <w:tcPr>
            <w:tcW w:w="1065" w:type="pct"/>
            <w:tcBorders>
              <w:top w:val="single" w:color="auto" w:sz="4" w:space="0"/>
              <w:left w:val="single" w:color="auto" w:sz="4" w:space="0"/>
              <w:bottom w:val="single" w:color="auto" w:sz="4" w:space="0"/>
              <w:right w:val="single" w:color="auto" w:sz="4" w:space="0"/>
            </w:tcBorders>
            <w:vAlign w:val="center"/>
          </w:tcPr>
          <w:p w14:paraId="640015F1">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0.35%</w:t>
            </w:r>
          </w:p>
        </w:tc>
      </w:tr>
    </w:tbl>
    <w:p w14:paraId="63774A6E">
      <w:pPr>
        <w:keepNext w:val="0"/>
        <w:keepLines w:val="0"/>
        <w:numPr>
          <w:ilvl w:val="0"/>
          <w:numId w:val="3"/>
        </w:numPr>
        <w:suppressLineNumbers w:val="0"/>
        <w:spacing w:before="0" w:beforeAutospacing="0" w:after="0" w:afterAutospacing="0"/>
        <w:ind w:right="0"/>
        <w:rPr>
          <w:rFonts w:hint="eastAsia" w:ascii="仿宋" w:hAnsi="仿宋" w:eastAsia="仿宋" w:cs="仿宋"/>
          <w:color w:val="auto"/>
          <w:highlight w:val="none"/>
        </w:rPr>
      </w:pPr>
      <w:r>
        <w:rPr>
          <w:rFonts w:hint="eastAsia" w:ascii="仿宋" w:hAnsi="仿宋" w:eastAsia="仿宋" w:cs="仿宋"/>
          <w:color w:val="auto"/>
          <w:highlight w:val="none"/>
        </w:rPr>
        <w:t>计费基数：计费基数为包中标金额。</w:t>
      </w:r>
    </w:p>
    <w:p w14:paraId="6C1FF30B">
      <w:pPr>
        <w:keepNext w:val="0"/>
        <w:keepLines w:val="0"/>
        <w:numPr>
          <w:ilvl w:val="0"/>
          <w:numId w:val="3"/>
        </w:numPr>
        <w:suppressLineNumbers w:val="0"/>
        <w:spacing w:before="0" w:beforeAutospacing="0" w:after="0" w:afterAutospacing="0"/>
        <w:ind w:right="0"/>
        <w:rPr>
          <w:rFonts w:hint="eastAsia" w:ascii="仿宋" w:hAnsi="仿宋" w:eastAsia="仿宋" w:cs="仿宋"/>
          <w:color w:val="auto"/>
          <w:highlight w:val="none"/>
        </w:rPr>
      </w:pPr>
      <w:r>
        <w:rPr>
          <w:rFonts w:hint="eastAsia" w:ascii="仿宋" w:hAnsi="仿宋" w:eastAsia="仿宋" w:cs="仿宋"/>
          <w:color w:val="auto"/>
          <w:highlight w:val="none"/>
        </w:rPr>
        <w:t>计算公式：按差额定率累进法计算。</w:t>
      </w:r>
    </w:p>
    <w:p w14:paraId="5D07C34D">
      <w:pPr>
        <w:keepNext w:val="0"/>
        <w:keepLines w:val="0"/>
        <w:numPr>
          <w:ilvl w:val="0"/>
          <w:numId w:val="3"/>
        </w:numPr>
        <w:suppressLineNumbers w:val="0"/>
        <w:spacing w:before="0" w:beforeAutospacing="0" w:after="0" w:afterAutospacing="0"/>
        <w:ind w:right="0"/>
        <w:rPr>
          <w:rFonts w:hint="eastAsia" w:ascii="仿宋" w:hAnsi="仿宋" w:eastAsia="仿宋" w:cs="仿宋"/>
          <w:color w:val="auto"/>
          <w:highlight w:val="none"/>
        </w:rPr>
      </w:pPr>
      <w:r>
        <w:rPr>
          <w:rFonts w:hint="eastAsia" w:ascii="仿宋" w:hAnsi="仿宋" w:eastAsia="仿宋" w:cs="仿宋"/>
          <w:color w:val="auto"/>
          <w:highlight w:val="none"/>
        </w:rPr>
        <w:t>例如：某货物招标代理业务计费基数为6000万元，计算招标代理服务收费额如下：</w:t>
      </w:r>
    </w:p>
    <w:p w14:paraId="71C530AB">
      <w:pPr>
        <w:keepNext w:val="0"/>
        <w:keepLines w:val="0"/>
        <w:numPr>
          <w:ilvl w:val="0"/>
          <w:numId w:val="0"/>
        </w:numPr>
        <w:suppressLineNumbers w:val="0"/>
        <w:spacing w:before="0" w:beforeAutospacing="0" w:after="0" w:afterAutospacing="0"/>
        <w:ind w:left="0" w:leftChars="0" w:right="0" w:firstLine="210" w:firstLineChars="100"/>
        <w:rPr>
          <w:rFonts w:hint="eastAsia" w:ascii="仿宋" w:hAnsi="仿宋" w:eastAsia="仿宋" w:cs="仿宋"/>
          <w:color w:val="auto"/>
          <w:highlight w:val="none"/>
        </w:rPr>
      </w:pPr>
      <w:r>
        <w:rPr>
          <w:rFonts w:hint="eastAsia" w:ascii="仿宋" w:hAnsi="仿宋" w:eastAsia="仿宋" w:cs="仿宋"/>
          <w:color w:val="auto"/>
          <w:highlight w:val="none"/>
        </w:rPr>
        <w:t>100万元×1.5%=1.5万元</w:t>
      </w:r>
    </w:p>
    <w:p w14:paraId="196F0ED3">
      <w:pPr>
        <w:keepNext w:val="0"/>
        <w:keepLines w:val="0"/>
        <w:numPr>
          <w:ilvl w:val="0"/>
          <w:numId w:val="0"/>
        </w:numPr>
        <w:suppressLineNumbers w:val="0"/>
        <w:spacing w:before="0" w:beforeAutospacing="0" w:after="0" w:afterAutospacing="0"/>
        <w:ind w:left="0" w:leftChars="0" w:right="0"/>
        <w:rPr>
          <w:rFonts w:hint="eastAsia" w:ascii="仿宋" w:hAnsi="仿宋" w:eastAsia="仿宋" w:cs="仿宋"/>
          <w:color w:val="auto"/>
          <w:highlight w:val="none"/>
        </w:rPr>
      </w:pPr>
      <w:r>
        <w:rPr>
          <w:rFonts w:hint="eastAsia" w:ascii="仿宋" w:hAnsi="仿宋" w:eastAsia="仿宋" w:cs="仿宋"/>
          <w:color w:val="auto"/>
          <w:highlight w:val="none"/>
        </w:rPr>
        <w:t>（500-100）万元×1.1%=4.4万元</w:t>
      </w:r>
    </w:p>
    <w:p w14:paraId="2A446C02">
      <w:pPr>
        <w:keepNext w:val="0"/>
        <w:keepLines w:val="0"/>
        <w:numPr>
          <w:ilvl w:val="0"/>
          <w:numId w:val="0"/>
        </w:numPr>
        <w:suppressLineNumbers w:val="0"/>
        <w:spacing w:before="0" w:beforeAutospacing="0" w:after="0" w:afterAutospacing="0"/>
        <w:ind w:left="0" w:leftChars="0" w:right="0"/>
        <w:rPr>
          <w:rFonts w:hint="eastAsia" w:ascii="仿宋" w:hAnsi="仿宋" w:eastAsia="仿宋" w:cs="仿宋"/>
          <w:color w:val="auto"/>
          <w:highlight w:val="none"/>
        </w:rPr>
      </w:pPr>
      <w:r>
        <w:rPr>
          <w:rFonts w:hint="eastAsia" w:ascii="仿宋" w:hAnsi="仿宋" w:eastAsia="仿宋" w:cs="仿宋"/>
          <w:color w:val="auto"/>
          <w:highlight w:val="none"/>
        </w:rPr>
        <w:t>（1000-500）×0.8%=4万元</w:t>
      </w:r>
    </w:p>
    <w:p w14:paraId="5870629E">
      <w:pPr>
        <w:keepNext w:val="0"/>
        <w:keepLines w:val="0"/>
        <w:numPr>
          <w:ilvl w:val="0"/>
          <w:numId w:val="0"/>
        </w:numPr>
        <w:suppressLineNumbers w:val="0"/>
        <w:spacing w:before="0" w:beforeAutospacing="0" w:after="0" w:afterAutospacing="0"/>
        <w:ind w:left="0" w:leftChars="0" w:right="0"/>
        <w:rPr>
          <w:rFonts w:hint="eastAsia" w:ascii="仿宋" w:hAnsi="仿宋" w:eastAsia="仿宋" w:cs="仿宋"/>
          <w:color w:val="auto"/>
          <w:highlight w:val="none"/>
        </w:rPr>
      </w:pPr>
      <w:r>
        <w:rPr>
          <w:rFonts w:hint="eastAsia" w:ascii="仿宋" w:hAnsi="仿宋" w:eastAsia="仿宋" w:cs="仿宋"/>
          <w:color w:val="auto"/>
          <w:highlight w:val="none"/>
        </w:rPr>
        <w:t>（5000-1000）×0.5%=20万元</w:t>
      </w:r>
    </w:p>
    <w:p w14:paraId="5A53CE1A">
      <w:pPr>
        <w:keepNext w:val="0"/>
        <w:keepLines w:val="0"/>
        <w:numPr>
          <w:ilvl w:val="0"/>
          <w:numId w:val="0"/>
        </w:numPr>
        <w:suppressLineNumbers w:val="0"/>
        <w:spacing w:before="0" w:beforeAutospacing="0" w:after="0" w:afterAutospacing="0"/>
        <w:ind w:left="0" w:leftChars="0" w:right="0"/>
        <w:rPr>
          <w:rFonts w:hint="eastAsia" w:ascii="仿宋" w:hAnsi="仿宋" w:eastAsia="仿宋" w:cs="仿宋"/>
          <w:color w:val="auto"/>
          <w:highlight w:val="none"/>
        </w:rPr>
      </w:pPr>
      <w:r>
        <w:rPr>
          <w:rFonts w:hint="eastAsia" w:ascii="仿宋" w:hAnsi="仿宋" w:eastAsia="仿宋" w:cs="仿宋"/>
          <w:color w:val="auto"/>
          <w:highlight w:val="none"/>
        </w:rPr>
        <w:t>（6000-5000）×0.25%=2.5万元</w:t>
      </w:r>
    </w:p>
    <w:p w14:paraId="5ADB23ED">
      <w:pPr>
        <w:keepNext w:val="0"/>
        <w:keepLines w:val="0"/>
        <w:numPr>
          <w:ilvl w:val="0"/>
          <w:numId w:val="0"/>
        </w:numPr>
        <w:suppressLineNumbers w:val="0"/>
        <w:spacing w:before="0" w:beforeAutospacing="0" w:after="0" w:afterAutospacing="0"/>
        <w:ind w:left="0" w:leftChars="0" w:right="0"/>
        <w:rPr>
          <w:rFonts w:hint="eastAsia" w:ascii="仿宋" w:hAnsi="仿宋" w:eastAsia="仿宋" w:cs="仿宋"/>
          <w:color w:val="auto"/>
          <w:sz w:val="24"/>
          <w:highlight w:val="none"/>
        </w:rPr>
      </w:pPr>
      <w:r>
        <w:rPr>
          <w:rFonts w:hint="eastAsia" w:ascii="仿宋" w:hAnsi="仿宋" w:eastAsia="仿宋" w:cs="仿宋"/>
          <w:color w:val="auto"/>
          <w:highlight w:val="none"/>
        </w:rPr>
        <w:t xml:space="preserve"> 合计收费=1.5+4.4+4+20+2.5=32.4（万元） </w:t>
      </w:r>
      <w:r>
        <w:rPr>
          <w:rFonts w:hint="eastAsia" w:ascii="仿宋" w:hAnsi="仿宋" w:eastAsia="仿宋" w:cs="仿宋"/>
          <w:color w:val="auto"/>
          <w:szCs w:val="21"/>
          <w:highlight w:val="none"/>
        </w:rPr>
        <w:t xml:space="preserve">   </w:t>
      </w:r>
    </w:p>
    <w:p w14:paraId="6B77148C">
      <w:pPr>
        <w:rPr>
          <w:rFonts w:ascii="黑体" w:hAnsi="黑体" w:eastAsia="黑体" w:cs="宋体"/>
          <w:color w:val="auto"/>
          <w:kern w:val="0"/>
          <w:sz w:val="28"/>
          <w:szCs w:val="28"/>
          <w:highlight w:val="none"/>
        </w:rPr>
      </w:pPr>
      <w:r>
        <w:rPr>
          <w:rFonts w:hint="eastAsia" w:ascii="仿宋" w:hAnsi="仿宋" w:eastAsia="仿宋" w:cs="仿宋"/>
          <w:color w:val="auto"/>
          <w:szCs w:val="21"/>
          <w:highlight w:val="none"/>
        </w:rPr>
        <w:t xml:space="preserve"> </w:t>
      </w:r>
      <w:r>
        <w:rPr>
          <w:rFonts w:hint="eastAsia" w:ascii="黑体" w:hAnsi="黑体" w:eastAsia="黑体" w:cs="宋体"/>
          <w:color w:val="auto"/>
          <w:kern w:val="0"/>
          <w:sz w:val="28"/>
          <w:szCs w:val="28"/>
          <w:highlight w:val="none"/>
        </w:rPr>
        <w:t>九、凡对本次公告内容提出询问，请按以下方式联系。</w:t>
      </w:r>
    </w:p>
    <w:p w14:paraId="75A72ACF">
      <w:pPr>
        <w:spacing w:line="360" w:lineRule="auto"/>
        <w:ind w:firstLine="840" w:firstLineChars="3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1.采购人信息</w:t>
      </w:r>
    </w:p>
    <w:p w14:paraId="078BBB33">
      <w:pPr>
        <w:spacing w:line="360" w:lineRule="auto"/>
        <w:ind w:firstLine="840" w:firstLineChars="3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名    称：北京市市民热线服务中心</w:t>
      </w:r>
    </w:p>
    <w:p w14:paraId="3ACF5A50">
      <w:pPr>
        <w:spacing w:line="360" w:lineRule="auto"/>
        <w:ind w:firstLine="840" w:firstLineChars="3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地    址：北京市通州区留庄路5号院2号楼</w:t>
      </w:r>
    </w:p>
    <w:p w14:paraId="377CC449">
      <w:pPr>
        <w:spacing w:line="360" w:lineRule="auto"/>
        <w:ind w:firstLine="840" w:firstLineChars="3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联系方式：13581870062</w:t>
      </w:r>
    </w:p>
    <w:p w14:paraId="3348767F">
      <w:pPr>
        <w:spacing w:line="360" w:lineRule="auto"/>
        <w:ind w:firstLine="840" w:firstLineChars="3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2.采购代理机构信息</w:t>
      </w:r>
    </w:p>
    <w:p w14:paraId="70415ACF">
      <w:pPr>
        <w:spacing w:line="360" w:lineRule="auto"/>
        <w:ind w:firstLine="840" w:firstLineChars="3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名    称：中技国际招标有限公司</w:t>
      </w:r>
    </w:p>
    <w:p w14:paraId="73407F2B">
      <w:pPr>
        <w:spacing w:line="360" w:lineRule="auto"/>
        <w:ind w:firstLine="840" w:firstLineChars="3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地    址：北京市丰台区西营街1号院通用时代中心C座9层</w:t>
      </w:r>
    </w:p>
    <w:p w14:paraId="67CD1502">
      <w:pPr>
        <w:spacing w:line="360" w:lineRule="auto"/>
        <w:ind w:firstLine="840" w:firstLineChars="3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联系方式：010-81168489</w:t>
      </w:r>
    </w:p>
    <w:p w14:paraId="58FB2506">
      <w:pPr>
        <w:spacing w:line="360" w:lineRule="auto"/>
        <w:ind w:firstLine="840" w:firstLineChars="3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3.项目联系方式</w:t>
      </w:r>
    </w:p>
    <w:p w14:paraId="4C5DF599">
      <w:pPr>
        <w:spacing w:line="360" w:lineRule="auto"/>
        <w:ind w:firstLine="840" w:firstLineChars="3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项目联系人：张杰浩</w:t>
      </w:r>
    </w:p>
    <w:p w14:paraId="329CD151">
      <w:pPr>
        <w:spacing w:line="360" w:lineRule="auto"/>
        <w:ind w:firstLine="840" w:firstLineChars="3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电      话：010-81168489</w:t>
      </w:r>
    </w:p>
    <w:p w14:paraId="4579AFE7">
      <w:pPr>
        <w:rPr>
          <w:rFonts w:hint="eastAsia" w:ascii="黑体" w:hAnsi="黑体" w:eastAsia="黑体" w:cs="宋体"/>
          <w:color w:val="auto"/>
          <w:kern w:val="0"/>
          <w:sz w:val="28"/>
          <w:szCs w:val="28"/>
          <w:highlight w:val="none"/>
        </w:rPr>
      </w:pPr>
    </w:p>
    <w:p w14:paraId="74DB996B">
      <w:pPr>
        <w:rPr>
          <w:rFonts w:ascii="黑体" w:hAnsi="黑体" w:eastAsia="黑体" w:cs="宋体"/>
          <w:color w:val="auto"/>
          <w:kern w:val="0"/>
          <w:sz w:val="28"/>
          <w:szCs w:val="28"/>
          <w:highlight w:val="none"/>
        </w:rPr>
      </w:pPr>
      <w:r>
        <w:rPr>
          <w:rFonts w:hint="eastAsia" w:ascii="黑体" w:hAnsi="黑体" w:eastAsia="黑体" w:cs="宋体"/>
          <w:color w:val="auto"/>
          <w:kern w:val="0"/>
          <w:sz w:val="28"/>
          <w:szCs w:val="28"/>
          <w:highlight w:val="none"/>
        </w:rPr>
        <w:t>十、附件</w:t>
      </w:r>
    </w:p>
    <w:p w14:paraId="41840A28">
      <w:pPr>
        <w:ind w:firstLine="560" w:firstLineChars="200"/>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1.采购文件</w:t>
      </w:r>
    </w:p>
    <w:p w14:paraId="5A67402C">
      <w:pPr>
        <w:ind w:firstLine="560" w:firstLineChars="200"/>
        <w:rPr>
          <w:rFonts w:hint="eastAsia" w:ascii="仿宋" w:hAnsi="仿宋" w:eastAsia="仿宋" w:cs="宋体"/>
          <w:color w:val="auto"/>
          <w:kern w:val="0"/>
          <w:sz w:val="28"/>
          <w:szCs w:val="28"/>
          <w:highlight w:val="none"/>
          <w:lang w:eastAsia="zh-CN"/>
        </w:rPr>
      </w:pPr>
      <w:r>
        <w:rPr>
          <w:rFonts w:hint="eastAsia" w:ascii="仿宋" w:hAnsi="仿宋" w:eastAsia="仿宋" w:cs="宋体"/>
          <w:color w:val="auto"/>
          <w:kern w:val="0"/>
          <w:sz w:val="28"/>
          <w:szCs w:val="28"/>
          <w:highlight w:val="none"/>
          <w:lang w:val="en-US" w:eastAsia="zh-CN"/>
        </w:rPr>
        <w:t>2</w:t>
      </w:r>
      <w:r>
        <w:rPr>
          <w:rFonts w:hint="eastAsia"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lang w:eastAsia="zh-CN"/>
        </w:rPr>
        <w:t>中标结果公告</w:t>
      </w:r>
    </w:p>
    <w:p w14:paraId="53A81F27">
      <w:pPr>
        <w:rPr>
          <w:rFonts w:hint="eastAsia"/>
          <w:lang w:val="en-US" w:eastAsia="zh-CN"/>
        </w:rPr>
      </w:pPr>
    </w:p>
    <w:p w14:paraId="0DE6F6AC">
      <w:pPr>
        <w:pStyle w:val="4"/>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6E3DE5"/>
    <w:multiLevelType w:val="singleLevel"/>
    <w:tmpl w:val="616E3DE5"/>
    <w:lvl w:ilvl="0" w:tentative="0">
      <w:start w:val="5"/>
      <w:numFmt w:val="chineseCounting"/>
      <w:suff w:val="nothing"/>
      <w:lvlText w:val="%1、"/>
      <w:lvlJc w:val="left"/>
    </w:lvl>
  </w:abstractNum>
  <w:abstractNum w:abstractNumId="1">
    <w:nsid w:val="61B074EA"/>
    <w:multiLevelType w:val="multilevel"/>
    <w:tmpl w:val="61B074E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1C2BD22"/>
    <w:multiLevelType w:val="singleLevel"/>
    <w:tmpl w:val="61C2BD22"/>
    <w:lvl w:ilvl="0" w:tentative="0">
      <w:start w:val="4"/>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jZjQ0NDFkMGQ2ODA4MzYyNWU1MzRkN2VlMWNmZmYifQ=="/>
  </w:docVars>
  <w:rsids>
    <w:rsidRoot w:val="40357029"/>
    <w:rsid w:val="00F44F67"/>
    <w:rsid w:val="01225F13"/>
    <w:rsid w:val="021D30A7"/>
    <w:rsid w:val="024E73C1"/>
    <w:rsid w:val="03082D39"/>
    <w:rsid w:val="03717647"/>
    <w:rsid w:val="04D252DB"/>
    <w:rsid w:val="07832AA2"/>
    <w:rsid w:val="0B192D0A"/>
    <w:rsid w:val="0C6340B5"/>
    <w:rsid w:val="0F1A2BED"/>
    <w:rsid w:val="0F290022"/>
    <w:rsid w:val="14775ACA"/>
    <w:rsid w:val="1584754C"/>
    <w:rsid w:val="171C6B6E"/>
    <w:rsid w:val="17D949FF"/>
    <w:rsid w:val="18434A38"/>
    <w:rsid w:val="185C1918"/>
    <w:rsid w:val="1A737CF5"/>
    <w:rsid w:val="1C7D1E5D"/>
    <w:rsid w:val="1C855353"/>
    <w:rsid w:val="1CB302B9"/>
    <w:rsid w:val="1DB57971"/>
    <w:rsid w:val="1E0E7587"/>
    <w:rsid w:val="2080016D"/>
    <w:rsid w:val="218F47CC"/>
    <w:rsid w:val="21AA615B"/>
    <w:rsid w:val="21D975DE"/>
    <w:rsid w:val="25755DC7"/>
    <w:rsid w:val="262A4E03"/>
    <w:rsid w:val="287C4C49"/>
    <w:rsid w:val="29031704"/>
    <w:rsid w:val="29094010"/>
    <w:rsid w:val="2B315D61"/>
    <w:rsid w:val="2B47568D"/>
    <w:rsid w:val="2C652E7D"/>
    <w:rsid w:val="2E6D5918"/>
    <w:rsid w:val="2FBB2402"/>
    <w:rsid w:val="301574EF"/>
    <w:rsid w:val="303E2ED3"/>
    <w:rsid w:val="31B23EFF"/>
    <w:rsid w:val="31DD5E3C"/>
    <w:rsid w:val="329374D1"/>
    <w:rsid w:val="330E1609"/>
    <w:rsid w:val="34853C29"/>
    <w:rsid w:val="37235C61"/>
    <w:rsid w:val="38520402"/>
    <w:rsid w:val="396003DF"/>
    <w:rsid w:val="3A0557A4"/>
    <w:rsid w:val="3A4F2C33"/>
    <w:rsid w:val="3A6B71C0"/>
    <w:rsid w:val="3A7A68BD"/>
    <w:rsid w:val="3B7A1023"/>
    <w:rsid w:val="40357029"/>
    <w:rsid w:val="41BD5CDC"/>
    <w:rsid w:val="42770F78"/>
    <w:rsid w:val="445F61E4"/>
    <w:rsid w:val="44692B43"/>
    <w:rsid w:val="44DE708D"/>
    <w:rsid w:val="45645CBF"/>
    <w:rsid w:val="46D641D1"/>
    <w:rsid w:val="4B1F36F9"/>
    <w:rsid w:val="4D3C5EC9"/>
    <w:rsid w:val="4EDA1F14"/>
    <w:rsid w:val="50D1479B"/>
    <w:rsid w:val="50EB55A2"/>
    <w:rsid w:val="56FA587C"/>
    <w:rsid w:val="58D66FC6"/>
    <w:rsid w:val="5A2F03B0"/>
    <w:rsid w:val="5A687DD5"/>
    <w:rsid w:val="5D044814"/>
    <w:rsid w:val="5D110C47"/>
    <w:rsid w:val="5FF670B6"/>
    <w:rsid w:val="625C73EB"/>
    <w:rsid w:val="626601DA"/>
    <w:rsid w:val="6497724C"/>
    <w:rsid w:val="657E636F"/>
    <w:rsid w:val="66175DAA"/>
    <w:rsid w:val="68993A55"/>
    <w:rsid w:val="69207E48"/>
    <w:rsid w:val="6AB82017"/>
    <w:rsid w:val="6AF04D6A"/>
    <w:rsid w:val="6E881C94"/>
    <w:rsid w:val="7085515D"/>
    <w:rsid w:val="7177299A"/>
    <w:rsid w:val="71FF4B98"/>
    <w:rsid w:val="729C1975"/>
    <w:rsid w:val="731B41FE"/>
    <w:rsid w:val="741E09A4"/>
    <w:rsid w:val="77356731"/>
    <w:rsid w:val="77C27899"/>
    <w:rsid w:val="782319AE"/>
    <w:rsid w:val="7AF83C31"/>
    <w:rsid w:val="7CF90FE1"/>
    <w:rsid w:val="7D706789"/>
    <w:rsid w:val="7DAA66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4"/>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autoRedefine/>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1"/>
    <w:qFormat/>
    <w:uiPriority w:val="0"/>
    <w:pPr>
      <w:tabs>
        <w:tab w:val="left" w:pos="567"/>
      </w:tabs>
      <w:spacing w:before="120" w:line="22" w:lineRule="atLeast"/>
    </w:pPr>
    <w:rPr>
      <w:rFonts w:ascii="宋体" w:hAnsi="宋体"/>
      <w:sz w:val="24"/>
    </w:rPr>
  </w:style>
  <w:style w:type="paragraph" w:styleId="6">
    <w:name w:val="Body Text Indent"/>
    <w:basedOn w:val="1"/>
    <w:next w:val="1"/>
    <w:qFormat/>
    <w:uiPriority w:val="0"/>
    <w:pPr>
      <w:spacing w:after="120"/>
      <w:ind w:left="420" w:leftChars="200"/>
    </w:pPr>
  </w:style>
  <w:style w:type="paragraph" w:styleId="7">
    <w:name w:val="Plain Text"/>
    <w:basedOn w:val="1"/>
    <w:qFormat/>
    <w:uiPriority w:val="0"/>
    <w:rPr>
      <w:rFonts w:ascii="宋体" w:hAnsi="Courier New" w:eastAsiaTheme="minorEastAsia" w:cstheme="minorBidi"/>
      <w:szCs w:val="22"/>
    </w:rPr>
  </w:style>
  <w:style w:type="paragraph" w:styleId="8">
    <w:name w:val="toc 2"/>
    <w:basedOn w:val="1"/>
    <w:next w:val="1"/>
    <w:qFormat/>
    <w:uiPriority w:val="39"/>
    <w:pPr>
      <w:tabs>
        <w:tab w:val="right" w:leader="dot" w:pos="8937"/>
      </w:tabs>
      <w:spacing w:line="312" w:lineRule="auto"/>
      <w:ind w:left="420" w:leftChars="200"/>
    </w:pPr>
  </w:style>
  <w:style w:type="paragraph" w:styleId="9">
    <w:name w:val="Body Text First Indent"/>
    <w:basedOn w:val="5"/>
    <w:unhideWhenUsed/>
    <w:qFormat/>
    <w:uiPriority w:val="99"/>
    <w:pPr>
      <w:spacing w:before="0" w:after="120" w:line="240" w:lineRule="auto"/>
      <w:ind w:firstLine="420" w:firstLineChars="100"/>
    </w:pPr>
    <w:rPr>
      <w:rFonts w:ascii="Times New Roman" w:hAnsi="Times New Roman" w:eastAsia="宋体" w:cs="Times New Roman"/>
      <w:sz w:val="21"/>
    </w:rPr>
  </w:style>
  <w:style w:type="paragraph" w:styleId="10">
    <w:name w:val="Body Text First Indent 2"/>
    <w:basedOn w:val="6"/>
    <w:qFormat/>
    <w:uiPriority w:val="0"/>
    <w:pPr>
      <w:ind w:firstLine="420" w:firstLineChars="200"/>
    </w:pPr>
  </w:style>
  <w:style w:type="table" w:styleId="12">
    <w:name w:val="Table Grid"/>
    <w:basedOn w:val="11"/>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
    <w:name w:val="font11"/>
    <w:basedOn w:val="13"/>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9dfd5dbc-8a72-4f4c-a97d-3013b7d80737</errorID>
      <errorWord>(</errorWord>
      <group>L1_Format</group>
      <groupName>格式问题</groupName>
      <ability>L2_HalfPunc</ability>
      <abilityName>全半角检查</abilityName>
      <candidateList>
        <item>（</item>
      </candidateList>
      <explain>文本全半角错误。</explain>
      <paraID> B0CB93B</paraID>
      <start>12</start>
      <end>13</end>
      <status>unmodified</status>
      <modifiedWord/>
      <trackRevisions>false</trackRevisions>
    </reviewItem>
    <reviewItem>
      <errorID>5047738e-b4a8-4d6c-82cd-c43ac94f40f5</errorID>
      <errorWord>)</errorWord>
      <group>L1_Format</group>
      <groupName>格式问题</groupName>
      <ability>L2_HalfPunc</ability>
      <abilityName>全半角检查</abilityName>
      <candidateList>
        <item>）</item>
      </candidateList>
      <explain>文本全半角错误。</explain>
      <paraID> B0CB93B</paraID>
      <start>16</start>
      <end>17</end>
      <status>unmodified</status>
      <modifiedWord/>
      <trackRevisions>false</trackRevisions>
    </reviewItem>
    <reviewItem>
      <errorID>3ea1272f-a49b-41f2-81be-b2d0de4dea2e</errorID>
      <errorWord>等</errorWord>
      <group>L1_Grammar</group>
      <groupName>语法问题</groupName>
      <ability>L2_Order</ability>
      <abilityName>语序不当</abilityName>
      <candidateList>
        <item>楼等</item>
      </candidateList>
      <explain>句子可能没有遵循时空、逻辑顺序，或者介词、关联词等位置不当。</explain>
      <paraID>11D825B0</paraID>
      <start>53</start>
      <end>54</end>
      <status>unmodified</status>
      <modifiedWord/>
      <trackRevisions>false</trackRevisions>
    </reviewItem>
    <reviewItem>
      <errorID>5edec499-5cfc-4c7f-9487-5f60b2dc6fa7</errorID>
      <errorWord>(</errorWord>
      <group>L1_Format</group>
      <groupName>格式问题</groupName>
      <ability>L2_HalfPunc</ability>
      <abilityName>全半角检查</abilityName>
      <candidateList>
        <item>（</item>
      </candidateList>
      <explain>文本全半角错误。</explain>
      <paraID>251E5722</paraID>
      <start>8</start>
      <end>9</end>
      <status>unmodified</status>
      <modifiedWord/>
      <trackRevisions>false</trackRevisions>
    </reviewItem>
    <reviewItem>
      <errorID>90885b04-1f39-41c1-bf33-e531cee122dc</errorID>
      <errorWord>)</errorWord>
      <group>L1_Format</group>
      <groupName>格式问题</groupName>
      <ability>L2_HalfPunc</ability>
      <abilityName>全半角检查</abilityName>
      <candidateList>
        <item>）</item>
      </candidateList>
      <explain>文本全半角错误。</explain>
      <paraID>251E5722</paraID>
      <start>11</start>
      <end>12</end>
      <status>unmodified</status>
      <modifiedWord/>
      <trackRevisions>false</trackRevisions>
    </reviewItem>
    <reviewItem>
      <errorID>abbaccb4-4b86-4fcf-99e9-412838cd6d95</errorID>
      <errorWord>其它</errorWord>
      <group>L1_Word</group>
      <groupName>字词问题</groupName>
      <ability>L2_Alias</ability>
      <abilityName>也作/曾用词</abilityName>
      <candidateList>
        <item>其他</item>
      </candidateList>
      <explain>词汇[其它]为不规范表述或旧称，其规范书面表述为[其他]。</explain>
      <paraID>2523D089</paraID>
      <start>28</start>
      <end>30</end>
      <status>unmodified</status>
      <modifiedWord/>
      <trackRevisions>false</trackRevisions>
    </reviewItem>
    <reviewItem>
      <errorID>88f55c2a-f2e1-4bab-a26d-b349eadf3823</errorID>
      <errorWord>(</errorWord>
      <group>L1_Format</group>
      <groupName>格式问题</groupName>
      <ability>L2_HalfPunc</ability>
      <abilityName>全半角检查</abilityName>
      <candidateList>
        <item>（</item>
      </candidateList>
      <explain>文本全半角错误。</explain>
      <paraID>2E9C8F30</paraID>
      <start>6</start>
      <end>7</end>
      <status>unmodified</status>
      <modifiedWord/>
      <trackRevisions>false</trackRevisions>
    </reviewItem>
    <reviewItem>
      <errorID>1d76ea37-e4ac-4a71-bd77-2418597b7a28</errorID>
      <errorWord>)</errorWord>
      <group>L1_Format</group>
      <groupName>格式问题</groupName>
      <ability>L2_HalfPunc</ability>
      <abilityName>全半角检查</abilityName>
      <candidateList>
        <item>）</item>
      </candidateList>
      <explain>文本全半角错误。</explain>
      <paraID>2E9C8F30</paraID>
      <start>10</start>
      <end>11</end>
      <status>unmodified</status>
      <modifiedWord/>
      <trackRevisions>false</trackRevisions>
    </reviewItem>
    <reviewItem>
      <errorID>8b514e22-ca71-4a9b-a92f-386abf9723d3</errorID>
      <errorWord>(</errorWord>
      <group>L1_Format</group>
      <groupName>格式问题</groupName>
      <ability>L2_HalfPunc</ability>
      <abilityName>全半角检查</abilityName>
      <candidateList>
        <item>（</item>
      </candidateList>
      <explain>文本全半角错误。</explain>
      <paraID> 971C407</paraID>
      <start>2</start>
      <end>3</end>
      <status>unmodified</status>
      <modifiedWord/>
      <trackRevisions>false</trackRevisions>
    </reviewItem>
    <reviewItem>
      <errorID>010b7a84-e9e9-4911-ba45-67695ea7939a</errorID>
      <errorWord>)</errorWord>
      <group>L1_Format</group>
      <groupName>格式问题</groupName>
      <ability>L2_HalfPunc</ability>
      <abilityName>全半角检查</abilityName>
      <candidateList>
        <item>）</item>
      </candidateList>
      <explain>文本全半角错误。</explain>
      <paraID> 971C407</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4b6baa-78c7-4e43-8eb6-4fdfd107016e}">
  <ds:schemaRefs/>
</ds:datastoreItem>
</file>

<file path=docProps/app.xml><?xml version="1.0" encoding="utf-8"?>
<Properties xmlns="http://schemas.openxmlformats.org/officeDocument/2006/extended-properties" xmlns:vt="http://schemas.openxmlformats.org/officeDocument/2006/docPropsVTypes">
  <Template>Normal.dotm</Template>
  <Pages>4</Pages>
  <Words>760</Words>
  <Characters>841</Characters>
  <Lines>0</Lines>
  <Paragraphs>0</Paragraphs>
  <TotalTime>0</TotalTime>
  <ScaleCrop>false</ScaleCrop>
  <LinksUpToDate>false</LinksUpToDate>
  <CharactersWithSpaces>862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2021-10-19T02:53:00Z</dcterms:created>
  <dc:creator>Administrator</dc:creator>
  <cp:lastModifiedBy>吴家豪</cp:lastModifiedBy>
  <dcterms:modified xsi:type="dcterms:W3CDTF">2026-06-10T02:18:27Z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AB57E3694614409881E9C821D7B50287_13</vt:lpwstr>
  </property>
  <property fmtid="{D5CDD505-2E9C-101B-9397-08002B2CF9AE}" pid="4" name="KSOTemplateDocerSaveRecord">
    <vt:lpwstr>eyJoZGlkIjoiZWJiM2M2YTI2YjQyYmFlZjMxZTg3OGU5Y2JhNDhlZjIiLCJ1c2VySWQiOiI0MDkwNjg1MzEifQ==</vt:lpwstr>
  </property>
</Properties>
</file>