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2670" w:leftChars="406" w:hanging="1817" w:hangingChars="500"/>
        <w:rPr>
          <w:rFonts w:ascii="宋体" w:hAnsi="宋体" w:cs="宋体"/>
          <w:b/>
          <w:bCs/>
          <w:sz w:val="35"/>
          <w:szCs w:val="35"/>
        </w:rPr>
      </w:pPr>
      <w:r>
        <w:rPr>
          <w:rFonts w:hint="eastAsia" w:ascii="宋体" w:hAnsi="宋体" w:cs="宋体"/>
          <w:b/>
          <w:bCs/>
          <w:color w:val="000000" w:themeColor="text1"/>
          <w:spacing w:val="6"/>
          <w:sz w:val="35"/>
          <w:szCs w:val="35"/>
          <w14:textFill>
            <w14:solidFill>
              <w14:schemeClr w14:val="tx1"/>
            </w14:solidFill>
          </w14:textFill>
        </w:rPr>
        <w:t>项目名称：</w:t>
      </w:r>
      <w:r>
        <w:rPr>
          <w:rFonts w:hint="eastAsia" w:ascii="宋体" w:hAnsi="宋体" w:cs="宋体"/>
          <w:b/>
          <w:bCs/>
          <w:spacing w:val="6"/>
          <w:sz w:val="35"/>
          <w:szCs w:val="35"/>
        </w:rPr>
        <w:t>2026年桌面系统、视频会议保障等基础运维</w:t>
      </w:r>
    </w:p>
    <w:p>
      <w:pPr>
        <w:spacing w:before="150" w:line="360" w:lineRule="auto"/>
        <w:ind w:left="853"/>
        <w:rPr>
          <w:rFonts w:ascii="宋体" w:hAnsi="宋体" w:cs="宋体"/>
          <w:b/>
          <w:bCs/>
          <w:spacing w:val="1"/>
          <w:sz w:val="35"/>
          <w:szCs w:val="35"/>
        </w:rPr>
      </w:pPr>
      <w:r>
        <w:rPr>
          <w:rFonts w:hint="eastAsia" w:ascii="宋体" w:hAnsi="宋体" w:cs="宋体"/>
          <w:b/>
          <w:bCs/>
          <w:spacing w:val="1"/>
          <w:sz w:val="35"/>
          <w:szCs w:val="35"/>
        </w:rPr>
        <w:t>项目编号/包号：</w:t>
      </w:r>
      <w:r>
        <w:rPr>
          <w:rFonts w:ascii="宋体" w:hAnsi="宋体" w:cs="宋体"/>
          <w:b/>
          <w:bCs/>
          <w:spacing w:val="1"/>
          <w:sz w:val="35"/>
          <w:szCs w:val="35"/>
        </w:rPr>
        <w:t>11000026210200165917-XM001</w:t>
      </w:r>
    </w:p>
    <w:p>
      <w:pPr>
        <w:spacing w:before="150" w:line="360" w:lineRule="auto"/>
        <w:ind w:left="853"/>
        <w:rPr>
          <w:rFonts w:ascii="宋体" w:hAnsi="宋体" w:cs="宋体"/>
          <w:b/>
          <w:bCs/>
          <w:sz w:val="35"/>
          <w:szCs w:val="35"/>
        </w:rPr>
      </w:pPr>
      <w:r>
        <w:rPr>
          <w:rFonts w:hint="eastAsia" w:ascii="宋体" w:hAnsi="宋体" w:cs="宋体"/>
          <w:b/>
          <w:bCs/>
          <w:spacing w:val="1"/>
          <w:sz w:val="35"/>
          <w:szCs w:val="35"/>
        </w:rPr>
        <w:t>采购人：北京市城市运行管理事务中心</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spacing w:val="7"/>
          <w:sz w:val="35"/>
          <w:szCs w:val="35"/>
        </w:rPr>
        <w:t>采购代理机构：</w:t>
      </w:r>
      <w:r>
        <w:rPr>
          <w:rFonts w:hint="eastAsia" w:ascii="宋体" w:hAnsi="宋体" w:cs="宋体"/>
          <w:b/>
          <w:bCs/>
          <w:sz w:val="35"/>
          <w:szCs w:val="35"/>
        </w:rPr>
        <w:t>北京市京发</w:t>
      </w:r>
      <w:r>
        <w:rPr>
          <w:rFonts w:hint="eastAsia" w:ascii="宋体" w:hAnsi="宋体" w:cs="宋体"/>
          <w:b/>
          <w:bCs/>
          <w:color w:val="000000" w:themeColor="text1"/>
          <w:sz w:val="35"/>
          <w:szCs w:val="35"/>
          <w14:textFill>
            <w14:solidFill>
              <w14:schemeClr w14:val="tx1"/>
            </w14:solidFill>
          </w14:textFill>
        </w:rPr>
        <w:t>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7"/>
        <w:rPr>
          <w:rFonts w:cstheme="minorBidi"/>
          <w:b w:val="0"/>
          <w:sz w:val="21"/>
          <w:szCs w:val="22"/>
        </w:rPr>
      </w:pPr>
      <w:r>
        <w:fldChar w:fldCharType="begin"/>
      </w:r>
      <w:r>
        <w:instrText xml:space="preserve">TOC \o "1-1" \h \u </w:instrText>
      </w:r>
      <w:r>
        <w:fldChar w:fldCharType="separate"/>
      </w:r>
    </w:p>
    <w:p>
      <w:pPr>
        <w:pStyle w:val="37"/>
        <w:rPr>
          <w:rFonts w:cstheme="minorBidi"/>
          <w:b w:val="0"/>
          <w:sz w:val="21"/>
          <w:szCs w:val="22"/>
        </w:rPr>
      </w:pPr>
      <w:r>
        <w:fldChar w:fldCharType="begin"/>
      </w:r>
      <w:r>
        <w:instrText xml:space="preserve"> HYPERLINK \l "_Toc218620566" </w:instrText>
      </w:r>
      <w:r>
        <w:fldChar w:fldCharType="separate"/>
      </w:r>
      <w:r>
        <w:rPr>
          <w:rStyle w:val="63"/>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7"/>
        <w:rPr>
          <w:rFonts w:cstheme="minorBidi"/>
          <w:b w:val="0"/>
          <w:sz w:val="21"/>
          <w:szCs w:val="22"/>
        </w:rPr>
      </w:pPr>
      <w:r>
        <w:fldChar w:fldCharType="begin"/>
      </w:r>
      <w:r>
        <w:instrText xml:space="preserve"> HYPERLINK \l "_Toc218620567" </w:instrText>
      </w:r>
      <w:r>
        <w:fldChar w:fldCharType="separate"/>
      </w:r>
      <w:r>
        <w:rPr>
          <w:rStyle w:val="63"/>
          <w:rFonts w:cs="宋体"/>
        </w:rPr>
        <w:t>第二章   投标人须知</w:t>
      </w:r>
      <w:bookmarkStart w:id="1048" w:name="_GoBack"/>
      <w:bookmarkEnd w:id="1048"/>
      <w:r>
        <w:tab/>
      </w:r>
      <w:r>
        <w:fldChar w:fldCharType="begin"/>
      </w:r>
      <w:r>
        <w:instrText xml:space="preserve"> PAGEREF _Toc218620567 \h </w:instrText>
      </w:r>
      <w:r>
        <w:fldChar w:fldCharType="separate"/>
      </w:r>
      <w:r>
        <w:t>6</w:t>
      </w:r>
      <w:r>
        <w:fldChar w:fldCharType="end"/>
      </w:r>
      <w:r>
        <w:fldChar w:fldCharType="end"/>
      </w:r>
    </w:p>
    <w:p>
      <w:pPr>
        <w:pStyle w:val="37"/>
        <w:rPr>
          <w:rFonts w:cstheme="minorBidi"/>
          <w:b w:val="0"/>
          <w:sz w:val="21"/>
          <w:szCs w:val="22"/>
        </w:rPr>
      </w:pPr>
      <w:r>
        <w:fldChar w:fldCharType="begin"/>
      </w:r>
      <w:r>
        <w:instrText xml:space="preserve"> HYPERLINK \l "_Toc218620568" </w:instrText>
      </w:r>
      <w:r>
        <w:fldChar w:fldCharType="separate"/>
      </w:r>
      <w:r>
        <w:rPr>
          <w:rStyle w:val="63"/>
          <w:rFonts w:cs="宋体"/>
        </w:rPr>
        <w:t>第三章   资格审查</w:t>
      </w:r>
      <w:r>
        <w:tab/>
      </w:r>
      <w:r>
        <w:fldChar w:fldCharType="begin"/>
      </w:r>
      <w:r>
        <w:instrText xml:space="preserve"> PAGEREF _Toc218620568 \h </w:instrText>
      </w:r>
      <w:r>
        <w:fldChar w:fldCharType="separate"/>
      </w:r>
      <w:r>
        <w:t>25</w:t>
      </w:r>
      <w:r>
        <w:fldChar w:fldCharType="end"/>
      </w:r>
      <w:r>
        <w:fldChar w:fldCharType="end"/>
      </w:r>
    </w:p>
    <w:p>
      <w:pPr>
        <w:pStyle w:val="37"/>
        <w:rPr>
          <w:rFonts w:cstheme="minorBidi"/>
          <w:b w:val="0"/>
          <w:sz w:val="21"/>
          <w:szCs w:val="22"/>
        </w:rPr>
      </w:pPr>
      <w:r>
        <w:fldChar w:fldCharType="begin"/>
      </w:r>
      <w:r>
        <w:instrText xml:space="preserve"> HYPERLINK \l "_Toc218620569" </w:instrText>
      </w:r>
      <w:r>
        <w:fldChar w:fldCharType="separate"/>
      </w:r>
      <w:r>
        <w:rPr>
          <w:rStyle w:val="63"/>
          <w:rFonts w:cs="宋体"/>
        </w:rPr>
        <w:t>第四章   评标程序、评标方法和评标标准</w:t>
      </w:r>
      <w:r>
        <w:tab/>
      </w:r>
      <w:r>
        <w:fldChar w:fldCharType="begin"/>
      </w:r>
      <w:r>
        <w:instrText xml:space="preserve"> PAGEREF _Toc218620569 \h </w:instrText>
      </w:r>
      <w:r>
        <w:fldChar w:fldCharType="separate"/>
      </w:r>
      <w:r>
        <w:t>28</w:t>
      </w:r>
      <w:r>
        <w:fldChar w:fldCharType="end"/>
      </w:r>
      <w:r>
        <w:fldChar w:fldCharType="end"/>
      </w:r>
    </w:p>
    <w:p>
      <w:pPr>
        <w:pStyle w:val="37"/>
        <w:rPr>
          <w:rFonts w:cstheme="minorBidi"/>
          <w:b w:val="0"/>
          <w:sz w:val="21"/>
          <w:szCs w:val="22"/>
        </w:rPr>
      </w:pPr>
      <w:r>
        <w:fldChar w:fldCharType="begin"/>
      </w:r>
      <w:r>
        <w:instrText xml:space="preserve"> HYPERLINK \l "_Toc218620570" </w:instrText>
      </w:r>
      <w:r>
        <w:fldChar w:fldCharType="separate"/>
      </w:r>
      <w:r>
        <w:rPr>
          <w:rStyle w:val="63"/>
          <w:rFonts w:cs="宋体"/>
        </w:rPr>
        <w:t>第五章   采购需求</w:t>
      </w:r>
      <w:r>
        <w:tab/>
      </w:r>
      <w:r>
        <w:fldChar w:fldCharType="begin"/>
      </w:r>
      <w:r>
        <w:instrText xml:space="preserve"> PAGEREF _Toc218620570 \h </w:instrText>
      </w:r>
      <w:r>
        <w:fldChar w:fldCharType="separate"/>
      </w:r>
      <w:r>
        <w:t>36</w:t>
      </w:r>
      <w:r>
        <w:fldChar w:fldCharType="end"/>
      </w:r>
      <w:r>
        <w:fldChar w:fldCharType="end"/>
      </w:r>
    </w:p>
    <w:p>
      <w:pPr>
        <w:pStyle w:val="37"/>
        <w:rPr>
          <w:rFonts w:cstheme="minorBidi"/>
          <w:b w:val="0"/>
          <w:sz w:val="21"/>
          <w:szCs w:val="22"/>
        </w:rPr>
      </w:pPr>
      <w:r>
        <w:fldChar w:fldCharType="begin"/>
      </w:r>
      <w:r>
        <w:instrText xml:space="preserve"> HYPERLINK \l "_Toc218620574" </w:instrText>
      </w:r>
      <w:r>
        <w:fldChar w:fldCharType="separate"/>
      </w:r>
      <w:r>
        <w:rPr>
          <w:rStyle w:val="63"/>
          <w:rFonts w:cs="宋体"/>
        </w:rPr>
        <w:t>第六章   拟签订的合同文本</w:t>
      </w:r>
      <w:r>
        <w:tab/>
      </w:r>
      <w:r>
        <w:fldChar w:fldCharType="begin"/>
      </w:r>
      <w:r>
        <w:instrText xml:space="preserve"> PAGEREF _Toc218620574 \h </w:instrText>
      </w:r>
      <w:r>
        <w:fldChar w:fldCharType="separate"/>
      </w:r>
      <w:r>
        <w:t>49</w:t>
      </w:r>
      <w:r>
        <w:fldChar w:fldCharType="end"/>
      </w:r>
      <w:r>
        <w:fldChar w:fldCharType="end"/>
      </w:r>
    </w:p>
    <w:p>
      <w:pPr>
        <w:pStyle w:val="37"/>
        <w:rPr>
          <w:rFonts w:cstheme="minorBidi"/>
          <w:b w:val="0"/>
          <w:sz w:val="21"/>
          <w:szCs w:val="22"/>
        </w:rPr>
      </w:pPr>
      <w:r>
        <w:fldChar w:fldCharType="begin"/>
      </w:r>
      <w:r>
        <w:instrText xml:space="preserve"> HYPERLINK \l "_Toc218620575" </w:instrText>
      </w:r>
      <w:r>
        <w:fldChar w:fldCharType="separate"/>
      </w:r>
      <w:r>
        <w:rPr>
          <w:rStyle w:val="63"/>
          <w:rFonts w:cs="宋体"/>
        </w:rPr>
        <w:t>第七章   投标文件格式</w:t>
      </w:r>
      <w:r>
        <w:tab/>
      </w:r>
      <w:r>
        <w:fldChar w:fldCharType="begin"/>
      </w:r>
      <w:r>
        <w:instrText xml:space="preserve"> PAGEREF _Toc218620575 \h </w:instrText>
      </w:r>
      <w:r>
        <w:fldChar w:fldCharType="separate"/>
      </w:r>
      <w:r>
        <w:t>63</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99301419"/>
      <w:bookmarkStart w:id="4" w:name="_Toc218620566"/>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28359002"/>
      <w:bookmarkStart w:id="6" w:name="_Toc35393621"/>
      <w:bookmarkStart w:id="7" w:name="_Toc35393790"/>
      <w:bookmarkStart w:id="8" w:name="_Toc28359079"/>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2"/>
        <w:spacing w:before="38" w:line="360" w:lineRule="auto"/>
        <w:ind w:firstLine="480" w:firstLineChars="200"/>
        <w:rPr>
          <w:rFonts w:cs="宋体"/>
        </w:rPr>
      </w:pPr>
      <w:bookmarkStart w:id="10" w:name="OLE_LINK45"/>
      <w:r>
        <w:rPr>
          <w:rFonts w:hint="eastAsia" w:cs="宋体"/>
        </w:rPr>
        <w:t>1.项目编号：</w:t>
      </w:r>
      <w:r>
        <w:rPr>
          <w:rFonts w:cs="宋体"/>
        </w:rPr>
        <w:t>11000026210200165917-XM001</w:t>
      </w:r>
    </w:p>
    <w:p>
      <w:pPr>
        <w:pStyle w:val="22"/>
        <w:spacing w:before="38" w:line="360" w:lineRule="auto"/>
        <w:ind w:firstLine="480" w:firstLineChars="200"/>
        <w:rPr>
          <w:rFonts w:cs="宋体"/>
          <w:u w:val="single"/>
        </w:rPr>
      </w:pPr>
      <w:r>
        <w:rPr>
          <w:rFonts w:hint="eastAsia" w:cs="宋体"/>
        </w:rPr>
        <w:t>2.项目名称：</w:t>
      </w:r>
      <w:bookmarkStart w:id="11" w:name="OLE_LINK2"/>
      <w:bookmarkStart w:id="12" w:name="OLE_LINK5"/>
      <w:r>
        <w:rPr>
          <w:rFonts w:hint="eastAsia" w:cs="宋体"/>
          <w:u w:val="single"/>
        </w:rPr>
        <w:t>2026年桌面系统、视频会议保障等基础运维</w:t>
      </w:r>
      <w:bookmarkEnd w:id="11"/>
      <w:bookmarkEnd w:id="12"/>
    </w:p>
    <w:p>
      <w:pPr>
        <w:pStyle w:val="22"/>
        <w:spacing w:before="38" w:line="360" w:lineRule="auto"/>
        <w:ind w:firstLine="480" w:firstLineChars="200"/>
        <w:rPr>
          <w:rFonts w:cs="宋体"/>
        </w:rPr>
      </w:pPr>
      <w:r>
        <w:rPr>
          <w:rFonts w:hint="eastAsia" w:cs="宋体"/>
        </w:rPr>
        <w:t>3.项目预算金额：</w:t>
      </w:r>
      <w:r>
        <w:rPr>
          <w:rFonts w:hint="eastAsia" w:cs="宋体"/>
          <w:u w:val="single"/>
        </w:rPr>
        <w:t>236.07</w:t>
      </w:r>
      <w:r>
        <w:rPr>
          <w:rFonts w:hint="eastAsia" w:cs="宋体"/>
        </w:rPr>
        <w:t>万元、项目最高限价（如有）：</w:t>
      </w:r>
      <w:r>
        <w:rPr>
          <w:rFonts w:hint="eastAsia" w:cs="宋体"/>
          <w:u w:val="single"/>
        </w:rPr>
        <w:t>236.07</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3" w:name="OLE_LINK118"/>
      <w:r>
        <w:rPr>
          <w:rFonts w:hint="eastAsia" w:ascii="宋体" w:hAnsi="宋体" w:cs="宋体"/>
          <w:color w:val="000000" w:themeColor="text1"/>
          <w:sz w:val="24"/>
          <w14:textFill>
            <w14:solidFill>
              <w14:schemeClr w14:val="tx1"/>
            </w14:solidFill>
          </w14:textFill>
        </w:rPr>
        <w:t>该项目共分1个包，本招标文件作为整体项目的第</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包进行招标，要求投标人需对整包进行投标，中标后不得分包。</w:t>
      </w:r>
      <w:bookmarkEnd w:id="13"/>
    </w:p>
    <w:tbl>
      <w:tblPr>
        <w:tblStyle w:val="55"/>
        <w:tblW w:w="83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817"/>
        <w:gridCol w:w="1035"/>
        <w:gridCol w:w="1065"/>
        <w:gridCol w:w="2874"/>
        <w:gridCol w:w="1233"/>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614" w:type="dxa"/>
            <w:vAlign w:val="center"/>
          </w:tcPr>
          <w:p>
            <w:pPr>
              <w:autoSpaceDE w:val="0"/>
              <w:autoSpaceDN w:val="0"/>
              <w:spacing w:before="86" w:line="211" w:lineRule="auto"/>
              <w:ind w:firstLine="1"/>
              <w:jc w:val="center"/>
              <w:rPr>
                <w:rFonts w:ascii="宋体" w:hAnsi="宋体" w:cs="宋体"/>
                <w:sz w:val="24"/>
              </w:rPr>
            </w:pPr>
            <w:bookmarkStart w:id="14" w:name="OLE_LINK135"/>
            <w:bookmarkStart w:id="15" w:name="OLE_LINK134"/>
            <w:r>
              <w:rPr>
                <w:rFonts w:hint="eastAsia" w:ascii="宋体" w:hAnsi="宋体" w:cs="宋体"/>
                <w:sz w:val="24"/>
              </w:rPr>
              <w:t>包号</w:t>
            </w:r>
          </w:p>
        </w:tc>
        <w:tc>
          <w:tcPr>
            <w:tcW w:w="817"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1035"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1065"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874"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233" w:type="dxa"/>
            <w:vAlign w:val="center"/>
          </w:tcPr>
          <w:p>
            <w:pPr>
              <w:autoSpaceDE w:val="0"/>
              <w:autoSpaceDN w:val="0"/>
              <w:spacing w:before="40" w:line="203" w:lineRule="auto"/>
              <w:ind w:right="-5"/>
              <w:jc w:val="center"/>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39"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614" w:type="dxa"/>
            <w:vAlign w:val="center"/>
          </w:tcPr>
          <w:p>
            <w:pPr>
              <w:autoSpaceDE w:val="0"/>
              <w:autoSpaceDN w:val="0"/>
              <w:spacing w:before="86" w:line="211" w:lineRule="auto"/>
              <w:ind w:firstLine="1"/>
              <w:jc w:val="center"/>
              <w:rPr>
                <w:rFonts w:ascii="宋体" w:hAnsi="宋体" w:cs="宋体"/>
                <w:spacing w:val="7"/>
                <w:sz w:val="24"/>
              </w:rPr>
            </w:pPr>
            <w:bookmarkStart w:id="16" w:name="_Hlk188519384"/>
            <w:r>
              <w:rPr>
                <w:rFonts w:ascii="宋体" w:hAnsi="宋体" w:cs="宋体"/>
                <w:spacing w:val="7"/>
                <w:sz w:val="24"/>
              </w:rPr>
              <w:t>1</w:t>
            </w:r>
          </w:p>
        </w:tc>
        <w:tc>
          <w:tcPr>
            <w:tcW w:w="817"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2026年桌面系统、视频会议保障等基础运维</w:t>
            </w:r>
          </w:p>
        </w:tc>
        <w:tc>
          <w:tcPr>
            <w:tcW w:w="1035" w:type="dxa"/>
            <w:vAlign w:val="center"/>
          </w:tcPr>
          <w:p>
            <w:pPr>
              <w:pStyle w:val="262"/>
              <w:jc w:val="center"/>
              <w:rPr>
                <w:rFonts w:ascii="宋体" w:hAnsi="宋体" w:eastAsia="宋体" w:cs="宋体"/>
                <w:color w:val="auto"/>
                <w:sz w:val="24"/>
                <w:szCs w:val="24"/>
                <w:lang w:eastAsia="zh-CN"/>
              </w:rPr>
            </w:pPr>
            <w:r>
              <w:rPr>
                <w:rFonts w:hint="eastAsia" w:ascii="宋体" w:hAnsi="宋体" w:cs="宋体"/>
                <w:spacing w:val="7"/>
                <w:sz w:val="24"/>
                <w:lang w:eastAsia="zh-CN"/>
              </w:rPr>
              <w:t>2026年</w:t>
            </w:r>
            <w:r>
              <w:rPr>
                <w:rFonts w:hint="eastAsia" w:cs="仿宋_GB2312" w:asciiTheme="minorEastAsia" w:hAnsiTheme="minorEastAsia" w:eastAsiaTheme="minorEastAsia"/>
                <w:sz w:val="24"/>
                <w:lang w:eastAsia="zh-CN"/>
              </w:rPr>
              <w:t>桌面系统、视频会议保障等基础运维</w:t>
            </w:r>
          </w:p>
        </w:tc>
        <w:tc>
          <w:tcPr>
            <w:tcW w:w="1065"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2874"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2026年桌面系统、视频会议保障等基础运维项目维护内容主要包括7个部分，分别为：城市运行调度指挥大厅运行技术保障、“二级高清视频联网共享平台”视频巡查、视频会议运行保障、桌面系统运行保障、城市运行综合信息数据报送、北京市公务员电子邮箱系统维护、城市运行调度指挥大厅7*24小时值守保障、城市运行调度指挥大厅机房运行状态监测、其他临时性任务。</w:t>
            </w:r>
          </w:p>
        </w:tc>
        <w:tc>
          <w:tcPr>
            <w:tcW w:w="1233"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236.07</w:t>
            </w:r>
          </w:p>
        </w:tc>
        <w:tc>
          <w:tcPr>
            <w:tcW w:w="739"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4"/>
      <w:bookmarkEnd w:id="15"/>
      <w:bookmarkEnd w:id="16"/>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5.合同履行期限：一年（2026年11月1日至2027年10月31日）</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7" w:name="_Toc35393622"/>
      <w:bookmarkStart w:id="18" w:name="_Toc28359080"/>
      <w:bookmarkStart w:id="19" w:name="_Toc28359003"/>
      <w:bookmarkStart w:id="20" w:name="_Toc35393791"/>
      <w:r>
        <w:rPr>
          <w:rFonts w:hint="eastAsia" w:ascii="宋体" w:hAnsi="宋体" w:cs="宋体"/>
          <w:b/>
          <w:color w:val="000000" w:themeColor="text1"/>
          <w:sz w:val="24"/>
          <w14:textFill>
            <w14:solidFill>
              <w14:schemeClr w14:val="tx1"/>
            </w14:solidFill>
          </w14:textFill>
        </w:rPr>
        <w:t>二、申请人的资格要求（须同时满足）</w:t>
      </w:r>
      <w:bookmarkEnd w:id="17"/>
      <w:bookmarkEnd w:id="18"/>
      <w:bookmarkEnd w:id="19"/>
      <w:bookmarkEnd w:id="20"/>
    </w:p>
    <w:p>
      <w:pPr>
        <w:pStyle w:val="22"/>
        <w:spacing w:before="185" w:line="200" w:lineRule="auto"/>
        <w:ind w:firstLine="480" w:firstLineChars="200"/>
        <w:rPr>
          <w:rFonts w:cs="宋体"/>
          <w:color w:val="000000" w:themeColor="text1"/>
          <w14:textFill>
            <w14:solidFill>
              <w14:schemeClr w14:val="tx1"/>
            </w14:solidFill>
          </w14:textFill>
        </w:rPr>
      </w:pPr>
      <w:bookmarkStart w:id="21" w:name="_Toc28359004"/>
      <w:bookmarkStart w:id="22" w:name="_Toc28359081"/>
      <w:r>
        <w:rPr>
          <w:rFonts w:hint="eastAsia" w:cs="宋体"/>
          <w:color w:val="000000" w:themeColor="text1"/>
          <w14:textFill>
            <w14:solidFill>
              <w14:schemeClr w14:val="tx1"/>
            </w14:solidFill>
          </w14:textFill>
        </w:rPr>
        <w:t xml:space="preserve">1.满足《中华人民共和国政府采购法》第二十二条规定； </w:t>
      </w:r>
    </w:p>
    <w:p>
      <w:pPr>
        <w:pStyle w:val="22"/>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2"/>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2"/>
        <w:spacing w:before="0" w:line="360" w:lineRule="auto"/>
        <w:ind w:firstLine="480" w:firstLineChars="200"/>
        <w:rPr>
          <w:rFonts w:cs="宋体"/>
        </w:rPr>
      </w:pPr>
      <w:r>
        <w:rPr>
          <w:rFonts w:hint="eastAsia" w:cs="宋体"/>
        </w:rPr>
        <w:t>■本项目不专门面向中小企业预留采购份额。</w:t>
      </w:r>
    </w:p>
    <w:p>
      <w:pPr>
        <w:pStyle w:val="22"/>
        <w:spacing w:before="0" w:line="360" w:lineRule="auto"/>
        <w:ind w:firstLine="480" w:firstLineChars="200"/>
        <w:rPr>
          <w:rFonts w:cs="宋体"/>
        </w:rPr>
      </w:pPr>
      <w:r>
        <w:rPr>
          <w:rFonts w:hint="eastAsia" w:cs="宋体"/>
        </w:rPr>
        <w:t>□本项目专门面向   □中小  □小微企业  采购 。即：提供的货物全部由符合政策 要求的小微企业制造、服务全部由符合政策要求的小微企业承接。</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u w:val="single"/>
        </w:rPr>
        <w:t>/</w:t>
      </w:r>
      <w:r>
        <w:rPr>
          <w:rFonts w:hint="eastAsia" w:cs="宋体"/>
        </w:rPr>
        <w:t>。</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2"/>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2"/>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2"/>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2"/>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p>
    <w:p>
      <w:pPr>
        <w:pStyle w:val="22"/>
        <w:spacing w:before="176" w:line="240" w:lineRule="auto"/>
        <w:ind w:left="511"/>
        <w:rPr>
          <w:rFonts w:cs="宋体"/>
          <w:spacing w:val="2"/>
          <w:u w:val="single"/>
        </w:rPr>
      </w:pPr>
      <w:r>
        <w:rPr>
          <w:rFonts w:hint="eastAsia" w:cs="宋体"/>
          <w:spacing w:val="2"/>
          <w:u w:val="single"/>
        </w:rPr>
        <w:t>3.2.1单位负责人为同一人或者存在直接控股、管理关系的不同供应商，</w:t>
      </w:r>
    </w:p>
    <w:p>
      <w:pPr>
        <w:pStyle w:val="22"/>
        <w:spacing w:before="176" w:line="240" w:lineRule="auto"/>
        <w:rPr>
          <w:rFonts w:cs="宋体"/>
          <w:spacing w:val="2"/>
          <w:u w:val="single"/>
        </w:rPr>
      </w:pPr>
      <w:r>
        <w:rPr>
          <w:rFonts w:hint="eastAsia" w:cs="宋体"/>
          <w:spacing w:val="2"/>
          <w:u w:val="single"/>
        </w:rPr>
        <w:t>不得参加同一合同项下的政府采购活动；</w:t>
      </w:r>
    </w:p>
    <w:p>
      <w:pPr>
        <w:pStyle w:val="22"/>
        <w:spacing w:before="176" w:line="240" w:lineRule="auto"/>
        <w:ind w:left="511"/>
        <w:rPr>
          <w:rFonts w:cs="宋体"/>
          <w:spacing w:val="2"/>
          <w:u w:val="single"/>
        </w:rPr>
      </w:pPr>
      <w:r>
        <w:rPr>
          <w:rFonts w:hint="eastAsia" w:cs="宋体"/>
          <w:spacing w:val="2"/>
          <w:u w:val="single"/>
        </w:rPr>
        <w:t>3.2.2除单一来源采购项目外，为采购项目提供整体设计、规范编制或者</w:t>
      </w:r>
    </w:p>
    <w:p>
      <w:pPr>
        <w:pStyle w:val="22"/>
        <w:spacing w:before="176" w:line="240" w:lineRule="auto"/>
        <w:rPr>
          <w:rFonts w:cs="宋体"/>
          <w:spacing w:val="2"/>
          <w:u w:val="single"/>
        </w:rPr>
      </w:pPr>
      <w:r>
        <w:rPr>
          <w:rFonts w:hint="eastAsia" w:cs="宋体"/>
          <w:spacing w:val="2"/>
          <w:u w:val="single"/>
        </w:rPr>
        <w:t>项目管理、监理、检测等服务的供应商，不得再参加该采购项目的其他采购活</w:t>
      </w:r>
    </w:p>
    <w:p>
      <w:pPr>
        <w:pStyle w:val="22"/>
        <w:spacing w:before="176" w:line="240" w:lineRule="auto"/>
        <w:rPr>
          <w:rFonts w:cs="宋体"/>
          <w:spacing w:val="2"/>
          <w:u w:val="single"/>
        </w:rPr>
      </w:pPr>
      <w:r>
        <w:rPr>
          <w:rFonts w:hint="eastAsia" w:cs="宋体"/>
          <w:spacing w:val="2"/>
          <w:u w:val="single"/>
        </w:rPr>
        <w:t>动；</w:t>
      </w:r>
    </w:p>
    <w:p>
      <w:pPr>
        <w:pStyle w:val="22"/>
        <w:spacing w:before="176" w:line="240" w:lineRule="auto"/>
        <w:ind w:firstLine="488" w:firstLineChars="200"/>
        <w:rPr>
          <w:rFonts w:cs="宋体"/>
          <w:spacing w:val="2"/>
          <w:u w:val="single"/>
        </w:rPr>
      </w:pPr>
      <w:r>
        <w:rPr>
          <w:rFonts w:hint="eastAsia" w:cs="宋体"/>
          <w:spacing w:val="2"/>
          <w:u w:val="single"/>
        </w:rPr>
        <w:t>3.2.3供应商不能被列入“信用中国”网站（</w:t>
      </w:r>
      <w:r>
        <w:fldChar w:fldCharType="begin"/>
      </w:r>
      <w:r>
        <w:instrText xml:space="preserve"> HYPERLINK "http://www.creditchina.gov.cn" </w:instrText>
      </w:r>
      <w:r>
        <w:fldChar w:fldCharType="separate"/>
      </w:r>
      <w:r>
        <w:rPr>
          <w:rStyle w:val="63"/>
          <w:rFonts w:hint="eastAsia" w:cs="宋体"/>
          <w:spacing w:val="2"/>
        </w:rPr>
        <w:t>www.creditchina.gov.cn</w:t>
      </w:r>
      <w:r>
        <w:rPr>
          <w:rStyle w:val="63"/>
          <w:rFonts w:hint="eastAsia" w:cs="宋体"/>
          <w:spacing w:val="2"/>
        </w:rPr>
        <w:fldChar w:fldCharType="end"/>
      </w:r>
      <w:r>
        <w:rPr>
          <w:rFonts w:hint="eastAsia" w:cs="宋体"/>
          <w:spacing w:val="2"/>
          <w:u w:val="single"/>
        </w:rPr>
        <w:t>）失</w:t>
      </w:r>
    </w:p>
    <w:p>
      <w:pPr>
        <w:pStyle w:val="22"/>
        <w:spacing w:before="176" w:line="240" w:lineRule="auto"/>
        <w:rPr>
          <w:rFonts w:cs="宋体"/>
          <w:spacing w:val="2"/>
          <w:u w:val="single"/>
        </w:rPr>
      </w:pPr>
      <w:r>
        <w:rPr>
          <w:rFonts w:hint="eastAsia" w:cs="宋体"/>
          <w:spacing w:val="2"/>
          <w:u w:val="single"/>
        </w:rPr>
        <w:t>信被执行人、重大税收违法案件当事人名单”和中国政府采购网</w:t>
      </w:r>
    </w:p>
    <w:p>
      <w:pPr>
        <w:pStyle w:val="22"/>
        <w:spacing w:before="176" w:line="240" w:lineRule="auto"/>
        <w:rPr>
          <w:rFonts w:cs="宋体"/>
          <w:spacing w:val="2"/>
          <w:u w:val="single"/>
        </w:rPr>
      </w:pPr>
      <w:r>
        <w:rPr>
          <w:rFonts w:hint="eastAsia" w:cs="宋体"/>
          <w:spacing w:val="2"/>
          <w:u w:val="single"/>
        </w:rPr>
        <w:t>（</w:t>
      </w:r>
      <w:r>
        <w:fldChar w:fldCharType="begin"/>
      </w:r>
      <w:r>
        <w:instrText xml:space="preserve"> HYPERLINK "http://www.ccgp.gov.cn" </w:instrText>
      </w:r>
      <w:r>
        <w:fldChar w:fldCharType="separate"/>
      </w:r>
      <w:r>
        <w:rPr>
          <w:rStyle w:val="63"/>
          <w:rFonts w:hint="eastAsia" w:cs="宋体"/>
          <w:spacing w:val="2"/>
        </w:rPr>
        <w:t>www.ccgp.gov.cn</w:t>
      </w:r>
      <w:r>
        <w:rPr>
          <w:rStyle w:val="63"/>
          <w:rFonts w:hint="eastAsia" w:cs="宋体"/>
          <w:spacing w:val="2"/>
        </w:rPr>
        <w:fldChar w:fldCharType="end"/>
      </w:r>
      <w:r>
        <w:rPr>
          <w:rFonts w:hint="eastAsia" w:cs="宋体"/>
          <w:spacing w:val="2"/>
          <w:u w:val="single"/>
        </w:rPr>
        <w:t>）政府采购严重违法失信行为记录名单。否则其投标将被拒</w:t>
      </w:r>
    </w:p>
    <w:p>
      <w:pPr>
        <w:pStyle w:val="22"/>
        <w:spacing w:before="176" w:line="240" w:lineRule="auto"/>
        <w:rPr>
          <w:rFonts w:cs="宋体"/>
          <w:spacing w:val="2"/>
          <w:u w:val="single"/>
        </w:rPr>
      </w:pPr>
      <w:r>
        <w:rPr>
          <w:rFonts w:hint="eastAsia" w:cs="宋体"/>
          <w:spacing w:val="2"/>
          <w:u w:val="single"/>
        </w:rPr>
        <w:t>绝。</w:t>
      </w:r>
    </w:p>
    <w:bookmarkEnd w:id="21"/>
    <w:bookmarkEnd w:id="22"/>
    <w:p>
      <w:pPr>
        <w:widowControl/>
        <w:spacing w:line="360" w:lineRule="auto"/>
        <w:jc w:val="left"/>
        <w:rPr>
          <w:rFonts w:ascii="宋体" w:hAnsi="宋体" w:cs="宋体"/>
          <w:b/>
          <w:color w:val="000000" w:themeColor="text1"/>
          <w:sz w:val="24"/>
          <w14:textFill>
            <w14:solidFill>
              <w14:schemeClr w14:val="tx1"/>
            </w14:solidFill>
          </w14:textFill>
        </w:rPr>
      </w:pPr>
      <w:bookmarkStart w:id="23" w:name="_Toc35393623"/>
      <w:bookmarkStart w:id="24" w:name="_Toc35393792"/>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3"/>
      <w:bookmarkEnd w:id="24"/>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ascii="宋体" w:hAnsi="宋体" w:cs="宋体"/>
          <w:sz w:val="24"/>
          <w:u w:val="single"/>
          <w:lang w:bidi="ar"/>
        </w:rPr>
        <w:t>05</w:t>
      </w:r>
      <w:r>
        <w:rPr>
          <w:rFonts w:hint="eastAsia" w:ascii="宋体" w:hAnsi="宋体" w:cs="宋体"/>
          <w:sz w:val="24"/>
          <w:lang w:bidi="ar"/>
        </w:rPr>
        <w:t>月</w:t>
      </w:r>
      <w:r>
        <w:rPr>
          <w:rFonts w:ascii="宋体" w:hAnsi="宋体" w:cs="宋体"/>
          <w:sz w:val="24"/>
          <w:u w:val="single"/>
          <w:lang w:bidi="ar"/>
        </w:rPr>
        <w:t>13</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ascii="宋体" w:hAnsi="宋体" w:cs="宋体"/>
          <w:sz w:val="24"/>
          <w:u w:val="single"/>
          <w:lang w:bidi="ar"/>
        </w:rPr>
        <w:t>05</w:t>
      </w:r>
      <w:r>
        <w:rPr>
          <w:rFonts w:hint="eastAsia" w:ascii="宋体" w:hAnsi="宋体" w:cs="宋体"/>
          <w:sz w:val="24"/>
          <w:lang w:bidi="ar"/>
        </w:rPr>
        <w:t>月</w:t>
      </w:r>
      <w:r>
        <w:rPr>
          <w:rFonts w:ascii="宋体" w:hAnsi="宋体" w:cs="宋体"/>
          <w:sz w:val="24"/>
          <w:u w:val="single"/>
          <w:lang w:bidi="ar"/>
        </w:rPr>
        <w:t>19</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5" w:name="_Toc28359005"/>
      <w:bookmarkStart w:id="26" w:name="_Toc28359082"/>
      <w:bookmarkStart w:id="27" w:name="_Toc35393793"/>
      <w:bookmarkStart w:id="28" w:name="_Toc35393624"/>
      <w:r>
        <w:rPr>
          <w:rFonts w:hint="eastAsia" w:ascii="宋体" w:hAnsi="宋体" w:cs="宋体"/>
          <w:b/>
          <w:color w:val="000000" w:themeColor="text1"/>
          <w:sz w:val="24"/>
          <w14:textFill>
            <w14:solidFill>
              <w14:schemeClr w14:val="tx1"/>
            </w14:solidFill>
          </w14:textFill>
        </w:rPr>
        <w:t>四、提交投标文件</w:t>
      </w:r>
      <w:bookmarkEnd w:id="25"/>
      <w:bookmarkEnd w:id="26"/>
      <w:r>
        <w:rPr>
          <w:rFonts w:hint="eastAsia" w:ascii="宋体" w:hAnsi="宋体" w:cs="宋体"/>
          <w:b/>
          <w:color w:val="000000" w:themeColor="text1"/>
          <w:sz w:val="24"/>
          <w14:textFill>
            <w14:solidFill>
              <w14:schemeClr w14:val="tx1"/>
            </w14:solidFill>
          </w14:textFill>
        </w:rPr>
        <w:t>截止时间、开标时间和地点</w:t>
      </w:r>
      <w:bookmarkEnd w:id="27"/>
      <w:bookmarkEnd w:id="28"/>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3</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val="en-US" w:eastAsia="zh-CN" w:bidi="ar"/>
        </w:rPr>
        <w:t>0</w:t>
      </w:r>
      <w:r>
        <w:rPr>
          <w:rFonts w:hint="eastAsia" w:ascii="宋体" w:hAnsi="宋体" w:cs="宋体"/>
          <w:sz w:val="24"/>
          <w:u w:val="single"/>
          <w:lang w:bidi="ar"/>
        </w:rPr>
        <w:t>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9" w:name="_Toc35393625"/>
      <w:bookmarkStart w:id="30" w:name="_Toc28359007"/>
      <w:bookmarkStart w:id="31" w:name="_Toc35393794"/>
      <w:bookmarkStart w:id="32" w:name="_Toc28359084"/>
      <w:r>
        <w:rPr>
          <w:rFonts w:hint="eastAsia" w:ascii="宋体" w:hAnsi="宋体" w:cs="宋体"/>
          <w:b/>
          <w:color w:val="000000" w:themeColor="text1"/>
          <w:sz w:val="24"/>
          <w14:textFill>
            <w14:solidFill>
              <w14:schemeClr w14:val="tx1"/>
            </w14:solidFill>
          </w14:textFill>
        </w:rPr>
        <w:t>五、公告期限</w:t>
      </w:r>
      <w:bookmarkEnd w:id="29"/>
      <w:bookmarkEnd w:id="30"/>
      <w:bookmarkEnd w:id="31"/>
      <w:bookmarkEnd w:id="32"/>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3" w:name="_Toc35393626"/>
      <w:bookmarkStart w:id="34" w:name="_Toc35393795"/>
      <w:r>
        <w:rPr>
          <w:rFonts w:hint="eastAsia" w:ascii="宋体" w:hAnsi="宋体" w:cs="宋体"/>
          <w:b/>
          <w:color w:val="000000" w:themeColor="text1"/>
          <w:sz w:val="24"/>
          <w14:textFill>
            <w14:solidFill>
              <w14:schemeClr w14:val="tx1"/>
            </w14:solidFill>
          </w14:textFill>
        </w:rPr>
        <w:t>六、其他补充事宜</w:t>
      </w:r>
      <w:bookmarkEnd w:id="33"/>
      <w:bookmarkEnd w:id="34"/>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5" w:name="OLE_LINK176"/>
      <w:bookmarkStart w:id="36" w:name="OLE_LINK17"/>
      <w:bookmarkStart w:id="37" w:name="OLE_LINK132"/>
      <w:bookmarkStart w:id="38" w:name="OLE_LINK14"/>
      <w:r>
        <w:rPr>
          <w:rFonts w:hint="eastAsia" w:ascii="宋体" w:hAnsi="宋体" w:cs="宋体"/>
          <w:sz w:val="24"/>
        </w:rPr>
        <w:t>（1）执行</w:t>
      </w:r>
      <w:bookmarkStart w:id="39" w:name="OLE_LINK172"/>
      <w:bookmarkStart w:id="40"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41" w:name="OLE_LINK167"/>
      <w:bookmarkStart w:id="42" w:name="OLE_LINK151"/>
      <w:r>
        <w:rPr>
          <w:rFonts w:hint="eastAsia" w:ascii="宋体" w:hAnsi="宋体" w:cs="宋体"/>
          <w:sz w:val="24"/>
        </w:rPr>
        <w:t>《关于印发节能产品政府采购品目清单的通知》</w:t>
      </w:r>
      <w:bookmarkEnd w:id="41"/>
      <w:bookmarkEnd w:id="42"/>
      <w:r>
        <w:rPr>
          <w:rFonts w:hint="eastAsia" w:ascii="宋体" w:hAnsi="宋体" w:cs="宋体"/>
          <w:sz w:val="24"/>
        </w:rPr>
        <w:t>（财库〔2019〕19号）</w:t>
      </w:r>
      <w:r>
        <w:rPr>
          <w:rFonts w:hint="eastAsia" w:ascii="宋体" w:hAnsi="宋体" w:cs="宋体"/>
          <w:sz w:val="24"/>
        </w:rPr>
        <w:fldChar w:fldCharType="end"/>
      </w:r>
      <w:bookmarkEnd w:id="39"/>
      <w:bookmarkEnd w:id="40"/>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3" w:name="OLE_LINK171"/>
      <w:r>
        <w:rPr>
          <w:rFonts w:hint="eastAsia" w:ascii="宋体" w:hAnsi="宋体" w:cs="宋体"/>
          <w:sz w:val="24"/>
        </w:rPr>
        <w:t>（财库[2014]68号）</w:t>
      </w:r>
      <w:bookmarkEnd w:id="43"/>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4" w:name="OLE_LINK166"/>
      <w:r>
        <w:rPr>
          <w:rFonts w:hint="eastAsia" w:ascii="宋体" w:hAnsi="宋体" w:cs="宋体"/>
          <w:sz w:val="24"/>
        </w:rPr>
        <w:t>财政部关于在政府采购活动中查询及使用信用记录有关问题的通知</w:t>
      </w:r>
      <w:bookmarkEnd w:id="44"/>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5"/>
      <w:r>
        <w:rPr>
          <w:rFonts w:hint="eastAsia" w:ascii="宋体" w:hAnsi="宋体" w:cs="宋体"/>
          <w:sz w:val="24"/>
        </w:rPr>
        <w:t>行《关于进一步加大政府采购支持中小企业力度的通知》（财库〔2022〕19号）；</w:t>
      </w:r>
    </w:p>
    <w:bookmarkEnd w:id="36"/>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7"/>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8"/>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5" w:name="_Toc35393796"/>
      <w:bookmarkStart w:id="46" w:name="_Toc28359085"/>
      <w:bookmarkStart w:id="47" w:name="_Toc28359008"/>
      <w:bookmarkStart w:id="48" w:name="_Toc35393627"/>
      <w:r>
        <w:rPr>
          <w:rFonts w:hint="eastAsia" w:ascii="宋体" w:hAnsi="宋体" w:cs="宋体"/>
          <w:b/>
          <w:color w:val="000000" w:themeColor="text1"/>
          <w:sz w:val="24"/>
          <w14:textFill>
            <w14:solidFill>
              <w14:schemeClr w14:val="tx1"/>
            </w14:solidFill>
          </w14:textFill>
        </w:rPr>
        <w:t>七、对本次招标提出询问，请按以下方式联系。</w:t>
      </w:r>
      <w:bookmarkEnd w:id="45"/>
      <w:bookmarkEnd w:id="46"/>
      <w:bookmarkEnd w:id="47"/>
      <w:bookmarkEnd w:id="48"/>
    </w:p>
    <w:p>
      <w:pPr>
        <w:widowControl/>
        <w:spacing w:line="360" w:lineRule="auto"/>
        <w:jc w:val="left"/>
        <w:rPr>
          <w:rFonts w:ascii="宋体" w:hAnsi="宋体" w:cs="宋体"/>
          <w:b/>
          <w:sz w:val="24"/>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9" w:name="_Toc28359086"/>
      <w:bookmarkStart w:id="50" w:name="_Toc28359009"/>
      <w:r>
        <w:rPr>
          <w:rFonts w:hint="eastAsia" w:ascii="宋体" w:hAnsi="宋体" w:cs="宋体"/>
          <w:sz w:val="24"/>
        </w:rPr>
        <w:t>名    称：</w:t>
      </w:r>
      <w:r>
        <w:rPr>
          <w:rFonts w:hint="eastAsia" w:ascii="宋体" w:hAnsi="宋体" w:cs="宋体"/>
          <w:color w:val="000000"/>
          <w:sz w:val="24"/>
          <w:u w:val="single"/>
        </w:rPr>
        <w:t>北京市城市运行管理事务中心</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北京市西城区广安门内大街317号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sz w:val="24"/>
          <w:u w:val="single"/>
        </w:rPr>
        <w:t>陈老师，010-55570909</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9"/>
      <w:bookmarkEnd w:id="50"/>
    </w:p>
    <w:p>
      <w:pPr>
        <w:spacing w:line="360" w:lineRule="auto"/>
        <w:ind w:left="1079" w:leftChars="371" w:hanging="300" w:hangingChars="125"/>
        <w:jc w:val="left"/>
        <w:rPr>
          <w:rFonts w:ascii="宋体" w:hAnsi="宋体" w:cs="宋体"/>
          <w:sz w:val="24"/>
          <w:u w:val="single"/>
        </w:rPr>
      </w:pPr>
      <w:bookmarkStart w:id="51" w:name="_Toc28359010"/>
      <w:bookmarkStart w:id="52" w:name="_Toc28359087"/>
      <w:r>
        <w:rPr>
          <w:rFonts w:hint="eastAsia" w:ascii="宋体" w:hAnsi="宋体" w:cs="宋体"/>
          <w:sz w:val="24"/>
        </w:rPr>
        <w:t>名    称：</w:t>
      </w:r>
      <w:r>
        <w:rPr>
          <w:rFonts w:hint="eastAsia" w:ascii="宋体" w:hAnsi="宋体" w:cs="宋体"/>
          <w:color w:val="000000"/>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color w:val="000000"/>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张超、李丁、马若莎010-67169727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51"/>
      <w:bookmarkEnd w:id="52"/>
    </w:p>
    <w:p>
      <w:pPr>
        <w:pStyle w:val="30"/>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color w:val="000000"/>
          <w:sz w:val="24"/>
          <w:u w:val="single"/>
        </w:rPr>
        <w:t>张超、李丁、马若莎</w:t>
      </w:r>
    </w:p>
    <w:p>
      <w:pPr>
        <w:pStyle w:val="30"/>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sz w:val="24"/>
        </w:rPr>
        <w:t>电      话：</w:t>
      </w:r>
      <w:r>
        <w:rPr>
          <w:rFonts w:hAnsi="宋体" w:cs="宋体"/>
          <w:color w:val="000000"/>
          <w:sz w:val="24"/>
          <w:szCs w:val="24"/>
          <w:u w:val="single"/>
        </w:rPr>
        <w:t>67169727</w:t>
      </w:r>
    </w:p>
    <w:p>
      <w:pPr>
        <w:widowControl/>
        <w:jc w:val="left"/>
        <w:rPr>
          <w:rFonts w:ascii="宋体" w:hAnsi="宋体" w:cs="宋体"/>
          <w:b/>
          <w:color w:val="000000" w:themeColor="text1"/>
          <w:sz w:val="36"/>
          <w:szCs w:val="36"/>
          <w14:textFill>
            <w14:solidFill>
              <w14:schemeClr w14:val="tx1"/>
            </w14:solidFill>
          </w14:textFill>
        </w:rPr>
      </w:pPr>
      <w:bookmarkStart w:id="53" w:name="_Toc195842950"/>
      <w:bookmarkStart w:id="54" w:name="_Toc512937850"/>
      <w:bookmarkStart w:id="55" w:name="_Toc226965856"/>
      <w:bookmarkStart w:id="56" w:name="_Toc127151777"/>
      <w:bookmarkStart w:id="57" w:name="_Toc305158854"/>
      <w:bookmarkStart w:id="58" w:name="_Toc127161488"/>
      <w:bookmarkStart w:id="59" w:name="_Toc353825548"/>
      <w:bookmarkStart w:id="60" w:name="_Toc265228423"/>
      <w:bookmarkStart w:id="61" w:name="_Toc353873938"/>
      <w:bookmarkStart w:id="62" w:name="_Toc99301420"/>
      <w:bookmarkStart w:id="63" w:name="_Toc264969275"/>
      <w:bookmarkStart w:id="64" w:name="_Toc150774783"/>
      <w:bookmarkStart w:id="65" w:name="_Toc305158928"/>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6" w:name="_Toc218620567"/>
      <w:r>
        <w:rPr>
          <w:rFonts w:hint="eastAsia" w:ascii="宋体" w:hAnsi="宋体" w:cs="宋体"/>
          <w:b/>
          <w:color w:val="000000" w:themeColor="text1"/>
          <w:sz w:val="36"/>
          <w:szCs w:val="36"/>
          <w14:textFill>
            <w14:solidFill>
              <w14:schemeClr w14:val="tx1"/>
            </w14:solidFill>
          </w14:textFill>
        </w:rPr>
        <w:t>第二章   投标人须知</w:t>
      </w:r>
      <w:bookmarkEnd w:id="53"/>
      <w:bookmarkEnd w:id="54"/>
      <w:bookmarkEnd w:id="55"/>
      <w:bookmarkEnd w:id="56"/>
      <w:bookmarkEnd w:id="57"/>
      <w:bookmarkEnd w:id="58"/>
      <w:bookmarkEnd w:id="59"/>
      <w:bookmarkEnd w:id="60"/>
      <w:bookmarkEnd w:id="61"/>
      <w:bookmarkEnd w:id="62"/>
      <w:bookmarkEnd w:id="63"/>
      <w:bookmarkEnd w:id="64"/>
      <w:bookmarkEnd w:id="65"/>
      <w:bookmarkEnd w:id="66"/>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7" w:name="_Toc151193689"/>
      <w:bookmarkStart w:id="68" w:name="_Toc226965792"/>
      <w:bookmarkStart w:id="69" w:name="_Toc150509270"/>
      <w:bookmarkStart w:id="70" w:name="_Toc164608633"/>
      <w:bookmarkStart w:id="71" w:name="_Toc520356144"/>
      <w:bookmarkStart w:id="72" w:name="_Toc151190146"/>
      <w:bookmarkStart w:id="73" w:name="_Toc226309763"/>
      <w:bookmarkStart w:id="74" w:name="_Toc226337215"/>
      <w:bookmarkStart w:id="75" w:name="_Toc127151720"/>
      <w:bookmarkStart w:id="76" w:name="_Toc151193617"/>
      <w:bookmarkStart w:id="77" w:name="_Toc150774619"/>
      <w:bookmarkStart w:id="78" w:name="_Toc150774724"/>
      <w:bookmarkStart w:id="79" w:name="_Toc164229214"/>
      <w:bookmarkStart w:id="80" w:name="_Toc195842884"/>
      <w:bookmarkStart w:id="81" w:name="_Toc127151519"/>
      <w:bookmarkStart w:id="82" w:name="_Toc142311021"/>
      <w:bookmarkStart w:id="83" w:name="_Toc151193761"/>
      <w:bookmarkStart w:id="84" w:name="_Toc127161433"/>
      <w:bookmarkStart w:id="85" w:name="_Toc164608788"/>
      <w:bookmarkStart w:id="86" w:name="_Toc151193833"/>
      <w:bookmarkStart w:id="87" w:name="_Toc149720812"/>
      <w:bookmarkStart w:id="88" w:name="_Toc164229360"/>
      <w:bookmarkStart w:id="89" w:name="_Toc150480757"/>
      <w:bookmarkStart w:id="90" w:name="_Toc164351613"/>
      <w:bookmarkStart w:id="91" w:name="_Toc151193907"/>
      <w:bookmarkStart w:id="92" w:name="_Toc226965709"/>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5"/>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62"/>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5"/>
              <w:tblW w:w="61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sz w:val="24"/>
                    </w:rPr>
                  </w:pPr>
                  <w:r>
                    <w:rPr>
                      <w:rFonts w:hint="eastAsia" w:ascii="宋体" w:hAnsi="宋体" w:cs="宋体"/>
                      <w:spacing w:val="-2"/>
                      <w:sz w:val="24"/>
                    </w:rPr>
                    <w:t>序号</w:t>
                  </w:r>
                </w:p>
              </w:tc>
              <w:tc>
                <w:tcPr>
                  <w:tcW w:w="3236" w:type="dxa"/>
                  <w:vAlign w:val="center"/>
                </w:tcPr>
                <w:p>
                  <w:pPr>
                    <w:autoSpaceDE w:val="0"/>
                    <w:autoSpaceDN w:val="0"/>
                    <w:spacing w:before="97"/>
                    <w:jc w:val="center"/>
                    <w:rPr>
                      <w:rFonts w:ascii="宋体" w:hAnsi="宋体" w:cs="宋体"/>
                      <w:sz w:val="24"/>
                    </w:rPr>
                  </w:pPr>
                  <w:r>
                    <w:rPr>
                      <w:rFonts w:hint="eastAsia" w:ascii="宋体" w:hAnsi="宋体" w:cs="宋体"/>
                      <w:spacing w:val="-1"/>
                      <w:sz w:val="24"/>
                    </w:rPr>
                    <w:t>标的名称</w:t>
                  </w:r>
                </w:p>
              </w:tc>
              <w:tc>
                <w:tcPr>
                  <w:tcW w:w="2127" w:type="dxa"/>
                  <w:vAlign w:val="center"/>
                </w:tcPr>
                <w:p>
                  <w:pPr>
                    <w:autoSpaceDE w:val="0"/>
                    <w:autoSpaceDN w:val="0"/>
                    <w:spacing w:before="97"/>
                    <w:jc w:val="center"/>
                    <w:rPr>
                      <w:rFonts w:ascii="宋体" w:hAnsi="宋体" w:cs="宋体"/>
                      <w:sz w:val="24"/>
                    </w:rPr>
                  </w:pPr>
                  <w:r>
                    <w:rPr>
                      <w:rFonts w:hint="eastAsia" w:ascii="宋体" w:hAnsi="宋体" w:cs="宋体"/>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spacing w:before="86"/>
                    <w:ind w:firstLine="1"/>
                    <w:jc w:val="center"/>
                    <w:rPr>
                      <w:rFonts w:ascii="宋体" w:hAnsi="宋体" w:cs="宋体"/>
                      <w:spacing w:val="7"/>
                      <w:sz w:val="24"/>
                    </w:rPr>
                  </w:pPr>
                  <w:r>
                    <w:rPr>
                      <w:rFonts w:hint="eastAsia" w:ascii="宋体" w:hAnsi="宋体" w:cs="宋体"/>
                      <w:spacing w:val="7"/>
                      <w:sz w:val="24"/>
                    </w:rPr>
                    <w:t>1</w:t>
                  </w:r>
                </w:p>
              </w:tc>
              <w:tc>
                <w:tcPr>
                  <w:tcW w:w="3236" w:type="dxa"/>
                  <w:vAlign w:val="center"/>
                </w:tcPr>
                <w:p>
                  <w:pPr>
                    <w:autoSpaceDE w:val="0"/>
                    <w:autoSpaceDN w:val="0"/>
                    <w:spacing w:before="86"/>
                    <w:ind w:firstLine="127"/>
                    <w:jc w:val="center"/>
                    <w:rPr>
                      <w:rFonts w:ascii="宋体" w:hAnsi="宋体" w:cs="宋体"/>
                      <w:spacing w:val="7"/>
                      <w:sz w:val="24"/>
                    </w:rPr>
                  </w:pPr>
                  <w:r>
                    <w:rPr>
                      <w:rFonts w:hint="eastAsia" w:ascii="宋体" w:hAnsi="宋体" w:cs="宋体"/>
                      <w:spacing w:val="7"/>
                      <w:sz w:val="24"/>
                    </w:rPr>
                    <w:t>2026年</w:t>
                  </w:r>
                  <w:r>
                    <w:rPr>
                      <w:rFonts w:hint="eastAsia" w:cs="仿宋_GB2312" w:asciiTheme="minorEastAsia" w:hAnsiTheme="minorEastAsia" w:eastAsiaTheme="minorEastAsia"/>
                      <w:sz w:val="24"/>
                    </w:rPr>
                    <w:t>桌面系统、视频会议保障等基础运维</w:t>
                  </w:r>
                </w:p>
              </w:tc>
              <w:tc>
                <w:tcPr>
                  <w:tcW w:w="2127" w:type="dxa"/>
                  <w:vAlign w:val="center"/>
                </w:tcPr>
                <w:p>
                  <w:pPr>
                    <w:pStyle w:val="262"/>
                    <w:jc w:val="center"/>
                    <w:rPr>
                      <w:rFonts w:ascii="宋体" w:hAnsi="宋体" w:eastAsia="宋体" w:cs="宋体"/>
                      <w:sz w:val="22"/>
                      <w:lang w:eastAsia="zh-CN"/>
                    </w:rPr>
                  </w:pPr>
                  <w:r>
                    <w:rPr>
                      <w:rFonts w:hint="eastAsia" w:ascii="宋体" w:hAnsi="宋体" w:eastAsia="宋体" w:cs="宋体"/>
                      <w:snapToGrid/>
                      <w:color w:val="auto"/>
                      <w:spacing w:val="7"/>
                      <w:kern w:val="2"/>
                      <w:sz w:val="24"/>
                      <w:szCs w:val="24"/>
                      <w:lang w:eastAsia="zh-CN"/>
                    </w:rPr>
                    <w:t>软件和信息技术服务业</w:t>
                  </w:r>
                </w:p>
              </w:tc>
            </w:tr>
          </w:tbl>
          <w:p>
            <w:pPr>
              <w:pStyle w:val="262"/>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sz w:val="24"/>
                <w:u w:val="single"/>
              </w:rPr>
              <w:t>25000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62"/>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3" w:name="_Hlt188370710"/>
            <w:bookmarkEnd w:id="93"/>
            <w:bookmarkStart w:id="94" w:name="_Hlt188370718"/>
            <w:bookmarkEnd w:id="94"/>
            <w:bookmarkStart w:id="95" w:name="_Hlt188370709"/>
            <w:bookmarkEnd w:id="95"/>
            <w:r>
              <w:rPr>
                <w:rFonts w:hint="eastAsia" w:ascii="宋体" w:hAnsi="宋体" w:eastAsia="宋体" w:cs="宋体"/>
                <w:color w:val="000000" w:themeColor="text1"/>
                <w:sz w:val="24"/>
                <w:szCs w:val="24"/>
                <w:u w:val="single"/>
                <w:lang w:eastAsia="zh-CN"/>
                <w14:textFill>
                  <w14:solidFill>
                    <w14:schemeClr w14:val="tx1"/>
                  </w14:solidFill>
                </w14:textFill>
              </w:rPr>
              <w:t>7</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10080222@qq.com且与代理机构确认已收到。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62"/>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96" w:name="_Toc142311019"/>
      <w:bookmarkStart w:id="97" w:name="_Toc353825542"/>
      <w:bookmarkStart w:id="98" w:name="_Toc150480755"/>
      <w:bookmarkStart w:id="99" w:name="_Toc305158785"/>
      <w:bookmarkStart w:id="100" w:name="_Toc305158859"/>
      <w:bookmarkStart w:id="101" w:name="_Toc353873662"/>
      <w:bookmarkStart w:id="102" w:name="_Toc353873932"/>
      <w:bookmarkStart w:id="103" w:name="_Toc127151517"/>
      <w:bookmarkStart w:id="104" w:name="_Toc226965790"/>
      <w:bookmarkStart w:id="105" w:name="_Toc264969207"/>
      <w:bookmarkStart w:id="106" w:name="_Toc195842882"/>
      <w:bookmarkStart w:id="107" w:name="_Toc150774722"/>
      <w:bookmarkStart w:id="108" w:name="_Toc265228355"/>
      <w:bookmarkStart w:id="109" w:name="_Toc226337213"/>
      <w:r>
        <w:rPr>
          <w:rFonts w:ascii="宋体" w:hAnsi="宋体" w:cs="宋体"/>
          <w:b/>
          <w:color w:val="000000" w:themeColor="text1"/>
          <w:sz w:val="28"/>
          <w:szCs w:val="28"/>
          <w14:textFill>
            <w14:solidFill>
              <w14:schemeClr w14:val="tx1"/>
            </w14:solidFill>
          </w14:textFill>
        </w:rPr>
        <w:br w:type="page"/>
      </w:r>
    </w:p>
    <w:p>
      <w:pPr>
        <w:spacing w:before="312" w:beforeLines="100" w:after="312"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6"/>
        <w:rPr>
          <w:rStyle w:val="465"/>
          <w:rFonts w:hint="default" w:ascii="宋体" w:hAnsi="宋体"/>
          <w:b/>
          <w:szCs w:val="28"/>
        </w:rPr>
      </w:pPr>
      <w:bookmarkStart w:id="110" w:name="_Toc151193832"/>
      <w:bookmarkStart w:id="111" w:name="_Toc265228356"/>
      <w:bookmarkStart w:id="112" w:name="_Toc150509269"/>
      <w:bookmarkStart w:id="113" w:name="_Toc226965791"/>
      <w:bookmarkStart w:id="114" w:name="_Toc150480756"/>
      <w:bookmarkStart w:id="115" w:name="_Toc127151518"/>
      <w:bookmarkStart w:id="116" w:name="_Toc305158786"/>
      <w:bookmarkStart w:id="117" w:name="_Toc520356143"/>
      <w:bookmarkStart w:id="118" w:name="_Toc226337214"/>
      <w:bookmarkStart w:id="119" w:name="_Toc305158860"/>
      <w:bookmarkStart w:id="120" w:name="_Toc151193760"/>
      <w:bookmarkStart w:id="121" w:name="_Toc226965708"/>
      <w:bookmarkStart w:id="122" w:name="_Toc195842883"/>
      <w:bookmarkStart w:id="123" w:name="_Toc151193688"/>
      <w:bookmarkStart w:id="124" w:name="_Toc151193906"/>
      <w:bookmarkStart w:id="125" w:name="_Toc150774723"/>
      <w:bookmarkStart w:id="126" w:name="_Toc264969208"/>
      <w:bookmarkStart w:id="127" w:name="_Toc151193616"/>
      <w:bookmarkStart w:id="128" w:name="_Toc142311020"/>
      <w:bookmarkStart w:id="129" w:name="_Toc151190145"/>
      <w:bookmarkStart w:id="130" w:name="_Toc226309762"/>
      <w:bookmarkStart w:id="131" w:name="_Toc150774618"/>
      <w:r>
        <w:rPr>
          <w:rStyle w:val="465"/>
          <w:rFonts w:hint="default" w:ascii="宋体" w:hAnsi="宋体"/>
          <w:b/>
          <w:szCs w:val="28"/>
        </w:rPr>
        <w:t>一   说  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2" w:name="_Toc265228357"/>
      <w:bookmarkStart w:id="133" w:name="_Toc264969209"/>
      <w:bookmarkStart w:id="134" w:name="_Toc305158861"/>
      <w:bookmarkStart w:id="135" w:name="_Toc305158787"/>
      <w:r>
        <w:rPr>
          <w:rFonts w:hint="eastAsia" w:ascii="宋体" w:hAnsi="宋体" w:cs="宋体"/>
          <w:color w:val="000000" w:themeColor="text1"/>
          <w:sz w:val="24"/>
          <w14:textFill>
            <w14:solidFill>
              <w14:schemeClr w14:val="tx1"/>
            </w14:solidFill>
          </w14:textFill>
        </w:rPr>
        <w:t>采购人、采购代理机构、投标人</w:t>
      </w:r>
      <w:bookmarkEnd w:id="132"/>
      <w:bookmarkEnd w:id="133"/>
      <w:bookmarkEnd w:id="134"/>
      <w:bookmarkEnd w:id="135"/>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6" w:name="_Toc164351614"/>
      <w:bookmarkStart w:id="137" w:name="_Toc226965710"/>
      <w:bookmarkStart w:id="138" w:name="_Toc151193908"/>
      <w:bookmarkStart w:id="139" w:name="_Toc127151721"/>
      <w:bookmarkStart w:id="140" w:name="_Toc151193690"/>
      <w:bookmarkStart w:id="141" w:name="_Toc127151520"/>
      <w:bookmarkStart w:id="142" w:name="_Toc164608634"/>
      <w:bookmarkStart w:id="143" w:name="_Toc164229215"/>
      <w:bookmarkStart w:id="144" w:name="_Toc305158862"/>
      <w:bookmarkStart w:id="145" w:name="_Toc150774620"/>
      <w:bookmarkStart w:id="146" w:name="_Toc305158788"/>
      <w:bookmarkStart w:id="147" w:name="_Toc164229361"/>
      <w:bookmarkStart w:id="148" w:name="_Toc127161434"/>
      <w:bookmarkStart w:id="149" w:name="_Toc149720813"/>
      <w:bookmarkStart w:id="150" w:name="_Toc226309764"/>
      <w:bookmarkStart w:id="151" w:name="_Toc151193762"/>
      <w:bookmarkStart w:id="152" w:name="_Toc151193618"/>
      <w:bookmarkStart w:id="153" w:name="_Toc150480758"/>
      <w:bookmarkStart w:id="154" w:name="_Toc195842885"/>
      <w:bookmarkStart w:id="155" w:name="_Toc164608789"/>
      <w:bookmarkStart w:id="156" w:name="_Toc151193834"/>
      <w:bookmarkStart w:id="157" w:name="_Toc264969210"/>
      <w:bookmarkStart w:id="158" w:name="_Toc265228358"/>
      <w:bookmarkStart w:id="159" w:name="_Toc150774725"/>
      <w:bookmarkStart w:id="160" w:name="_Toc226965793"/>
      <w:bookmarkStart w:id="161" w:name="_Toc150509271"/>
      <w:bookmarkStart w:id="162" w:name="_Toc142311022"/>
      <w:bookmarkStart w:id="163" w:name="_Toc151190147"/>
      <w:bookmarkStart w:id="164" w:name="_Toc226337216"/>
      <w:r>
        <w:rPr>
          <w:rFonts w:hint="eastAsia" w:ascii="宋体" w:hAnsi="宋体" w:cs="宋体"/>
          <w:color w:val="000000" w:themeColor="text1"/>
          <w:sz w:val="24"/>
          <w14:textFill>
            <w14:solidFill>
              <w14:schemeClr w14:val="tx1"/>
            </w14:solidFill>
          </w14:textFill>
        </w:rPr>
        <w:t>资金来源</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5" w:name="_Toc142311024"/>
      <w:bookmarkStart w:id="166" w:name="_Toc150774622"/>
      <w:bookmarkStart w:id="167" w:name="_Toc150774727"/>
      <w:bookmarkStart w:id="168" w:name="_Toc151190149"/>
      <w:bookmarkStart w:id="169" w:name="_Toc151193620"/>
      <w:bookmarkStart w:id="170" w:name="_Toc150509273"/>
      <w:bookmarkStart w:id="171" w:name="_Toc520356146"/>
      <w:bookmarkStart w:id="172" w:name="_Toc150480760"/>
      <w:bookmarkStart w:id="173" w:name="_Toc151193836"/>
      <w:bookmarkStart w:id="174" w:name="_Toc151193692"/>
      <w:bookmarkStart w:id="175" w:name="_Toc226965712"/>
      <w:bookmarkStart w:id="176" w:name="_Toc226337218"/>
      <w:bookmarkStart w:id="177" w:name="_Toc226309766"/>
      <w:bookmarkStart w:id="178" w:name="_Toc195842887"/>
      <w:bookmarkStart w:id="179" w:name="_Toc305158864"/>
      <w:bookmarkStart w:id="180" w:name="_Toc226965795"/>
      <w:bookmarkStart w:id="181" w:name="_Toc151193910"/>
      <w:bookmarkStart w:id="182" w:name="_Toc265228360"/>
      <w:bookmarkStart w:id="183" w:name="_Toc305158790"/>
      <w:bookmarkStart w:id="184" w:name="_Toc151193764"/>
      <w:bookmarkStart w:id="185" w:name="_Toc264969212"/>
      <w:bookmarkStart w:id="186" w:name="_Toc127151522"/>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7"/>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87" w:name="OLE_LINK24"/>
      <w:bookmarkStart w:id="188"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7"/>
      <w:bookmarkEnd w:id="188"/>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89" w:name="OLE_LINK28"/>
      <w:bookmarkStart w:id="190" w:name="OLE_LINK29"/>
      <w:r>
        <w:rPr>
          <w:rFonts w:hint="eastAsia" w:ascii="宋体" w:hAnsi="宋体" w:cs="宋体"/>
          <w:color w:val="000000" w:themeColor="text1"/>
          <w:sz w:val="24"/>
          <w14:textFill>
            <w14:solidFill>
              <w14:schemeClr w14:val="tx1"/>
            </w14:solidFill>
          </w14:textFill>
        </w:rPr>
        <w:t>根据</w:t>
      </w:r>
      <w:bookmarkStart w:id="191" w:name="OLE_LINK26"/>
      <w:bookmarkStart w:id="192" w:name="OLE_LINK33"/>
      <w:bookmarkStart w:id="193" w:name="OLE_LINK32"/>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1"/>
      <w:r>
        <w:rPr>
          <w:rFonts w:hint="eastAsia" w:ascii="宋体" w:hAnsi="宋体" w:cs="宋体"/>
          <w:color w:val="000000" w:themeColor="text1"/>
          <w:sz w:val="24"/>
          <w14:textFill>
            <w14:solidFill>
              <w14:schemeClr w14:val="tx1"/>
            </w14:solidFill>
          </w14:textFill>
        </w:rPr>
        <w:t>（2023年第1号）</w:t>
      </w:r>
      <w:bookmarkEnd w:id="192"/>
      <w:bookmarkEnd w:id="193"/>
      <w:r>
        <w:rPr>
          <w:rFonts w:hint="eastAsia" w:ascii="宋体" w:hAnsi="宋体" w:cs="宋体"/>
          <w:color w:val="000000" w:themeColor="text1"/>
          <w:sz w:val="24"/>
          <w14:textFill>
            <w14:solidFill>
              <w14:schemeClr w14:val="tx1"/>
            </w14:solidFill>
          </w14:textFill>
        </w:rPr>
        <w:t>，所提供产品属于列入</w:t>
      </w:r>
      <w:bookmarkStart w:id="194"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4"/>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89"/>
      <w:bookmarkEnd w:id="190"/>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5" w:name="OLE_LINK61"/>
      <w:bookmarkStart w:id="196" w:name="OLE_LINK62"/>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5"/>
    <w:bookmarkEnd w:id="196"/>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197" w:name="_1.8_计量单位"/>
      <w:bookmarkEnd w:id="197"/>
    </w:p>
    <w:p>
      <w:pPr>
        <w:pStyle w:val="6"/>
        <w:rPr>
          <w:rStyle w:val="465"/>
          <w:rFonts w:hint="default" w:ascii="宋体" w:hAnsi="宋体"/>
          <w:b/>
        </w:rPr>
      </w:pPr>
      <w:r>
        <w:rPr>
          <w:rStyle w:val="465"/>
          <w:rFonts w:hint="default" w:ascii="宋体" w:hAnsi="宋体"/>
          <w:b/>
        </w:rPr>
        <w:t>二   招标文件</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98" w:name="_Toc151193765"/>
      <w:bookmarkStart w:id="199" w:name="_Toc195842888"/>
      <w:bookmarkStart w:id="200" w:name="_Toc226965796"/>
      <w:bookmarkStart w:id="201" w:name="_Toc164608792"/>
      <w:bookmarkStart w:id="202" w:name="_Toc305158791"/>
      <w:bookmarkStart w:id="203" w:name="_Toc226309767"/>
      <w:bookmarkStart w:id="204" w:name="_Toc151193837"/>
      <w:bookmarkStart w:id="205" w:name="_Toc151193911"/>
      <w:bookmarkStart w:id="206" w:name="_Toc226965713"/>
      <w:bookmarkStart w:id="207" w:name="_Toc151193693"/>
      <w:bookmarkStart w:id="208" w:name="_Toc164608637"/>
      <w:bookmarkStart w:id="209" w:name="_Toc305158865"/>
      <w:bookmarkStart w:id="210" w:name="_Toc226337219"/>
      <w:bookmarkStart w:id="211" w:name="_Toc127151523"/>
      <w:bookmarkStart w:id="212" w:name="_Toc151190150"/>
      <w:bookmarkStart w:id="213" w:name="_Toc150774623"/>
      <w:bookmarkStart w:id="214" w:name="_Toc265228361"/>
      <w:bookmarkStart w:id="215" w:name="_Toc164229364"/>
      <w:bookmarkStart w:id="216" w:name="_Toc264969213"/>
      <w:bookmarkStart w:id="217" w:name="_Toc150774728"/>
      <w:bookmarkStart w:id="218" w:name="_Toc150509274"/>
      <w:bookmarkStart w:id="219" w:name="_Toc150480761"/>
      <w:bookmarkStart w:id="220" w:name="_Toc142311025"/>
      <w:bookmarkStart w:id="221" w:name="_Toc127151724"/>
      <w:bookmarkStart w:id="222" w:name="_Toc164351617"/>
      <w:bookmarkStart w:id="223" w:name="_Toc127161437"/>
      <w:bookmarkStart w:id="224" w:name="_Toc151193621"/>
      <w:bookmarkStart w:id="225" w:name="_Toc520356147"/>
      <w:bookmarkStart w:id="226" w:name="_Toc149720816"/>
      <w:bookmarkStart w:id="227" w:name="_Toc164229218"/>
      <w:r>
        <w:rPr>
          <w:rFonts w:hint="eastAsia" w:ascii="宋体" w:hAnsi="宋体" w:cs="宋体"/>
          <w:color w:val="000000" w:themeColor="text1"/>
          <w:sz w:val="24"/>
          <w14:textFill>
            <w14:solidFill>
              <w14:schemeClr w14:val="tx1"/>
            </w14:solidFill>
          </w14:textFill>
        </w:rPr>
        <w:t>招标文件构</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28" w:name="_Toc516367020"/>
      <w:bookmarkStart w:id="229" w:name="_Toc151193914"/>
      <w:bookmarkStart w:id="230" w:name="_Toc264969216"/>
      <w:bookmarkStart w:id="231" w:name="_Toc226309770"/>
      <w:bookmarkStart w:id="232" w:name="_Toc150509277"/>
      <w:bookmarkStart w:id="233" w:name="_Toc151193624"/>
      <w:bookmarkStart w:id="234" w:name="_Toc265228364"/>
      <w:bookmarkStart w:id="235" w:name="_Toc305158794"/>
      <w:bookmarkStart w:id="236" w:name="_Toc142311028"/>
      <w:bookmarkStart w:id="237" w:name="_Toc150774626"/>
      <w:bookmarkStart w:id="238" w:name="_Toc195842891"/>
      <w:bookmarkStart w:id="239" w:name="_Toc305158868"/>
      <w:bookmarkStart w:id="240" w:name="_Toc151193840"/>
      <w:bookmarkStart w:id="241" w:name="_Toc127151526"/>
      <w:bookmarkStart w:id="242" w:name="_Toc150774731"/>
      <w:bookmarkStart w:id="243" w:name="_Toc151193768"/>
      <w:bookmarkStart w:id="244" w:name="_Toc226965716"/>
      <w:bookmarkStart w:id="245" w:name="_Toc151193696"/>
      <w:bookmarkStart w:id="246" w:name="_Toc520356150"/>
      <w:bookmarkStart w:id="247" w:name="_Toc226965799"/>
      <w:bookmarkStart w:id="248" w:name="_Toc150480764"/>
      <w:bookmarkStart w:id="249" w:name="_Toc151190153"/>
      <w:bookmarkStart w:id="250" w:name="_Toc226337222"/>
    </w:p>
    <w:p>
      <w:pPr>
        <w:pStyle w:val="6"/>
        <w:rPr>
          <w:rStyle w:val="465"/>
          <w:rFonts w:hint="default" w:ascii="宋体" w:hAnsi="宋体"/>
          <w:b/>
        </w:rPr>
      </w:pPr>
      <w:r>
        <w:rPr>
          <w:rStyle w:val="465"/>
          <w:rFonts w:hint="default" w:ascii="宋体" w:hAnsi="宋体"/>
          <w:b/>
        </w:rPr>
        <w:t>三   投标文件</w:t>
      </w:r>
      <w:bookmarkEnd w:id="228"/>
      <w:r>
        <w:rPr>
          <w:rStyle w:val="465"/>
          <w:rFonts w:hint="default" w:ascii="宋体" w:hAnsi="宋体"/>
          <w:b/>
        </w:rPr>
        <w:t>的编制</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51" w:name="_Toc516367021"/>
      <w:bookmarkStart w:id="252" w:name="_Toc151193697"/>
      <w:bookmarkStart w:id="253" w:name="_Toc150774732"/>
      <w:bookmarkStart w:id="254" w:name="_Toc151190154"/>
      <w:bookmarkStart w:id="255" w:name="_Toc226309771"/>
      <w:bookmarkStart w:id="256" w:name="_Toc142311029"/>
      <w:bookmarkStart w:id="257" w:name="_Toc150774627"/>
      <w:bookmarkStart w:id="258" w:name="_Toc226337223"/>
      <w:bookmarkStart w:id="259" w:name="_Toc127151527"/>
      <w:bookmarkStart w:id="260" w:name="_Toc164229368"/>
      <w:bookmarkStart w:id="261" w:name="_Toc226965800"/>
      <w:bookmarkStart w:id="262" w:name="_Toc164608641"/>
      <w:bookmarkStart w:id="263" w:name="_Toc150509278"/>
      <w:bookmarkStart w:id="264" w:name="_Toc226965717"/>
      <w:bookmarkStart w:id="265" w:name="_Toc150480765"/>
      <w:bookmarkStart w:id="266" w:name="_Toc195842892"/>
      <w:bookmarkStart w:id="267" w:name="_Toc151193625"/>
      <w:bookmarkStart w:id="268" w:name="_Toc520356151"/>
      <w:bookmarkStart w:id="269" w:name="_Toc149720820"/>
      <w:bookmarkStart w:id="270" w:name="_Toc151193769"/>
      <w:bookmarkStart w:id="271" w:name="_Toc305158869"/>
      <w:bookmarkStart w:id="272" w:name="_Toc151193915"/>
      <w:bookmarkStart w:id="273" w:name="_Toc127151728"/>
      <w:bookmarkStart w:id="274" w:name="_Toc305158795"/>
      <w:bookmarkStart w:id="275" w:name="_Toc164351621"/>
      <w:bookmarkStart w:id="276" w:name="_Toc164229222"/>
      <w:bookmarkStart w:id="277" w:name="_Toc264969217"/>
      <w:bookmarkStart w:id="278" w:name="_Toc127161441"/>
      <w:bookmarkStart w:id="279" w:name="_Toc151193841"/>
      <w:bookmarkStart w:id="280" w:name="_Toc265228365"/>
      <w:bookmarkStart w:id="281" w:name="_Toc164608796"/>
      <w:r>
        <w:rPr>
          <w:rFonts w:hint="eastAsia" w:ascii="宋体" w:hAnsi="宋体" w:cs="宋体"/>
          <w:color w:val="000000" w:themeColor="text1"/>
          <w:sz w:val="24"/>
          <w14:textFill>
            <w14:solidFill>
              <w14:schemeClr w14:val="tx1"/>
            </w14:solidFill>
          </w14:textFill>
        </w:rPr>
        <w:t>投标范围、投标文件中计量单位的使用</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2" w:name="_Ref467306676"/>
      <w:bookmarkStart w:id="283" w:name="_Ref467306195"/>
      <w:bookmarkStart w:id="284" w:name="_Toc516367022"/>
      <w:bookmarkStart w:id="285" w:name="_Toc127151528"/>
      <w:bookmarkStart w:id="286" w:name="_Toc226337224"/>
      <w:bookmarkStart w:id="287" w:name="_Toc142311030"/>
      <w:bookmarkStart w:id="288" w:name="_Toc164229369"/>
      <w:bookmarkStart w:id="289" w:name="_Toc149720821"/>
      <w:bookmarkStart w:id="290" w:name="_Toc265228366"/>
      <w:bookmarkStart w:id="291" w:name="_Toc164608642"/>
      <w:bookmarkStart w:id="292" w:name="_Toc151193770"/>
      <w:bookmarkStart w:id="293" w:name="_Toc151193698"/>
      <w:bookmarkStart w:id="294" w:name="_Toc151193626"/>
      <w:bookmarkStart w:id="295" w:name="_Toc127151729"/>
      <w:bookmarkStart w:id="296" w:name="_Toc151193842"/>
      <w:bookmarkStart w:id="297" w:name="_Toc127161442"/>
      <w:bookmarkStart w:id="298" w:name="_Toc305158796"/>
      <w:bookmarkStart w:id="299" w:name="_Toc164608797"/>
      <w:bookmarkStart w:id="300" w:name="_Toc164351622"/>
      <w:bookmarkStart w:id="301" w:name="_Toc226965718"/>
      <w:bookmarkStart w:id="302" w:name="_Toc150509279"/>
      <w:bookmarkStart w:id="303" w:name="_Toc151190155"/>
      <w:bookmarkStart w:id="304" w:name="_Toc151193916"/>
      <w:bookmarkStart w:id="305" w:name="_Toc305158870"/>
      <w:bookmarkStart w:id="306" w:name="_Toc226309772"/>
      <w:bookmarkStart w:id="307" w:name="_Toc164229223"/>
      <w:bookmarkStart w:id="308" w:name="_Toc264969218"/>
      <w:bookmarkStart w:id="309" w:name="_Toc150774628"/>
      <w:bookmarkStart w:id="310" w:name="_Toc195842893"/>
      <w:bookmarkStart w:id="311" w:name="_Toc226965801"/>
      <w:bookmarkStart w:id="312" w:name="_Toc150774733"/>
      <w:bookmarkStart w:id="313" w:name="_Toc520356152"/>
      <w:bookmarkStart w:id="314" w:name="_Toc150480766"/>
      <w:r>
        <w:rPr>
          <w:rFonts w:hint="eastAsia" w:ascii="宋体" w:hAnsi="宋体" w:cs="宋体"/>
          <w:color w:val="000000" w:themeColor="text1"/>
          <w:sz w:val="24"/>
          <w14:textFill>
            <w14:solidFill>
              <w14:schemeClr w14:val="tx1"/>
            </w14:solidFill>
          </w14:textFill>
        </w:rPr>
        <w:t>投标文件</w:t>
      </w:r>
      <w:bookmarkEnd w:id="282"/>
      <w:bookmarkEnd w:id="283"/>
      <w:bookmarkEnd w:id="284"/>
      <w:r>
        <w:rPr>
          <w:rFonts w:hint="eastAsia" w:ascii="宋体" w:hAnsi="宋体" w:cs="宋体"/>
          <w:color w:val="000000" w:themeColor="text1"/>
          <w:sz w:val="24"/>
          <w14:textFill>
            <w14:solidFill>
              <w14:schemeClr w14:val="tx1"/>
            </w14:solidFill>
          </w14:textFill>
        </w:rPr>
        <w:t>构成</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5"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16" w:name="_Toc150774630"/>
      <w:bookmarkStart w:id="317" w:name="_Toc164608799"/>
      <w:bookmarkStart w:id="318" w:name="_Toc164229371"/>
      <w:bookmarkStart w:id="319" w:name="_Toc164608644"/>
      <w:bookmarkStart w:id="320" w:name="_Toc150480768"/>
      <w:bookmarkStart w:id="321" w:name="_Toc150774735"/>
      <w:bookmarkStart w:id="322" w:name="_Toc195842895"/>
      <w:bookmarkStart w:id="323" w:name="_Toc520356155"/>
      <w:bookmarkStart w:id="324" w:name="_Toc127151530"/>
      <w:bookmarkStart w:id="325" w:name="_Toc151193918"/>
      <w:bookmarkStart w:id="326" w:name="_Toc151193700"/>
      <w:bookmarkStart w:id="327" w:name="_Toc151193844"/>
      <w:bookmarkStart w:id="328" w:name="_Toc142311032"/>
      <w:bookmarkStart w:id="329" w:name="_Toc149720823"/>
      <w:bookmarkStart w:id="330" w:name="_Toc151190157"/>
      <w:bookmarkStart w:id="331" w:name="_Toc150509281"/>
      <w:bookmarkStart w:id="332" w:name="_Toc127161444"/>
      <w:bookmarkStart w:id="333" w:name="_Toc164351624"/>
      <w:bookmarkStart w:id="334" w:name="_Toc127151731"/>
      <w:bookmarkStart w:id="335" w:name="_Toc151193628"/>
      <w:bookmarkStart w:id="336" w:name="_Toc164229225"/>
      <w:bookmarkStart w:id="337" w:name="_Toc151193772"/>
      <w:r>
        <w:rPr>
          <w:rFonts w:hint="eastAsia" w:ascii="宋体" w:hAnsi="宋体" w:cs="宋体"/>
          <w:color w:val="000000" w:themeColor="text1"/>
          <w:sz w:val="24"/>
          <w14:textFill>
            <w14:solidFill>
              <w14:schemeClr w14:val="tx1"/>
            </w14:solidFill>
          </w14:textFill>
        </w:rPr>
        <w:t>投标报价</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38" w:name="_Toc164608645"/>
      <w:bookmarkStart w:id="339" w:name="_Toc127151531"/>
      <w:bookmarkStart w:id="340" w:name="_Toc164351625"/>
      <w:bookmarkStart w:id="341" w:name="_Toc265228369"/>
      <w:bookmarkStart w:id="342" w:name="_Toc226309775"/>
      <w:bookmarkStart w:id="343" w:name="_Toc226337227"/>
      <w:bookmarkStart w:id="344" w:name="_Toc195842896"/>
      <w:bookmarkStart w:id="345" w:name="_Toc150509282"/>
      <w:bookmarkStart w:id="346" w:name="_Toc305158873"/>
      <w:bookmarkStart w:id="347" w:name="_Toc164229226"/>
      <w:bookmarkStart w:id="348" w:name="_Toc164608800"/>
      <w:bookmarkStart w:id="349" w:name="_Toc150774631"/>
      <w:bookmarkStart w:id="350" w:name="_Toc150480769"/>
      <w:bookmarkStart w:id="351" w:name="_Toc127161445"/>
      <w:bookmarkStart w:id="352" w:name="_Toc150774736"/>
      <w:bookmarkStart w:id="353" w:name="_Ref467306513"/>
      <w:bookmarkStart w:id="354" w:name="_Toc127151732"/>
      <w:bookmarkStart w:id="355" w:name="_Toc151193773"/>
      <w:bookmarkStart w:id="356" w:name="_Toc151193919"/>
      <w:bookmarkStart w:id="357" w:name="_Toc142311033"/>
      <w:bookmarkStart w:id="358" w:name="_Toc264969221"/>
      <w:bookmarkStart w:id="359" w:name="_Toc151193629"/>
      <w:bookmarkStart w:id="360" w:name="_Toc151190158"/>
      <w:bookmarkStart w:id="361" w:name="_Toc149720824"/>
      <w:bookmarkStart w:id="362" w:name="_Toc226965721"/>
      <w:bookmarkStart w:id="363" w:name="_Toc226965804"/>
      <w:bookmarkStart w:id="364" w:name="_Toc305158799"/>
      <w:bookmarkStart w:id="365" w:name="_Toc164229372"/>
      <w:bookmarkStart w:id="366" w:name="_Toc520356156"/>
      <w:bookmarkStart w:id="367" w:name="_Toc151193845"/>
      <w:bookmarkStart w:id="368" w:name="_Toc151193701"/>
      <w:r>
        <w:rPr>
          <w:rFonts w:hint="eastAsia" w:ascii="宋体" w:hAnsi="宋体" w:cs="宋体"/>
          <w:color w:val="000000" w:themeColor="text1"/>
          <w:sz w:val="24"/>
          <w14:textFill>
            <w14:solidFill>
              <w14:schemeClr w14:val="tx1"/>
            </w14:solidFill>
          </w14:textFill>
        </w:rPr>
        <w:t>投标保证金</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69"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69"/>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70" w:name="_Toc164351626"/>
      <w:bookmarkStart w:id="371" w:name="_Toc142311034"/>
      <w:bookmarkStart w:id="372" w:name="_Toc149720825"/>
      <w:bookmarkStart w:id="373" w:name="_Toc151193774"/>
      <w:bookmarkStart w:id="374" w:name="_Toc127161446"/>
      <w:bookmarkStart w:id="375" w:name="_Toc151193846"/>
      <w:bookmarkStart w:id="376" w:name="_Toc164608801"/>
      <w:bookmarkStart w:id="377" w:name="_Toc520356157"/>
      <w:bookmarkStart w:id="378" w:name="_Toc150509283"/>
      <w:bookmarkStart w:id="379" w:name="_Toc150774632"/>
      <w:bookmarkStart w:id="380" w:name="_Toc305158800"/>
      <w:bookmarkStart w:id="381" w:name="_Toc164229227"/>
      <w:bookmarkStart w:id="382" w:name="_Toc265228370"/>
      <w:bookmarkStart w:id="383" w:name="_Toc127151733"/>
      <w:bookmarkStart w:id="384" w:name="_Toc305158874"/>
      <w:bookmarkStart w:id="385" w:name="_Toc195842897"/>
      <w:bookmarkStart w:id="386" w:name="_Toc164608646"/>
      <w:bookmarkStart w:id="387" w:name="_Toc150774737"/>
      <w:bookmarkStart w:id="388" w:name="_Toc151193630"/>
      <w:bookmarkStart w:id="389" w:name="_Toc226965805"/>
      <w:bookmarkStart w:id="390" w:name="_Toc164229373"/>
      <w:bookmarkStart w:id="391" w:name="_Toc151193920"/>
      <w:bookmarkStart w:id="392" w:name="_Toc226309776"/>
      <w:bookmarkStart w:id="393" w:name="_Toc150480770"/>
      <w:bookmarkStart w:id="394" w:name="_Toc127151532"/>
      <w:bookmarkStart w:id="395" w:name="_Toc151193702"/>
      <w:bookmarkStart w:id="396" w:name="_Toc226337228"/>
      <w:bookmarkStart w:id="397" w:name="_Toc264969222"/>
      <w:bookmarkStart w:id="398" w:name="_Toc151190159"/>
      <w:bookmarkStart w:id="399" w:name="_Toc226965722"/>
      <w:r>
        <w:rPr>
          <w:rFonts w:hint="eastAsia" w:ascii="宋体" w:hAnsi="宋体" w:cs="宋体"/>
          <w:color w:val="000000" w:themeColor="text1"/>
          <w:sz w:val="24"/>
          <w14:textFill>
            <w14:solidFill>
              <w14:schemeClr w14:val="tx1"/>
            </w14:solidFill>
          </w14:textFill>
        </w:rPr>
        <w:t>投标有效期</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00" w:name="_Toc226965723"/>
      <w:bookmarkStart w:id="401" w:name="_Toc151193703"/>
      <w:bookmarkStart w:id="402" w:name="_Toc150480771"/>
      <w:bookmarkStart w:id="403" w:name="_Toc150774738"/>
      <w:bookmarkStart w:id="404" w:name="_Toc150509284"/>
      <w:bookmarkStart w:id="405" w:name="_Toc127151734"/>
      <w:bookmarkStart w:id="406" w:name="_Toc149720826"/>
      <w:bookmarkStart w:id="407" w:name="_Toc164608802"/>
      <w:bookmarkStart w:id="408" w:name="_Toc127161447"/>
      <w:bookmarkStart w:id="409" w:name="_Toc305158875"/>
      <w:bookmarkStart w:id="410" w:name="_Toc305158801"/>
      <w:bookmarkStart w:id="411" w:name="_Toc164229228"/>
      <w:bookmarkStart w:id="412" w:name="_Toc226965806"/>
      <w:bookmarkStart w:id="413" w:name="_Toc264969223"/>
      <w:bookmarkStart w:id="414" w:name="_Toc151190160"/>
      <w:bookmarkStart w:id="415" w:name="_Toc150774633"/>
      <w:bookmarkStart w:id="416" w:name="_Toc151193631"/>
      <w:bookmarkStart w:id="417" w:name="_Toc142311035"/>
      <w:bookmarkStart w:id="418" w:name="_Toc127151533"/>
      <w:bookmarkStart w:id="419" w:name="_Toc151193775"/>
      <w:bookmarkStart w:id="420" w:name="_Toc151193847"/>
      <w:bookmarkStart w:id="421" w:name="_Toc164351627"/>
      <w:bookmarkStart w:id="422" w:name="_Toc520356158"/>
      <w:bookmarkStart w:id="423" w:name="_Toc195842898"/>
      <w:bookmarkStart w:id="424" w:name="_Toc151193921"/>
      <w:bookmarkStart w:id="425" w:name="_Toc226309777"/>
      <w:bookmarkStart w:id="426" w:name="_Toc164608647"/>
      <w:bookmarkStart w:id="427" w:name="_Toc226337229"/>
      <w:bookmarkStart w:id="428" w:name="_Toc265228371"/>
      <w:bookmarkStart w:id="429" w:name="_Toc164229374"/>
      <w:r>
        <w:rPr>
          <w:rFonts w:hint="eastAsia" w:ascii="宋体" w:hAnsi="宋体" w:cs="宋体"/>
          <w:color w:val="000000" w:themeColor="text1"/>
          <w:sz w:val="24"/>
          <w14:textFill>
            <w14:solidFill>
              <w14:schemeClr w14:val="tx1"/>
            </w14:solidFill>
          </w14:textFill>
        </w:rPr>
        <w:t>投标文件的签署</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30" w:name="_Toc151193704"/>
      <w:bookmarkStart w:id="431" w:name="_Toc150774634"/>
      <w:bookmarkStart w:id="432" w:name="_Toc226337230"/>
      <w:bookmarkStart w:id="433" w:name="_Toc305158802"/>
      <w:bookmarkStart w:id="434" w:name="_Toc151190161"/>
      <w:bookmarkStart w:id="435" w:name="_Toc226965724"/>
      <w:bookmarkStart w:id="436" w:name="_Toc142311036"/>
      <w:bookmarkStart w:id="437" w:name="_Toc150509285"/>
      <w:bookmarkStart w:id="438" w:name="_Toc151193632"/>
      <w:bookmarkStart w:id="439" w:name="_Toc226309778"/>
      <w:bookmarkStart w:id="440" w:name="_Toc305158876"/>
      <w:bookmarkStart w:id="441" w:name="_Toc150480772"/>
      <w:bookmarkStart w:id="442" w:name="_Toc151193848"/>
      <w:bookmarkStart w:id="443" w:name="_Toc150774739"/>
      <w:bookmarkStart w:id="444" w:name="_Toc151193776"/>
      <w:bookmarkStart w:id="445" w:name="_Toc264969224"/>
      <w:bookmarkStart w:id="446" w:name="_Toc265228372"/>
      <w:bookmarkStart w:id="447" w:name="_Toc151193922"/>
      <w:bookmarkStart w:id="448" w:name="_Toc127151534"/>
      <w:bookmarkStart w:id="449" w:name="_Toc520356159"/>
      <w:bookmarkStart w:id="450" w:name="_Toc195842899"/>
      <w:bookmarkStart w:id="451" w:name="_Toc226965807"/>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6"/>
        <w:rPr>
          <w:rStyle w:val="465"/>
          <w:rFonts w:hint="default" w:ascii="宋体" w:hAnsi="宋体"/>
          <w:b/>
        </w:rPr>
      </w:pPr>
      <w:r>
        <w:rPr>
          <w:rStyle w:val="465"/>
          <w:rFonts w:hint="default" w:ascii="宋体" w:hAnsi="宋体"/>
          <w:b/>
        </w:rPr>
        <w:t>四   投标文件的提交</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2" w:name="_Toc520356160"/>
      <w:bookmarkStart w:id="453" w:name="_Toc164351629"/>
      <w:bookmarkStart w:id="454" w:name="_Toc149720828"/>
      <w:bookmarkStart w:id="455" w:name="_Toc226309779"/>
      <w:bookmarkStart w:id="456" w:name="_Toc226965808"/>
      <w:bookmarkStart w:id="457" w:name="_Toc226965725"/>
      <w:bookmarkStart w:id="458" w:name="_Toc226337231"/>
      <w:bookmarkStart w:id="459" w:name="_Toc150480773"/>
      <w:bookmarkStart w:id="460" w:name="_Toc264969225"/>
      <w:bookmarkStart w:id="461" w:name="_Toc151193923"/>
      <w:bookmarkStart w:id="462" w:name="_Toc127161449"/>
      <w:bookmarkStart w:id="463" w:name="_Toc151193633"/>
      <w:bookmarkStart w:id="464" w:name="_Toc305158803"/>
      <w:bookmarkStart w:id="465" w:name="_Toc195842900"/>
      <w:bookmarkStart w:id="466" w:name="_Toc164608649"/>
      <w:bookmarkStart w:id="467" w:name="_Toc127151736"/>
      <w:bookmarkStart w:id="468" w:name="_Toc305158877"/>
      <w:bookmarkStart w:id="469" w:name="_Toc151190162"/>
      <w:bookmarkStart w:id="470" w:name="_Toc164608804"/>
      <w:bookmarkStart w:id="471" w:name="_Toc150509286"/>
      <w:bookmarkStart w:id="472" w:name="_Toc150774740"/>
      <w:bookmarkStart w:id="473" w:name="_Toc151193777"/>
      <w:bookmarkStart w:id="474" w:name="_Toc265228373"/>
      <w:bookmarkStart w:id="475" w:name="_Toc151193705"/>
      <w:bookmarkStart w:id="476" w:name="_Toc164229230"/>
      <w:bookmarkStart w:id="477" w:name="_Toc150774635"/>
      <w:bookmarkStart w:id="478" w:name="_Toc164229376"/>
      <w:bookmarkStart w:id="479" w:name="_Toc127151535"/>
      <w:bookmarkStart w:id="480" w:name="_Toc151193849"/>
      <w:bookmarkStart w:id="481" w:name="_Toc142311037"/>
      <w:r>
        <w:rPr>
          <w:rFonts w:hint="eastAsia" w:ascii="宋体" w:hAnsi="宋体" w:cs="宋体"/>
          <w:color w:val="000000" w:themeColor="text1"/>
          <w:sz w:val="24"/>
          <w14:textFill>
            <w14:solidFill>
              <w14:schemeClr w14:val="tx1"/>
            </w14:solidFill>
          </w14:textFill>
        </w:rPr>
        <w:t>投标文件的</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2" w:name="_Toc151193706"/>
      <w:bookmarkStart w:id="483" w:name="_Toc127151737"/>
      <w:bookmarkStart w:id="484" w:name="_Toc226337232"/>
      <w:bookmarkStart w:id="485" w:name="_Toc151193634"/>
      <w:bookmarkStart w:id="486" w:name="_Toc164351630"/>
      <w:bookmarkStart w:id="487" w:name="_Toc150774741"/>
      <w:bookmarkStart w:id="488" w:name="_Toc226965726"/>
      <w:bookmarkStart w:id="489" w:name="_Toc164229231"/>
      <w:bookmarkStart w:id="490" w:name="_Toc265228374"/>
      <w:bookmarkStart w:id="491" w:name="_Toc127161450"/>
      <w:bookmarkStart w:id="492" w:name="_Toc520356161"/>
      <w:bookmarkStart w:id="493" w:name="_Toc142311038"/>
      <w:bookmarkStart w:id="494" w:name="_Toc150509287"/>
      <w:bookmarkStart w:id="495" w:name="_Toc164229377"/>
      <w:bookmarkStart w:id="496" w:name="_Toc151193924"/>
      <w:bookmarkStart w:id="497" w:name="_Toc149720829"/>
      <w:bookmarkStart w:id="498" w:name="_Toc151190163"/>
      <w:bookmarkStart w:id="499" w:name="_Toc150774636"/>
      <w:bookmarkStart w:id="500" w:name="_Toc195842901"/>
      <w:bookmarkStart w:id="501" w:name="_Toc305158804"/>
      <w:bookmarkStart w:id="502" w:name="_Toc164608650"/>
      <w:bookmarkStart w:id="503" w:name="_Toc264969226"/>
      <w:bookmarkStart w:id="504" w:name="_Toc226965809"/>
      <w:bookmarkStart w:id="505" w:name="_Toc305158878"/>
      <w:bookmarkStart w:id="506" w:name="_Toc226309780"/>
      <w:bookmarkStart w:id="507" w:name="_Toc151193850"/>
      <w:bookmarkStart w:id="508" w:name="_Toc164608805"/>
      <w:bookmarkStart w:id="509" w:name="_Toc151193778"/>
      <w:bookmarkStart w:id="510" w:name="_Toc127151536"/>
      <w:bookmarkStart w:id="511" w:name="_Toc150480774"/>
      <w:r>
        <w:rPr>
          <w:rFonts w:hint="eastAsia" w:ascii="宋体" w:hAnsi="宋体" w:cs="宋体"/>
          <w:color w:val="000000" w:themeColor="text1"/>
          <w:sz w:val="24"/>
          <w14:textFill>
            <w14:solidFill>
              <w14:schemeClr w14:val="tx1"/>
            </w14:solidFill>
          </w14:textFill>
        </w:rPr>
        <w:t>投标截止</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2" w:name="_Toc142311039"/>
      <w:bookmarkStart w:id="513" w:name="_Toc150774742"/>
      <w:bookmarkStart w:id="514" w:name="_Toc195842902"/>
      <w:bookmarkStart w:id="515" w:name="_Toc226309781"/>
      <w:bookmarkStart w:id="516" w:name="_Toc127161451"/>
      <w:bookmarkStart w:id="517" w:name="_Toc151193635"/>
      <w:bookmarkStart w:id="518" w:name="_Toc226965727"/>
      <w:bookmarkStart w:id="519" w:name="_Toc226965810"/>
      <w:bookmarkStart w:id="520" w:name="_Toc127151537"/>
      <w:bookmarkStart w:id="521" w:name="_Toc164229378"/>
      <w:bookmarkStart w:id="522" w:name="_Toc305158879"/>
      <w:bookmarkStart w:id="523" w:name="_Toc127151738"/>
      <w:bookmarkStart w:id="524" w:name="_Toc264969227"/>
      <w:bookmarkStart w:id="525" w:name="_Toc150774637"/>
      <w:bookmarkStart w:id="526" w:name="_Toc164608806"/>
      <w:bookmarkStart w:id="527" w:name="_Toc151193925"/>
      <w:bookmarkStart w:id="528" w:name="_Toc151193851"/>
      <w:bookmarkStart w:id="529" w:name="_Toc149720830"/>
      <w:bookmarkStart w:id="530" w:name="_Toc305158805"/>
      <w:bookmarkStart w:id="531" w:name="_Toc151193707"/>
      <w:bookmarkStart w:id="532" w:name="_Toc164229232"/>
      <w:bookmarkStart w:id="533" w:name="_Toc151193779"/>
      <w:bookmarkStart w:id="534" w:name="_Toc226337233"/>
      <w:bookmarkStart w:id="535" w:name="_Toc150480775"/>
      <w:bookmarkStart w:id="536" w:name="_Toc150509288"/>
      <w:bookmarkStart w:id="537" w:name="_Toc520356162"/>
      <w:bookmarkStart w:id="538" w:name="_Toc265228375"/>
      <w:bookmarkStart w:id="539" w:name="_Toc164608651"/>
      <w:bookmarkStart w:id="540" w:name="_Toc164351631"/>
      <w:bookmarkStart w:id="541" w:name="_Toc151190164"/>
      <w:r>
        <w:rPr>
          <w:rFonts w:hint="eastAsia" w:ascii="宋体" w:hAnsi="宋体" w:cs="宋体"/>
          <w:color w:val="000000" w:themeColor="text1"/>
          <w:sz w:val="24"/>
          <w14:textFill>
            <w14:solidFill>
              <w14:schemeClr w14:val="tx1"/>
            </w14:solidFill>
          </w14:textFill>
        </w:rPr>
        <w:t>投标文件的修改与撤回</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6"/>
        <w:rPr>
          <w:rStyle w:val="465"/>
          <w:rFonts w:hint="default" w:ascii="宋体" w:hAnsi="宋体"/>
          <w:b/>
        </w:rPr>
      </w:pPr>
      <w:bookmarkStart w:id="542" w:name="_Toc151193708"/>
      <w:bookmarkStart w:id="543" w:name="_Toc127151538"/>
      <w:bookmarkStart w:id="544" w:name="_Toc151193926"/>
      <w:bookmarkStart w:id="545" w:name="_Toc151190165"/>
      <w:bookmarkStart w:id="546" w:name="_Toc150774743"/>
      <w:bookmarkStart w:id="547" w:name="_Toc151193780"/>
      <w:bookmarkStart w:id="548" w:name="_Toc226965811"/>
      <w:bookmarkStart w:id="549" w:name="_Toc305158880"/>
      <w:bookmarkStart w:id="550" w:name="_Toc264969228"/>
      <w:bookmarkStart w:id="551" w:name="_Toc150774638"/>
      <w:bookmarkStart w:id="552" w:name="_Toc195842903"/>
      <w:bookmarkStart w:id="553" w:name="_Toc226337234"/>
      <w:bookmarkStart w:id="554" w:name="_Toc226965728"/>
      <w:bookmarkStart w:id="555" w:name="_Toc150480776"/>
      <w:bookmarkStart w:id="556" w:name="_Toc520356163"/>
      <w:bookmarkStart w:id="557" w:name="_Toc151193636"/>
      <w:bookmarkStart w:id="558" w:name="_Toc265228376"/>
      <w:bookmarkStart w:id="559" w:name="_Toc151193852"/>
      <w:bookmarkStart w:id="560" w:name="_Toc150509289"/>
      <w:bookmarkStart w:id="561" w:name="_Toc142311040"/>
      <w:bookmarkStart w:id="562" w:name="_Toc226309782"/>
      <w:bookmarkStart w:id="563" w:name="_Toc305158806"/>
      <w:r>
        <w:rPr>
          <w:rStyle w:val="465"/>
          <w:rFonts w:hint="default" w:ascii="宋体" w:hAnsi="宋体"/>
          <w:b/>
        </w:rPr>
        <w:t>五   开标、资格审查及评标</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4" w:name="_Toc151193637"/>
      <w:bookmarkStart w:id="565" w:name="_Toc520356164"/>
      <w:bookmarkStart w:id="566" w:name="_Toc150774744"/>
      <w:bookmarkStart w:id="567" w:name="_Toc149720832"/>
      <w:bookmarkStart w:id="568" w:name="_Toc164351633"/>
      <w:bookmarkStart w:id="569" w:name="_Toc127161453"/>
      <w:bookmarkStart w:id="570" w:name="_Toc226337235"/>
      <w:bookmarkStart w:id="571" w:name="_Toc151193709"/>
      <w:bookmarkStart w:id="572" w:name="_Toc151193927"/>
      <w:bookmarkStart w:id="573" w:name="_Toc142311041"/>
      <w:bookmarkStart w:id="574" w:name="_Toc150480777"/>
      <w:bookmarkStart w:id="575" w:name="_Toc127151539"/>
      <w:bookmarkStart w:id="576" w:name="_Toc151190166"/>
      <w:bookmarkStart w:id="577" w:name="_Toc164229380"/>
      <w:bookmarkStart w:id="578" w:name="_Toc226965812"/>
      <w:bookmarkStart w:id="579" w:name="_Toc265228377"/>
      <w:bookmarkStart w:id="580" w:name="_Toc305158881"/>
      <w:bookmarkStart w:id="581" w:name="_Toc305158807"/>
      <w:bookmarkStart w:id="582" w:name="_Toc164608653"/>
      <w:bookmarkStart w:id="583" w:name="_Toc164229234"/>
      <w:bookmarkStart w:id="584" w:name="_Toc195842904"/>
      <w:bookmarkStart w:id="585" w:name="_Toc150774639"/>
      <w:bookmarkStart w:id="586" w:name="_Toc264969229"/>
      <w:bookmarkStart w:id="587" w:name="_Toc226309783"/>
      <w:bookmarkStart w:id="588" w:name="_Toc127151740"/>
      <w:bookmarkStart w:id="589" w:name="_Toc164608808"/>
      <w:bookmarkStart w:id="590" w:name="_Toc151193853"/>
      <w:bookmarkStart w:id="591" w:name="_Toc151193781"/>
      <w:bookmarkStart w:id="592" w:name="_Toc150509290"/>
      <w:bookmarkStart w:id="593" w:name="_Toc226965729"/>
      <w:r>
        <w:rPr>
          <w:rFonts w:hint="eastAsia" w:ascii="宋体" w:hAnsi="宋体" w:cs="宋体"/>
          <w:color w:val="000000" w:themeColor="text1"/>
          <w:sz w:val="24"/>
          <w14:textFill>
            <w14:solidFill>
              <w14:schemeClr w14:val="tx1"/>
            </w14:solidFill>
          </w14:textFill>
        </w:rPr>
        <w:t>开标</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4"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4"/>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5" w:name="_Toc264969230"/>
      <w:bookmarkStart w:id="596" w:name="_Toc226309784"/>
      <w:bookmarkStart w:id="597" w:name="_Toc151193782"/>
      <w:bookmarkStart w:id="598" w:name="_Toc142311042"/>
      <w:bookmarkStart w:id="599" w:name="_Toc150774745"/>
      <w:bookmarkStart w:id="600" w:name="_Toc226965813"/>
      <w:bookmarkStart w:id="601" w:name="_Toc164351634"/>
      <w:bookmarkStart w:id="602" w:name="_Toc151193710"/>
      <w:bookmarkStart w:id="603" w:name="_Toc164608654"/>
      <w:bookmarkStart w:id="604" w:name="_Toc150480778"/>
      <w:bookmarkStart w:id="605" w:name="_Toc195842905"/>
      <w:bookmarkStart w:id="606" w:name="_Toc151193854"/>
      <w:bookmarkStart w:id="607" w:name="_Toc226337236"/>
      <w:bookmarkStart w:id="608" w:name="_Toc164229235"/>
      <w:bookmarkStart w:id="609" w:name="_Toc127161454"/>
      <w:bookmarkStart w:id="610" w:name="_Toc305158882"/>
      <w:bookmarkStart w:id="611" w:name="_Toc226965730"/>
      <w:bookmarkStart w:id="612" w:name="_Toc150774640"/>
      <w:bookmarkStart w:id="613" w:name="_Toc151190167"/>
      <w:bookmarkStart w:id="614" w:name="_Toc127151540"/>
      <w:bookmarkStart w:id="615" w:name="_Toc305158808"/>
      <w:bookmarkStart w:id="616" w:name="_Toc149720833"/>
      <w:bookmarkStart w:id="617" w:name="_Toc127151741"/>
      <w:bookmarkStart w:id="618" w:name="_Toc151193638"/>
      <w:bookmarkStart w:id="619" w:name="_Toc164229381"/>
      <w:bookmarkStart w:id="620" w:name="_Toc265228378"/>
      <w:bookmarkStart w:id="621" w:name="_Toc150509291"/>
      <w:bookmarkStart w:id="622" w:name="_Toc151193928"/>
      <w:bookmarkStart w:id="623" w:name="_Toc164608809"/>
      <w:r>
        <w:rPr>
          <w:rFonts w:hint="eastAsia" w:ascii="宋体" w:hAnsi="宋体" w:cs="宋体"/>
          <w:color w:val="000000" w:themeColor="text1"/>
          <w:sz w:val="24"/>
          <w14:textFill>
            <w14:solidFill>
              <w14:schemeClr w14:val="tx1"/>
            </w14:solidFill>
          </w14:textFill>
        </w:rPr>
        <w:t>评标委员会</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4"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4"/>
      <w:bookmarkStart w:id="625"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6"/>
        <w:rPr>
          <w:rStyle w:val="465"/>
          <w:rFonts w:hint="default" w:ascii="宋体" w:hAnsi="宋体"/>
          <w:b/>
        </w:rPr>
      </w:pPr>
      <w:bookmarkStart w:id="626" w:name="_Toc151193715"/>
      <w:bookmarkStart w:id="627" w:name="_Toc151190172"/>
      <w:bookmarkStart w:id="628" w:name="_Toc150774750"/>
      <w:bookmarkStart w:id="629" w:name="_Toc265228383"/>
      <w:bookmarkStart w:id="630" w:name="_Toc127151545"/>
      <w:bookmarkStart w:id="631" w:name="_Toc264969235"/>
      <w:bookmarkStart w:id="632" w:name="_Toc142311047"/>
      <w:bookmarkStart w:id="633" w:name="_Toc150509296"/>
      <w:bookmarkStart w:id="634" w:name="_Toc150774645"/>
      <w:bookmarkStart w:id="635" w:name="_Toc226965735"/>
      <w:bookmarkStart w:id="636" w:name="_Toc226309789"/>
      <w:bookmarkStart w:id="637" w:name="_Toc195842910"/>
      <w:bookmarkStart w:id="638" w:name="_Toc305158813"/>
      <w:bookmarkStart w:id="639" w:name="_Toc226337241"/>
      <w:bookmarkStart w:id="640" w:name="_Toc226965818"/>
      <w:bookmarkStart w:id="641" w:name="_Toc151193859"/>
      <w:bookmarkStart w:id="642" w:name="_Toc151193933"/>
      <w:bookmarkStart w:id="643" w:name="_Toc151193643"/>
      <w:bookmarkStart w:id="644" w:name="_Toc305158887"/>
      <w:bookmarkStart w:id="645" w:name="_Toc151193787"/>
      <w:bookmarkStart w:id="646" w:name="_Toc150480783"/>
      <w:r>
        <w:rPr>
          <w:rStyle w:val="465"/>
          <w:rFonts w:hint="default" w:ascii="宋体" w:hAnsi="宋体"/>
          <w:b/>
        </w:rPr>
        <w:t xml:space="preserve">六   </w:t>
      </w:r>
      <w:bookmarkEnd w:id="625"/>
      <w:r>
        <w:rPr>
          <w:rStyle w:val="465"/>
          <w:rFonts w:hint="default" w:ascii="宋体" w:hAnsi="宋体"/>
          <w:b/>
        </w:rPr>
        <w:t>确定中标</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Start w:id="647" w:name="_Toc151193645"/>
      <w:bookmarkStart w:id="648" w:name="_Toc127151547"/>
      <w:bookmarkStart w:id="649" w:name="_Toc305158889"/>
      <w:bookmarkStart w:id="650" w:name="_Toc151193717"/>
      <w:bookmarkStart w:id="651" w:name="_Toc150774752"/>
      <w:bookmarkStart w:id="652" w:name="_Toc142311049"/>
      <w:bookmarkStart w:id="653" w:name="_Toc164229388"/>
      <w:bookmarkStart w:id="654" w:name="_Toc127151748"/>
      <w:bookmarkStart w:id="655" w:name="_Toc164608816"/>
      <w:bookmarkStart w:id="656" w:name="_Toc150774647"/>
      <w:bookmarkStart w:id="657" w:name="_Toc195842912"/>
      <w:bookmarkStart w:id="658" w:name="_Toc226337243"/>
      <w:bookmarkStart w:id="659" w:name="_Toc151193789"/>
      <w:bookmarkStart w:id="660" w:name="_Toc151193935"/>
      <w:bookmarkStart w:id="661" w:name="_Toc127161461"/>
      <w:bookmarkStart w:id="662" w:name="_Toc164608661"/>
      <w:bookmarkStart w:id="663" w:name="_Toc226309791"/>
      <w:bookmarkStart w:id="664" w:name="_Toc164351641"/>
      <w:bookmarkStart w:id="665" w:name="_Toc226965737"/>
      <w:bookmarkStart w:id="666" w:name="_Toc305158815"/>
      <w:bookmarkStart w:id="667" w:name="_Toc265228385"/>
      <w:bookmarkStart w:id="668" w:name="_Toc264969237"/>
      <w:bookmarkStart w:id="669" w:name="_Toc150509298"/>
      <w:bookmarkStart w:id="670" w:name="_Toc151193861"/>
      <w:bookmarkStart w:id="671" w:name="_Toc226965820"/>
      <w:bookmarkStart w:id="672" w:name="_Toc149720840"/>
      <w:bookmarkStart w:id="673" w:name="_Toc151190174"/>
      <w:bookmarkStart w:id="674" w:name="_Toc164229242"/>
      <w:bookmarkStart w:id="675" w:name="_Toc15048078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76" w:name="_Toc305158817"/>
      <w:bookmarkStart w:id="677" w:name="_Toc305158891"/>
      <w:bookmarkStart w:id="678" w:name="_Toc127161463"/>
      <w:bookmarkStart w:id="679" w:name="_Toc226965739"/>
      <w:bookmarkStart w:id="680" w:name="_Toc142311051"/>
      <w:bookmarkStart w:id="681" w:name="_Toc150774754"/>
      <w:bookmarkStart w:id="682" w:name="_Toc195842914"/>
      <w:bookmarkStart w:id="683" w:name="_Toc164351643"/>
      <w:bookmarkStart w:id="684" w:name="_Toc151193791"/>
      <w:bookmarkStart w:id="685" w:name="_Toc151193863"/>
      <w:bookmarkStart w:id="686" w:name="_Toc150509300"/>
      <w:bookmarkStart w:id="687" w:name="_Toc264969239"/>
      <w:bookmarkStart w:id="688" w:name="_Toc226309793"/>
      <w:bookmarkStart w:id="689" w:name="_Toc150774649"/>
      <w:bookmarkStart w:id="690" w:name="_Toc226965822"/>
      <w:bookmarkStart w:id="691" w:name="_Toc226337245"/>
      <w:bookmarkStart w:id="692" w:name="_Toc151193719"/>
      <w:bookmarkStart w:id="693" w:name="_Toc127151549"/>
      <w:bookmarkStart w:id="694" w:name="_Toc149720842"/>
      <w:bookmarkStart w:id="695" w:name="_Toc164229390"/>
      <w:bookmarkStart w:id="696" w:name="_Toc150480787"/>
      <w:bookmarkStart w:id="697" w:name="_Toc127151750"/>
      <w:bookmarkStart w:id="698" w:name="_Toc164229244"/>
      <w:bookmarkStart w:id="699" w:name="_Toc265228387"/>
      <w:bookmarkStart w:id="700" w:name="_Toc164608663"/>
      <w:bookmarkStart w:id="701" w:name="_Toc151193647"/>
      <w:bookmarkStart w:id="702" w:name="_Toc151190176"/>
      <w:bookmarkStart w:id="703" w:name="_Toc164608818"/>
      <w:bookmarkStart w:id="704" w:name="_Toc151193937"/>
      <w:bookmarkStart w:id="705" w:name="_Ref467306425"/>
      <w:bookmarkStart w:id="706" w:name="_Toc520356176"/>
      <w:bookmarkStart w:id="707" w:name="_Ref467307090"/>
      <w:r>
        <w:rPr>
          <w:rFonts w:hint="eastAsia" w:ascii="宋体" w:hAnsi="宋体" w:cs="宋体"/>
          <w:color w:val="000000" w:themeColor="text1"/>
          <w:sz w:val="24"/>
          <w14:textFill>
            <w14:solidFill>
              <w14:schemeClr w14:val="tx1"/>
            </w14:solidFill>
          </w14:textFill>
        </w:rPr>
        <w:t>中标公告与中标通知书</w:t>
      </w:r>
      <w:bookmarkEnd w:id="676"/>
      <w:bookmarkEnd w:id="67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08" w:name="_Toc127151550"/>
      <w:bookmarkStart w:id="709" w:name="_Toc164608819"/>
      <w:bookmarkStart w:id="710" w:name="_Toc150509301"/>
      <w:bookmarkStart w:id="711" w:name="_Toc305158892"/>
      <w:bookmarkStart w:id="712" w:name="_Toc226965823"/>
      <w:bookmarkStart w:id="713" w:name="_Toc150774755"/>
      <w:bookmarkStart w:id="714" w:name="_Toc226337246"/>
      <w:bookmarkStart w:id="715" w:name="_Toc142311052"/>
      <w:bookmarkStart w:id="716" w:name="_Toc151193864"/>
      <w:bookmarkStart w:id="717" w:name="_Toc151193720"/>
      <w:bookmarkStart w:id="718" w:name="_Toc127151751"/>
      <w:bookmarkStart w:id="719" w:name="_Toc149720843"/>
      <w:bookmarkStart w:id="720" w:name="_Toc226309794"/>
      <w:bookmarkStart w:id="721" w:name="_Toc151193792"/>
      <w:bookmarkStart w:id="722" w:name="_Toc265228388"/>
      <w:bookmarkStart w:id="723" w:name="_Toc164229391"/>
      <w:bookmarkStart w:id="724" w:name="_Toc150774650"/>
      <w:bookmarkStart w:id="725" w:name="_Toc226965740"/>
      <w:bookmarkStart w:id="726" w:name="_Toc520356175"/>
      <w:bookmarkStart w:id="727" w:name="_Toc151190177"/>
      <w:bookmarkStart w:id="728" w:name="_Ref467306978"/>
      <w:bookmarkStart w:id="729" w:name="_Ref467307062"/>
      <w:bookmarkStart w:id="730" w:name="_Toc150480788"/>
      <w:bookmarkStart w:id="731" w:name="_Ref467307204"/>
      <w:bookmarkStart w:id="732" w:name="_Toc264969240"/>
      <w:bookmarkStart w:id="733" w:name="_Toc127161464"/>
      <w:bookmarkStart w:id="734" w:name="_Toc164351644"/>
      <w:bookmarkStart w:id="735" w:name="_Toc151193648"/>
      <w:bookmarkStart w:id="736" w:name="_Toc164229245"/>
      <w:bookmarkStart w:id="737" w:name="_Ref467306377"/>
      <w:bookmarkStart w:id="738" w:name="_Toc151193938"/>
      <w:bookmarkStart w:id="739" w:name="_Toc164608664"/>
      <w:bookmarkStart w:id="740" w:name="_Toc305158818"/>
      <w:bookmarkStart w:id="741" w:name="_Toc195842915"/>
      <w:r>
        <w:rPr>
          <w:rFonts w:hint="eastAsia" w:ascii="宋体" w:hAnsi="宋体" w:cs="宋体"/>
          <w:color w:val="000000" w:themeColor="text1"/>
          <w:sz w:val="24"/>
          <w14:textFill>
            <w14:solidFill>
              <w14:schemeClr w14:val="tx1"/>
            </w14:solidFill>
          </w14:textFill>
        </w:rPr>
        <w:t>签订合同</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5"/>
    <w:bookmarkEnd w:id="706"/>
    <w:bookmarkEnd w:id="707"/>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p>
    <w:p>
      <w:pPr>
        <w:tabs>
          <w:tab w:val="left" w:pos="360"/>
          <w:tab w:val="left" w:pos="1080"/>
        </w:tabs>
        <w:snapToGrid w:val="0"/>
        <w:spacing w:line="360" w:lineRule="auto"/>
        <w:ind w:left="360"/>
        <w:rPr>
          <w:rFonts w:ascii="宋体" w:hAnsi="宋体" w:cs="宋体"/>
          <w:color w:val="000000" w:themeColor="text1"/>
          <w:sz w:val="24"/>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2" w:name="_Toc226337250"/>
      <w:bookmarkStart w:id="743" w:name="_Toc142311056"/>
      <w:bookmarkStart w:id="744" w:name="_Toc305158822"/>
      <w:bookmarkStart w:id="745" w:name="_Toc150480792"/>
      <w:bookmarkStart w:id="746" w:name="_Toc353873664"/>
      <w:bookmarkStart w:id="747" w:name="_Toc150774759"/>
      <w:bookmarkStart w:id="748" w:name="_Toc226965827"/>
      <w:bookmarkStart w:id="749" w:name="_Toc127151554"/>
      <w:bookmarkStart w:id="750" w:name="_Toc353825544"/>
      <w:bookmarkStart w:id="751" w:name="_Toc265228392"/>
      <w:bookmarkStart w:id="752" w:name="_Toc264969244"/>
      <w:bookmarkStart w:id="753" w:name="_Toc305158896"/>
      <w:bookmarkStart w:id="754" w:name="_Toc353873934"/>
      <w:r>
        <w:rPr>
          <w:rFonts w:hint="eastAsia" w:ascii="宋体" w:hAnsi="宋体" w:cs="宋体"/>
          <w:color w:val="000000" w:themeColor="text1"/>
          <w:sz w:val="24"/>
          <w14:textFill>
            <w14:solidFill>
              <w14:schemeClr w14:val="tx1"/>
            </w14:solidFill>
          </w14:textFill>
        </w:rPr>
        <w:br w:type="page"/>
      </w:r>
      <w:bookmarkStart w:id="755" w:name="_Toc218620568"/>
      <w:bookmarkStart w:id="756" w:name="_Toc99301421"/>
      <w:r>
        <w:rPr>
          <w:rFonts w:hint="eastAsia" w:ascii="宋体" w:hAnsi="宋体" w:cs="宋体"/>
          <w:b/>
          <w:color w:val="000000" w:themeColor="text1"/>
          <w:sz w:val="36"/>
          <w:szCs w:val="36"/>
          <w14:textFill>
            <w14:solidFill>
              <w14:schemeClr w14:val="tx1"/>
            </w14:solidFill>
          </w14:textFill>
        </w:rPr>
        <w:t xml:space="preserve">第三章   </w:t>
      </w:r>
      <w:bookmarkEnd w:id="742"/>
      <w:bookmarkEnd w:id="743"/>
      <w:bookmarkEnd w:id="744"/>
      <w:bookmarkEnd w:id="745"/>
      <w:bookmarkEnd w:id="746"/>
      <w:bookmarkEnd w:id="747"/>
      <w:bookmarkEnd w:id="748"/>
      <w:bookmarkEnd w:id="749"/>
      <w:bookmarkEnd w:id="750"/>
      <w:bookmarkEnd w:id="751"/>
      <w:bookmarkEnd w:id="752"/>
      <w:bookmarkEnd w:id="753"/>
      <w:bookmarkEnd w:id="754"/>
      <w:r>
        <w:rPr>
          <w:rFonts w:hint="eastAsia" w:ascii="宋体" w:hAnsi="宋体" w:cs="宋体"/>
          <w:b/>
          <w:color w:val="000000" w:themeColor="text1"/>
          <w:sz w:val="36"/>
          <w:szCs w:val="36"/>
          <w14:textFill>
            <w14:solidFill>
              <w14:schemeClr w14:val="tx1"/>
            </w14:solidFill>
          </w14:textFill>
        </w:rPr>
        <w:t>资格审查</w:t>
      </w:r>
      <w:bookmarkEnd w:id="755"/>
      <w:bookmarkEnd w:id="756"/>
      <w:bookmarkStart w:id="757"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58" w:name="_Toc99301422"/>
      <w:r>
        <w:rPr>
          <w:rFonts w:hint="eastAsia" w:ascii="宋体" w:hAnsi="宋体" w:cs="宋体"/>
          <w:b/>
          <w:color w:val="000000" w:themeColor="text1"/>
          <w:sz w:val="24"/>
          <w14:textFill>
            <w14:solidFill>
              <w14:schemeClr w14:val="tx1"/>
            </w14:solidFill>
          </w14:textFill>
        </w:rPr>
        <w:t>一、资格审查程序</w:t>
      </w:r>
      <w:bookmarkEnd w:id="758"/>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59" w:name="_Hlt487972895"/>
            <w:bookmarkEnd w:id="759"/>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r>
              <w:rPr>
                <w:rFonts w:hint="eastAsia" w:ascii="宋体" w:hAnsi="宋体" w:cs="宋体"/>
                <w:sz w:val="24"/>
              </w:rPr>
              <w:t>（包号1不适用）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60" w:name="OLE_LINK123"/>
            <w:bookmarkStart w:id="761" w:name="OLE_LINK122"/>
            <w:r>
              <w:rPr>
                <w:rFonts w:hint="eastAsia" w:ascii="宋体" w:hAnsi="宋体" w:cs="宋体"/>
                <w:color w:val="000000" w:themeColor="text1"/>
                <w:sz w:val="24"/>
                <w14:textFill>
                  <w14:solidFill>
                    <w14:schemeClr w14:val="tx1"/>
                  </w14:solidFill>
                </w14:textFill>
              </w:rPr>
              <w:t>（本项目不适用）</w:t>
            </w:r>
            <w:bookmarkEnd w:id="760"/>
            <w:bookmarkEnd w:id="761"/>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2" w:name="_Hlt487900425"/>
        <w:bookmarkStart w:id="763"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757"/>
      <w:bookmarkEnd w:id="762"/>
      <w:bookmarkEnd w:id="763"/>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4" w:name="_Toc127161490"/>
      <w:bookmarkStart w:id="765" w:name="_Toc226965858"/>
      <w:bookmarkStart w:id="766" w:name="_Toc353873940"/>
      <w:bookmarkStart w:id="767" w:name="_Toc353825550"/>
      <w:bookmarkStart w:id="768" w:name="_Toc127151779"/>
      <w:bookmarkStart w:id="769" w:name="_Toc99301423"/>
      <w:r>
        <w:rPr>
          <w:rFonts w:hint="eastAsia" w:ascii="宋体" w:hAnsi="宋体" w:cs="宋体"/>
          <w:b/>
          <w:color w:val="000000" w:themeColor="text1"/>
          <w:sz w:val="36"/>
          <w:szCs w:val="36"/>
          <w14:textFill>
            <w14:solidFill>
              <w14:schemeClr w14:val="tx1"/>
            </w14:solidFill>
          </w14:textFill>
        </w:rPr>
        <w:br w:type="page"/>
      </w:r>
      <w:bookmarkStart w:id="770" w:name="_Toc218620569"/>
      <w:r>
        <w:rPr>
          <w:rFonts w:hint="eastAsia" w:ascii="宋体" w:hAnsi="宋体" w:cs="宋体"/>
          <w:b/>
          <w:color w:val="000000" w:themeColor="text1"/>
          <w:sz w:val="36"/>
          <w:szCs w:val="36"/>
          <w14:textFill>
            <w14:solidFill>
              <w14:schemeClr w14:val="tx1"/>
            </w14:solidFill>
          </w14:textFill>
        </w:rPr>
        <w:t xml:space="preserve">第四章   </w:t>
      </w:r>
      <w:bookmarkEnd w:id="764"/>
      <w:bookmarkEnd w:id="765"/>
      <w:bookmarkEnd w:id="766"/>
      <w:bookmarkEnd w:id="767"/>
      <w:bookmarkEnd w:id="768"/>
      <w:bookmarkStart w:id="771" w:name="_Hlt164229061"/>
      <w:bookmarkEnd w:id="771"/>
      <w:r>
        <w:rPr>
          <w:rFonts w:hint="eastAsia" w:ascii="宋体" w:hAnsi="宋体" w:cs="宋体"/>
          <w:b/>
          <w:color w:val="000000" w:themeColor="text1"/>
          <w:sz w:val="36"/>
          <w:szCs w:val="36"/>
          <w14:textFill>
            <w14:solidFill>
              <w14:schemeClr w14:val="tx1"/>
            </w14:solidFill>
          </w14:textFill>
        </w:rPr>
        <w:t>评标程序、评标方法和评标标准</w:t>
      </w:r>
      <w:bookmarkEnd w:id="769"/>
      <w:bookmarkEnd w:id="770"/>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2" w:name="_Toc127151742"/>
      <w:bookmarkStart w:id="773" w:name="_Toc151193855"/>
      <w:bookmarkStart w:id="774" w:name="_Toc150509292"/>
      <w:bookmarkStart w:id="775" w:name="_Toc226337237"/>
      <w:bookmarkStart w:id="776" w:name="_Toc150480779"/>
      <w:bookmarkStart w:id="777" w:name="_Toc195842906"/>
      <w:bookmarkStart w:id="778" w:name="_Toc127161455"/>
      <w:bookmarkStart w:id="779" w:name="_Toc151193639"/>
      <w:bookmarkStart w:id="780" w:name="_Toc305158809"/>
      <w:bookmarkStart w:id="781" w:name="_Toc151193711"/>
      <w:bookmarkStart w:id="782" w:name="_Toc164229236"/>
      <w:bookmarkStart w:id="783" w:name="_Toc265228379"/>
      <w:bookmarkStart w:id="784" w:name="_Toc164351635"/>
      <w:bookmarkStart w:id="785" w:name="_Toc150774641"/>
      <w:bookmarkStart w:id="786" w:name="_Toc142311043"/>
      <w:bookmarkStart w:id="787" w:name="_Toc151193783"/>
      <w:bookmarkStart w:id="788" w:name="_Toc151190168"/>
      <w:bookmarkStart w:id="789" w:name="_Toc127151541"/>
      <w:bookmarkStart w:id="790" w:name="_Toc264969231"/>
      <w:bookmarkStart w:id="791" w:name="_Toc164608810"/>
      <w:bookmarkStart w:id="792" w:name="_Toc305158883"/>
      <w:bookmarkStart w:id="793" w:name="_Toc164608655"/>
      <w:bookmarkStart w:id="794" w:name="_Toc149720834"/>
      <w:bookmarkStart w:id="795" w:name="_Toc226965814"/>
      <w:bookmarkStart w:id="796" w:name="_Toc164229382"/>
      <w:bookmarkStart w:id="797" w:name="_Toc151193929"/>
      <w:bookmarkStart w:id="798" w:name="_Toc150774746"/>
      <w:bookmarkStart w:id="799" w:name="_Toc226309785"/>
      <w:bookmarkStart w:id="800" w:name="_Toc226965731"/>
      <w:bookmarkStart w:id="801" w:name="_Toc353873941"/>
      <w:bookmarkStart w:id="802" w:name="_Toc353825551"/>
      <w:bookmarkStart w:id="803" w:name="_Toc353873665"/>
      <w:bookmarkStart w:id="804" w:name="_Toc142311057"/>
      <w:bookmarkStart w:id="805" w:name="_Toc353825545"/>
      <w:bookmarkStart w:id="806" w:name="_Toc264969245"/>
      <w:bookmarkStart w:id="807" w:name="_Toc226965828"/>
      <w:bookmarkStart w:id="808" w:name="_Toc150774760"/>
      <w:bookmarkStart w:id="809" w:name="_Toc226337251"/>
      <w:bookmarkStart w:id="810" w:name="_Toc150480793"/>
      <w:bookmarkStart w:id="811" w:name="_Toc195842920"/>
      <w:bookmarkStart w:id="812" w:name="_Toc353873935"/>
      <w:bookmarkStart w:id="813" w:name="_Toc305158897"/>
      <w:bookmarkStart w:id="814" w:name="_Toc265228393"/>
      <w:bookmarkStart w:id="815" w:name="_Toc305158823"/>
      <w:bookmarkStart w:id="816" w:name="_Toc127151555"/>
      <w:r>
        <w:rPr>
          <w:rFonts w:hint="eastAsia" w:ascii="宋体" w:hAnsi="宋体" w:cs="宋体"/>
          <w:color w:val="000000" w:themeColor="text1"/>
          <w:sz w:val="24"/>
          <w14:textFill>
            <w14:solidFill>
              <w14:schemeClr w14:val="tx1"/>
            </w14:solidFill>
          </w14:textFill>
        </w:rPr>
        <w:t>投标文件的符合性审查</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17"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7"/>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62"/>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85"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1662"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6175"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6175"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1662"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6175"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18" w:name="OLE_LINK4"/>
      <w:bookmarkStart w:id="819" w:name="OLE_LINK3"/>
      <w:r>
        <w:rPr>
          <w:rFonts w:hint="eastAsia" w:ascii="宋体" w:hAnsi="宋体" w:cs="宋体"/>
          <w:color w:val="000000" w:themeColor="text1"/>
          <w:sz w:val="24"/>
          <w14:textFill>
            <w14:solidFill>
              <w14:schemeClr w14:val="tx1"/>
            </w14:solidFill>
          </w14:textFill>
        </w:rPr>
        <w:t>应当按照招标文件给定的格式出具</w:t>
      </w:r>
      <w:bookmarkEnd w:id="818"/>
      <w:bookmarkEnd w:id="819"/>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20"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20"/>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1"/>
      <w:bookmarkEnd w:id="802"/>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1" w:name="_Toc164608660"/>
      <w:bookmarkStart w:id="822" w:name="_Toc127161460"/>
      <w:bookmarkStart w:id="823" w:name="_Toc226337242"/>
      <w:bookmarkStart w:id="824" w:name="_Toc151193644"/>
      <w:bookmarkStart w:id="825" w:name="_Toc127151546"/>
      <w:bookmarkStart w:id="826" w:name="_Toc151193716"/>
      <w:bookmarkStart w:id="827" w:name="_Toc164351640"/>
      <w:bookmarkStart w:id="828" w:name="_Toc142311048"/>
      <w:bookmarkStart w:id="829" w:name="_Toc151193860"/>
      <w:bookmarkStart w:id="830" w:name="_Ref467307010"/>
      <w:bookmarkStart w:id="831" w:name="_Toc164608815"/>
      <w:bookmarkStart w:id="832" w:name="_Toc265228384"/>
      <w:bookmarkStart w:id="833" w:name="_Toc151190173"/>
      <w:bookmarkStart w:id="834" w:name="_Toc164229387"/>
      <w:bookmarkStart w:id="835" w:name="_Toc305158814"/>
      <w:bookmarkStart w:id="836" w:name="_Toc305158888"/>
      <w:bookmarkStart w:id="837" w:name="_Toc151193934"/>
      <w:bookmarkStart w:id="838" w:name="_Toc226309790"/>
      <w:bookmarkStart w:id="839" w:name="_Toc195842911"/>
      <w:bookmarkStart w:id="840" w:name="_Toc151193788"/>
      <w:bookmarkStart w:id="841" w:name="_Toc149720839"/>
      <w:bookmarkStart w:id="842" w:name="_Toc150480784"/>
      <w:bookmarkStart w:id="843" w:name="_Toc127151747"/>
      <w:bookmarkStart w:id="844" w:name="_Toc150509297"/>
      <w:bookmarkStart w:id="845" w:name="_Toc264969236"/>
      <w:bookmarkStart w:id="846" w:name="_Toc150774646"/>
      <w:bookmarkStart w:id="847" w:name="_Toc226965819"/>
      <w:bookmarkStart w:id="848" w:name="_Toc226965736"/>
      <w:bookmarkStart w:id="849" w:name="_Toc164229241"/>
      <w:bookmarkStart w:id="850" w:name="_Toc520356170"/>
      <w:bookmarkStart w:id="851" w:name="_Toc150774751"/>
      <w:r>
        <w:rPr>
          <w:rFonts w:hint="eastAsia" w:ascii="宋体" w:hAnsi="宋体" w:cs="宋体"/>
          <w:color w:val="000000" w:themeColor="text1"/>
          <w:sz w:val="24"/>
          <w14:textFill>
            <w14:solidFill>
              <w14:schemeClr w14:val="tx1"/>
            </w14:solidFill>
          </w14:textFill>
        </w:rPr>
        <w:t>中标候选人名单</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30"/>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30"/>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二、评标标准</w:t>
      </w:r>
    </w:p>
    <w:tbl>
      <w:tblPr>
        <w:tblStyle w:val="55"/>
        <w:tblW w:w="9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1109"/>
        <w:gridCol w:w="6901"/>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tcPr>
          <w:p>
            <w:pPr>
              <w:widowControl/>
              <w:kinsoku w:val="0"/>
              <w:autoSpaceDE w:val="0"/>
              <w:autoSpaceDN w:val="0"/>
              <w:adjustRightInd w:val="0"/>
              <w:snapToGrid w:val="0"/>
              <w:spacing w:line="400" w:lineRule="exact"/>
              <w:jc w:val="center"/>
              <w:textAlignment w:val="baseline"/>
              <w:rPr>
                <w:rFonts w:ascii="宋体" w:hAnsi="宋体" w:cs="宋体"/>
                <w:b/>
                <w:szCs w:val="21"/>
              </w:rPr>
            </w:pPr>
            <w:bookmarkStart w:id="852" w:name="_Toc209958496"/>
            <w:bookmarkStart w:id="853" w:name="_Toc218620570"/>
            <w:bookmarkStart w:id="854" w:name="_Toc99301425"/>
            <w:r>
              <w:rPr>
                <w:rFonts w:hint="eastAsia" w:ascii="宋体" w:hAnsi="宋体" w:cs="宋体"/>
                <w:b/>
                <w:szCs w:val="21"/>
              </w:rPr>
              <w:t>序号</w:t>
            </w:r>
          </w:p>
        </w:tc>
        <w:tc>
          <w:tcPr>
            <w:tcW w:w="8010" w:type="dxa"/>
            <w:gridSpan w:val="2"/>
          </w:tcPr>
          <w:p>
            <w:pPr>
              <w:widowControl/>
              <w:kinsoku w:val="0"/>
              <w:autoSpaceDE w:val="0"/>
              <w:autoSpaceDN w:val="0"/>
              <w:adjustRightInd w:val="0"/>
              <w:snapToGrid w:val="0"/>
              <w:spacing w:line="400" w:lineRule="exact"/>
              <w:jc w:val="center"/>
              <w:textAlignment w:val="baseline"/>
              <w:rPr>
                <w:rFonts w:ascii="宋体" w:hAnsi="宋体" w:cs="宋体"/>
                <w:b/>
                <w:szCs w:val="21"/>
              </w:rPr>
            </w:pPr>
            <w:r>
              <w:rPr>
                <w:rFonts w:hint="eastAsia" w:ascii="宋体" w:hAnsi="宋体" w:cs="宋体"/>
                <w:b/>
                <w:szCs w:val="21"/>
              </w:rPr>
              <w:t>评分因素及评分说明</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
                <w:szCs w:val="21"/>
              </w:rPr>
            </w:pPr>
            <w:r>
              <w:rPr>
                <w:rFonts w:hint="eastAsia" w:ascii="宋体" w:hAnsi="宋体" w:cs="宋体"/>
                <w:b/>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22" w:type="dxa"/>
            <w:gridSpan w:val="4"/>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一、价格部分（10分）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1.1</w:t>
            </w:r>
          </w:p>
        </w:tc>
        <w:tc>
          <w:tcPr>
            <w:tcW w:w="8010" w:type="dxa"/>
            <w:gridSpan w:val="2"/>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价格分采用低价优先法计算，即满足招标文件要求且投标价格最低的投标报价为评标基准价，其价格分为满分。其他投标人的价格分统一按照下列公式计算：</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投标报价得分＝（评标基准价/投标报价）×10%×100（保留小数点后两位）</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注：此处投标报价指经过报价修正，及因落实政府采购政策进行价格调整后的报价，详见第四章《评标程序、评标方法和评标标准》2.4及2.5。</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22" w:type="dxa"/>
            <w:gridSpan w:val="4"/>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二、商务部分（24分）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2.1</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投标人综合能力</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（6分）</w:t>
            </w:r>
          </w:p>
        </w:tc>
        <w:tc>
          <w:tcPr>
            <w:tcW w:w="6901"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1、具有ISO9001质量管理体系认证证书，得2分；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2、具有ISO/IEC20000信息技术服务管理体系认证证书，得2分；</w:t>
            </w:r>
          </w:p>
          <w:p>
            <w:pPr>
              <w:widowControl/>
              <w:kinsoku w:val="0"/>
              <w:autoSpaceDE w:val="0"/>
              <w:autoSpaceDN w:val="0"/>
              <w:adjustRightInd w:val="0"/>
              <w:snapToGrid w:val="0"/>
              <w:spacing w:line="400" w:lineRule="exact"/>
              <w:textAlignment w:val="baseline"/>
              <w:rPr>
                <w:highlight w:val="green"/>
              </w:rPr>
            </w:pPr>
            <w:r>
              <w:rPr>
                <w:rFonts w:hint="eastAsia" w:ascii="宋体" w:hAnsi="宋体" w:cs="宋体"/>
                <w:bCs/>
                <w:szCs w:val="21"/>
              </w:rPr>
              <w:t>3、具有ISO/IEC27001信息安全管理体系认证证书，得2分；</w:t>
            </w:r>
          </w:p>
          <w:p>
            <w:pPr>
              <w:widowControl/>
              <w:kinsoku w:val="0"/>
              <w:autoSpaceDE w:val="0"/>
              <w:autoSpaceDN w:val="0"/>
              <w:adjustRightInd w:val="0"/>
              <w:snapToGrid w:val="0"/>
              <w:spacing w:line="400" w:lineRule="exact"/>
              <w:textAlignment w:val="baseline"/>
              <w:rPr>
                <w:rFonts w:ascii="宋体" w:hAnsi="宋体" w:cs="宋体"/>
                <w:szCs w:val="21"/>
              </w:rPr>
            </w:pPr>
            <w:r>
              <w:rPr>
                <w:rFonts w:hint="eastAsia" w:ascii="宋体" w:hAnsi="宋体" w:cs="宋体"/>
                <w:bCs/>
                <w:szCs w:val="21"/>
              </w:rPr>
              <w:t>注：需提供有效证书复印件并加盖投标人公章，否则不得分。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2.2</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项目业绩</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（5分）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提供（2024年1月至投标截止时间）类似终端运维或网络运维类似的运维类项目业绩，每提供一个得1分，本项最多得5分。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注：须提供业绩有效证明材料（至少包括首页、服务内容页、金额页和双方盖章页等合同关键页复印件并加盖投标人公章）作为业绩证明文件，否则不得分。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2.3</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服务团队</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（13分）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1、拟派项目经理1人，具有信息系统项目管理师证书或高级工程师证书，得2分；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2、拟派项目技术负责人1人，具有高级工程师职称证书的，得2分；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3、拟派项目安全员1人，具有注册信息安全专业人员证书的，得2分；</w:t>
            </w:r>
          </w:p>
          <w:p>
            <w:pPr>
              <w:widowControl/>
              <w:kinsoku w:val="0"/>
              <w:autoSpaceDE w:val="0"/>
              <w:autoSpaceDN w:val="0"/>
              <w:adjustRightInd w:val="0"/>
              <w:snapToGrid w:val="0"/>
              <w:spacing w:line="400" w:lineRule="exact"/>
              <w:jc w:val="left"/>
              <w:textAlignment w:val="baseline"/>
              <w:rPr>
                <w:rFonts w:ascii="宋体" w:hAnsi="宋体" w:cs="宋体"/>
                <w:bCs/>
                <w:szCs w:val="21"/>
              </w:rPr>
            </w:pPr>
            <w:r>
              <w:rPr>
                <w:rFonts w:hint="eastAsia" w:ascii="宋体" w:hAnsi="宋体" w:cs="宋体"/>
                <w:bCs/>
                <w:szCs w:val="21"/>
              </w:rPr>
              <w:t>4、拟派项目团队其他人员组织架构合理清晰，岗位划分明确，得3分；岗位划分不合理或岗位职责不明确的，得1分；无岗位和职责划分的，得0分；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5、拟派项目团队所有人员均具有计算机相关专业专科（含）以上学历，得2分；部分人员具有计算机相关专业专科（含）以上学历，得1分；非计算机相关专业或未提供，得0分；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6、团队成员均有3年（含）以上类似项目经验，得2分；团队成员部分有3年（含）以上类似项目经验，得1分；团队成员均不足3年或无相关经验的或未提供的，得0分。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注:须提供毕业证书、参与过的项目材料等证明材料加盖公章，所有项目组成员提供在本单位1年内连续3个月社保证明并加盖公章，否则不得分。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9522" w:type="dxa"/>
            <w:gridSpan w:val="4"/>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三、技术部分（66分）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1" w:hRule="atLeast"/>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3.1</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对需求的理解与分析</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（10分）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在充分理解需求的基础上，对各项任务和基本要求进行分析，编制《项目需求分析报告》。对本项目的理解程度进行打分。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1.《项目需求分析报告》论述全面深入、透彻准确，符合项目实际情况，完全满足项目采购需求的，得10分；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2.《项目需求分析报告》论述有偏差不全面或为通用类，并非专门针对本项目，部分满足项目采购需求的，得6分；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3.《项目需求分析报告》无针对性或仅对采购需求的简单复制，得3分。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3.2</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城市运行调度指挥大厅机房运行状态监测方案</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（7分）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针对本项目，编制《城市运行调度指挥大厅机房运行状态监测方案》，对本方案进行打分。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1.方案内容全面详细，维护措施合理妥当，维护范围全面有深度，专门针对本项目制定，完全满足采购需求的，得7分；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2.方案内容有欠缺，维护措施不明确或维护范围模糊不清，专门针对本项目制定，部分满足采购需求的，得3分；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3.方案内容属于通用类，非专门针对本项目制定或仅对采购需求进行简单复制的，得1分；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4.无相关内容0分。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3.3</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城市运行调度指挥大厅运行保障方案</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（7分）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针对本项目，编制《城市运行调度指挥大厅运行保障方案》，对本方案进行打分。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1.方案内容全面详细，维护措施合理妥当，维护范围全面有深度，专门针对本项目制定，完全满足采购需求的，得7分；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2.方案内容有欠缺，维护措施不明确或维护范围模糊不清，专门针对本项目制定，部分满足采购需求的，得3分；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3.方案内容属于通用类，非专门针对本项目制定或仅对采购需求进行简单复制的，得1分；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4.无相关内容0分。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3.4</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视频会议运行保障（7分）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针对本项目，编制《视频会议运行保障方案》，对本方案进行打分。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1.方案内容全面详细，维护措施合理妥当，维护范围全面有深度，专门针对本项目制定，完全满足采购需求的，得7分；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2.方案内容有欠缺，维护措施不明确或维护范围模糊不清，专门针对本项目制定，部分满足采购需求的，得3分；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3.方案内容属于通用类，非专门针对本项目制定或仅对采购需求进行简单复制的，得1分；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4.无相关内容0分。</w:t>
            </w:r>
          </w:p>
        </w:tc>
        <w:tc>
          <w:tcPr>
            <w:tcW w:w="730" w:type="dxa"/>
            <w:vAlign w:val="center"/>
          </w:tcPr>
          <w:p>
            <w:pPr>
              <w:widowControl/>
              <w:numPr>
                <w:ilvl w:val="255"/>
                <w:numId w:val="0"/>
              </w:numPr>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napToGrid w:val="0"/>
                <w:szCs w:val="21"/>
              </w:rPr>
            </w:pPr>
            <w:r>
              <w:rPr>
                <w:rFonts w:hint="eastAsia" w:ascii="宋体" w:hAnsi="宋体" w:cs="宋体"/>
                <w:bCs/>
                <w:szCs w:val="21"/>
              </w:rPr>
              <w:t>3.5</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桌面系统运行保障方案</w:t>
            </w:r>
          </w:p>
          <w:p>
            <w:pPr>
              <w:widowControl/>
              <w:kinsoku w:val="0"/>
              <w:autoSpaceDE w:val="0"/>
              <w:autoSpaceDN w:val="0"/>
              <w:adjustRightInd w:val="0"/>
              <w:snapToGrid w:val="0"/>
              <w:spacing w:line="400" w:lineRule="exact"/>
              <w:textAlignment w:val="baseline"/>
              <w:rPr>
                <w:rFonts w:ascii="宋体" w:hAnsi="宋体" w:cs="宋体"/>
                <w:bCs/>
                <w:snapToGrid w:val="0"/>
                <w:szCs w:val="21"/>
              </w:rPr>
            </w:pPr>
            <w:r>
              <w:rPr>
                <w:rFonts w:hint="eastAsia" w:ascii="宋体" w:hAnsi="宋体" w:cs="宋体"/>
                <w:bCs/>
                <w:szCs w:val="21"/>
              </w:rPr>
              <w:t>（7分）</w:t>
            </w:r>
          </w:p>
        </w:tc>
        <w:tc>
          <w:tcPr>
            <w:tcW w:w="6901" w:type="dxa"/>
          </w:tcPr>
          <w:p>
            <w:pPr>
              <w:widowControl/>
              <w:numPr>
                <w:ilvl w:val="255"/>
                <w:numId w:val="0"/>
              </w:numPr>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针对本项目，编制《桌面系统运行保障方案》，对本方案进行打分。</w:t>
            </w:r>
          </w:p>
          <w:p>
            <w:pPr>
              <w:widowControl/>
              <w:numPr>
                <w:ilvl w:val="255"/>
                <w:numId w:val="0"/>
              </w:numPr>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1.方案内容全面详细，维护措施合理妥当，维护范围全面有深度，专门针对本项目制定，完全满足采购需求的，得7分； </w:t>
            </w:r>
          </w:p>
          <w:p>
            <w:pPr>
              <w:widowControl/>
              <w:numPr>
                <w:ilvl w:val="255"/>
                <w:numId w:val="0"/>
              </w:numPr>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2.方案内容有欠缺，维护措施不明确或维护范围模糊不清，专门针对本项目制定，部分满足采购需求的，得3分；</w:t>
            </w:r>
          </w:p>
          <w:p>
            <w:pPr>
              <w:widowControl/>
              <w:numPr>
                <w:ilvl w:val="255"/>
                <w:numId w:val="0"/>
              </w:numPr>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3.方案内容属于通用类，非专门针对本项目制定或仅对采购需求进行简单复制的，得1分； </w:t>
            </w:r>
          </w:p>
          <w:p>
            <w:pPr>
              <w:widowControl/>
              <w:numPr>
                <w:ilvl w:val="255"/>
                <w:numId w:val="0"/>
              </w:numPr>
              <w:kinsoku w:val="0"/>
              <w:autoSpaceDE w:val="0"/>
              <w:autoSpaceDN w:val="0"/>
              <w:adjustRightInd w:val="0"/>
              <w:snapToGrid w:val="0"/>
              <w:spacing w:line="400" w:lineRule="exact"/>
              <w:textAlignment w:val="baseline"/>
              <w:rPr>
                <w:rFonts w:ascii="宋体" w:hAnsi="宋体" w:cs="宋体"/>
                <w:bCs/>
                <w:snapToGrid w:val="0"/>
                <w:szCs w:val="21"/>
                <w:lang w:eastAsia="en-US"/>
              </w:rPr>
            </w:pPr>
            <w:r>
              <w:rPr>
                <w:rFonts w:hint="eastAsia" w:ascii="宋体" w:hAnsi="宋体" w:cs="宋体"/>
                <w:bCs/>
                <w:szCs w:val="21"/>
              </w:rPr>
              <w:t>4.无相关内容0分。</w:t>
            </w:r>
          </w:p>
        </w:tc>
        <w:tc>
          <w:tcPr>
            <w:tcW w:w="730" w:type="dxa"/>
            <w:vAlign w:val="center"/>
          </w:tcPr>
          <w:p>
            <w:pPr>
              <w:widowControl/>
              <w:numPr>
                <w:ilvl w:val="255"/>
                <w:numId w:val="0"/>
              </w:numPr>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3.6</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重点时期保障方案</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（5分）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针对本项目，编制本项目《重点时期保障方案》。对本方案进行打分。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1.方案内容完整详实、处理措施到位高效，专门针对本项目制定，完全满足项目采购需求，得5分；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2.方案内容有欠缺，未对应急处置实施细节或详细措施进行详述，专门针对本项目制定，部分满足采购需求的，得3分；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3.方案内容属于通用类，非专门针对本项目制定或仅对采购需求进行简单复制的，得1分；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3.7</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应急处置方案</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（5分）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针对本项目，编制《应急处置方案》。对本方案进行打分。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1.方案内容完整详实、处理措施到位高效，响应时限快，完全满足项目采购需求且针对性强的，得5分；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2.方案内容有欠缺，未对应急处置实施细节或详细措施进行详述的，专门针对本项目制定，部分满足采购需求的，得3分；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3.方案内容属于通用类，非专门针对本项目制定或仅对采购需求进行简单复制的，得1分；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3.8</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项目组织实施方案</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（5分）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针对本项目，编制《项目组织实施方案》。包括但不限于项目组织实施、工作计划、服务团队管理、质量保证措施、培训方案，对本方案进行打分。</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1.方案内容完整且进行了详细阐述，组织高效、人员分工明晰，工作计划针对性强、质量保障措施有力，完全满足采购需求的，得5分；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2.方案内容有欠缺，未对团队人员分工、人员调配与交接、任务部署实施计划等细节进行详述的，专门针对本项目制定，部分满足采购需求的，得3分；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3.方案内容属于通用类，非专门针对本项目制定或仅对采购需求进行简单复制的，得1分；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2" w:hRule="atLeast"/>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3.9</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运维制度（5分）</w:t>
            </w:r>
          </w:p>
        </w:tc>
        <w:tc>
          <w:tcPr>
            <w:tcW w:w="6901" w:type="dxa"/>
          </w:tcPr>
          <w:p>
            <w:pPr>
              <w:widowControl/>
              <w:kinsoku w:val="0"/>
              <w:autoSpaceDE w:val="0"/>
              <w:autoSpaceDN w:val="0"/>
              <w:adjustRightInd w:val="0"/>
              <w:snapToGrid w:val="0"/>
              <w:spacing w:line="400" w:lineRule="exact"/>
              <w:textAlignment w:val="baseline"/>
              <w:rPr>
                <w:rFonts w:ascii="宋体" w:hAnsi="宋体" w:cs="宋体"/>
                <w:bCs/>
                <w:szCs w:val="21"/>
              </w:rPr>
            </w:pPr>
            <w:bookmarkStart w:id="855" w:name="OLE_LINK1"/>
            <w:r>
              <w:rPr>
                <w:rFonts w:hint="eastAsia" w:ascii="宋体" w:hAnsi="宋体" w:cs="宋体"/>
                <w:bCs/>
                <w:szCs w:val="21"/>
              </w:rPr>
              <w:t>针对本项目专职团队日常管理，编制《运维制度》。包括但不限于人员着装、工作态度、考勤管理，对本方案进行打分。</w:t>
            </w:r>
          </w:p>
          <w:bookmarkEnd w:id="855"/>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1.制度内容完整且进行详细阐述，标准严格，贴合实际，针对性强，保障措施有力，完全满足采购需求的，得5分；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2.制度内容有欠缺，未贴合实际、只是简单说明的，专门针对本项目制定，部分满足采购需求的，得3分；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 xml:space="preserve">3.制度内容属于通用类，非专门针对本项目制定或仅对采购需求进行简单复制的，得1分；  </w:t>
            </w:r>
          </w:p>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4.未提供的或完全不满足的，得0分。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hint="eastAsia" w:ascii="宋体" w:hAnsi="宋体" w:cs="宋体"/>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2" w:hRule="atLeast"/>
          <w:jc w:val="center"/>
        </w:trPr>
        <w:tc>
          <w:tcPr>
            <w:tcW w:w="782"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3.10</w:t>
            </w:r>
          </w:p>
        </w:tc>
        <w:tc>
          <w:tcPr>
            <w:tcW w:w="1109" w:type="dxa"/>
            <w:vAlign w:val="center"/>
          </w:tcPr>
          <w:p>
            <w:pPr>
              <w:widowControl/>
              <w:kinsoku w:val="0"/>
              <w:autoSpaceDE w:val="0"/>
              <w:autoSpaceDN w:val="0"/>
              <w:adjustRightInd w:val="0"/>
              <w:snapToGrid w:val="0"/>
              <w:spacing w:line="400" w:lineRule="exact"/>
              <w:textAlignment w:val="baseline"/>
              <w:rPr>
                <w:rFonts w:ascii="宋体" w:hAnsi="宋体" w:cs="宋体"/>
                <w:bCs/>
                <w:szCs w:val="21"/>
              </w:rPr>
            </w:pPr>
            <w:r>
              <w:rPr>
                <w:rFonts w:hint="eastAsia" w:ascii="宋体" w:hAnsi="宋体" w:cs="宋体"/>
                <w:bCs/>
                <w:szCs w:val="21"/>
              </w:rPr>
              <w:t>项目保密安全方案（8分）</w:t>
            </w:r>
          </w:p>
        </w:tc>
        <w:tc>
          <w:tcPr>
            <w:tcW w:w="6901" w:type="dxa"/>
          </w:tcPr>
          <w:p>
            <w:pPr>
              <w:widowControl/>
              <w:kinsoku w:val="0"/>
              <w:autoSpaceDE w:val="0"/>
              <w:autoSpaceDN w:val="0"/>
              <w:adjustRightInd w:val="0"/>
              <w:snapToGrid w:val="0"/>
              <w:spacing w:line="360" w:lineRule="auto"/>
              <w:textAlignment w:val="baseline"/>
              <w:rPr>
                <w:rFonts w:ascii="宋体" w:hAnsi="宋体" w:cs="宋体"/>
              </w:rPr>
            </w:pPr>
            <w:r>
              <w:rPr>
                <w:rFonts w:hint="eastAsia" w:ascii="宋体" w:hAnsi="宋体" w:cs="宋体"/>
              </w:rPr>
              <w:t>针对本项目的安全要求，编制《项目保密安全方案》，提供相关安全措施的证明材料。包括保密相关安全措施、编制方案对本方案进行打分。</w:t>
            </w:r>
          </w:p>
          <w:p>
            <w:pPr>
              <w:pStyle w:val="2"/>
              <w:numPr>
                <w:ilvl w:val="0"/>
                <w:numId w:val="14"/>
              </w:numPr>
              <w:spacing w:line="360" w:lineRule="auto"/>
              <w:ind w:firstLine="0"/>
              <w:rPr>
                <w:rFonts w:ascii="宋体" w:hAnsi="宋体" w:cs="宋体"/>
              </w:rPr>
            </w:pPr>
            <w:r>
              <w:rPr>
                <w:rFonts w:hint="eastAsia" w:ascii="宋体" w:hAnsi="宋体" w:cs="宋体"/>
              </w:rPr>
              <w:t>保密措施方案完整、细致、可操作性强，完全贴合本项目的运维场景。建立了完善的保密管理制度体系，责任分工明确，奖惩机制具体有力，方案在组织架构、管理流程、过程控制等，充分体现供应商有成熟的管理能力与实践经验的，得8分；</w:t>
            </w:r>
          </w:p>
          <w:p>
            <w:pPr>
              <w:pStyle w:val="2"/>
              <w:numPr>
                <w:ilvl w:val="0"/>
                <w:numId w:val="14"/>
              </w:numPr>
              <w:spacing w:line="360" w:lineRule="auto"/>
              <w:ind w:firstLine="0"/>
              <w:rPr>
                <w:rFonts w:ascii="宋体" w:hAnsi="宋体" w:cs="宋体"/>
              </w:rPr>
            </w:pPr>
            <w:r>
              <w:rPr>
                <w:rFonts w:hint="eastAsia" w:ascii="宋体" w:hAnsi="宋体" w:cs="宋体"/>
              </w:rPr>
              <w:t>保密措施方案比较完整，覆盖主要运维环节，可操作性较好。建立了主要管理制度，但部分专项不够细化或可操作性一般。责任分工基本明确，奖惩机制存在但不具体。方案具备基本的保密管理要求，体现承担基本运维任务所需要系统化管理能力的，得5分；</w:t>
            </w:r>
          </w:p>
          <w:p>
            <w:pPr>
              <w:pStyle w:val="2"/>
              <w:numPr>
                <w:ilvl w:val="0"/>
                <w:numId w:val="14"/>
              </w:numPr>
              <w:spacing w:line="360" w:lineRule="auto"/>
              <w:ind w:firstLine="0"/>
              <w:rPr>
                <w:rFonts w:ascii="宋体" w:hAnsi="宋体" w:cs="宋体"/>
              </w:rPr>
            </w:pPr>
            <w:r>
              <w:rPr>
                <w:rFonts w:hint="eastAsia" w:ascii="宋体" w:hAnsi="宋体" w:cs="宋体"/>
              </w:rPr>
              <w:t>保密措施方案存在框架但较为笼统，与运维场景结合不紧密，可操作性弱。制度体系不完整，或现有制度条款过于原则化，缺乏具体流程和责任人。奖惩机制缺失或空泛。但未体现出承担运维任务所需的系统化管理能力的，得3分；</w:t>
            </w:r>
          </w:p>
          <w:p>
            <w:pPr>
              <w:widowControl/>
              <w:numPr>
                <w:ilvl w:val="0"/>
                <w:numId w:val="14"/>
              </w:numPr>
              <w:spacing w:line="360" w:lineRule="auto"/>
              <w:jc w:val="left"/>
              <w:rPr>
                <w:rFonts w:ascii="宋体" w:hAnsi="宋体" w:cs="宋体"/>
              </w:rPr>
            </w:pPr>
            <w:r>
              <w:rPr>
                <w:rFonts w:hint="eastAsia" w:ascii="宋体" w:hAnsi="宋体" w:cs="宋体"/>
              </w:rPr>
              <w:t>保密措施方案严重缺失或流于形式，基本不贴合实际运维场景。管理制度体系残缺，未覆盖人员、设备、数据、操作、应急等关键领域。无可操作的具体规定，无明显责任分工与奖惩机制的，得1分。</w:t>
            </w:r>
          </w:p>
          <w:p>
            <w:pPr>
              <w:pStyle w:val="2"/>
              <w:numPr>
                <w:ilvl w:val="0"/>
                <w:numId w:val="14"/>
              </w:numPr>
              <w:spacing w:line="360" w:lineRule="auto"/>
              <w:ind w:firstLine="0"/>
            </w:pPr>
            <w:r>
              <w:rPr>
                <w:rFonts w:hint="eastAsia" w:ascii="宋体" w:hAnsi="宋体" w:cs="宋体"/>
                <w:bCs/>
                <w:szCs w:val="21"/>
              </w:rPr>
              <w:t>未提供的或完全不满足的，得0分。</w:t>
            </w:r>
          </w:p>
        </w:tc>
        <w:tc>
          <w:tcPr>
            <w:tcW w:w="730" w:type="dxa"/>
            <w:vAlign w:val="center"/>
          </w:tcPr>
          <w:p>
            <w:pPr>
              <w:widowControl/>
              <w:kinsoku w:val="0"/>
              <w:autoSpaceDE w:val="0"/>
              <w:autoSpaceDN w:val="0"/>
              <w:adjustRightInd w:val="0"/>
              <w:snapToGrid w:val="0"/>
              <w:spacing w:line="400" w:lineRule="exact"/>
              <w:jc w:val="center"/>
              <w:textAlignment w:val="baseline"/>
              <w:rPr>
                <w:rFonts w:ascii="宋体" w:hAnsi="宋体" w:cs="宋体"/>
                <w:bCs/>
                <w:szCs w:val="21"/>
              </w:rPr>
            </w:pPr>
            <w:r>
              <w:rPr>
                <w:rFonts w:ascii="宋体" w:hAnsi="宋体" w:cs="宋体"/>
                <w:bCs/>
                <w:szCs w:val="21"/>
              </w:rPr>
              <w:t>8</w:t>
            </w:r>
          </w:p>
        </w:tc>
      </w:tr>
    </w:tbl>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2"/>
      <w:bookmarkEnd w:id="853"/>
    </w:p>
    <w:p>
      <w:pPr>
        <w:widowControl/>
        <w:spacing w:line="400" w:lineRule="exact"/>
        <w:jc w:val="left"/>
        <w:rPr>
          <w:rFonts w:ascii="宋体" w:hAnsi="宋体" w:cs="仿宋"/>
          <w:b/>
          <w:sz w:val="24"/>
        </w:rPr>
      </w:pPr>
      <w:r>
        <w:rPr>
          <w:rFonts w:hint="eastAsia" w:ascii="宋体" w:hAnsi="宋体" w:cs="仿宋"/>
          <w:b/>
          <w:sz w:val="24"/>
        </w:rPr>
        <w:t>一、采购目标</w:t>
      </w:r>
    </w:p>
    <w:p>
      <w:pPr>
        <w:widowControl/>
        <w:spacing w:line="400" w:lineRule="exact"/>
        <w:ind w:firstLine="480" w:firstLineChars="200"/>
        <w:jc w:val="left"/>
        <w:rPr>
          <w:rFonts w:ascii="宋体" w:hAnsi="宋体" w:cs="仿宋_GB2312"/>
          <w:sz w:val="24"/>
        </w:rPr>
      </w:pPr>
      <w:r>
        <w:rPr>
          <w:rFonts w:hint="eastAsia" w:ascii="宋体" w:hAnsi="宋体" w:cs="仿宋_GB2312"/>
          <w:sz w:val="24"/>
        </w:rPr>
        <w:t>2026年桌面系统、视频会议保障等基础运维项目，维护内容主要包括7个部分，分别为：城市运行调度指挥大厅机房运行状态监测、城市运行调度指挥大厅运行保障、“</w:t>
      </w:r>
      <w:r>
        <w:rPr>
          <w:rFonts w:hint="eastAsia" w:ascii="宋体" w:hAnsi="宋体" w:cs="仿宋_GB2312"/>
          <w:sz w:val="24"/>
          <w:lang w:bidi="ar"/>
        </w:rPr>
        <w:t>二级高清视频联网共享平台”视频巡查、视频会议运行保障、桌面系统运行保障、城市运行综合信息数据报送、北京市公务员电子邮箱系统维护、</w:t>
      </w:r>
      <w:r>
        <w:rPr>
          <w:rFonts w:hint="eastAsia" w:ascii="宋体" w:hAnsi="宋体" w:cs="仿宋_GB2312"/>
          <w:sz w:val="24"/>
        </w:rPr>
        <w:t>城市运行调度指挥大厅</w:t>
      </w:r>
      <w:r>
        <w:rPr>
          <w:rFonts w:hint="eastAsia" w:ascii="宋体" w:hAnsi="宋体" w:cs="仿宋_GB2312"/>
          <w:sz w:val="24"/>
          <w:lang w:bidi="ar"/>
        </w:rPr>
        <w:t>7*24小时值守保障、其他临时性工作。</w:t>
      </w:r>
    </w:p>
    <w:p>
      <w:pPr>
        <w:widowControl/>
        <w:spacing w:line="400" w:lineRule="exact"/>
        <w:jc w:val="left"/>
        <w:rPr>
          <w:rFonts w:ascii="宋体" w:hAnsi="宋体" w:cs="仿宋"/>
          <w:b/>
          <w:sz w:val="24"/>
        </w:rPr>
      </w:pPr>
      <w:r>
        <w:rPr>
          <w:rFonts w:hint="eastAsia" w:ascii="宋体" w:hAnsi="宋体" w:cs="仿宋"/>
          <w:b/>
          <w:sz w:val="24"/>
        </w:rPr>
        <w:t>二、商务要求</w:t>
      </w:r>
    </w:p>
    <w:p>
      <w:pPr>
        <w:widowControl/>
        <w:spacing w:line="400" w:lineRule="exact"/>
        <w:jc w:val="left"/>
        <w:rPr>
          <w:rFonts w:ascii="宋体" w:hAnsi="宋体" w:cs="仿宋_GB2312"/>
          <w:b/>
          <w:sz w:val="24"/>
        </w:rPr>
      </w:pPr>
      <w:r>
        <w:rPr>
          <w:rFonts w:hint="eastAsia" w:ascii="宋体" w:hAnsi="宋体" w:cs="仿宋_GB2312"/>
          <w:b/>
          <w:sz w:val="24"/>
        </w:rPr>
        <w:t>1.实施期限和地点</w:t>
      </w:r>
    </w:p>
    <w:p>
      <w:pPr>
        <w:widowControl/>
        <w:spacing w:line="400" w:lineRule="exact"/>
        <w:ind w:firstLine="480" w:firstLineChars="200"/>
        <w:jc w:val="left"/>
        <w:rPr>
          <w:rFonts w:ascii="宋体" w:hAnsi="宋体" w:cs="仿宋_GB2312"/>
          <w:bCs/>
          <w:sz w:val="24"/>
        </w:rPr>
      </w:pPr>
      <w:r>
        <w:rPr>
          <w:rFonts w:hint="eastAsia" w:ascii="宋体" w:hAnsi="宋体" w:cs="仿宋_GB2312"/>
          <w:bCs/>
          <w:sz w:val="24"/>
        </w:rPr>
        <w:t>实施期限：一年</w:t>
      </w:r>
      <w:r>
        <w:rPr>
          <w:rFonts w:hint="eastAsia" w:ascii="宋体" w:hAnsi="宋体" w:cs="宋体"/>
          <w:color w:val="000000" w:themeColor="text1"/>
          <w:sz w:val="24"/>
          <w14:textFill>
            <w14:solidFill>
              <w14:schemeClr w14:val="tx1"/>
            </w14:solidFill>
          </w14:textFill>
        </w:rPr>
        <w:t>（2026年11月1日至2027年10月31日）。</w:t>
      </w:r>
    </w:p>
    <w:p>
      <w:pPr>
        <w:widowControl/>
        <w:spacing w:line="400" w:lineRule="exact"/>
        <w:ind w:firstLine="480" w:firstLineChars="200"/>
        <w:jc w:val="left"/>
        <w:rPr>
          <w:rFonts w:ascii="宋体" w:hAnsi="宋体" w:cs="仿宋_GB2312"/>
          <w:bCs/>
          <w:sz w:val="24"/>
        </w:rPr>
      </w:pPr>
      <w:r>
        <w:rPr>
          <w:rFonts w:hint="eastAsia" w:ascii="宋体" w:hAnsi="宋体" w:cs="仿宋_GB2312"/>
          <w:bCs/>
          <w:sz w:val="24"/>
        </w:rPr>
        <w:t>实施地点：北京市城市管理委员会（北京市西城区广安门内大街317号）；</w:t>
      </w:r>
    </w:p>
    <w:p>
      <w:pPr>
        <w:widowControl/>
        <w:spacing w:line="400" w:lineRule="exact"/>
        <w:jc w:val="left"/>
        <w:rPr>
          <w:rFonts w:ascii="宋体" w:hAnsi="宋体" w:cs="仿宋_GB2312"/>
          <w:b/>
          <w:sz w:val="24"/>
        </w:rPr>
      </w:pPr>
      <w:r>
        <w:rPr>
          <w:rFonts w:hint="eastAsia" w:ascii="宋体" w:hAnsi="宋体" w:cs="仿宋_GB2312"/>
          <w:b/>
          <w:sz w:val="24"/>
        </w:rPr>
        <w:t>2.付款条件（进度和方式）</w:t>
      </w:r>
    </w:p>
    <w:p>
      <w:pPr>
        <w:widowControl/>
        <w:spacing w:line="400" w:lineRule="exact"/>
        <w:ind w:firstLine="480" w:firstLineChars="200"/>
        <w:jc w:val="left"/>
        <w:rPr>
          <w:rFonts w:ascii="宋体" w:hAnsi="宋体" w:cs="仿宋_GB2312"/>
          <w:sz w:val="24"/>
        </w:rPr>
      </w:pPr>
      <w:r>
        <w:rPr>
          <w:rFonts w:hint="eastAsia" w:ascii="宋体" w:hAnsi="宋体" w:cs="仿宋_GB2312"/>
          <w:sz w:val="24"/>
        </w:rPr>
        <w:t>详见《第六章 拟签订的合同文本》中关于付款的具体要求。</w:t>
      </w:r>
    </w:p>
    <w:p>
      <w:pPr>
        <w:widowControl/>
        <w:spacing w:line="400" w:lineRule="exact"/>
        <w:jc w:val="left"/>
        <w:rPr>
          <w:rFonts w:ascii="宋体" w:hAnsi="宋体" w:cs="仿宋"/>
          <w:b/>
          <w:sz w:val="24"/>
        </w:rPr>
      </w:pPr>
      <w:r>
        <w:rPr>
          <w:rFonts w:hint="eastAsia" w:ascii="宋体" w:hAnsi="宋体" w:cs="仿宋"/>
          <w:b/>
          <w:sz w:val="24"/>
        </w:rPr>
        <w:t>三、技术要求</w:t>
      </w:r>
    </w:p>
    <w:p>
      <w:pPr>
        <w:widowControl/>
        <w:tabs>
          <w:tab w:val="left" w:pos="567"/>
        </w:tabs>
        <w:spacing w:before="120" w:line="400" w:lineRule="exact"/>
        <w:rPr>
          <w:rFonts w:ascii="宋体" w:hAnsi="宋体" w:cs="仿宋_GB2312"/>
          <w:b/>
          <w:sz w:val="24"/>
        </w:rPr>
      </w:pPr>
      <w:r>
        <w:rPr>
          <w:rFonts w:hint="eastAsia" w:ascii="宋体" w:hAnsi="宋体"/>
          <w:b/>
          <w:sz w:val="24"/>
        </w:rPr>
        <w:t>1.</w:t>
      </w:r>
      <w:r>
        <w:rPr>
          <w:rFonts w:hint="eastAsia" w:ascii="宋体" w:hAnsi="宋体" w:cs="仿宋_GB2312"/>
          <w:b/>
          <w:sz w:val="24"/>
        </w:rPr>
        <w:t>采购标的需实现的功能或者目标</w:t>
      </w:r>
    </w:p>
    <w:p>
      <w:pPr>
        <w:widowControl/>
        <w:spacing w:line="400" w:lineRule="exact"/>
        <w:ind w:firstLine="480" w:firstLineChars="200"/>
        <w:jc w:val="left"/>
        <w:rPr>
          <w:rFonts w:ascii="宋体" w:hAnsi="宋体" w:cs="仿宋_GB2312"/>
          <w:sz w:val="24"/>
        </w:rPr>
      </w:pPr>
      <w:r>
        <w:rPr>
          <w:rFonts w:hint="eastAsia" w:ascii="宋体" w:hAnsi="宋体" w:cs="仿宋_GB2312"/>
          <w:sz w:val="24"/>
        </w:rPr>
        <w:t>本项目主要包含对北京市城市管理委员会广安门办公区的桌面系统及网络维护，保障日常办公桌面系统的稳定运行，及时处理软硬件故障。指挥大厅及会商室大屏幕、音响设备保障；负责大屏幕、音响等设备的调试、使用，及时处理相关问题；对指挥大厅机房定期进行巡检，及时发现并排除隐患，保障机房设备安全稳定运行；对视频监控监测，使用视频监控系统，由人工开展城市环境、垃圾分类、重大活动保障等相关监测工作；视频会议技术保障，负责视频会议设备的调试、按时点名及现场技术保障，确保会议顺利进行。</w:t>
      </w:r>
    </w:p>
    <w:p>
      <w:pPr>
        <w:widowControl/>
        <w:tabs>
          <w:tab w:val="left" w:pos="567"/>
        </w:tabs>
        <w:spacing w:before="120" w:line="400" w:lineRule="exact"/>
        <w:rPr>
          <w:rFonts w:ascii="宋体" w:hAnsi="宋体"/>
          <w:b/>
          <w:sz w:val="24"/>
        </w:rPr>
      </w:pPr>
      <w:r>
        <w:rPr>
          <w:rFonts w:hint="eastAsia" w:ascii="宋体" w:hAnsi="宋体"/>
          <w:b/>
          <w:sz w:val="24"/>
        </w:rPr>
        <w:t>2.维护内容及要求</w:t>
      </w:r>
    </w:p>
    <w:p>
      <w:pPr>
        <w:widowControl/>
        <w:tabs>
          <w:tab w:val="left" w:pos="567"/>
        </w:tabs>
        <w:spacing w:before="120" w:line="400" w:lineRule="exact"/>
        <w:rPr>
          <w:rFonts w:ascii="宋体" w:hAnsi="宋体"/>
          <w:b/>
          <w:sz w:val="24"/>
        </w:rPr>
      </w:pPr>
      <w:r>
        <w:rPr>
          <w:rFonts w:hint="eastAsia" w:ascii="宋体" w:hAnsi="宋体"/>
          <w:b/>
          <w:sz w:val="24"/>
        </w:rPr>
        <w:t>（一）维护内容</w:t>
      </w:r>
    </w:p>
    <w:p>
      <w:pPr>
        <w:wordWrap w:val="0"/>
        <w:spacing w:line="400" w:lineRule="exact"/>
        <w:rPr>
          <w:rFonts w:ascii="宋体" w:hAnsi="宋体" w:cs="宋体"/>
          <w:b/>
          <w:sz w:val="24"/>
        </w:rPr>
      </w:pPr>
      <w:r>
        <w:rPr>
          <w:rFonts w:hint="eastAsia" w:ascii="宋体" w:hAnsi="宋体" w:cs="宋体"/>
          <w:b/>
          <w:sz w:val="24"/>
        </w:rPr>
        <w:t>1、城市运行调度指挥大厅机房运行状态监测</w:t>
      </w:r>
    </w:p>
    <w:p>
      <w:pPr>
        <w:widowControl/>
        <w:spacing w:line="400" w:lineRule="exact"/>
        <w:ind w:firstLine="480" w:firstLineChars="200"/>
        <w:jc w:val="left"/>
        <w:rPr>
          <w:rFonts w:ascii="宋体" w:hAnsi="宋体" w:cs="宋体"/>
          <w:sz w:val="24"/>
        </w:rPr>
      </w:pPr>
      <w:r>
        <w:rPr>
          <w:rFonts w:hint="eastAsia" w:ascii="宋体" w:hAnsi="宋体" w:cs="宋体"/>
          <w:sz w:val="24"/>
        </w:rPr>
        <w:t>1.1每日监测机房环境：机房空调、供电检测、温湿度、机房监控等；</w:t>
      </w:r>
    </w:p>
    <w:p>
      <w:pPr>
        <w:widowControl/>
        <w:spacing w:line="400" w:lineRule="exact"/>
        <w:ind w:firstLine="480" w:firstLineChars="200"/>
        <w:jc w:val="left"/>
        <w:rPr>
          <w:rFonts w:ascii="宋体" w:hAnsi="宋体" w:cs="宋体"/>
          <w:sz w:val="24"/>
        </w:rPr>
      </w:pPr>
      <w:r>
        <w:rPr>
          <w:rFonts w:hint="eastAsia" w:ascii="宋体" w:hAnsi="宋体" w:cs="宋体"/>
          <w:sz w:val="24"/>
        </w:rPr>
        <w:t>1.2每日监测网络设备的状态，</w:t>
      </w:r>
      <w:r>
        <w:rPr>
          <w:rFonts w:hint="eastAsia" w:ascii="宋体" w:hAnsi="宋体" w:cs="宋体"/>
          <w:color w:val="000000"/>
          <w:sz w:val="24"/>
        </w:rPr>
        <w:t>并根据需求</w:t>
      </w:r>
      <w:r>
        <w:rPr>
          <w:rFonts w:hint="eastAsia" w:ascii="宋体" w:hAnsi="宋体" w:cs="宋体"/>
          <w:sz w:val="24"/>
          <w:lang w:bidi="ar"/>
        </w:rPr>
        <w:t>进行设备安装、布线等；</w:t>
      </w:r>
    </w:p>
    <w:p>
      <w:pPr>
        <w:widowControl/>
        <w:spacing w:line="400" w:lineRule="exact"/>
        <w:ind w:firstLine="480" w:firstLineChars="200"/>
        <w:jc w:val="left"/>
        <w:rPr>
          <w:rFonts w:ascii="宋体" w:hAnsi="宋体" w:cs="宋体"/>
          <w:sz w:val="24"/>
        </w:rPr>
      </w:pPr>
      <w:r>
        <w:rPr>
          <w:rFonts w:hint="eastAsia" w:ascii="宋体" w:hAnsi="宋体" w:cs="宋体"/>
          <w:sz w:val="24"/>
        </w:rPr>
        <w:t>1.3对发现的故障及时进行修复，如属于硬件故障的，协助采购人进行故障报修；</w:t>
      </w:r>
    </w:p>
    <w:p>
      <w:pPr>
        <w:widowControl/>
        <w:spacing w:line="400" w:lineRule="exact"/>
        <w:ind w:firstLine="480" w:firstLineChars="200"/>
        <w:jc w:val="left"/>
        <w:rPr>
          <w:rFonts w:ascii="宋体" w:hAnsi="宋体" w:cs="宋体"/>
          <w:sz w:val="24"/>
        </w:rPr>
      </w:pPr>
      <w:r>
        <w:rPr>
          <w:rFonts w:hint="eastAsia" w:ascii="宋体" w:hAnsi="宋体" w:cs="宋体"/>
          <w:sz w:val="24"/>
        </w:rPr>
        <w:t>1.4负责整理机柜线路、标签检查与更换、室内及设备除尘清洁；</w:t>
      </w:r>
    </w:p>
    <w:p>
      <w:pPr>
        <w:widowControl/>
        <w:spacing w:line="400" w:lineRule="exact"/>
        <w:ind w:firstLine="480" w:firstLineChars="200"/>
        <w:jc w:val="left"/>
        <w:rPr>
          <w:rFonts w:ascii="宋体" w:hAnsi="宋体" w:cs="宋体"/>
          <w:b/>
          <w:sz w:val="24"/>
        </w:rPr>
      </w:pPr>
      <w:r>
        <w:rPr>
          <w:rFonts w:hint="eastAsia" w:ascii="宋体" w:hAnsi="宋体" w:cs="宋体"/>
          <w:sz w:val="24"/>
        </w:rPr>
        <w:t>1.5形成机房设备的运维台账，动态更新。</w:t>
      </w:r>
    </w:p>
    <w:p>
      <w:pPr>
        <w:widowControl/>
        <w:tabs>
          <w:tab w:val="left" w:pos="567"/>
        </w:tabs>
        <w:spacing w:before="120" w:line="400" w:lineRule="exact"/>
        <w:rPr>
          <w:rFonts w:ascii="宋体" w:hAnsi="宋体" w:cs="宋体"/>
          <w:b/>
          <w:sz w:val="24"/>
        </w:rPr>
      </w:pPr>
      <w:r>
        <w:rPr>
          <w:rFonts w:hint="eastAsia" w:ascii="宋体" w:hAnsi="宋体" w:cs="宋体"/>
          <w:b/>
          <w:sz w:val="24"/>
        </w:rPr>
        <w:t>2、城市运行调度指挥大厅运行保障</w:t>
      </w:r>
    </w:p>
    <w:p>
      <w:pPr>
        <w:widowControl/>
        <w:spacing w:line="400" w:lineRule="exact"/>
        <w:ind w:firstLine="480" w:firstLineChars="200"/>
        <w:jc w:val="left"/>
        <w:rPr>
          <w:rFonts w:ascii="宋体" w:hAnsi="宋体" w:cs="宋体"/>
          <w:bCs/>
          <w:sz w:val="24"/>
        </w:rPr>
      </w:pPr>
      <w:r>
        <w:rPr>
          <w:rFonts w:hint="eastAsia" w:ascii="宋体" w:hAnsi="宋体" w:cs="宋体"/>
          <w:bCs/>
          <w:sz w:val="24"/>
        </w:rPr>
        <w:t>2.1大屏系统</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（1）每日对调度指挥大厅和会商室使用的大屏显示系统、音响、话筒、摄像头进行巡检，</w:t>
      </w:r>
      <w:r>
        <w:rPr>
          <w:rFonts w:hint="eastAsia" w:ascii="宋体" w:hAnsi="宋体" w:cs="宋体"/>
          <w:sz w:val="24"/>
        </w:rPr>
        <w:t>对发现的故障及时定位故障点并尝试修复</w:t>
      </w:r>
      <w:r>
        <w:rPr>
          <w:rFonts w:hint="eastAsia" w:ascii="宋体" w:hAnsi="宋体" w:cs="宋体"/>
          <w:sz w:val="24"/>
          <w:lang w:bidi="ar"/>
        </w:rPr>
        <w:t>，如修复不了，第一时间上报采购人，并协助第三方完成设备维修。</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（2）每日有专人在平台进行设备操作。对音响、数字调音台、大屏矩阵以及摄像头等进行调试，避免出现如音响杂音、话筒回声、电流音以及大屏显示不准确等现象。</w:t>
      </w:r>
    </w:p>
    <w:p>
      <w:pPr>
        <w:widowControl/>
        <w:spacing w:line="400" w:lineRule="exact"/>
        <w:ind w:firstLine="480" w:firstLineChars="200"/>
        <w:jc w:val="left"/>
        <w:rPr>
          <w:rFonts w:ascii="宋体" w:hAnsi="宋体" w:cs="宋体"/>
          <w:sz w:val="24"/>
        </w:rPr>
      </w:pPr>
      <w:r>
        <w:rPr>
          <w:rFonts w:hint="eastAsia" w:ascii="宋体" w:hAnsi="宋体" w:cs="宋体"/>
          <w:sz w:val="24"/>
        </w:rPr>
        <w:t>（3）每日对机房、大厅及会商室的视频监控系统进行巡检。</w:t>
      </w:r>
    </w:p>
    <w:p>
      <w:pPr>
        <w:widowControl/>
        <w:spacing w:line="400" w:lineRule="exact"/>
        <w:ind w:firstLine="480" w:firstLineChars="200"/>
        <w:jc w:val="left"/>
        <w:rPr>
          <w:rFonts w:ascii="宋体" w:hAnsi="宋体" w:cs="宋体"/>
          <w:b/>
          <w:sz w:val="24"/>
        </w:rPr>
      </w:pPr>
      <w:r>
        <w:rPr>
          <w:rFonts w:hint="eastAsia" w:ascii="宋体" w:hAnsi="宋体" w:cs="宋体"/>
          <w:sz w:val="24"/>
          <w:lang w:bidi="ar"/>
        </w:rPr>
        <w:t>（4）根据大厅办公人员需求或设备更新等情况，进行综合布线，内容包括：对临时增加的音频设备、视频设备、网络设备、终端设备进行布线。</w:t>
      </w:r>
    </w:p>
    <w:p>
      <w:pPr>
        <w:widowControl/>
        <w:wordWrap w:val="0"/>
        <w:spacing w:line="400" w:lineRule="exact"/>
        <w:ind w:firstLine="480" w:firstLineChars="200"/>
        <w:rPr>
          <w:rFonts w:ascii="宋体" w:hAnsi="宋体" w:cs="宋体"/>
          <w:bCs/>
          <w:sz w:val="24"/>
        </w:rPr>
      </w:pPr>
      <w:r>
        <w:rPr>
          <w:rFonts w:hint="eastAsia" w:ascii="宋体" w:hAnsi="宋体" w:cs="宋体"/>
          <w:bCs/>
          <w:sz w:val="24"/>
        </w:rPr>
        <w:t>2.2网络运维</w:t>
      </w:r>
    </w:p>
    <w:p>
      <w:pPr>
        <w:widowControl/>
        <w:numPr>
          <w:ilvl w:val="255"/>
          <w:numId w:val="0"/>
        </w:numPr>
        <w:spacing w:line="400" w:lineRule="exact"/>
        <w:ind w:firstLine="480" w:firstLineChars="200"/>
        <w:jc w:val="left"/>
        <w:rPr>
          <w:rFonts w:ascii="宋体" w:hAnsi="宋体" w:cs="宋体"/>
          <w:sz w:val="24"/>
        </w:rPr>
      </w:pPr>
      <w:r>
        <w:rPr>
          <w:rFonts w:hint="eastAsia" w:ascii="宋体" w:hAnsi="宋体" w:cs="宋体"/>
          <w:bCs/>
          <w:sz w:val="24"/>
        </w:rPr>
        <w:t>（1）监测调度</w:t>
      </w:r>
      <w:r>
        <w:rPr>
          <w:rFonts w:hint="eastAsia" w:ascii="宋体" w:hAnsi="宋体" w:cs="宋体"/>
          <w:sz w:val="24"/>
        </w:rPr>
        <w:t>指挥大厅网络与核心网络链接的运行状态以及指挥大厅终端网络接入，对发现的故障及时进行修复，如果是核心网络问题，及时上报至采购人。</w:t>
      </w:r>
    </w:p>
    <w:p>
      <w:pPr>
        <w:widowControl/>
        <w:spacing w:line="400" w:lineRule="exact"/>
        <w:ind w:firstLine="480" w:firstLineChars="200"/>
        <w:jc w:val="left"/>
        <w:rPr>
          <w:rFonts w:ascii="宋体" w:hAnsi="宋体" w:cs="宋体"/>
          <w:sz w:val="24"/>
        </w:rPr>
      </w:pPr>
      <w:r>
        <w:rPr>
          <w:rFonts w:hint="eastAsia" w:ascii="宋体" w:hAnsi="宋体" w:cs="宋体"/>
          <w:sz w:val="24"/>
        </w:rPr>
        <w:t>（2）根据办公人员的需求，对办公终端的网络进行维护，包括临时增加设备的网络进行配置、布线等。</w:t>
      </w:r>
    </w:p>
    <w:p>
      <w:pPr>
        <w:tabs>
          <w:tab w:val="left" w:pos="567"/>
        </w:tabs>
        <w:spacing w:before="120" w:line="400" w:lineRule="exact"/>
        <w:rPr>
          <w:rFonts w:ascii="宋体" w:hAnsi="宋体" w:cs="宋体"/>
          <w:b/>
          <w:sz w:val="24"/>
        </w:rPr>
      </w:pPr>
      <w:r>
        <w:rPr>
          <w:rFonts w:hint="eastAsia" w:ascii="宋体" w:hAnsi="宋体" w:cs="宋体"/>
          <w:b/>
          <w:sz w:val="24"/>
        </w:rPr>
        <w:t>3、“</w:t>
      </w:r>
      <w:r>
        <w:rPr>
          <w:rFonts w:hint="eastAsia" w:ascii="宋体" w:hAnsi="宋体" w:cs="宋体"/>
          <w:b/>
          <w:sz w:val="24"/>
          <w:lang w:bidi="ar"/>
        </w:rPr>
        <w:t>二级高清视频联网共享平台”视频巡查</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3.1每日检查系统主要链路连通情况，对视频图像进行巡检，检查常用视频图像点位，确保视频图像显示正常；</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3.2每日开展对17个区的环境秩序巡查，内容包括对每个区垃圾分类情况、游商小贩、市政设施、环境秩序等视频点位的巡查，并整理相关点位问题，形成问题清单，上报相关部门进行处理。</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3.3在重要活动保障期间，开展重要场所周边环境、文明祭扫、扫雪铲冰等城市管理方面的视频点位巡查，并整理相关点位问题，形成问题清单。</w:t>
      </w:r>
    </w:p>
    <w:p>
      <w:pPr>
        <w:widowControl/>
        <w:tabs>
          <w:tab w:val="left" w:pos="567"/>
        </w:tabs>
        <w:spacing w:before="120" w:line="400" w:lineRule="exact"/>
        <w:ind w:firstLine="480" w:firstLineChars="200"/>
        <w:rPr>
          <w:rFonts w:ascii="宋体" w:hAnsi="宋体" w:cs="宋体"/>
          <w:sz w:val="24"/>
        </w:rPr>
      </w:pPr>
      <w:r>
        <w:rPr>
          <w:rFonts w:hint="eastAsia" w:ascii="宋体" w:hAnsi="宋体" w:cs="宋体"/>
          <w:sz w:val="24"/>
          <w:lang w:bidi="ar"/>
        </w:rPr>
        <w:t>3.4根据相关处室反馈的整改情况，通过视频监控对已上报问题的整改效果进行复查确认。对整改不到位或未整改的，及时反馈相关处室跟进处理。</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3.5协助采购人对现有图像监控点位进行梳理、归类，根据城市管理业务需求（如高发问题区域、重点保障路线、易积水点位等），划分形成个性化监控点位分组，便于日常巡查及专项保障时快速调阅。</w:t>
      </w:r>
    </w:p>
    <w:p>
      <w:pPr>
        <w:widowControl/>
        <w:tabs>
          <w:tab w:val="left" w:pos="567"/>
        </w:tabs>
        <w:spacing w:before="120" w:line="400" w:lineRule="exact"/>
        <w:rPr>
          <w:rFonts w:ascii="宋体" w:hAnsi="宋体" w:cs="宋体"/>
          <w:b/>
          <w:sz w:val="24"/>
          <w:lang w:bidi="ar"/>
        </w:rPr>
      </w:pPr>
      <w:r>
        <w:rPr>
          <w:rFonts w:hint="eastAsia" w:ascii="宋体" w:hAnsi="宋体" w:cs="宋体"/>
          <w:b/>
          <w:sz w:val="24"/>
          <w:lang w:bidi="ar"/>
        </w:rPr>
        <w:t>4、视频会议运行保障</w:t>
      </w:r>
    </w:p>
    <w:p>
      <w:pPr>
        <w:widowControl/>
        <w:spacing w:line="400" w:lineRule="exact"/>
        <w:ind w:firstLine="480" w:firstLineChars="200"/>
        <w:jc w:val="left"/>
        <w:rPr>
          <w:rFonts w:ascii="宋体" w:hAnsi="宋体" w:cs="宋体"/>
          <w:sz w:val="24"/>
          <w:lang w:bidi="ar"/>
        </w:rPr>
      </w:pPr>
      <w:r>
        <w:rPr>
          <w:rFonts w:hint="eastAsia" w:ascii="宋体" w:hAnsi="宋体" w:cs="宋体"/>
          <w:sz w:val="24"/>
        </w:rPr>
        <w:t>4.1在各类</w:t>
      </w:r>
      <w:r>
        <w:rPr>
          <w:rFonts w:hint="eastAsia" w:ascii="宋体" w:hAnsi="宋体" w:cs="宋体"/>
          <w:sz w:val="24"/>
          <w:lang w:bidi="ar"/>
        </w:rPr>
        <w:t>视频会议召开前，提前进行视频会议终端或电脑终端的网络连通调试，并对摄像机、麦克风、会议音响等设备联调测试。根据会场情况调整摄像机机位及音响音量大小，检查网络状态，并参加会前点名。同时安排专人在会场全程保障。</w:t>
      </w:r>
      <w:r>
        <w:rPr>
          <w:rFonts w:hint="eastAsia" w:ascii="宋体" w:hAnsi="宋体" w:cs="宋体"/>
          <w:sz w:val="24"/>
        </w:rPr>
        <w:t>视频会议结束后，进行设备回收，整理线缆，保障会场整洁。</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4.2设备出现故障时，应及时替换备用设备，保证会议正常召开。备用设备由采购人提供。</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4.3对每日对视频会议设备进行巡检，掌握视频会议设备的运行情况，当设备发生硬件故障，第一时间上报并协助采购人完成设备报修工作。视频会议设备包括：会议主机、摄像机、麦克风、会议音响等设备及相关电源、光电转换器、线缆等配件。</w:t>
      </w:r>
    </w:p>
    <w:p>
      <w:pPr>
        <w:widowControl/>
        <w:tabs>
          <w:tab w:val="left" w:pos="567"/>
        </w:tabs>
        <w:spacing w:before="120" w:line="400" w:lineRule="exact"/>
        <w:ind w:firstLine="480" w:firstLineChars="200"/>
        <w:rPr>
          <w:rFonts w:ascii="宋体" w:hAnsi="宋体" w:cs="宋体"/>
          <w:sz w:val="24"/>
          <w:lang w:bidi="ar"/>
        </w:rPr>
      </w:pPr>
      <w:r>
        <w:rPr>
          <w:rFonts w:hint="eastAsia" w:ascii="宋体" w:hAnsi="宋体" w:cs="宋体"/>
          <w:sz w:val="24"/>
          <w:lang w:bidi="ar"/>
        </w:rPr>
        <w:t>4.4负责视频会议系统软件及固件的版本管理，根据采购人安排或厂商通知，协助完成系统升级与补丁更新。</w:t>
      </w:r>
    </w:p>
    <w:p>
      <w:pPr>
        <w:widowControl/>
        <w:tabs>
          <w:tab w:val="left" w:pos="567"/>
        </w:tabs>
        <w:spacing w:before="120" w:line="400" w:lineRule="exact"/>
        <w:ind w:firstLine="480" w:firstLineChars="200"/>
        <w:rPr>
          <w:rFonts w:ascii="宋体" w:hAnsi="宋体" w:cs="宋体"/>
          <w:sz w:val="24"/>
        </w:rPr>
      </w:pPr>
      <w:r>
        <w:rPr>
          <w:rFonts w:hint="eastAsia" w:ascii="宋体" w:hAnsi="宋体" w:cs="宋体"/>
          <w:sz w:val="24"/>
          <w:lang w:bidi="ar"/>
        </w:rPr>
        <w:t>4.5重要或高级别会议前，需提前制定技术保障方案，明确人员分工、应急措施及备用设备清单。</w:t>
      </w:r>
    </w:p>
    <w:p>
      <w:pPr>
        <w:widowControl/>
        <w:numPr>
          <w:ilvl w:val="255"/>
          <w:numId w:val="0"/>
        </w:numPr>
        <w:wordWrap w:val="0"/>
        <w:spacing w:line="400" w:lineRule="exact"/>
        <w:rPr>
          <w:rFonts w:ascii="宋体" w:hAnsi="宋体" w:cs="宋体"/>
          <w:b/>
          <w:sz w:val="24"/>
          <w:lang w:bidi="ar"/>
        </w:rPr>
      </w:pPr>
      <w:r>
        <w:rPr>
          <w:rFonts w:hint="eastAsia" w:ascii="宋体" w:hAnsi="宋体" w:cs="宋体"/>
          <w:b/>
          <w:sz w:val="24"/>
          <w:lang w:bidi="ar"/>
        </w:rPr>
        <w:t>5、桌面系统运行保障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针对北京市城市管理委员会广安门办公区使用的办公终端、扫描仪、打印机等办公设备使用过程中遇到的问题开展如下运维工作：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5.1解决委内工作人员使用的办公终端（含操作系统、办公软件、杀毒软件）故障或问题，包括但不限于：软件故障、网络故障、打印机和扫描仪等办公设备的联调等；</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5.2当设备发生硬件故障时，初步判定故障位置并配合设备使用人员完成报修工作；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5.3在国产办公软件发布升级补丁后，协助使用人进行升级，防止计算机收到病毒、木马的侵扰，确保国产办公软件安全稳定运行；</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5.4每年开展1次软件使用情况的摸底工作，包括终端操作系统、办公软件、杀毒软件等，形成软件资产底账。如发现使用非授权软件或不合规的操作系统等，协助使用人进行整改，确保软件使用合法合规。</w:t>
      </w:r>
    </w:p>
    <w:p>
      <w:pPr>
        <w:widowControl/>
        <w:spacing w:line="400" w:lineRule="exact"/>
        <w:jc w:val="left"/>
        <w:rPr>
          <w:rFonts w:ascii="宋体" w:hAnsi="宋体" w:cs="宋体"/>
          <w:b/>
          <w:sz w:val="24"/>
          <w:lang w:bidi="ar"/>
        </w:rPr>
      </w:pPr>
      <w:r>
        <w:rPr>
          <w:rFonts w:hint="eastAsia" w:ascii="宋体" w:hAnsi="宋体" w:cs="宋体"/>
          <w:b/>
          <w:sz w:val="24"/>
          <w:lang w:bidi="ar"/>
        </w:rPr>
        <w:t>6、北京市公务员电子邮箱系统维护</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北京市城市管理委员会统一使用“北京市公务员邮箱系统”，根据人员变化和邮箱系统使用情况，进行开通、注销、密码修改等工作。</w:t>
      </w:r>
    </w:p>
    <w:p>
      <w:pPr>
        <w:widowControl/>
        <w:spacing w:line="400" w:lineRule="exact"/>
        <w:jc w:val="left"/>
        <w:rPr>
          <w:rFonts w:ascii="宋体" w:hAnsi="宋体" w:cs="宋体"/>
          <w:b/>
          <w:sz w:val="24"/>
          <w:lang w:bidi="ar"/>
        </w:rPr>
      </w:pPr>
      <w:r>
        <w:rPr>
          <w:rFonts w:hint="eastAsia" w:ascii="宋体" w:hAnsi="宋体" w:cs="宋体"/>
          <w:b/>
          <w:sz w:val="24"/>
        </w:rPr>
        <w:t>7、城市运行调度指挥大厅</w:t>
      </w:r>
      <w:r>
        <w:rPr>
          <w:rFonts w:hint="eastAsia" w:ascii="宋体" w:hAnsi="宋体" w:cs="宋体"/>
          <w:b/>
          <w:sz w:val="24"/>
          <w:lang w:bidi="ar"/>
        </w:rPr>
        <w:t>7*24小时值守保障</w:t>
      </w:r>
    </w:p>
    <w:p>
      <w:pPr>
        <w:widowControl/>
        <w:tabs>
          <w:tab w:val="left" w:pos="567"/>
        </w:tabs>
        <w:spacing w:before="120" w:line="400" w:lineRule="exact"/>
        <w:ind w:firstLine="480" w:firstLineChars="200"/>
        <w:rPr>
          <w:rFonts w:ascii="宋体" w:hAnsi="宋体" w:cs="宋体"/>
          <w:sz w:val="24"/>
          <w:lang w:bidi="ar"/>
        </w:rPr>
      </w:pPr>
      <w:r>
        <w:rPr>
          <w:rFonts w:hint="eastAsia" w:ascii="宋体" w:hAnsi="宋体" w:cs="宋体"/>
          <w:sz w:val="24"/>
        </w:rPr>
        <w:t>7.1按照采购人需求安排专人在城市运行调度指挥大厅（11层大厅）提供现场值守保障工作；</w:t>
      </w:r>
    </w:p>
    <w:p>
      <w:pPr>
        <w:widowControl/>
        <w:wordWrap w:val="0"/>
        <w:spacing w:line="400" w:lineRule="exact"/>
        <w:ind w:firstLine="480" w:firstLineChars="200"/>
        <w:rPr>
          <w:rFonts w:ascii="宋体" w:hAnsi="宋体" w:cs="宋体"/>
          <w:sz w:val="24"/>
          <w:lang w:bidi="ar"/>
        </w:rPr>
      </w:pPr>
      <w:r>
        <w:rPr>
          <w:rFonts w:hint="eastAsia" w:ascii="宋体" w:hAnsi="宋体" w:cs="宋体"/>
          <w:sz w:val="24"/>
          <w:lang w:bidi="ar"/>
        </w:rPr>
        <w:t>7.2在重要活动保障期间，根据需要增加人员进行7*24保障；</w:t>
      </w:r>
    </w:p>
    <w:p>
      <w:pPr>
        <w:pStyle w:val="2"/>
      </w:pPr>
      <w:r>
        <w:rPr>
          <w:rFonts w:hint="eastAsia" w:ascii="宋体" w:hAnsi="宋体" w:cs="宋体"/>
          <w:sz w:val="24"/>
          <w:lang w:bidi="ar"/>
        </w:rPr>
        <w:t>7.3专人负责采集供水、排水、热力、液化气、电力、全市垃圾日处理量等相关数据，填写汇总。</w:t>
      </w:r>
    </w:p>
    <w:p>
      <w:pPr>
        <w:widowControl/>
        <w:wordWrap w:val="0"/>
        <w:spacing w:line="400" w:lineRule="exact"/>
        <w:rPr>
          <w:rFonts w:ascii="宋体" w:hAnsi="宋体" w:cs="宋体"/>
          <w:b/>
          <w:sz w:val="24"/>
          <w:lang w:bidi="ar"/>
        </w:rPr>
      </w:pPr>
      <w:r>
        <w:rPr>
          <w:rFonts w:hint="eastAsia" w:ascii="宋体" w:hAnsi="宋体" w:cs="宋体"/>
          <w:b/>
          <w:sz w:val="24"/>
          <w:lang w:bidi="ar"/>
        </w:rPr>
        <w:t>8、其他临时性工作</w:t>
      </w:r>
    </w:p>
    <w:p>
      <w:pPr>
        <w:widowControl/>
        <w:spacing w:line="400" w:lineRule="exact"/>
        <w:ind w:firstLine="480" w:firstLineChars="200"/>
        <w:jc w:val="left"/>
        <w:rPr>
          <w:rFonts w:ascii="宋体" w:hAnsi="宋体" w:cs="宋体"/>
          <w:sz w:val="24"/>
        </w:rPr>
      </w:pPr>
      <w:r>
        <w:rPr>
          <w:rFonts w:hint="eastAsia" w:ascii="宋体" w:hAnsi="宋体" w:cs="宋体"/>
          <w:sz w:val="24"/>
          <w:lang w:bidi="ar"/>
        </w:rPr>
        <w:t>完成采购人交办的临时性工作。</w:t>
      </w:r>
    </w:p>
    <w:p>
      <w:pPr>
        <w:widowControl/>
        <w:tabs>
          <w:tab w:val="left" w:pos="567"/>
        </w:tabs>
        <w:spacing w:before="120" w:line="400" w:lineRule="exact"/>
        <w:rPr>
          <w:rFonts w:ascii="宋体" w:hAnsi="宋体"/>
          <w:b/>
          <w:sz w:val="24"/>
        </w:rPr>
      </w:pPr>
      <w:r>
        <w:rPr>
          <w:rFonts w:hint="eastAsia" w:ascii="宋体" w:hAnsi="宋体"/>
          <w:b/>
          <w:sz w:val="24"/>
        </w:rPr>
        <w:t>（二）运维实施要求</w:t>
      </w:r>
    </w:p>
    <w:p>
      <w:pPr>
        <w:widowControl/>
        <w:spacing w:after="120" w:line="400" w:lineRule="exact"/>
        <w:rPr>
          <w:rFonts w:ascii="宋体" w:hAnsi="宋体" w:cs="宋体"/>
          <w:b/>
          <w:bCs/>
          <w:sz w:val="24"/>
          <w:lang w:bidi="ar"/>
        </w:rPr>
      </w:pPr>
      <w:r>
        <w:rPr>
          <w:rFonts w:hint="eastAsia" w:ascii="宋体" w:hAnsi="宋体" w:cs="宋体"/>
          <w:b/>
          <w:bCs/>
          <w:sz w:val="24"/>
          <w:lang w:bidi="ar"/>
        </w:rPr>
        <w:t>1、项目机构、团队及人员要求</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1.1项目机构要求</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供应商须为本项目组建稳定的、专业的、独立的项目团队，须在北京设立专门的服务机构，服务机构必须包含客户服务部和技术支撑部。客户服务部负责快速响应客户的咨询，并快速进行相应答疑；技术支撑部负责运维人员无法解决的紧急故障；提供24小时技术咨询服务，必要时进行现场解答。</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1.2项目团队要求</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（1）配备团队成员至少12名，其中项目经理 1 名，</w:t>
      </w:r>
      <w:r>
        <w:rPr>
          <w:rFonts w:hint="eastAsia" w:ascii="宋体" w:hAnsi="宋体" w:cs="宋体"/>
          <w:sz w:val="24"/>
          <w:lang w:val="zh-CN" w:bidi="ar"/>
        </w:rPr>
        <w:t>项目技术负责人1人，项目</w:t>
      </w:r>
      <w:r>
        <w:rPr>
          <w:rFonts w:hint="eastAsia" w:ascii="宋体" w:hAnsi="宋体" w:cs="宋体"/>
          <w:sz w:val="24"/>
          <w:lang w:bidi="ar"/>
        </w:rPr>
        <w:t>安全员</w:t>
      </w:r>
      <w:r>
        <w:rPr>
          <w:rFonts w:hint="eastAsia" w:ascii="宋体" w:hAnsi="宋体" w:cs="宋体"/>
          <w:sz w:val="24"/>
          <w:lang w:val="zh-CN" w:bidi="ar"/>
        </w:rPr>
        <w:t>1人，</w:t>
      </w:r>
      <w:r>
        <w:rPr>
          <w:rFonts w:hint="eastAsia" w:ascii="宋体" w:hAnsi="宋体" w:cs="宋体"/>
          <w:sz w:val="24"/>
          <w:lang w:bidi="ar"/>
        </w:rPr>
        <w:t>项目组员至少 9名。</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（2）项目团队有明确分工和侧重点，所有人员必须掌握基础的运维技术，并能解决普遍性的问题和故障。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（3）在项目执行期间，未经采购人建议或许可，项目经理不能变更，项目组成员变更不能超过 20％。如果确实需要，更换项目经理需提前 3 个月向采购人提出书面申请，更换团队骨干成员需提前 2 个月向采购人提出书面申请，更换一般技术人员需要提前1 个月向采购人提出申请，经采购人同意并完成工作交接后方可更换。</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4）确保运维人员综合能力符合运维服务要求和标准，理清骨干人员的岗位职责，强化和提升运维人员业务技术和管理能力，同时组织运维团队对多年来运维的知识和经验进行认真梳理和总结，建立信息系统运维管理知识库。</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（5）供应商应确保运维人员在工作期间统一着装，严格遵守采购人运维人员管理办法。</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1.3项目人员要求</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（1）项目经理：需具有丰富的团队管理经验和信息化运维经验，具有信息系统项目管理师证书或高级工程师证书，具有3年以上运维项目管理工作经验。</w:t>
      </w:r>
    </w:p>
    <w:p>
      <w:pPr>
        <w:widowControl/>
        <w:spacing w:after="120" w:line="400" w:lineRule="exact"/>
        <w:ind w:firstLine="480" w:firstLineChars="200"/>
        <w:rPr>
          <w:rFonts w:ascii="宋体" w:hAnsi="宋体" w:cs="宋体"/>
          <w:sz w:val="24"/>
          <w:lang w:val="zh-CN" w:bidi="ar"/>
        </w:rPr>
      </w:pPr>
      <w:r>
        <w:rPr>
          <w:rFonts w:hint="eastAsia" w:ascii="宋体" w:hAnsi="宋体" w:cs="宋体"/>
          <w:sz w:val="24"/>
          <w:lang w:bidi="ar"/>
        </w:rPr>
        <w:t>（2）</w:t>
      </w:r>
      <w:r>
        <w:rPr>
          <w:rFonts w:hint="eastAsia" w:ascii="宋体" w:hAnsi="宋体" w:cs="宋体"/>
          <w:sz w:val="24"/>
          <w:lang w:val="zh-CN" w:bidi="ar"/>
        </w:rPr>
        <w:t>项目技术负责人：具有高级工程师职称证书，</w:t>
      </w:r>
      <w:r>
        <w:rPr>
          <w:rFonts w:hint="eastAsia" w:ascii="宋体" w:hAnsi="宋体" w:cs="宋体"/>
          <w:sz w:val="24"/>
          <w:lang w:bidi="ar"/>
        </w:rPr>
        <w:t>具有3年以上运维项目工作经验。</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（3）</w:t>
      </w:r>
      <w:r>
        <w:rPr>
          <w:rFonts w:hint="eastAsia" w:ascii="宋体" w:hAnsi="宋体" w:cs="宋体"/>
          <w:sz w:val="24"/>
          <w:lang w:val="zh-CN" w:bidi="ar"/>
        </w:rPr>
        <w:t>项目</w:t>
      </w:r>
      <w:r>
        <w:rPr>
          <w:rFonts w:hint="eastAsia" w:ascii="宋体" w:hAnsi="宋体" w:cs="宋体"/>
          <w:sz w:val="24"/>
          <w:lang w:bidi="ar"/>
        </w:rPr>
        <w:t>安全员：</w:t>
      </w:r>
      <w:r>
        <w:rPr>
          <w:rFonts w:hint="eastAsia" w:ascii="宋体" w:hAnsi="宋体" w:cs="宋体"/>
          <w:sz w:val="24"/>
          <w:lang w:val="zh-CN" w:bidi="ar"/>
        </w:rPr>
        <w:t>具有注册信息安全专业人员证书，</w:t>
      </w:r>
      <w:r>
        <w:rPr>
          <w:rFonts w:hint="eastAsia" w:ascii="宋体" w:hAnsi="宋体" w:cs="宋体"/>
          <w:sz w:val="24"/>
          <w:lang w:bidi="ar"/>
        </w:rPr>
        <w:t>具有3年以上运维项目工作经验。</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（4）项目团队其他人员：计算机相关专业专科及以上学历，均具运维项目工作经验，熟悉办公终端、网络交换设备、视频监控设备、网络安全设备的基本操作，能够处理基本故障。</w:t>
      </w:r>
    </w:p>
    <w:p>
      <w:pPr>
        <w:widowControl/>
        <w:spacing w:after="120" w:line="400" w:lineRule="exact"/>
        <w:rPr>
          <w:rFonts w:ascii="宋体" w:hAnsi="宋体" w:cs="宋体"/>
          <w:b/>
          <w:bCs/>
          <w:sz w:val="24"/>
          <w:lang w:bidi="ar"/>
        </w:rPr>
      </w:pPr>
      <w:r>
        <w:rPr>
          <w:rFonts w:hint="eastAsia" w:ascii="宋体" w:hAnsi="宋体" w:cs="宋体"/>
          <w:b/>
          <w:bCs/>
          <w:sz w:val="24"/>
          <w:lang w:bidi="ar"/>
        </w:rPr>
        <w:t>2、故障响应及支持要求</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2.1电话支持</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设立7*24小时技术支持电话。</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2.2远程支持</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如用户条件允许，运维工程师可为用户提供系统状态、终端配置、软件操作、简单故障排除等技术支持，帮助用户解决系统或设备使用中发生的各类问题，并根据用户提供的信息确定下一步技术方案，包括现场技术处置、协助用户报修等。</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2.3现场技术支持</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当采用其他形式不能解决问题或用户要求进行现场故障处置时，运维工程师将第一时间到达用户办公地点，分析故障原因，并排除故障。如修复不了，第一时间上报采购人，并协助第三方完成设备维修。</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2.4服务响应时效</w:t>
      </w:r>
    </w:p>
    <w:tbl>
      <w:tblPr>
        <w:tblStyle w:val="56"/>
        <w:tblW w:w="79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92"/>
        <w:gridCol w:w="4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技术支持内容</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响应时效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热线服务时间</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24小时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现场工程师电话响应时限</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≤5分钟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工程师到达现场时限</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≤10分钟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问题确认时间</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工程师到达现场后1小时内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设备联调时限</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工程师到达现场后15分钟内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故障修复时间</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≤4小时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3092" w:type="dxa"/>
            <w:vAlign w:val="center"/>
          </w:tcPr>
          <w:p>
            <w:pPr>
              <w:widowControl/>
              <w:spacing w:after="120" w:line="400" w:lineRule="exact"/>
              <w:jc w:val="center"/>
              <w:rPr>
                <w:rFonts w:ascii="宋体" w:hAnsi="宋体" w:cs="宋体"/>
                <w:sz w:val="24"/>
              </w:rPr>
            </w:pPr>
            <w:r>
              <w:rPr>
                <w:rFonts w:hint="eastAsia" w:ascii="宋体" w:hAnsi="宋体" w:cs="宋体"/>
                <w:sz w:val="24"/>
              </w:rPr>
              <w:t>客户满意度调查</w:t>
            </w:r>
          </w:p>
        </w:tc>
        <w:tc>
          <w:tcPr>
            <w:tcW w:w="4841" w:type="dxa"/>
            <w:vAlign w:val="center"/>
          </w:tcPr>
          <w:p>
            <w:pPr>
              <w:widowControl/>
              <w:spacing w:after="120" w:line="400" w:lineRule="exact"/>
              <w:jc w:val="center"/>
              <w:rPr>
                <w:rFonts w:ascii="宋体" w:hAnsi="宋体" w:cs="宋体"/>
                <w:sz w:val="24"/>
              </w:rPr>
            </w:pPr>
            <w:r>
              <w:rPr>
                <w:rFonts w:hint="eastAsia" w:ascii="宋体" w:hAnsi="宋体" w:cs="宋体"/>
                <w:sz w:val="24"/>
              </w:rPr>
              <w:t>每运维周期进行1次全面的客户满意度调查</w:t>
            </w:r>
          </w:p>
        </w:tc>
      </w:tr>
    </w:tbl>
    <w:p>
      <w:pPr>
        <w:widowControl/>
        <w:spacing w:line="400" w:lineRule="exact"/>
        <w:jc w:val="left"/>
        <w:rPr>
          <w:rFonts w:ascii="宋体" w:hAnsi="宋体" w:cs="宋体"/>
          <w:b/>
          <w:sz w:val="24"/>
          <w:lang w:bidi="ar"/>
        </w:rPr>
      </w:pPr>
      <w:r>
        <w:rPr>
          <w:rFonts w:hint="eastAsia" w:ascii="宋体" w:hAnsi="宋体" w:cs="宋体"/>
          <w:b/>
          <w:sz w:val="24"/>
          <w:lang w:bidi="ar"/>
        </w:rPr>
        <w:t>3、重点时期保障和应急处置要求</w:t>
      </w:r>
    </w:p>
    <w:p>
      <w:pPr>
        <w:widowControl/>
        <w:spacing w:line="400" w:lineRule="exact"/>
        <w:ind w:firstLine="480" w:firstLineChars="200"/>
        <w:jc w:val="left"/>
        <w:rPr>
          <w:rFonts w:ascii="宋体" w:hAnsi="宋体" w:cs="宋体"/>
          <w:sz w:val="24"/>
        </w:rPr>
      </w:pPr>
      <w:r>
        <w:rPr>
          <w:rFonts w:hint="eastAsia" w:ascii="宋体" w:hAnsi="宋体" w:cs="宋体"/>
          <w:sz w:val="24"/>
          <w:lang w:bidi="ar"/>
        </w:rPr>
        <w:t>3.1在重要会议、活动期间，根据采购人要求安排技术人员做好保障工作，合理安排人员进行7*24小时现场值守，以保证各项工作顺利进行。</w:t>
      </w:r>
    </w:p>
    <w:p>
      <w:pPr>
        <w:widowControl/>
        <w:spacing w:line="400" w:lineRule="exact"/>
        <w:ind w:firstLine="480" w:firstLineChars="200"/>
        <w:jc w:val="left"/>
        <w:rPr>
          <w:rFonts w:ascii="宋体" w:hAnsi="宋体" w:cs="宋体"/>
          <w:sz w:val="24"/>
        </w:rPr>
      </w:pPr>
      <w:r>
        <w:rPr>
          <w:rFonts w:hint="eastAsia" w:ascii="宋体" w:hAnsi="宋体" w:cs="宋体"/>
          <w:sz w:val="24"/>
          <w:lang w:bidi="ar"/>
        </w:rPr>
        <w:t>3.2接到应急故障电话时，做到即时响应，并派遣技术人员赶赴现场解决故障。</w:t>
      </w:r>
    </w:p>
    <w:p>
      <w:pPr>
        <w:widowControl/>
        <w:spacing w:line="400" w:lineRule="exact"/>
        <w:jc w:val="left"/>
        <w:rPr>
          <w:rFonts w:ascii="宋体" w:hAnsi="宋体" w:cs="宋体"/>
          <w:b/>
          <w:sz w:val="24"/>
          <w:lang w:bidi="ar"/>
        </w:rPr>
      </w:pPr>
      <w:r>
        <w:rPr>
          <w:rFonts w:hint="eastAsia" w:ascii="宋体" w:hAnsi="宋体" w:cs="宋体"/>
          <w:b/>
          <w:sz w:val="24"/>
          <w:lang w:bidi="ar"/>
        </w:rPr>
        <w:t>4、保密要求</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 xml:space="preserve">4.1人员保密管理需求：参与人员须通过背景审查（无犯罪记录），签署保密承诺书。 建立人员入职、在岗、离岗全过程的行为管控机制，包括权限开通与回收、工作交接监督。 明确各岗位保密责任，建立责任追究与奖惩机制。 </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4.2设备及工具保密管理需求：自备并设置专用维护终端、存储介质（U盘、移动硬盘）用于处置敏感系统或关键设备的调试、故障处置等。专用运维的终端、存储介质（U盘、移动硬盘等）须登记备案、责任到人。专用设备带出工作区域、移交、维修、报废，须进行数据清除并经采购人审批。</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 xml:space="preserve">4.3接触信息与数据保密管理需求：运维过程中可能接触到的系统配置、账号密码、拓扑信息、运行数据、日志记录、业务敏感信息等，均须受控管理。 禁止未经授权复制、截屏、拍照、导出或以任何形式带离。 如需临时存储，须使用专用受控介质，并在工作结束后按规定清除。 </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4.4运维操作行为保密管理需求：所有运维操作须在授权范围内执行，高风险操作（如配置变更、账号创建、数据导出）须向采购人审批+双人操作。</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 xml:space="preserve">4.5应急保密处置需求：针对可能发生的敏感信息泄露、设备丢失、违规操作、外部攻击等场景，制定专项应急预案。 </w:t>
      </w:r>
    </w:p>
    <w:p>
      <w:pPr>
        <w:widowControl/>
        <w:spacing w:line="400" w:lineRule="exact"/>
        <w:jc w:val="left"/>
        <w:rPr>
          <w:rFonts w:ascii="宋体" w:hAnsi="宋体" w:cs="宋体"/>
          <w:b/>
          <w:bCs/>
          <w:sz w:val="24"/>
          <w:lang w:bidi="ar"/>
        </w:rPr>
      </w:pPr>
      <w:r>
        <w:rPr>
          <w:rFonts w:hint="eastAsia" w:ascii="宋体" w:hAnsi="宋体" w:cs="宋体"/>
          <w:b/>
          <w:bCs/>
          <w:sz w:val="24"/>
          <w:lang w:bidi="ar"/>
        </w:rPr>
        <w:t>5、其他</w:t>
      </w:r>
    </w:p>
    <w:p>
      <w:pPr>
        <w:widowControl/>
        <w:spacing w:line="400" w:lineRule="exact"/>
        <w:ind w:firstLine="480" w:firstLineChars="200"/>
        <w:jc w:val="left"/>
      </w:pPr>
      <w:r>
        <w:rPr>
          <w:rFonts w:hint="eastAsia" w:ascii="宋体" w:hAnsi="宋体" w:cs="宋体"/>
          <w:sz w:val="24"/>
          <w:lang w:bidi="ar"/>
        </w:rPr>
        <w:t>供应商应为办公人员配备开展运维工作所需的工具，如办公终端、打印机、维护工具、网线、水晶头、标签机及办公用品等。</w:t>
      </w:r>
    </w:p>
    <w:p>
      <w:pPr>
        <w:widowControl/>
        <w:numPr>
          <w:ilvl w:val="0"/>
          <w:numId w:val="15"/>
        </w:numPr>
        <w:tabs>
          <w:tab w:val="left" w:pos="567"/>
        </w:tabs>
        <w:spacing w:before="120" w:line="400" w:lineRule="exact"/>
        <w:rPr>
          <w:rFonts w:ascii="宋体" w:hAnsi="宋体"/>
          <w:sz w:val="24"/>
        </w:rPr>
      </w:pPr>
      <w:r>
        <w:rPr>
          <w:rFonts w:hint="eastAsia" w:ascii="宋体" w:hAnsi="宋体"/>
          <w:b/>
          <w:sz w:val="24"/>
        </w:rPr>
        <w:t>技术要求</w:t>
      </w:r>
    </w:p>
    <w:tbl>
      <w:tblPr>
        <w:tblStyle w:val="55"/>
        <w:tblW w:w="9166" w:type="dxa"/>
        <w:tblInd w:w="-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7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bottom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城市运行调度指挥大厅机房运行状态监测</w:t>
            </w:r>
          </w:p>
        </w:tc>
        <w:tc>
          <w:tcPr>
            <w:tcW w:w="7378" w:type="dxa"/>
            <w:tcBorders>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机房环境基础设施的整体性巡检、整体性监控工作；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基础环境巡检，检查卫生情况、是否渗水、空调冷凝水排出是否顺畅、机房内有无异味、机房温湿度控制；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协调设备设施维修商，完成对基础设施的检查、调试和硬件等故障维修操作；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按照需求进行布线，并做好标签；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检查设备间连接、各设备节点是否正常；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single" w:color="auto" w:sz="4" w:space="0"/>
              <w:right w:val="single" w:color="auto" w:sz="4" w:space="0"/>
            </w:tcBorders>
            <w:vAlign w:val="center"/>
          </w:tcPr>
          <w:p>
            <w:pPr>
              <w:widowControl/>
              <w:spacing w:after="120" w:line="280" w:lineRule="exact"/>
              <w:jc w:val="center"/>
              <w:rPr>
                <w:rFonts w:ascii="宋体" w:hAnsi="宋体" w:cs="宋体"/>
                <w:szCs w:val="21"/>
              </w:rPr>
            </w:pPr>
          </w:p>
          <w:p>
            <w:pPr>
              <w:widowControl/>
              <w:spacing w:after="120" w:line="280" w:lineRule="exact"/>
              <w:jc w:val="center"/>
              <w:rPr>
                <w:rFonts w:ascii="宋体" w:hAnsi="宋体" w:cs="宋体"/>
                <w:szCs w:val="21"/>
              </w:rPr>
            </w:pPr>
          </w:p>
          <w:p>
            <w:pPr>
              <w:widowControl/>
              <w:spacing w:after="120" w:line="280" w:lineRule="exact"/>
              <w:jc w:val="center"/>
              <w:rPr>
                <w:rFonts w:ascii="宋体" w:hAnsi="宋体" w:cs="宋体"/>
                <w:szCs w:val="21"/>
              </w:rPr>
            </w:pPr>
          </w:p>
          <w:p>
            <w:pPr>
              <w:widowControl/>
              <w:spacing w:after="120" w:line="280" w:lineRule="exact"/>
              <w:jc w:val="center"/>
              <w:rPr>
                <w:rFonts w:ascii="宋体" w:hAnsi="宋体" w:cs="宋体"/>
                <w:szCs w:val="21"/>
              </w:rPr>
            </w:pPr>
          </w:p>
          <w:p>
            <w:pPr>
              <w:widowControl/>
              <w:spacing w:after="120" w:line="280" w:lineRule="exact"/>
              <w:jc w:val="center"/>
              <w:rPr>
                <w:rFonts w:ascii="宋体" w:hAnsi="宋体" w:cs="宋体"/>
                <w:szCs w:val="21"/>
              </w:rPr>
            </w:pPr>
          </w:p>
          <w:p>
            <w:pPr>
              <w:widowControl/>
              <w:spacing w:after="120" w:line="280" w:lineRule="exact"/>
              <w:jc w:val="center"/>
              <w:rPr>
                <w:rFonts w:ascii="宋体" w:hAnsi="宋体" w:cs="宋体"/>
                <w:szCs w:val="21"/>
              </w:rPr>
            </w:pPr>
            <w:r>
              <w:rPr>
                <w:rFonts w:hint="eastAsia" w:ascii="宋体" w:hAnsi="宋体" w:cs="宋体"/>
                <w:szCs w:val="21"/>
              </w:rPr>
              <w:t>城市运行调度指挥大厅运行保障</w:t>
            </w: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每日安排专人负责平台设备操作，对会议音响系统、数字调音台、大屏矩阵等进行调试，确保音视频效果正常。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有重点保障任务时，7X24小时负责协助业务系统上墙、大屏矩阵控制、摄像头调整、画面布局切换、音效配合等工作。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检查大屏幕显示是否正常，有无错位，颜色有无失帧，亮度、对比度等是否正常；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检查矩阵控制系统操作是否正常，对设备的遥控操作是否正常；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检查组成LED大屏幕的小屏运行情况及有无坏点现象；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检查麦克风、音响声音是否有杂音、回声、电流音等情况；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检查数字调音台使用是否正常；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检查大厅和会商室的摄像头显示、控制是否正常；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检查大屏系统设备之间通信有无异常。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检查监控系统有无异常；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检查硬盘录像机存储是否正常；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对12层指挥大厅机房与主干网络的连通性和11层大厅及客户端网络的进行状态监测</w:t>
            </w:r>
          </w:p>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负责指挥大厅终端网络接入，确保各类终端设备正常联网，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排查并解决指挥中心网络故障，如遇核心网络问题，及时上报至采购人；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检查各网络链接速度是否正常；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对交换机设备进行巡检，查看各网络设备的运行状况、资源使用情况、日志等内容；并进行日常运维（上下架、除尘、整理线缆）和策略配置工作；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对网络设备进行安全加固，备份网络设备配置，定期更新设备运维密码；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single" w:color="auto" w:sz="4" w:space="0"/>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设备发生故障时，及时进行故障排除；当发生硬件故障无法使用时，及时上报并配合采购人完成设备的报修工作。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nil"/>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w:t>
            </w:r>
            <w:r>
              <w:rPr>
                <w:rFonts w:hint="eastAsia" w:ascii="宋体" w:hAnsi="宋体" w:cs="宋体"/>
                <w:szCs w:val="21"/>
                <w:lang w:bidi="ar"/>
              </w:rPr>
              <w:t>二级高清视频联网共享平台”视频巡查</w:t>
            </w: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每日检查视频系统主要链路连通情况，对常用视频点位图像进行巡检，确保视频画面显示正常、无黑屏、无卡顿、无信号丢失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根据视频观测需求，对平台中的图像监控点位进行整理、归类，形成个性化监控点位分组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根据检查任务要求（如垃圾分类、扫雪铲冰、市容环境问题、游商小贩、市政设施等），开展视频点位巡检，发现并整理相关问题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对巡查发现的问题数据进行整理、汇总，形成问题清单（含点位、时间、问题描述、现场截图等），上报相关处室处理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根据相关处室反馈的整改情况，通过视频监控对已上报问题的整改效果进行复查确认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完成采购人安排的其他临时性点位巡查工作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nil"/>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lang w:bidi="ar"/>
              </w:rPr>
              <w:t>视频会议运行保障</w:t>
            </w: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视频会议召开前，提前完成网络连通调试及摄像机、麦克风、会议音响等设备联调测试。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根据会场情况调整摄像机机位、焦距及音响音量，参加会前点名，会议期间安排专人全程技术保障。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会议结束后负责设备回收及线缆整理，保障会场整洁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设备出现故障时及时启用备用设备替换，确保会议正常进行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对视频会议设备运行情况进行实时监控，发现硬件故障第一时间上报并协助报修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按时参加会前参与点名，在会议期间安排技术人员全程保障，妥善处理会议中出现的问题；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重要或高级别会议前，制定技术保障方案，明确人员分工、应急措施及备用设备清单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根据采购人安排或厂商通知，协助完成系统升级与补丁更新。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lang w:bidi="ar"/>
              </w:rPr>
              <w:t>桌面系统运行保障</w:t>
            </w: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解决办公终端（含操作系统、办公软件、杀毒软件）的各类故障，包括软件故障、网络故障、打印机/扫描仪联调等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国产办公软件发布升级补丁后，协助使用人进行升级，防止病毒木马侵扰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对委办公计算机(含笔记本)资产日常软件的安装、使用及删除，做好记录；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每年开展1次软件使用情况摸底，形成软件资产底账，发现非授权或不合规软件协助整改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发生硬件故障时初步判定故障位置，配合使用人员完成报修工作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城市运行综合信息数据报送</w:t>
            </w: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从指定邮箱中采集供水排水、垃圾处理数据到日报；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从城市运行调度指挥大厅指定的模块中采集热力；液化气；电力数据数据到日报；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核对检查日报格式和数据；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报送日报到指定的邮箱并电话通知对方；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当数据有误或者没有收到数据，及时沟通并联系数据源提供方核实；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top w:val="nil"/>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填写汇总并核对相关数据后，上报相关部门；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tcBorders>
              <w:top w:val="single" w:color="auto" w:sz="4" w:space="0"/>
              <w:bottom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电子邮箱系统运维</w:t>
            </w: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在收到公务员邮箱审批单后，对公务员邮箱进行开通、锁定、注销、密码修改等操作；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restart"/>
            <w:tcBorders>
              <w:top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城市运行调度指挥大厅</w:t>
            </w:r>
            <w:r>
              <w:rPr>
                <w:rFonts w:hint="eastAsia" w:ascii="宋体" w:hAnsi="宋体" w:cs="宋体"/>
                <w:szCs w:val="21"/>
                <w:lang w:bidi="ar"/>
              </w:rPr>
              <w:t>7*24小时值守保障</w:t>
            </w:r>
          </w:p>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安排12人在城市运行调度指挥大厅（11层大厅）提供现场值守保障工作，主要保障平台调度、大屏演示、视频会议等任务正常进行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在重要会议、活动期间，根据要求安排技术人员做好保障工作，合理安排人员进行7*24小时现场值守；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明确人员分工，按照工作内容确定责任人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vMerge w:val="continue"/>
            <w:tcBorders>
              <w:bottom w:val="single" w:color="auto" w:sz="4" w:space="0"/>
              <w:right w:val="single" w:color="auto" w:sz="4" w:space="0"/>
            </w:tcBorders>
            <w:vAlign w:val="center"/>
          </w:tcPr>
          <w:p>
            <w:pPr>
              <w:widowControl/>
              <w:spacing w:after="120" w:line="280" w:lineRule="exact"/>
              <w:jc w:val="center"/>
              <w:rPr>
                <w:rFonts w:ascii="宋体" w:hAnsi="宋体" w:cs="宋体"/>
                <w:szCs w:val="21"/>
              </w:rPr>
            </w:pPr>
          </w:p>
        </w:tc>
        <w:tc>
          <w:tcPr>
            <w:tcW w:w="7378" w:type="dxa"/>
            <w:tcBorders>
              <w:top w:val="single" w:color="auto" w:sz="4" w:space="0"/>
              <w:left w:val="nil"/>
              <w:bottom w:val="single" w:color="auto" w:sz="4" w:space="0"/>
            </w:tcBorders>
            <w:vAlign w:val="center"/>
          </w:tcPr>
          <w:p>
            <w:pPr>
              <w:widowControl/>
              <w:spacing w:after="120" w:line="280" w:lineRule="exact"/>
              <w:rPr>
                <w:rFonts w:ascii="宋体" w:hAnsi="宋体" w:cs="宋体"/>
                <w:szCs w:val="21"/>
              </w:rPr>
            </w:pPr>
            <w:r>
              <w:rPr>
                <w:rFonts w:hint="eastAsia" w:ascii="宋体" w:hAnsi="宋体" w:cs="宋体"/>
                <w:szCs w:val="21"/>
              </w:rPr>
              <w:t>接到应急故障电话时，做到即时响应，并派遣技术人员赶赴现场解决故障。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8" w:type="dxa"/>
            <w:tcBorders>
              <w:top w:val="single" w:color="auto" w:sz="4" w:space="0"/>
              <w:right w:val="single" w:color="auto" w:sz="4" w:space="0"/>
            </w:tcBorders>
            <w:vAlign w:val="center"/>
          </w:tcPr>
          <w:p>
            <w:pPr>
              <w:widowControl/>
              <w:spacing w:after="120" w:line="280" w:lineRule="exact"/>
              <w:jc w:val="center"/>
              <w:rPr>
                <w:rFonts w:ascii="宋体" w:hAnsi="宋体" w:cs="宋体"/>
                <w:szCs w:val="21"/>
              </w:rPr>
            </w:pPr>
            <w:r>
              <w:rPr>
                <w:rFonts w:hint="eastAsia" w:ascii="宋体" w:hAnsi="宋体" w:cs="宋体"/>
                <w:szCs w:val="21"/>
              </w:rPr>
              <w:t>其他临时性工作</w:t>
            </w:r>
          </w:p>
        </w:tc>
        <w:tc>
          <w:tcPr>
            <w:tcW w:w="7378" w:type="dxa"/>
            <w:tcBorders>
              <w:top w:val="single" w:color="auto" w:sz="4" w:space="0"/>
              <w:left w:val="nil"/>
            </w:tcBorders>
            <w:vAlign w:val="center"/>
          </w:tcPr>
          <w:p>
            <w:pPr>
              <w:widowControl/>
              <w:spacing w:after="120" w:line="280" w:lineRule="exact"/>
              <w:rPr>
                <w:rFonts w:ascii="宋体" w:hAnsi="宋体" w:cs="宋体"/>
                <w:szCs w:val="21"/>
              </w:rPr>
            </w:pPr>
            <w:r>
              <w:rPr>
                <w:rFonts w:hint="eastAsia" w:ascii="宋体" w:hAnsi="宋体" w:cs="宋体"/>
                <w:szCs w:val="21"/>
              </w:rPr>
              <w:t>完成采购人交办的临时性工作；</w:t>
            </w:r>
          </w:p>
        </w:tc>
      </w:tr>
    </w:tbl>
    <w:p>
      <w:pPr>
        <w:tabs>
          <w:tab w:val="left" w:pos="567"/>
        </w:tabs>
        <w:spacing w:before="120" w:line="22" w:lineRule="atLeast"/>
        <w:rPr>
          <w:rFonts w:ascii="宋体" w:hAnsi="宋体" w:cs="仿宋_GB2312"/>
        </w:rPr>
      </w:pPr>
    </w:p>
    <w:p>
      <w:pPr>
        <w:widowControl/>
        <w:numPr>
          <w:ilvl w:val="0"/>
          <w:numId w:val="15"/>
        </w:numPr>
        <w:tabs>
          <w:tab w:val="left" w:pos="567"/>
        </w:tabs>
        <w:spacing w:before="120" w:line="400" w:lineRule="exact"/>
        <w:rPr>
          <w:rFonts w:ascii="宋体" w:hAnsi="宋体"/>
          <w:b/>
          <w:sz w:val="24"/>
        </w:rPr>
      </w:pPr>
      <w:r>
        <w:rPr>
          <w:rFonts w:hint="eastAsia" w:ascii="宋体" w:hAnsi="宋体"/>
          <w:b/>
          <w:sz w:val="24"/>
        </w:rPr>
        <w:t>信息设备清单</w:t>
      </w:r>
    </w:p>
    <w:tbl>
      <w:tblPr>
        <w:tblStyle w:val="56"/>
        <w:tblpPr w:leftFromText="180" w:rightFromText="180" w:vertAnchor="text" w:horzAnchor="page" w:tblpX="1388" w:tblpY="555"/>
        <w:tblOverlap w:val="never"/>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3"/>
        <w:gridCol w:w="4010"/>
        <w:gridCol w:w="1065"/>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shd w:val="clear" w:color="auto" w:fill="auto"/>
            <w:vAlign w:val="center"/>
          </w:tcPr>
          <w:p>
            <w:pPr>
              <w:widowControl/>
              <w:tabs>
                <w:tab w:val="center" w:pos="858"/>
              </w:tabs>
              <w:spacing w:after="120" w:line="280" w:lineRule="exact"/>
              <w:rPr>
                <w:rFonts w:ascii="宋体" w:hAnsi="宋体" w:cs="宋体"/>
                <w:szCs w:val="21"/>
              </w:rPr>
            </w:pPr>
            <w:r>
              <w:rPr>
                <w:rFonts w:hint="eastAsia" w:ascii="宋体" w:hAnsi="宋体" w:cs="宋体"/>
                <w:szCs w:val="21"/>
              </w:rPr>
              <w:t>类别</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品牌型号</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数量</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网络交换设备</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锐捷RG-S2910-24GT4XS-UP-H</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锐捷RG-S6150-48VS8CQ-X</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锐捷RG-S6000-48GT4SFP-E</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4</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锐捷RG-S5750C-28SFP4XS-H</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内网接入（他管机房）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GAMUT DCS10N-CU 小POE交换机</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8口小HUB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大华小POE交换机</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8口小HUB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监控设备</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大华DH-NVR4816-4KS2/I</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硬盘录像机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vAlign w:val="center"/>
          </w:tcPr>
          <w:p>
            <w:pPr>
              <w:widowControl/>
              <w:spacing w:after="120" w:line="280" w:lineRule="exact"/>
              <w:rPr>
                <w:rFonts w:ascii="宋体" w:hAnsi="宋体" w:cs="宋体"/>
                <w:szCs w:val="21"/>
              </w:rPr>
            </w:pPr>
            <w:r>
              <w:rPr>
                <w:rFonts w:hint="eastAsia" w:ascii="宋体" w:hAnsi="宋体" w:cs="宋体"/>
                <w:szCs w:val="21"/>
              </w:rPr>
              <w:t>服务器</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ThinkServer RD630</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公文系统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惠普 DL580 G7</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海康威视</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电视墙解码器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机房空调</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艾福瑞斯V3000</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办公终端、打印机、扫描仪</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清华同方、联想、统信等</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约700台</w:t>
            </w:r>
          </w:p>
        </w:tc>
        <w:tc>
          <w:tcPr>
            <w:tcW w:w="2254" w:type="dxa"/>
            <w:vAlign w:val="center"/>
          </w:tcPr>
          <w:p>
            <w:pPr>
              <w:widowControl/>
              <w:spacing w:after="120" w:line="2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tcPr>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szCs w:val="21"/>
              </w:rPr>
            </w:pPr>
            <w:r>
              <w:rPr>
                <w:rFonts w:hint="eastAsia" w:ascii="宋体" w:hAnsi="宋体" w:cs="宋体"/>
                <w:color w:val="000000"/>
                <w:szCs w:val="21"/>
              </w:rPr>
              <w:t>大屏音视频系统</w:t>
            </w:r>
          </w:p>
        </w:tc>
        <w:tc>
          <w:tcPr>
            <w:tcW w:w="4010" w:type="dxa"/>
            <w:vAlign w:val="center"/>
          </w:tcPr>
          <w:p>
            <w:pPr>
              <w:widowControl/>
              <w:adjustRightInd w:val="0"/>
              <w:snapToGrid w:val="0"/>
              <w:rPr>
                <w:rFonts w:ascii="宋体" w:hAnsi="宋体" w:cs="宋体"/>
                <w:szCs w:val="21"/>
              </w:rPr>
            </w:pPr>
            <w:r>
              <w:rPr>
                <w:rFonts w:hint="eastAsia" w:ascii="宋体" w:hAnsi="宋体" w:cs="宋体"/>
                <w:color w:val="000000"/>
                <w:szCs w:val="21"/>
              </w:rPr>
              <w:t>利亚德大屏显示系统</w:t>
            </w:r>
          </w:p>
        </w:tc>
        <w:tc>
          <w:tcPr>
            <w:tcW w:w="1065" w:type="dxa"/>
            <w:vAlign w:val="center"/>
          </w:tcPr>
          <w:p>
            <w:pPr>
              <w:keepNext/>
              <w:widowControl/>
              <w:snapToGrid w:val="0"/>
              <w:jc w:val="center"/>
              <w:textAlignment w:val="center"/>
              <w:rPr>
                <w:rFonts w:ascii="宋体" w:hAnsi="宋体" w:cs="宋体"/>
                <w:szCs w:val="21"/>
              </w:rPr>
            </w:pP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keepNext/>
              <w:widowControl/>
              <w:snapToGrid w:val="0"/>
              <w:textAlignment w:val="center"/>
              <w:rPr>
                <w:rFonts w:ascii="宋体" w:hAnsi="宋体" w:cs="宋体"/>
                <w:szCs w:val="21"/>
              </w:rPr>
            </w:pPr>
            <w:r>
              <w:rPr>
                <w:rFonts w:hint="eastAsia" w:ascii="宋体" w:hAnsi="宋体" w:cs="宋体"/>
                <w:color w:val="000000"/>
                <w:szCs w:val="21"/>
              </w:rPr>
              <w:t>利亚德</w:t>
            </w:r>
            <w:r>
              <w:rPr>
                <w:rFonts w:hint="eastAsia" w:ascii="宋体" w:hAnsi="宋体" w:cs="宋体"/>
                <w:bCs/>
                <w:szCs w:val="21"/>
              </w:rPr>
              <w:t>MVC-L拼接处理服务器</w:t>
            </w:r>
          </w:p>
        </w:tc>
        <w:tc>
          <w:tcPr>
            <w:tcW w:w="1065" w:type="dxa"/>
            <w:vAlign w:val="center"/>
          </w:tcPr>
          <w:p>
            <w:pPr>
              <w:keepNext/>
              <w:widowControl/>
              <w:snapToGrid w:val="0"/>
              <w:jc w:val="center"/>
              <w:textAlignment w:val="center"/>
              <w:rPr>
                <w:rFonts w:ascii="宋体" w:hAnsi="宋体" w:cs="宋体"/>
                <w:szCs w:val="21"/>
              </w:rPr>
            </w:pPr>
            <w:r>
              <w:rPr>
                <w:rFonts w:hint="eastAsia" w:ascii="宋体" w:hAnsi="宋体" w:cs="宋体"/>
                <w:color w:val="000000"/>
                <w:szCs w:val="21"/>
              </w:rPr>
              <w:t>1套</w:t>
            </w: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拼接处理、高清混合矩阵、LED控制器及传输设备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keepNext/>
              <w:widowControl/>
              <w:snapToGrid w:val="0"/>
              <w:textAlignment w:val="center"/>
              <w:rPr>
                <w:rFonts w:ascii="宋体" w:hAnsi="宋体" w:cs="宋体"/>
                <w:szCs w:val="21"/>
              </w:rPr>
            </w:pPr>
            <w:r>
              <w:rPr>
                <w:rFonts w:hint="eastAsia" w:ascii="宋体" w:hAnsi="宋体" w:cs="宋体"/>
                <w:bCs/>
                <w:szCs w:val="21"/>
              </w:rPr>
              <w:t>利亚德MVC-L拼接处理服务器</w:t>
            </w:r>
          </w:p>
        </w:tc>
        <w:tc>
          <w:tcPr>
            <w:tcW w:w="1065" w:type="dxa"/>
            <w:vAlign w:val="center"/>
          </w:tcPr>
          <w:p>
            <w:pPr>
              <w:keepNext/>
              <w:widowControl/>
              <w:snapToGrid w:val="0"/>
              <w:jc w:val="center"/>
              <w:textAlignment w:val="center"/>
              <w:rPr>
                <w:rFonts w:ascii="宋体" w:hAnsi="宋体" w:cs="宋体"/>
                <w:szCs w:val="21"/>
              </w:rPr>
            </w:pPr>
            <w:r>
              <w:rPr>
                <w:rFonts w:hint="eastAsia" w:ascii="宋体" w:hAnsi="宋体" w:cs="宋体"/>
                <w:color w:val="000000"/>
                <w:szCs w:val="21"/>
              </w:rPr>
              <w:t>1套</w:t>
            </w: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综合视频处理平台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柯博音响系统</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6个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音箱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柯博MX2-700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3个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线阵全频功放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柯博MX2-700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线阵低频功放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柯博AXM-0808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网络数字音频矩阵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柯博WH-800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会议发言主机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柯博CM-TX</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话筒天线分配主机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柯博M-MD24</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数字调音台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柯博发言系统</w:t>
            </w:r>
          </w:p>
        </w:tc>
        <w:tc>
          <w:tcPr>
            <w:tcW w:w="1065" w:type="dxa"/>
            <w:vAlign w:val="center"/>
          </w:tcPr>
          <w:p>
            <w:pPr>
              <w:widowControl/>
              <w:adjustRightInd w:val="0"/>
              <w:snapToGrid w:val="0"/>
              <w:jc w:val="center"/>
              <w:rPr>
                <w:rFonts w:ascii="宋体" w:hAnsi="宋体" w:cs="宋体"/>
                <w:szCs w:val="21"/>
              </w:rPr>
            </w:pPr>
          </w:p>
        </w:tc>
        <w:tc>
          <w:tcPr>
            <w:tcW w:w="2254" w:type="dxa"/>
            <w:vAlign w:val="center"/>
          </w:tcPr>
          <w:p>
            <w:pPr>
              <w:widowControl/>
              <w:adjustRightInd w:val="0"/>
              <w:snapToGrid w:val="0"/>
              <w:rPr>
                <w:rFonts w:ascii="宋体" w:hAnsi="宋体" w:cs="宋体"/>
                <w:szCs w:val="21"/>
              </w:rPr>
            </w:pPr>
            <w:r>
              <w:rPr>
                <w:rFonts w:hint="eastAsia" w:ascii="宋体" w:hAnsi="宋体" w:cs="宋体"/>
                <w:szCs w:val="21"/>
              </w:rPr>
              <w:t>话筒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柯博WH-3000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会议系统主机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柯博WH-20S</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充电箱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color w:val="000000"/>
                <w:szCs w:val="21"/>
              </w:rPr>
              <w:t>小鸟DB-UniManager</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小鸟DB-UniManager-BCOOZ-MSC-IP1RS8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2个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中控8路串口扩展器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小米平板6 Pro</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2个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辅控设备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小鸟DB-UniManager-BCOOZ-MSC-RELAY8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4个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电源管理器</w:t>
            </w:r>
          </w:p>
        </w:tc>
      </w:tr>
    </w:tbl>
    <w:p>
      <w:pPr>
        <w:adjustRightInd w:val="0"/>
        <w:snapToGrid w:val="0"/>
        <w:spacing w:line="360" w:lineRule="auto"/>
        <w:ind w:firstLine="420" w:firstLineChars="200"/>
        <w:rPr>
          <w:rFonts w:ascii="宋体" w:hAnsi="宋体" w:cs="仿宋_GB2312"/>
        </w:rPr>
      </w:pPr>
      <w:r>
        <w:rPr>
          <w:rFonts w:hint="eastAsia" w:ascii="宋体" w:hAnsi="宋体" w:cs="仿宋_GB2312"/>
        </w:rPr>
        <w:t>注：当设备发生硬件故障时，配合采购人完成报修工作。</w:t>
      </w:r>
    </w:p>
    <w:p>
      <w:pPr>
        <w:adjustRightInd w:val="0"/>
        <w:snapToGrid w:val="0"/>
        <w:spacing w:line="300" w:lineRule="auto"/>
        <w:rPr>
          <w:rFonts w:ascii="宋体" w:hAnsi="宋体" w:cs="宋体"/>
          <w:b/>
          <w:sz w:val="24"/>
        </w:rPr>
      </w:pPr>
    </w:p>
    <w:p>
      <w:pPr>
        <w:adjustRightInd w:val="0"/>
        <w:snapToGrid w:val="0"/>
        <w:spacing w:line="300" w:lineRule="auto"/>
        <w:rPr>
          <w:rFonts w:ascii="宋体" w:hAnsi="宋体" w:cs="宋体"/>
          <w:b/>
          <w:sz w:val="24"/>
        </w:rPr>
      </w:pPr>
      <w:r>
        <w:rPr>
          <w:rFonts w:hint="eastAsia" w:ascii="宋体" w:hAnsi="宋体" w:cs="宋体"/>
          <w:b/>
          <w:sz w:val="24"/>
        </w:rPr>
        <w:t>四、验收要求</w:t>
      </w:r>
    </w:p>
    <w:p>
      <w:pPr>
        <w:widowControl/>
        <w:spacing w:line="360" w:lineRule="auto"/>
        <w:ind w:firstLine="480" w:firstLineChars="200"/>
        <w:jc w:val="left"/>
        <w:rPr>
          <w:rFonts w:ascii="宋体" w:hAnsi="宋体" w:cs="宋体"/>
          <w:bCs/>
          <w:sz w:val="24"/>
        </w:rPr>
      </w:pPr>
      <w:r>
        <w:rPr>
          <w:rFonts w:hint="eastAsia" w:ascii="宋体" w:hAnsi="宋体" w:cs="仿宋_GB2312"/>
          <w:bCs/>
          <w:sz w:val="24"/>
        </w:rPr>
        <w:t>1.</w:t>
      </w:r>
      <w:r>
        <w:rPr>
          <w:rFonts w:hint="eastAsia" w:ascii="宋体" w:hAnsi="宋体" w:cs="宋体"/>
          <w:bCs/>
          <w:sz w:val="24"/>
        </w:rPr>
        <w:t xml:space="preserve"> 技术维护完成（</w:t>
      </w:r>
      <w:r>
        <w:rPr>
          <w:rFonts w:hint="eastAsia" w:ascii="宋体" w:hAnsi="宋体" w:cs="宋体"/>
          <w:bCs/>
          <w:sz w:val="24"/>
          <w:u w:val="single"/>
        </w:rPr>
        <w:t>10</w:t>
      </w:r>
      <w:r>
        <w:rPr>
          <w:rFonts w:hint="eastAsia" w:ascii="宋体" w:hAnsi="宋体" w:cs="宋体"/>
          <w:bCs/>
          <w:sz w:val="24"/>
        </w:rPr>
        <w:t>）日前，乙方应该通知甲方进行项目验收准备工作，以便甲方能够快速、高效地完成项目验收工作。</w:t>
      </w:r>
    </w:p>
    <w:p>
      <w:pPr>
        <w:adjustRightInd w:val="0"/>
        <w:snapToGrid w:val="0"/>
        <w:spacing w:line="360" w:lineRule="auto"/>
        <w:ind w:firstLine="480" w:firstLineChars="200"/>
        <w:rPr>
          <w:rFonts w:ascii="宋体" w:hAnsi="宋体" w:cs="宋体"/>
          <w:bCs/>
          <w:sz w:val="24"/>
        </w:rPr>
      </w:pPr>
      <w:r>
        <w:rPr>
          <w:rFonts w:hint="eastAsia" w:ascii="宋体" w:hAnsi="宋体" w:cs="仿宋_GB2312"/>
          <w:bCs/>
          <w:sz w:val="24"/>
        </w:rPr>
        <w:t>2.</w:t>
      </w:r>
      <w:r>
        <w:rPr>
          <w:rFonts w:hint="eastAsia" w:ascii="宋体" w:hAnsi="宋体" w:cs="宋体"/>
          <w:bCs/>
          <w:sz w:val="24"/>
        </w:rPr>
        <w:t xml:space="preserve"> 验收方法：由乙方提交项目技术报告，甲方组织验收。</w:t>
      </w:r>
    </w:p>
    <w:p>
      <w:pPr>
        <w:pStyle w:val="2"/>
        <w:spacing w:line="360" w:lineRule="auto"/>
        <w:ind w:firstLineChars="200"/>
      </w:pPr>
      <w:r>
        <w:rPr>
          <w:rFonts w:hint="eastAsia" w:ascii="宋体" w:hAnsi="宋体" w:cs="仿宋_GB2312"/>
          <w:bCs/>
          <w:sz w:val="24"/>
        </w:rPr>
        <w:t>3.</w:t>
      </w:r>
      <w:r>
        <w:rPr>
          <w:rFonts w:hint="eastAsia" w:ascii="宋体" w:hAnsi="宋体" w:cs="宋体"/>
          <w:bCs/>
          <w:sz w:val="24"/>
        </w:rPr>
        <w:t xml:space="preserve"> 验收标准：本合同约定的维护内容及质量要求。如乙方完成的工作不符合合同约定或甲方要求，甲方有权书面通知乙方在甲方规定的时间内予以整改。整改完成后，乙方应当重新向甲方提交验收申请。</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56"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4"/>
      <w:bookmarkEnd w:id="856"/>
    </w:p>
    <w:p>
      <w:pPr>
        <w:spacing w:line="360" w:lineRule="auto"/>
        <w:jc w:val="center"/>
        <w:rPr>
          <w:rFonts w:ascii="宋体" w:hAnsi="宋体" w:cs="宋体"/>
          <w:b/>
          <w:color w:val="000000"/>
          <w:sz w:val="48"/>
          <w:szCs w:val="48"/>
        </w:rPr>
      </w:pP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jc w:val="center"/>
        <w:rPr>
          <w:rFonts w:ascii="宋体" w:hAnsi="宋体" w:cs="宋体"/>
          <w:sz w:val="52"/>
          <w:szCs w:val="52"/>
        </w:rPr>
      </w:pPr>
      <w:bookmarkStart w:id="857" w:name="_Toc99301426"/>
    </w:p>
    <w:p>
      <w:pPr>
        <w:jc w:val="center"/>
        <w:rPr>
          <w:rFonts w:ascii="宋体" w:hAnsi="宋体" w:cs="宋体"/>
          <w:sz w:val="52"/>
          <w:szCs w:val="52"/>
        </w:rPr>
      </w:pPr>
    </w:p>
    <w:p>
      <w:pPr>
        <w:jc w:val="center"/>
        <w:rPr>
          <w:rFonts w:ascii="宋体" w:hAnsi="宋体" w:cs="宋体"/>
          <w:sz w:val="52"/>
          <w:szCs w:val="52"/>
        </w:rPr>
      </w:pPr>
    </w:p>
    <w:p>
      <w:pPr>
        <w:jc w:val="center"/>
        <w:rPr>
          <w:rFonts w:ascii="宋体" w:hAnsi="宋体" w:cs="宋体"/>
          <w:b/>
          <w:bCs/>
          <w:sz w:val="56"/>
          <w:szCs w:val="56"/>
        </w:rPr>
      </w:pPr>
      <w:r>
        <w:rPr>
          <w:rFonts w:hint="eastAsia" w:ascii="宋体" w:hAnsi="宋体" w:cs="宋体"/>
          <w:b/>
          <w:bCs/>
          <w:sz w:val="56"/>
          <w:szCs w:val="56"/>
        </w:rPr>
        <w:t>技术维护合同</w:t>
      </w:r>
    </w:p>
    <w:p>
      <w:pPr>
        <w:tabs>
          <w:tab w:val="left" w:pos="0"/>
          <w:tab w:val="left" w:pos="510"/>
          <w:tab w:val="left" w:pos="567"/>
          <w:tab w:val="left" w:pos="601"/>
        </w:tabs>
        <w:autoSpaceDE w:val="0"/>
        <w:autoSpaceDN w:val="0"/>
        <w:adjustRightInd w:val="0"/>
        <w:spacing w:line="720" w:lineRule="auto"/>
        <w:ind w:firstLine="1451"/>
        <w:jc w:val="center"/>
        <w:rPr>
          <w:rFonts w:ascii="宋体" w:hAnsi="宋体" w:cs="宋体"/>
          <w:kern w:val="0"/>
          <w:sz w:val="28"/>
          <w:szCs w:val="28"/>
        </w:rPr>
      </w:pPr>
    </w:p>
    <w:p>
      <w:pPr>
        <w:tabs>
          <w:tab w:val="left" w:pos="0"/>
          <w:tab w:val="left" w:pos="510"/>
          <w:tab w:val="left" w:pos="567"/>
          <w:tab w:val="left" w:pos="601"/>
        </w:tabs>
        <w:autoSpaceDE w:val="0"/>
        <w:autoSpaceDN w:val="0"/>
        <w:adjustRightInd w:val="0"/>
        <w:spacing w:line="720" w:lineRule="auto"/>
        <w:ind w:firstLine="1451"/>
        <w:jc w:val="center"/>
        <w:rPr>
          <w:rFonts w:ascii="宋体" w:hAnsi="宋体" w:cs="宋体"/>
          <w:kern w:val="0"/>
          <w:sz w:val="28"/>
          <w:szCs w:val="28"/>
        </w:rPr>
      </w:pPr>
    </w:p>
    <w:p>
      <w:pPr>
        <w:tabs>
          <w:tab w:val="left" w:pos="0"/>
          <w:tab w:val="left" w:pos="567"/>
          <w:tab w:val="left" w:pos="601"/>
        </w:tabs>
        <w:autoSpaceDE w:val="0"/>
        <w:autoSpaceDN w:val="0"/>
        <w:adjustRightInd w:val="0"/>
        <w:spacing w:line="360" w:lineRule="auto"/>
        <w:ind w:left="3087" w:leftChars="418" w:hanging="2209" w:hangingChars="500"/>
        <w:rPr>
          <w:rFonts w:ascii="宋体" w:hAnsi="宋体" w:cs="宋体"/>
          <w:b/>
          <w:bCs/>
          <w:kern w:val="0"/>
          <w:sz w:val="44"/>
          <w:szCs w:val="44"/>
        </w:rPr>
      </w:pPr>
      <w:r>
        <w:rPr>
          <w:rFonts w:hint="eastAsia" w:ascii="宋体" w:hAnsi="宋体" w:cs="宋体"/>
          <w:b/>
          <w:bCs/>
          <w:kern w:val="0"/>
          <w:sz w:val="44"/>
          <w:szCs w:val="44"/>
        </w:rPr>
        <w:t>项目名称：2026年桌面系统、视频会议保障等基础运维</w:t>
      </w:r>
    </w:p>
    <w:p>
      <w:pPr>
        <w:tabs>
          <w:tab w:val="left" w:pos="0"/>
          <w:tab w:val="left" w:pos="567"/>
          <w:tab w:val="left" w:pos="601"/>
        </w:tabs>
        <w:autoSpaceDE w:val="0"/>
        <w:autoSpaceDN w:val="0"/>
        <w:adjustRightInd w:val="0"/>
        <w:spacing w:line="360" w:lineRule="auto"/>
        <w:ind w:firstLine="723" w:firstLineChars="200"/>
        <w:rPr>
          <w:rFonts w:ascii="宋体" w:hAnsi="宋体" w:cs="宋体"/>
          <w:b/>
          <w:bCs/>
          <w:kern w:val="0"/>
          <w:sz w:val="36"/>
          <w:szCs w:val="36"/>
        </w:rPr>
      </w:pPr>
    </w:p>
    <w:p>
      <w:pPr>
        <w:tabs>
          <w:tab w:val="left" w:pos="0"/>
          <w:tab w:val="left" w:pos="567"/>
          <w:tab w:val="left" w:pos="601"/>
        </w:tabs>
        <w:autoSpaceDE w:val="0"/>
        <w:autoSpaceDN w:val="0"/>
        <w:adjustRightInd w:val="0"/>
        <w:spacing w:line="360" w:lineRule="auto"/>
        <w:rPr>
          <w:rFonts w:ascii="宋体" w:hAnsi="宋体" w:cs="宋体"/>
          <w:b/>
          <w:bCs/>
          <w:kern w:val="0"/>
          <w:sz w:val="36"/>
          <w:szCs w:val="36"/>
        </w:rPr>
      </w:pPr>
    </w:p>
    <w:p>
      <w:pPr>
        <w:tabs>
          <w:tab w:val="left" w:pos="0"/>
          <w:tab w:val="left" w:pos="567"/>
          <w:tab w:val="left" w:pos="601"/>
        </w:tabs>
        <w:autoSpaceDE w:val="0"/>
        <w:autoSpaceDN w:val="0"/>
        <w:adjustRightInd w:val="0"/>
        <w:spacing w:line="360" w:lineRule="auto"/>
        <w:ind w:firstLine="723" w:firstLineChars="200"/>
        <w:rPr>
          <w:rFonts w:ascii="宋体" w:hAnsi="宋体" w:cs="宋体"/>
          <w:b/>
          <w:bCs/>
          <w:kern w:val="0"/>
          <w:sz w:val="36"/>
          <w:szCs w:val="36"/>
        </w:rPr>
      </w:pPr>
    </w:p>
    <w:p>
      <w:pPr>
        <w:tabs>
          <w:tab w:val="left" w:pos="0"/>
          <w:tab w:val="left" w:pos="567"/>
          <w:tab w:val="left" w:pos="601"/>
        </w:tabs>
        <w:autoSpaceDE w:val="0"/>
        <w:autoSpaceDN w:val="0"/>
        <w:adjustRightInd w:val="0"/>
        <w:spacing w:line="360" w:lineRule="auto"/>
        <w:ind w:firstLine="723" w:firstLineChars="200"/>
        <w:rPr>
          <w:rFonts w:ascii="宋体" w:hAnsi="宋体" w:cs="宋体"/>
          <w:b/>
          <w:bCs/>
          <w:kern w:val="0"/>
          <w:sz w:val="36"/>
          <w:szCs w:val="36"/>
        </w:rPr>
      </w:pPr>
    </w:p>
    <w:p>
      <w:pPr>
        <w:tabs>
          <w:tab w:val="left" w:pos="0"/>
          <w:tab w:val="left" w:pos="510"/>
          <w:tab w:val="left" w:pos="567"/>
          <w:tab w:val="left" w:pos="601"/>
        </w:tabs>
        <w:autoSpaceDE w:val="0"/>
        <w:autoSpaceDN w:val="0"/>
        <w:adjustRightInd w:val="0"/>
        <w:spacing w:line="720" w:lineRule="auto"/>
        <w:ind w:firstLine="1084" w:firstLineChars="300"/>
        <w:jc w:val="left"/>
        <w:rPr>
          <w:rFonts w:ascii="宋体" w:hAnsi="宋体" w:cs="宋体"/>
          <w:b/>
          <w:bCs/>
          <w:kern w:val="0"/>
          <w:sz w:val="36"/>
          <w:szCs w:val="36"/>
          <w:u w:val="single"/>
        </w:rPr>
      </w:pPr>
      <w:r>
        <w:rPr>
          <w:rFonts w:hint="eastAsia" w:ascii="宋体" w:hAnsi="宋体" w:cs="宋体"/>
          <w:b/>
          <w:bCs/>
          <w:kern w:val="0"/>
          <w:sz w:val="36"/>
          <w:szCs w:val="36"/>
        </w:rPr>
        <w:t>合同编号：</w:t>
      </w:r>
      <w:r>
        <w:rPr>
          <w:rFonts w:hint="eastAsia" w:ascii="宋体" w:hAnsi="宋体" w:cs="宋体"/>
          <w:b/>
          <w:bCs/>
          <w:kern w:val="0"/>
          <w:sz w:val="36"/>
          <w:szCs w:val="36"/>
          <w:u w:val="single"/>
        </w:rPr>
        <w:t xml:space="preserve">                         </w:t>
      </w:r>
    </w:p>
    <w:p>
      <w:pPr>
        <w:tabs>
          <w:tab w:val="left" w:pos="0"/>
          <w:tab w:val="left" w:pos="510"/>
          <w:tab w:val="left" w:pos="567"/>
          <w:tab w:val="left" w:pos="601"/>
        </w:tabs>
        <w:autoSpaceDE w:val="0"/>
        <w:autoSpaceDN w:val="0"/>
        <w:adjustRightInd w:val="0"/>
        <w:spacing w:line="720" w:lineRule="auto"/>
        <w:ind w:firstLine="1084" w:firstLineChars="300"/>
        <w:jc w:val="left"/>
        <w:rPr>
          <w:rFonts w:ascii="宋体" w:hAnsi="宋体" w:cs="宋体"/>
          <w:b/>
          <w:bCs/>
          <w:kern w:val="0"/>
          <w:sz w:val="36"/>
          <w:szCs w:val="36"/>
        </w:rPr>
      </w:pPr>
      <w:r>
        <w:rPr>
          <w:rFonts w:hint="eastAsia" w:ascii="宋体" w:hAnsi="宋体" w:cs="宋体"/>
          <w:b/>
          <w:bCs/>
          <w:kern w:val="0"/>
          <w:sz w:val="36"/>
          <w:szCs w:val="36"/>
        </w:rPr>
        <w:t>甲    方：</w:t>
      </w:r>
      <w:r>
        <w:rPr>
          <w:rFonts w:hint="eastAsia" w:ascii="宋体" w:hAnsi="宋体" w:cs="宋体"/>
          <w:b/>
          <w:bCs/>
          <w:kern w:val="0"/>
          <w:sz w:val="36"/>
          <w:szCs w:val="36"/>
          <w:u w:val="single"/>
        </w:rPr>
        <w:t>北京市城市运行管理事务中心</w:t>
      </w:r>
      <w:r>
        <w:rPr>
          <w:rFonts w:hint="eastAsia" w:ascii="宋体" w:hAnsi="宋体" w:cs="宋体"/>
          <w:b/>
          <w:bCs/>
          <w:kern w:val="0"/>
          <w:sz w:val="36"/>
          <w:szCs w:val="36"/>
        </w:rPr>
        <w:t xml:space="preserve">  </w:t>
      </w:r>
    </w:p>
    <w:p>
      <w:pPr>
        <w:tabs>
          <w:tab w:val="left" w:pos="0"/>
          <w:tab w:val="left" w:pos="510"/>
          <w:tab w:val="left" w:pos="567"/>
          <w:tab w:val="left" w:pos="601"/>
        </w:tabs>
        <w:spacing w:line="720" w:lineRule="auto"/>
        <w:ind w:firstLine="1084" w:firstLineChars="300"/>
        <w:rPr>
          <w:rFonts w:ascii="宋体" w:hAnsi="宋体" w:cs="宋体"/>
          <w:sz w:val="36"/>
          <w:szCs w:val="36"/>
        </w:rPr>
        <w:sectPr>
          <w:footerReference r:id="rId9" w:type="first"/>
          <w:footerReference r:id="rId8" w:type="default"/>
          <w:pgSz w:w="11906" w:h="16838"/>
          <w:pgMar w:top="1440" w:right="1800" w:bottom="1440" w:left="1800" w:header="851" w:footer="992" w:gutter="0"/>
          <w:pgNumType w:start="1"/>
          <w:cols w:space="720" w:num="1"/>
          <w:docGrid w:type="lines" w:linePitch="312" w:charSpace="0"/>
        </w:sectPr>
      </w:pPr>
      <w:r>
        <w:rPr>
          <w:rFonts w:hint="eastAsia" w:ascii="宋体" w:hAnsi="宋体" w:cs="宋体"/>
          <w:b/>
          <w:bCs/>
          <w:kern w:val="0"/>
          <w:sz w:val="36"/>
          <w:szCs w:val="36"/>
        </w:rPr>
        <w:t>乙    方：</w:t>
      </w:r>
      <w:r>
        <w:rPr>
          <w:rFonts w:hint="eastAsia" w:ascii="宋体" w:hAnsi="宋体" w:cs="宋体"/>
          <w:b/>
          <w:bCs/>
          <w:kern w:val="0"/>
          <w:sz w:val="36"/>
          <w:szCs w:val="36"/>
          <w:u w:val="single"/>
        </w:rPr>
        <w:t xml:space="preserve">                          </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根据《中华人民共和国民法典》及其它相关法律法规的有关规定，甲乙双方为明确彼此的权利和义务，经协商一致，共同签订本合同。</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下列文件构成本合同的组成部分，彼此相互解释，相互补充。为便于解释，组成合同的多个文件的优先支配地位的次序如下：</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1.甲乙双方签订的补充协议（如有）</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2.本合同书</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3.中标通知书</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4.投标文件</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5.招标文件</w:t>
      </w:r>
    </w:p>
    <w:p>
      <w:pPr>
        <w:spacing w:line="360" w:lineRule="auto"/>
        <w:rPr>
          <w:rFonts w:ascii="宋体" w:hAnsi="宋体" w:cs="宋体"/>
          <w:b/>
          <w:sz w:val="28"/>
          <w:szCs w:val="28"/>
        </w:rPr>
      </w:pPr>
      <w:r>
        <w:rPr>
          <w:rFonts w:hint="eastAsia" w:ascii="宋体" w:hAnsi="宋体" w:cs="宋体"/>
          <w:b/>
          <w:sz w:val="28"/>
          <w:szCs w:val="28"/>
        </w:rPr>
        <w:t>第一部分、项目名称及维护内容</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第一条</w:t>
      </w:r>
      <w:r>
        <w:rPr>
          <w:rFonts w:hint="eastAsia" w:ascii="宋体" w:hAnsi="宋体" w:cs="宋体"/>
          <w:sz w:val="24"/>
        </w:rPr>
        <w:t xml:space="preserve"> 项目名称：2026年桌面系统、视频会议保障等基础运维</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第二条</w:t>
      </w:r>
      <w:r>
        <w:rPr>
          <w:rFonts w:hint="eastAsia" w:ascii="宋体" w:hAnsi="宋体" w:cs="宋体"/>
          <w:sz w:val="24"/>
        </w:rPr>
        <w:t xml:space="preserve"> 维护对象、内容</w:t>
      </w:r>
    </w:p>
    <w:p>
      <w:pPr>
        <w:widowControl/>
        <w:tabs>
          <w:tab w:val="left" w:pos="2700"/>
        </w:tabs>
        <w:adjustRightInd w:val="0"/>
        <w:snapToGrid w:val="0"/>
        <w:spacing w:line="300" w:lineRule="auto"/>
        <w:jc w:val="left"/>
        <w:rPr>
          <w:rFonts w:ascii="宋体" w:hAnsi="宋体" w:cs="宋体"/>
          <w:b/>
          <w:bCs/>
          <w:sz w:val="24"/>
          <w:szCs w:val="21"/>
        </w:rPr>
      </w:pPr>
      <w:r>
        <w:rPr>
          <w:rFonts w:hint="eastAsia" w:ascii="宋体" w:hAnsi="宋体" w:cs="宋体"/>
          <w:b/>
          <w:bCs/>
          <w:sz w:val="24"/>
          <w:szCs w:val="21"/>
        </w:rPr>
        <w:t>一、维护对象</w:t>
      </w:r>
    </w:p>
    <w:tbl>
      <w:tblPr>
        <w:tblStyle w:val="56"/>
        <w:tblpPr w:leftFromText="180" w:rightFromText="180" w:vertAnchor="text" w:horzAnchor="page" w:tblpX="1388" w:tblpY="555"/>
        <w:tblOverlap w:val="never"/>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3"/>
        <w:gridCol w:w="4010"/>
        <w:gridCol w:w="1065"/>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shd w:val="clear" w:color="auto" w:fill="auto"/>
            <w:vAlign w:val="center"/>
          </w:tcPr>
          <w:p>
            <w:pPr>
              <w:widowControl/>
              <w:tabs>
                <w:tab w:val="center" w:pos="858"/>
              </w:tabs>
              <w:spacing w:after="120" w:line="280" w:lineRule="exact"/>
              <w:rPr>
                <w:rFonts w:ascii="宋体" w:hAnsi="宋体" w:cs="宋体"/>
                <w:szCs w:val="21"/>
              </w:rPr>
            </w:pPr>
            <w:r>
              <w:rPr>
                <w:rFonts w:hint="eastAsia" w:ascii="宋体" w:hAnsi="宋体" w:cs="宋体"/>
                <w:szCs w:val="21"/>
              </w:rPr>
              <w:t>类别</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品牌型号</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数量</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网络交换设备</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锐捷RG-S2910-24GT4XS-UP-H</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锐捷RG-S6150-48VS8CQ-X</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锐捷RG-S6000-48GT4SFP-E</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4</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锐捷RG-S5750C-28SFP4XS-H</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内网接入（他管机房）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GAMUT DCS10N-CU 小POE交换机</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8口小HUB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shd w:val="clear" w:color="auto" w:fill="auto"/>
            <w:vAlign w:val="center"/>
          </w:tcPr>
          <w:p>
            <w:pPr>
              <w:widowControl/>
              <w:spacing w:after="120" w:line="280" w:lineRule="exact"/>
              <w:rPr>
                <w:rFonts w:ascii="宋体" w:hAnsi="宋体" w:cs="宋体"/>
                <w:szCs w:val="21"/>
              </w:rPr>
            </w:pP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大华小POE交换机</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8口小HUB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监控设备</w:t>
            </w:r>
          </w:p>
        </w:tc>
        <w:tc>
          <w:tcPr>
            <w:tcW w:w="4010"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大华DH-NVR4816-4KS2/I</w:t>
            </w:r>
          </w:p>
        </w:tc>
        <w:tc>
          <w:tcPr>
            <w:tcW w:w="1065" w:type="dxa"/>
            <w:shd w:val="clear" w:color="auto" w:fill="auto"/>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shd w:val="clear" w:color="auto" w:fill="auto"/>
            <w:vAlign w:val="center"/>
          </w:tcPr>
          <w:p>
            <w:pPr>
              <w:widowControl/>
              <w:spacing w:after="120" w:line="280" w:lineRule="exact"/>
              <w:rPr>
                <w:rFonts w:ascii="宋体" w:hAnsi="宋体" w:cs="宋体"/>
                <w:szCs w:val="21"/>
              </w:rPr>
            </w:pPr>
            <w:r>
              <w:rPr>
                <w:rFonts w:hint="eastAsia" w:ascii="宋体" w:hAnsi="宋体" w:cs="宋体"/>
                <w:szCs w:val="21"/>
              </w:rPr>
              <w:t>硬盘录像机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vAlign w:val="center"/>
          </w:tcPr>
          <w:p>
            <w:pPr>
              <w:widowControl/>
              <w:spacing w:after="120" w:line="280" w:lineRule="exact"/>
              <w:rPr>
                <w:rFonts w:ascii="宋体" w:hAnsi="宋体" w:cs="宋体"/>
                <w:szCs w:val="21"/>
              </w:rPr>
            </w:pPr>
            <w:r>
              <w:rPr>
                <w:rFonts w:hint="eastAsia" w:ascii="宋体" w:hAnsi="宋体" w:cs="宋体"/>
                <w:szCs w:val="21"/>
              </w:rPr>
              <w:t>服务器</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ThinkServer RD630</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公文系统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惠普 DL580 G7</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widowControl/>
              <w:spacing w:after="120" w:line="280" w:lineRule="exact"/>
              <w:rPr>
                <w:rFonts w:ascii="宋体" w:hAnsi="宋体" w:cs="宋体"/>
                <w:szCs w:val="21"/>
              </w:rPr>
            </w:pP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海康威视</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r>
              <w:rPr>
                <w:rFonts w:hint="eastAsia" w:ascii="宋体" w:hAnsi="宋体" w:cs="宋体"/>
                <w:szCs w:val="21"/>
              </w:rPr>
              <w:t>电视墙解码器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机房空调</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艾福瑞斯V3000</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1</w:t>
            </w:r>
          </w:p>
        </w:tc>
        <w:tc>
          <w:tcPr>
            <w:tcW w:w="2254" w:type="dxa"/>
            <w:vAlign w:val="center"/>
          </w:tcPr>
          <w:p>
            <w:pPr>
              <w:widowControl/>
              <w:spacing w:after="120" w:line="2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Align w:val="center"/>
          </w:tcPr>
          <w:p>
            <w:pPr>
              <w:widowControl/>
              <w:spacing w:after="120" w:line="280" w:lineRule="exact"/>
              <w:rPr>
                <w:rFonts w:ascii="宋体" w:hAnsi="宋体" w:cs="宋体"/>
                <w:szCs w:val="21"/>
              </w:rPr>
            </w:pPr>
            <w:r>
              <w:rPr>
                <w:rFonts w:hint="eastAsia" w:ascii="宋体" w:hAnsi="宋体" w:cs="宋体"/>
                <w:szCs w:val="21"/>
              </w:rPr>
              <w:t>办公终端、打印机、扫描仪</w:t>
            </w:r>
          </w:p>
        </w:tc>
        <w:tc>
          <w:tcPr>
            <w:tcW w:w="4010" w:type="dxa"/>
            <w:vAlign w:val="center"/>
          </w:tcPr>
          <w:p>
            <w:pPr>
              <w:widowControl/>
              <w:spacing w:after="120" w:line="280" w:lineRule="exact"/>
              <w:rPr>
                <w:rFonts w:ascii="宋体" w:hAnsi="宋体" w:cs="宋体"/>
                <w:szCs w:val="21"/>
              </w:rPr>
            </w:pPr>
            <w:r>
              <w:rPr>
                <w:rFonts w:hint="eastAsia" w:ascii="宋体" w:hAnsi="宋体" w:cs="宋体"/>
                <w:szCs w:val="21"/>
              </w:rPr>
              <w:t>清华同方、联想、统信等</w:t>
            </w:r>
          </w:p>
        </w:tc>
        <w:tc>
          <w:tcPr>
            <w:tcW w:w="1065" w:type="dxa"/>
            <w:vAlign w:val="center"/>
          </w:tcPr>
          <w:p>
            <w:pPr>
              <w:widowControl/>
              <w:spacing w:after="120" w:line="280" w:lineRule="exact"/>
              <w:jc w:val="center"/>
              <w:rPr>
                <w:rFonts w:ascii="宋体" w:hAnsi="宋体" w:cs="宋体"/>
                <w:szCs w:val="21"/>
              </w:rPr>
            </w:pPr>
            <w:r>
              <w:rPr>
                <w:rFonts w:hint="eastAsia" w:ascii="宋体" w:hAnsi="宋体" w:cs="宋体"/>
                <w:szCs w:val="21"/>
              </w:rPr>
              <w:t>约700台</w:t>
            </w:r>
          </w:p>
        </w:tc>
        <w:tc>
          <w:tcPr>
            <w:tcW w:w="2254" w:type="dxa"/>
            <w:vAlign w:val="center"/>
          </w:tcPr>
          <w:p>
            <w:pPr>
              <w:widowControl/>
              <w:spacing w:after="120" w:line="28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restart"/>
          </w:tcPr>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color w:val="000000"/>
                <w:szCs w:val="21"/>
              </w:rPr>
            </w:pPr>
          </w:p>
          <w:p>
            <w:pPr>
              <w:keepNext/>
              <w:widowControl/>
              <w:snapToGrid w:val="0"/>
              <w:textAlignment w:val="center"/>
              <w:rPr>
                <w:rFonts w:ascii="宋体" w:hAnsi="宋体" w:cs="宋体"/>
                <w:szCs w:val="21"/>
              </w:rPr>
            </w:pPr>
            <w:r>
              <w:rPr>
                <w:rFonts w:hint="eastAsia" w:ascii="宋体" w:hAnsi="宋体" w:cs="宋体"/>
                <w:color w:val="000000"/>
                <w:szCs w:val="21"/>
              </w:rPr>
              <w:t>大屏音视频系统</w:t>
            </w:r>
          </w:p>
        </w:tc>
        <w:tc>
          <w:tcPr>
            <w:tcW w:w="4010" w:type="dxa"/>
            <w:vAlign w:val="center"/>
          </w:tcPr>
          <w:p>
            <w:pPr>
              <w:widowControl/>
              <w:adjustRightInd w:val="0"/>
              <w:snapToGrid w:val="0"/>
              <w:rPr>
                <w:rFonts w:ascii="宋体" w:hAnsi="宋体" w:cs="宋体"/>
                <w:szCs w:val="21"/>
              </w:rPr>
            </w:pPr>
            <w:r>
              <w:rPr>
                <w:rFonts w:hint="eastAsia" w:ascii="宋体" w:hAnsi="宋体" w:cs="宋体"/>
                <w:color w:val="000000"/>
                <w:szCs w:val="21"/>
              </w:rPr>
              <w:t>利亚德大屏显示系统</w:t>
            </w:r>
          </w:p>
        </w:tc>
        <w:tc>
          <w:tcPr>
            <w:tcW w:w="1065" w:type="dxa"/>
            <w:vAlign w:val="center"/>
          </w:tcPr>
          <w:p>
            <w:pPr>
              <w:keepNext/>
              <w:widowControl/>
              <w:snapToGrid w:val="0"/>
              <w:jc w:val="center"/>
              <w:textAlignment w:val="center"/>
              <w:rPr>
                <w:rFonts w:ascii="宋体" w:hAnsi="宋体" w:cs="宋体"/>
                <w:szCs w:val="21"/>
              </w:rPr>
            </w:pP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LED显示屏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keepNext/>
              <w:widowControl/>
              <w:snapToGrid w:val="0"/>
              <w:textAlignment w:val="center"/>
              <w:rPr>
                <w:rFonts w:ascii="宋体" w:hAnsi="宋体" w:cs="宋体"/>
                <w:szCs w:val="21"/>
              </w:rPr>
            </w:pPr>
            <w:r>
              <w:rPr>
                <w:rFonts w:hint="eastAsia" w:ascii="宋体" w:hAnsi="宋体" w:cs="宋体"/>
                <w:color w:val="000000"/>
                <w:szCs w:val="21"/>
              </w:rPr>
              <w:t>利亚德</w:t>
            </w:r>
            <w:r>
              <w:rPr>
                <w:rFonts w:hint="eastAsia" w:ascii="宋体" w:hAnsi="宋体" w:cs="宋体"/>
                <w:bCs/>
                <w:szCs w:val="21"/>
              </w:rPr>
              <w:t>MVC-L拼接处理服务器</w:t>
            </w:r>
          </w:p>
        </w:tc>
        <w:tc>
          <w:tcPr>
            <w:tcW w:w="1065" w:type="dxa"/>
            <w:vAlign w:val="center"/>
          </w:tcPr>
          <w:p>
            <w:pPr>
              <w:keepNext/>
              <w:widowControl/>
              <w:snapToGrid w:val="0"/>
              <w:jc w:val="center"/>
              <w:textAlignment w:val="center"/>
              <w:rPr>
                <w:rFonts w:ascii="宋体" w:hAnsi="宋体" w:cs="宋体"/>
                <w:szCs w:val="21"/>
              </w:rPr>
            </w:pPr>
            <w:r>
              <w:rPr>
                <w:rFonts w:hint="eastAsia" w:ascii="宋体" w:hAnsi="宋体" w:cs="宋体"/>
                <w:color w:val="000000"/>
                <w:szCs w:val="21"/>
              </w:rPr>
              <w:t>1套</w:t>
            </w: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拼接处理、高清混合矩阵、LED控制器及传输设备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keepNext/>
              <w:widowControl/>
              <w:snapToGrid w:val="0"/>
              <w:textAlignment w:val="center"/>
              <w:rPr>
                <w:rFonts w:ascii="宋体" w:hAnsi="宋体" w:cs="宋体"/>
                <w:szCs w:val="21"/>
              </w:rPr>
            </w:pPr>
            <w:r>
              <w:rPr>
                <w:rFonts w:hint="eastAsia" w:ascii="宋体" w:hAnsi="宋体" w:cs="宋体"/>
                <w:bCs/>
                <w:szCs w:val="21"/>
              </w:rPr>
              <w:t>利亚德MVC-L拼接处理服务器</w:t>
            </w:r>
          </w:p>
        </w:tc>
        <w:tc>
          <w:tcPr>
            <w:tcW w:w="1065" w:type="dxa"/>
            <w:vAlign w:val="center"/>
          </w:tcPr>
          <w:p>
            <w:pPr>
              <w:keepNext/>
              <w:widowControl/>
              <w:snapToGrid w:val="0"/>
              <w:jc w:val="center"/>
              <w:textAlignment w:val="center"/>
              <w:rPr>
                <w:rFonts w:ascii="宋体" w:hAnsi="宋体" w:cs="宋体"/>
                <w:szCs w:val="21"/>
              </w:rPr>
            </w:pPr>
            <w:r>
              <w:rPr>
                <w:rFonts w:hint="eastAsia" w:ascii="宋体" w:hAnsi="宋体" w:cs="宋体"/>
                <w:color w:val="000000"/>
                <w:szCs w:val="21"/>
              </w:rPr>
              <w:t>1套</w:t>
            </w:r>
          </w:p>
        </w:tc>
        <w:tc>
          <w:tcPr>
            <w:tcW w:w="2254" w:type="dxa"/>
            <w:vAlign w:val="center"/>
          </w:tcPr>
          <w:p>
            <w:pPr>
              <w:keepNext/>
              <w:widowControl/>
              <w:snapToGrid w:val="0"/>
              <w:textAlignment w:val="center"/>
              <w:rPr>
                <w:rFonts w:ascii="宋体" w:hAnsi="宋体" w:cs="宋体"/>
                <w:szCs w:val="21"/>
              </w:rPr>
            </w:pPr>
            <w:r>
              <w:rPr>
                <w:rFonts w:hint="eastAsia" w:ascii="宋体" w:hAnsi="宋体" w:cs="宋体"/>
                <w:szCs w:val="21"/>
              </w:rPr>
              <w:t>综合视频处理平台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柯博音响系统</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6个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音箱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柯博MX2-700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3个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线阵全频功放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柯博MX2-700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线阵低频功放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柯博AXM-0808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网络数字音频矩阵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柯博WH-800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会议发言主机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柯博CM-TX</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话筒天线分配主机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柯博M-MD24</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数字调音台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柯博发言系统</w:t>
            </w:r>
          </w:p>
        </w:tc>
        <w:tc>
          <w:tcPr>
            <w:tcW w:w="1065" w:type="dxa"/>
            <w:vAlign w:val="center"/>
          </w:tcPr>
          <w:p>
            <w:pPr>
              <w:widowControl/>
              <w:adjustRightInd w:val="0"/>
              <w:snapToGrid w:val="0"/>
              <w:jc w:val="center"/>
              <w:rPr>
                <w:rFonts w:ascii="宋体" w:hAnsi="宋体" w:cs="宋体"/>
                <w:szCs w:val="21"/>
              </w:rPr>
            </w:pPr>
          </w:p>
        </w:tc>
        <w:tc>
          <w:tcPr>
            <w:tcW w:w="2254" w:type="dxa"/>
            <w:vAlign w:val="center"/>
          </w:tcPr>
          <w:p>
            <w:pPr>
              <w:widowControl/>
              <w:adjustRightInd w:val="0"/>
              <w:snapToGrid w:val="0"/>
              <w:rPr>
                <w:rFonts w:ascii="宋体" w:hAnsi="宋体" w:cs="宋体"/>
                <w:szCs w:val="21"/>
              </w:rPr>
            </w:pPr>
            <w:r>
              <w:rPr>
                <w:rFonts w:hint="eastAsia" w:ascii="宋体" w:hAnsi="宋体" w:cs="宋体"/>
                <w:szCs w:val="21"/>
              </w:rPr>
              <w:t>话筒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柯博WH-3000</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会议系统主机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szCs w:val="21"/>
              </w:rPr>
              <w:t>柯博WH-20S</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充电箱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rPr>
                <w:rFonts w:ascii="宋体" w:hAnsi="宋体" w:cs="宋体"/>
                <w:szCs w:val="21"/>
              </w:rPr>
            </w:pPr>
            <w:r>
              <w:rPr>
                <w:rFonts w:hint="eastAsia" w:ascii="宋体" w:hAnsi="宋体" w:cs="宋体"/>
                <w:color w:val="000000"/>
                <w:szCs w:val="21"/>
              </w:rPr>
              <w:t>小鸟DB-UniManager</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1台</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中控系统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小鸟DB-UniManager-BCOOZ-MSC-IP1RS8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2个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中控8路串口扩展器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小米平板6 Pro</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2个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辅控设备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33" w:type="dxa"/>
            <w:vMerge w:val="continue"/>
            <w:vAlign w:val="center"/>
          </w:tcPr>
          <w:p>
            <w:pPr>
              <w:keepNext/>
              <w:widowControl/>
              <w:snapToGrid w:val="0"/>
              <w:textAlignment w:val="center"/>
              <w:rPr>
                <w:rFonts w:ascii="宋体" w:hAnsi="宋体" w:cs="宋体"/>
                <w:szCs w:val="21"/>
              </w:rPr>
            </w:pPr>
          </w:p>
        </w:tc>
        <w:tc>
          <w:tcPr>
            <w:tcW w:w="4010" w:type="dxa"/>
            <w:vAlign w:val="center"/>
          </w:tcPr>
          <w:p>
            <w:pPr>
              <w:widowControl/>
              <w:adjustRightInd w:val="0"/>
              <w:snapToGrid w:val="0"/>
              <w:jc w:val="left"/>
              <w:rPr>
                <w:rFonts w:ascii="宋体" w:hAnsi="宋体" w:cs="宋体"/>
                <w:szCs w:val="21"/>
              </w:rPr>
            </w:pPr>
            <w:r>
              <w:rPr>
                <w:rFonts w:hint="eastAsia" w:ascii="宋体" w:hAnsi="宋体" w:cs="宋体"/>
                <w:color w:val="000000"/>
                <w:szCs w:val="21"/>
              </w:rPr>
              <w:t>小鸟DB-UniManager-BCOOZ-MSC-RELAY8</w:t>
            </w:r>
          </w:p>
        </w:tc>
        <w:tc>
          <w:tcPr>
            <w:tcW w:w="1065" w:type="dxa"/>
            <w:vAlign w:val="center"/>
          </w:tcPr>
          <w:p>
            <w:pPr>
              <w:widowControl/>
              <w:adjustRightInd w:val="0"/>
              <w:snapToGrid w:val="0"/>
              <w:jc w:val="center"/>
              <w:rPr>
                <w:rFonts w:ascii="宋体" w:hAnsi="宋体" w:cs="宋体"/>
                <w:szCs w:val="21"/>
              </w:rPr>
            </w:pPr>
            <w:r>
              <w:rPr>
                <w:rFonts w:hint="eastAsia" w:ascii="宋体" w:hAnsi="宋体" w:cs="宋体"/>
                <w:bCs/>
                <w:kern w:val="0"/>
                <w:szCs w:val="21"/>
                <w:lang w:bidi="ar"/>
              </w:rPr>
              <w:t>4个</w:t>
            </w:r>
          </w:p>
        </w:tc>
        <w:tc>
          <w:tcPr>
            <w:tcW w:w="2254" w:type="dxa"/>
            <w:vAlign w:val="center"/>
          </w:tcPr>
          <w:p>
            <w:pPr>
              <w:widowControl/>
              <w:adjustRightInd w:val="0"/>
              <w:snapToGrid w:val="0"/>
              <w:rPr>
                <w:rFonts w:ascii="宋体" w:hAnsi="宋体" w:cs="宋体"/>
                <w:szCs w:val="21"/>
              </w:rPr>
            </w:pPr>
            <w:r>
              <w:rPr>
                <w:rFonts w:hint="eastAsia" w:ascii="宋体" w:hAnsi="宋体" w:cs="宋体"/>
                <w:bCs/>
                <w:kern w:val="0"/>
                <w:szCs w:val="21"/>
                <w:lang w:bidi="ar"/>
              </w:rPr>
              <w:t>电源管理器</w:t>
            </w:r>
          </w:p>
        </w:tc>
      </w:tr>
    </w:tbl>
    <w:p>
      <w:pPr>
        <w:adjustRightInd w:val="0"/>
        <w:snapToGrid w:val="0"/>
        <w:spacing w:line="360" w:lineRule="auto"/>
        <w:ind w:firstLine="420" w:firstLineChars="200"/>
        <w:rPr>
          <w:rFonts w:ascii="宋体" w:hAnsi="宋体" w:cs="宋体"/>
        </w:rPr>
      </w:pPr>
      <w:r>
        <w:rPr>
          <w:rFonts w:hint="eastAsia" w:ascii="宋体" w:hAnsi="宋体" w:cs="仿宋_GB2312"/>
        </w:rPr>
        <w:t>注：当设备发生硬件故障时，配合甲方完成报修工作。</w:t>
      </w:r>
    </w:p>
    <w:p>
      <w:pPr>
        <w:rPr>
          <w:rFonts w:ascii="宋体" w:hAnsi="宋体" w:cs="宋体"/>
        </w:rPr>
      </w:pPr>
    </w:p>
    <w:p>
      <w:pPr>
        <w:widowControl/>
        <w:tabs>
          <w:tab w:val="left" w:pos="2700"/>
        </w:tabs>
        <w:adjustRightInd w:val="0"/>
        <w:snapToGrid w:val="0"/>
        <w:spacing w:line="300" w:lineRule="auto"/>
        <w:jc w:val="left"/>
        <w:rPr>
          <w:rFonts w:ascii="宋体" w:hAnsi="宋体" w:cs="宋体"/>
          <w:b/>
          <w:bCs/>
          <w:sz w:val="24"/>
          <w:szCs w:val="21"/>
        </w:rPr>
      </w:pPr>
      <w:r>
        <w:rPr>
          <w:rFonts w:hint="eastAsia" w:ascii="宋体" w:hAnsi="宋体" w:cs="宋体"/>
          <w:b/>
          <w:bCs/>
          <w:sz w:val="24"/>
          <w:szCs w:val="21"/>
        </w:rPr>
        <w:t>二、维护内容：</w:t>
      </w:r>
    </w:p>
    <w:p>
      <w:pPr>
        <w:wordWrap w:val="0"/>
        <w:spacing w:line="400" w:lineRule="exact"/>
        <w:rPr>
          <w:rFonts w:ascii="宋体" w:hAnsi="宋体" w:cs="宋体"/>
          <w:b/>
          <w:sz w:val="24"/>
        </w:rPr>
      </w:pPr>
      <w:r>
        <w:rPr>
          <w:rFonts w:hint="eastAsia" w:ascii="宋体" w:hAnsi="宋体" w:cs="宋体"/>
          <w:b/>
          <w:sz w:val="24"/>
        </w:rPr>
        <w:t>1、城市运行调度指挥大厅机房运行状态监测</w:t>
      </w:r>
    </w:p>
    <w:p>
      <w:pPr>
        <w:widowControl/>
        <w:spacing w:line="400" w:lineRule="exact"/>
        <w:ind w:firstLine="480" w:firstLineChars="200"/>
        <w:jc w:val="left"/>
        <w:rPr>
          <w:rFonts w:ascii="宋体" w:hAnsi="宋体" w:cs="宋体"/>
          <w:sz w:val="24"/>
        </w:rPr>
      </w:pPr>
      <w:r>
        <w:rPr>
          <w:rFonts w:hint="eastAsia" w:ascii="宋体" w:hAnsi="宋体" w:cs="宋体"/>
          <w:sz w:val="24"/>
        </w:rPr>
        <w:t>1.1每日监测房环境：机房空调、供电检测、温湿度、机房监控等；</w:t>
      </w:r>
    </w:p>
    <w:p>
      <w:pPr>
        <w:widowControl/>
        <w:spacing w:line="400" w:lineRule="exact"/>
        <w:ind w:firstLine="480" w:firstLineChars="200"/>
        <w:jc w:val="left"/>
        <w:rPr>
          <w:rFonts w:ascii="宋体" w:hAnsi="宋体" w:cs="宋体"/>
          <w:sz w:val="24"/>
        </w:rPr>
      </w:pPr>
      <w:r>
        <w:rPr>
          <w:rFonts w:hint="eastAsia" w:ascii="宋体" w:hAnsi="宋体" w:cs="宋体"/>
          <w:sz w:val="24"/>
        </w:rPr>
        <w:t>1.2每日监测网络设备的状态，</w:t>
      </w:r>
      <w:r>
        <w:rPr>
          <w:rFonts w:hint="eastAsia" w:ascii="宋体" w:hAnsi="宋体" w:cs="宋体"/>
          <w:color w:val="000000"/>
          <w:sz w:val="24"/>
        </w:rPr>
        <w:t>并根据需求</w:t>
      </w:r>
      <w:r>
        <w:rPr>
          <w:rFonts w:hint="eastAsia" w:ascii="宋体" w:hAnsi="宋体" w:cs="宋体"/>
          <w:sz w:val="24"/>
          <w:lang w:bidi="ar"/>
        </w:rPr>
        <w:t>进行软、硬件安装与调试（包括操作系统、办公软件、杀毒软件等）；</w:t>
      </w:r>
    </w:p>
    <w:p>
      <w:pPr>
        <w:widowControl/>
        <w:spacing w:line="400" w:lineRule="exact"/>
        <w:ind w:firstLine="480" w:firstLineChars="200"/>
        <w:jc w:val="left"/>
        <w:rPr>
          <w:rFonts w:ascii="宋体" w:hAnsi="宋体" w:cs="宋体"/>
          <w:sz w:val="24"/>
        </w:rPr>
      </w:pPr>
      <w:r>
        <w:rPr>
          <w:rFonts w:hint="eastAsia" w:ascii="宋体" w:hAnsi="宋体" w:cs="宋体"/>
          <w:sz w:val="24"/>
        </w:rPr>
        <w:t>1.3对发现的故障及时进行修复，如属于硬件故障的，协助甲方进行故障报修；</w:t>
      </w:r>
    </w:p>
    <w:p>
      <w:pPr>
        <w:widowControl/>
        <w:spacing w:line="400" w:lineRule="exact"/>
        <w:ind w:firstLine="480" w:firstLineChars="200"/>
        <w:jc w:val="left"/>
        <w:rPr>
          <w:rFonts w:ascii="宋体" w:hAnsi="宋体" w:cs="宋体"/>
          <w:sz w:val="24"/>
        </w:rPr>
      </w:pPr>
      <w:r>
        <w:rPr>
          <w:rFonts w:hint="eastAsia" w:ascii="宋体" w:hAnsi="宋体" w:cs="宋体"/>
          <w:sz w:val="24"/>
        </w:rPr>
        <w:t>1.4负责整理机柜线路、标签检查及更换、室内及设备除尘清洁；</w:t>
      </w:r>
    </w:p>
    <w:p>
      <w:pPr>
        <w:widowControl/>
        <w:spacing w:line="400" w:lineRule="exact"/>
        <w:ind w:firstLine="480" w:firstLineChars="200"/>
        <w:jc w:val="left"/>
        <w:rPr>
          <w:rFonts w:ascii="宋体" w:hAnsi="宋体" w:cs="宋体"/>
          <w:b/>
          <w:sz w:val="24"/>
        </w:rPr>
      </w:pPr>
      <w:r>
        <w:rPr>
          <w:rFonts w:hint="eastAsia" w:ascii="宋体" w:hAnsi="宋体" w:cs="宋体"/>
          <w:sz w:val="24"/>
        </w:rPr>
        <w:t>1.5形成机房设备的运维台账，动态更新并同步至甲方。</w:t>
      </w:r>
    </w:p>
    <w:p>
      <w:pPr>
        <w:widowControl/>
        <w:tabs>
          <w:tab w:val="left" w:pos="567"/>
        </w:tabs>
        <w:spacing w:before="120" w:line="400" w:lineRule="exact"/>
        <w:rPr>
          <w:rFonts w:ascii="宋体" w:hAnsi="宋体" w:cs="宋体"/>
          <w:b/>
          <w:sz w:val="24"/>
        </w:rPr>
      </w:pPr>
      <w:r>
        <w:rPr>
          <w:rFonts w:hint="eastAsia" w:ascii="宋体" w:hAnsi="宋体" w:cs="宋体"/>
          <w:b/>
          <w:sz w:val="24"/>
        </w:rPr>
        <w:t>2、城市运行调度指挥大厅运行保障</w:t>
      </w:r>
    </w:p>
    <w:p>
      <w:pPr>
        <w:widowControl/>
        <w:spacing w:line="400" w:lineRule="exact"/>
        <w:ind w:firstLine="480" w:firstLineChars="200"/>
        <w:jc w:val="left"/>
        <w:rPr>
          <w:rFonts w:ascii="宋体" w:hAnsi="宋体" w:cs="宋体"/>
          <w:bCs/>
          <w:sz w:val="24"/>
        </w:rPr>
      </w:pPr>
      <w:r>
        <w:rPr>
          <w:rFonts w:hint="eastAsia" w:ascii="宋体" w:hAnsi="宋体" w:cs="宋体"/>
          <w:bCs/>
          <w:sz w:val="24"/>
        </w:rPr>
        <w:t>2.1大屏系统</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（1）每日对调度指挥大厅和会商室使用的大屏显示系统、音响、话筒、摄像头进行巡检，</w:t>
      </w:r>
      <w:r>
        <w:rPr>
          <w:rFonts w:hint="eastAsia" w:ascii="宋体" w:hAnsi="宋体" w:cs="宋体"/>
          <w:sz w:val="24"/>
        </w:rPr>
        <w:t>对发现的故障及时定位故障点并尝试修复</w:t>
      </w:r>
      <w:r>
        <w:rPr>
          <w:rFonts w:hint="eastAsia" w:ascii="宋体" w:hAnsi="宋体" w:cs="宋体"/>
          <w:sz w:val="24"/>
          <w:lang w:bidi="ar"/>
        </w:rPr>
        <w:t>，如修复不了，第一时间上报甲方，并协助第三方完成设备维修。</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（2）每日有专人在平台进行设备操作。对音响、数字调音台、大屏矩阵以及摄像头等进行调试，避免出现如音响杂音、话筒回声、电流音以及大屏显示不准确等现象。</w:t>
      </w:r>
    </w:p>
    <w:p>
      <w:pPr>
        <w:widowControl/>
        <w:spacing w:line="400" w:lineRule="exact"/>
        <w:ind w:firstLine="480" w:firstLineChars="200"/>
        <w:jc w:val="left"/>
        <w:rPr>
          <w:rFonts w:ascii="宋体" w:hAnsi="宋体" w:cs="宋体"/>
          <w:sz w:val="24"/>
        </w:rPr>
      </w:pPr>
      <w:r>
        <w:rPr>
          <w:rFonts w:hint="eastAsia" w:ascii="宋体" w:hAnsi="宋体" w:cs="宋体"/>
          <w:sz w:val="24"/>
        </w:rPr>
        <w:t>（3）每日对机房、大厅及会商室的视频监控系统进行巡检。</w:t>
      </w:r>
    </w:p>
    <w:p>
      <w:pPr>
        <w:widowControl/>
        <w:spacing w:line="400" w:lineRule="exact"/>
        <w:ind w:firstLine="480" w:firstLineChars="200"/>
        <w:jc w:val="left"/>
        <w:rPr>
          <w:rFonts w:ascii="宋体" w:hAnsi="宋体" w:cs="宋体"/>
          <w:b/>
          <w:sz w:val="24"/>
        </w:rPr>
      </w:pPr>
      <w:r>
        <w:rPr>
          <w:rFonts w:hint="eastAsia" w:ascii="宋体" w:hAnsi="宋体" w:cs="宋体"/>
          <w:sz w:val="24"/>
          <w:lang w:bidi="ar"/>
        </w:rPr>
        <w:t>（4）根据大厅办公人员需求或设备更新等情况，进行综合布线，内容包括：对临时增加的音频设备、视频设备、网络设备、终端设备进行布线。</w:t>
      </w:r>
    </w:p>
    <w:p>
      <w:pPr>
        <w:widowControl/>
        <w:wordWrap w:val="0"/>
        <w:spacing w:line="400" w:lineRule="exact"/>
        <w:ind w:firstLine="480" w:firstLineChars="200"/>
        <w:rPr>
          <w:rFonts w:ascii="宋体" w:hAnsi="宋体" w:cs="宋体"/>
          <w:bCs/>
          <w:sz w:val="24"/>
        </w:rPr>
      </w:pPr>
      <w:r>
        <w:rPr>
          <w:rFonts w:hint="eastAsia" w:ascii="宋体" w:hAnsi="宋体" w:cs="宋体"/>
          <w:bCs/>
          <w:sz w:val="24"/>
        </w:rPr>
        <w:t>2.2网络运维</w:t>
      </w:r>
    </w:p>
    <w:p>
      <w:pPr>
        <w:widowControl/>
        <w:numPr>
          <w:ilvl w:val="255"/>
          <w:numId w:val="0"/>
        </w:numPr>
        <w:spacing w:line="400" w:lineRule="exact"/>
        <w:ind w:firstLine="480" w:firstLineChars="200"/>
        <w:jc w:val="left"/>
        <w:rPr>
          <w:rFonts w:ascii="宋体" w:hAnsi="宋体" w:cs="宋体"/>
          <w:sz w:val="24"/>
        </w:rPr>
      </w:pPr>
      <w:r>
        <w:rPr>
          <w:rFonts w:hint="eastAsia" w:ascii="宋体" w:hAnsi="宋体" w:cs="宋体"/>
          <w:bCs/>
          <w:sz w:val="24"/>
        </w:rPr>
        <w:t>（1）监测</w:t>
      </w:r>
      <w:r>
        <w:rPr>
          <w:rFonts w:hint="eastAsia" w:ascii="宋体" w:hAnsi="宋体" w:cs="宋体"/>
          <w:sz w:val="24"/>
        </w:rPr>
        <w:t>指挥大厅网络与核心网络链接的运行状态以及指挥大厅终端网络接入，对发现的故障及时进行修复，如果是核心网络问题，及时上报至甲方。</w:t>
      </w:r>
    </w:p>
    <w:p>
      <w:pPr>
        <w:widowControl/>
        <w:spacing w:line="400" w:lineRule="exact"/>
        <w:ind w:firstLine="480" w:firstLineChars="200"/>
        <w:jc w:val="left"/>
        <w:rPr>
          <w:rFonts w:ascii="宋体" w:hAnsi="宋体" w:cs="宋体"/>
          <w:sz w:val="24"/>
        </w:rPr>
      </w:pPr>
      <w:r>
        <w:rPr>
          <w:rFonts w:hint="eastAsia" w:ascii="宋体" w:hAnsi="宋体" w:cs="宋体"/>
          <w:sz w:val="24"/>
        </w:rPr>
        <w:t>（2）根据办公人员的需求，对办公终端的网络进行维护，包括临时增加设备的网络进行配置、布线等。</w:t>
      </w:r>
    </w:p>
    <w:p>
      <w:pPr>
        <w:tabs>
          <w:tab w:val="left" w:pos="567"/>
        </w:tabs>
        <w:spacing w:before="120" w:line="400" w:lineRule="exact"/>
        <w:rPr>
          <w:rFonts w:ascii="宋体" w:hAnsi="宋体" w:cs="宋体"/>
          <w:b/>
          <w:sz w:val="24"/>
        </w:rPr>
      </w:pPr>
      <w:r>
        <w:rPr>
          <w:rFonts w:hint="eastAsia" w:ascii="宋体" w:hAnsi="宋体" w:cs="宋体"/>
          <w:b/>
          <w:sz w:val="24"/>
        </w:rPr>
        <w:t>3、“</w:t>
      </w:r>
      <w:r>
        <w:rPr>
          <w:rFonts w:hint="eastAsia" w:ascii="宋体" w:hAnsi="宋体" w:cs="宋体"/>
          <w:b/>
          <w:sz w:val="24"/>
          <w:lang w:bidi="ar"/>
        </w:rPr>
        <w:t>二级高清视频联网共享平台”视频巡查</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3.1每日检查系统主要链路连通情况，对视频图像进行巡检，检查常用视频图像点位，确保视频图像显示正常；</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3.2每日开展对16个区的环境秩序巡查，内容包括对每个区垃圾分类情况、游商小贩、市政设施、环境秩序等视频点位的巡查，并整理相关点位问题，形成问题清单，上报相关部门进行处理。</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3.3在重要活动保障期间，开展重要场所周边环境、文明祭扫、扫雪铲冰等城市管理方面的视频点位巡查，并整理相关点位问题，形成问题清单。</w:t>
      </w:r>
    </w:p>
    <w:p>
      <w:pPr>
        <w:widowControl/>
        <w:tabs>
          <w:tab w:val="left" w:pos="567"/>
        </w:tabs>
        <w:spacing w:before="120" w:line="400" w:lineRule="exact"/>
        <w:ind w:firstLine="480" w:firstLineChars="200"/>
        <w:rPr>
          <w:rFonts w:ascii="宋体" w:hAnsi="宋体" w:cs="宋体"/>
          <w:sz w:val="24"/>
        </w:rPr>
      </w:pPr>
      <w:r>
        <w:rPr>
          <w:rFonts w:hint="eastAsia" w:ascii="宋体" w:hAnsi="宋体" w:cs="宋体"/>
          <w:sz w:val="24"/>
          <w:lang w:bidi="ar"/>
        </w:rPr>
        <w:t>3.4根据相关处室反馈的整改情况，通过视频监控对已上报问题的整改效果进行复查确认。对整改不到位或未整改的，及时反馈相关处室跟进处理。</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3.5协助甲方对现有图像监控点位进行梳理、归类，根据城市管理业务需求（如高发问题区域、重点保障路线、易积水点位等），划分形成个性化监控点位分组，便于日常巡查及专项保障时快速调阅。</w:t>
      </w:r>
    </w:p>
    <w:p>
      <w:pPr>
        <w:widowControl/>
        <w:tabs>
          <w:tab w:val="left" w:pos="567"/>
        </w:tabs>
        <w:spacing w:before="120" w:line="400" w:lineRule="exact"/>
        <w:rPr>
          <w:rFonts w:ascii="宋体" w:hAnsi="宋体" w:cs="宋体"/>
          <w:b/>
          <w:sz w:val="24"/>
          <w:lang w:bidi="ar"/>
        </w:rPr>
      </w:pPr>
      <w:r>
        <w:rPr>
          <w:rFonts w:hint="eastAsia" w:ascii="宋体" w:hAnsi="宋体" w:cs="宋体"/>
          <w:b/>
          <w:sz w:val="24"/>
          <w:lang w:bidi="ar"/>
        </w:rPr>
        <w:t>4、视频会议运行保障</w:t>
      </w:r>
    </w:p>
    <w:p>
      <w:pPr>
        <w:widowControl/>
        <w:spacing w:line="400" w:lineRule="exact"/>
        <w:ind w:firstLine="480" w:firstLineChars="200"/>
        <w:jc w:val="left"/>
        <w:rPr>
          <w:rFonts w:ascii="宋体" w:hAnsi="宋体" w:cs="宋体"/>
          <w:sz w:val="24"/>
          <w:lang w:bidi="ar"/>
        </w:rPr>
      </w:pPr>
      <w:r>
        <w:rPr>
          <w:rFonts w:hint="eastAsia" w:ascii="宋体" w:hAnsi="宋体" w:cs="宋体"/>
          <w:sz w:val="24"/>
        </w:rPr>
        <w:t>4.1在各类</w:t>
      </w:r>
      <w:r>
        <w:rPr>
          <w:rFonts w:hint="eastAsia" w:ascii="宋体" w:hAnsi="宋体" w:cs="宋体"/>
          <w:sz w:val="24"/>
          <w:lang w:bidi="ar"/>
        </w:rPr>
        <w:t>视频会议召开前，提前进行视频会议终端或电脑终端的网络连通调试，并对摄像机、麦克风、会议音响等设备联调测试。根据会场情况调整摄像机机位及音响音量大小，检查网络状态，并参加会前点名。同时安排专人在会场全程保障。</w:t>
      </w:r>
      <w:r>
        <w:rPr>
          <w:rFonts w:hint="eastAsia" w:ascii="宋体" w:hAnsi="宋体" w:cs="宋体"/>
          <w:sz w:val="24"/>
        </w:rPr>
        <w:t>视频会议结束后，进行设备回收，整理线缆，保障会场整洁。</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4.2设备出现故障时，应及时替换备用设备，保证会议正常召开。备用设备由甲方提供。</w:t>
      </w:r>
    </w:p>
    <w:p>
      <w:pPr>
        <w:widowControl/>
        <w:spacing w:line="400" w:lineRule="exact"/>
        <w:ind w:firstLine="480" w:firstLineChars="200"/>
        <w:jc w:val="left"/>
        <w:rPr>
          <w:rFonts w:ascii="宋体" w:hAnsi="宋体" w:cs="宋体"/>
          <w:sz w:val="24"/>
          <w:lang w:bidi="ar"/>
        </w:rPr>
      </w:pPr>
      <w:r>
        <w:rPr>
          <w:rFonts w:hint="eastAsia" w:ascii="宋体" w:hAnsi="宋体" w:cs="宋体"/>
          <w:sz w:val="24"/>
          <w:lang w:bidi="ar"/>
        </w:rPr>
        <w:t>4.3对每日对视频会议设备进行巡检，掌握视频会议设备的运行情况，当设备发生硬件故障，第一时间上报并协助甲方完成设备报修工作。视频会议设备包括：会议主机、摄像机、麦克风、会议音响等设备及相关电源、光电转换器、线缆等配件。</w:t>
      </w:r>
    </w:p>
    <w:p>
      <w:pPr>
        <w:widowControl/>
        <w:tabs>
          <w:tab w:val="left" w:pos="567"/>
        </w:tabs>
        <w:spacing w:before="120" w:line="400" w:lineRule="exact"/>
        <w:ind w:firstLine="480" w:firstLineChars="200"/>
        <w:rPr>
          <w:rFonts w:ascii="宋体" w:hAnsi="宋体" w:cs="宋体"/>
          <w:sz w:val="24"/>
          <w:lang w:bidi="ar"/>
        </w:rPr>
      </w:pPr>
      <w:r>
        <w:rPr>
          <w:rFonts w:hint="eastAsia" w:ascii="宋体" w:hAnsi="宋体" w:cs="宋体"/>
          <w:sz w:val="24"/>
          <w:lang w:bidi="ar"/>
        </w:rPr>
        <w:t>4.4负责视频会议系统软件及固件的版本管理，根据甲方安排或厂商通知，协助完成系统升级与补丁更新。</w:t>
      </w:r>
    </w:p>
    <w:p>
      <w:pPr>
        <w:widowControl/>
        <w:tabs>
          <w:tab w:val="left" w:pos="567"/>
        </w:tabs>
        <w:spacing w:before="120" w:line="400" w:lineRule="exact"/>
        <w:ind w:firstLine="480" w:firstLineChars="200"/>
        <w:rPr>
          <w:rFonts w:ascii="宋体" w:hAnsi="宋体" w:cs="宋体"/>
          <w:sz w:val="24"/>
        </w:rPr>
      </w:pPr>
      <w:r>
        <w:rPr>
          <w:rFonts w:hint="eastAsia" w:ascii="宋体" w:hAnsi="宋体" w:cs="宋体"/>
          <w:sz w:val="24"/>
          <w:lang w:bidi="ar"/>
        </w:rPr>
        <w:t>4.5重要或高级别会议前，需提前制定技术保障方案，明确人员分工、应急措施及备用设备清单。</w:t>
      </w:r>
    </w:p>
    <w:p>
      <w:pPr>
        <w:widowControl/>
        <w:numPr>
          <w:ilvl w:val="255"/>
          <w:numId w:val="0"/>
        </w:numPr>
        <w:wordWrap w:val="0"/>
        <w:spacing w:line="400" w:lineRule="exact"/>
        <w:rPr>
          <w:rFonts w:ascii="宋体" w:hAnsi="宋体" w:cs="宋体"/>
          <w:b/>
          <w:sz w:val="24"/>
          <w:lang w:bidi="ar"/>
        </w:rPr>
      </w:pPr>
      <w:r>
        <w:rPr>
          <w:rFonts w:hint="eastAsia" w:ascii="宋体" w:hAnsi="宋体" w:cs="宋体"/>
          <w:b/>
          <w:sz w:val="24"/>
          <w:lang w:bidi="ar"/>
        </w:rPr>
        <w:t>5、桌面系统运行保障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针对北京市城市管理委员会广安门办公区使用的办公终端、扫描仪、打印机等办公设备使用过程中遇到的问题开展如下运维工作：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5.1解决委内工作人员使用的办公终端（含操作系统、办公软件、杀毒软件）故障或问题，包括但不限于：软件故障、网络故障、打印机和扫描仪等办公设备的联调等；</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5.2当设备发生硬件故障时，初步判定故障位置并配合设备使用人员完成报修工作；</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5.3在国产办公软件发布升级补丁后，协助使用人进行升级，防止计算机收到病毒、木马的侵扰，确保国产办公软件安全稳定运行；</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5.4每年开展1次软件使用情况的摸底工作，包括终端操作系统、办公软件、杀毒软件等，形成软件资产底账。如发现使用非授权软件或不合规的操作系统等，协助使用人进行整改，确保软件使用合法合规。</w:t>
      </w:r>
    </w:p>
    <w:p>
      <w:pPr>
        <w:widowControl/>
        <w:spacing w:line="400" w:lineRule="exact"/>
        <w:jc w:val="left"/>
        <w:rPr>
          <w:rFonts w:ascii="宋体" w:hAnsi="宋体" w:cs="宋体"/>
          <w:b/>
          <w:sz w:val="24"/>
          <w:lang w:bidi="ar"/>
        </w:rPr>
      </w:pPr>
      <w:r>
        <w:rPr>
          <w:rFonts w:hint="eastAsia" w:ascii="宋体" w:hAnsi="宋体" w:cs="宋体"/>
          <w:b/>
          <w:sz w:val="24"/>
          <w:lang w:bidi="ar"/>
        </w:rPr>
        <w:t>6、北京市公务员电子邮箱系统维护</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北京市城市管理委员会统一使用“北京市公务员邮箱系统”，根据人员变化和邮箱系统使用情况，进行开通、注销、密码修改等工作。</w:t>
      </w:r>
    </w:p>
    <w:p>
      <w:pPr>
        <w:widowControl/>
        <w:spacing w:line="400" w:lineRule="exact"/>
        <w:jc w:val="left"/>
        <w:rPr>
          <w:rFonts w:ascii="宋体" w:hAnsi="宋体" w:cs="宋体"/>
          <w:b/>
          <w:sz w:val="24"/>
          <w:lang w:bidi="ar"/>
        </w:rPr>
      </w:pPr>
      <w:r>
        <w:rPr>
          <w:rFonts w:hint="eastAsia" w:ascii="宋体" w:hAnsi="宋体" w:cs="宋体"/>
          <w:b/>
          <w:sz w:val="24"/>
          <w:lang w:bidi="ar"/>
        </w:rPr>
        <w:t>7、</w:t>
      </w:r>
      <w:r>
        <w:rPr>
          <w:rFonts w:hint="eastAsia" w:ascii="宋体" w:hAnsi="宋体" w:cs="宋体"/>
          <w:b/>
          <w:sz w:val="24"/>
        </w:rPr>
        <w:t>城市运行调度指挥大厅</w:t>
      </w:r>
      <w:r>
        <w:rPr>
          <w:rFonts w:hint="eastAsia" w:ascii="宋体" w:hAnsi="宋体" w:cs="宋体"/>
          <w:b/>
          <w:sz w:val="24"/>
          <w:lang w:bidi="ar"/>
        </w:rPr>
        <w:t>7*24小时值守保障</w:t>
      </w:r>
    </w:p>
    <w:p>
      <w:pPr>
        <w:widowControl/>
        <w:tabs>
          <w:tab w:val="left" w:pos="567"/>
        </w:tabs>
        <w:spacing w:before="120" w:line="400" w:lineRule="exact"/>
        <w:ind w:firstLine="480" w:firstLineChars="200"/>
        <w:rPr>
          <w:rFonts w:ascii="宋体" w:hAnsi="宋体" w:cs="宋体"/>
          <w:sz w:val="24"/>
          <w:lang w:bidi="ar"/>
        </w:rPr>
      </w:pPr>
      <w:r>
        <w:rPr>
          <w:rFonts w:hint="eastAsia" w:ascii="宋体" w:hAnsi="宋体" w:cs="宋体"/>
          <w:sz w:val="24"/>
        </w:rPr>
        <w:t>7.1安排12人在城市运行调度指挥大厅（11层大厅）提供现场值守保障工作，主要保障平台调度、大屏演示、视频会议等任务正常进行；</w:t>
      </w:r>
    </w:p>
    <w:p>
      <w:pPr>
        <w:widowControl/>
        <w:tabs>
          <w:tab w:val="left" w:pos="567"/>
        </w:tabs>
        <w:spacing w:before="120" w:line="400" w:lineRule="exact"/>
        <w:ind w:firstLine="480" w:firstLineChars="200"/>
        <w:rPr>
          <w:rFonts w:ascii="宋体" w:hAnsi="宋体" w:cs="宋体"/>
          <w:sz w:val="24"/>
          <w:lang w:bidi="ar"/>
        </w:rPr>
      </w:pPr>
      <w:r>
        <w:rPr>
          <w:rFonts w:hint="eastAsia" w:ascii="宋体" w:hAnsi="宋体" w:cs="宋体"/>
          <w:sz w:val="24"/>
          <w:lang w:bidi="ar"/>
        </w:rPr>
        <w:t>7.2人员安排：工作时间与甲方工作时间一致，其中安排3人7×24小时技术保障，同时每日可根据需要最多安排2人倒休；</w:t>
      </w:r>
    </w:p>
    <w:p>
      <w:pPr>
        <w:widowControl/>
        <w:wordWrap w:val="0"/>
        <w:spacing w:line="400" w:lineRule="exact"/>
        <w:ind w:firstLine="480" w:firstLineChars="200"/>
        <w:rPr>
          <w:rFonts w:ascii="宋体" w:hAnsi="宋体" w:cs="宋体"/>
          <w:sz w:val="24"/>
          <w:lang w:bidi="ar"/>
        </w:rPr>
      </w:pPr>
      <w:r>
        <w:rPr>
          <w:rFonts w:hint="eastAsia" w:ascii="宋体" w:hAnsi="宋体" w:cs="宋体"/>
          <w:sz w:val="24"/>
          <w:lang w:bidi="ar"/>
        </w:rPr>
        <w:t>7.3在重要活动保障期间，根据需要合理安排人员进行保障任务。</w:t>
      </w:r>
    </w:p>
    <w:p>
      <w:pPr>
        <w:widowControl/>
        <w:spacing w:after="120" w:line="400" w:lineRule="exact"/>
        <w:ind w:firstLine="480" w:firstLineChars="200"/>
        <w:rPr>
          <w:rFonts w:ascii="宋体" w:hAnsi="宋体" w:cs="宋体"/>
          <w:sz w:val="24"/>
          <w:lang w:bidi="ar"/>
        </w:rPr>
      </w:pPr>
      <w:r>
        <w:rPr>
          <w:rFonts w:hint="eastAsia" w:ascii="宋体" w:hAnsi="宋体" w:cs="宋体"/>
          <w:sz w:val="24"/>
          <w:lang w:bidi="ar"/>
        </w:rPr>
        <w:t>7.4每日由专人负责采集供水排水、热力、液化气、电力、全市垃圾日处理量等相关数据，填写汇总并核对后，上报相关管理部门。</w:t>
      </w:r>
    </w:p>
    <w:p>
      <w:pPr>
        <w:widowControl/>
        <w:wordWrap w:val="0"/>
        <w:spacing w:line="400" w:lineRule="exact"/>
        <w:rPr>
          <w:rFonts w:ascii="宋体" w:hAnsi="宋体" w:cs="宋体"/>
          <w:b/>
          <w:sz w:val="24"/>
          <w:lang w:bidi="ar"/>
        </w:rPr>
      </w:pPr>
      <w:r>
        <w:rPr>
          <w:rFonts w:hint="eastAsia" w:ascii="宋体" w:hAnsi="宋体" w:cs="宋体"/>
          <w:b/>
          <w:sz w:val="24"/>
          <w:lang w:bidi="ar"/>
        </w:rPr>
        <w:t>8、其他临时性工作</w:t>
      </w:r>
    </w:p>
    <w:p>
      <w:pPr>
        <w:widowControl/>
        <w:spacing w:line="400" w:lineRule="exact"/>
        <w:ind w:firstLine="480" w:firstLineChars="200"/>
        <w:jc w:val="left"/>
      </w:pPr>
      <w:r>
        <w:rPr>
          <w:rFonts w:hint="eastAsia" w:ascii="宋体" w:hAnsi="宋体" w:cs="宋体"/>
          <w:sz w:val="24"/>
          <w:lang w:bidi="ar"/>
        </w:rPr>
        <w:t>完成甲方交办的临时性工作。</w:t>
      </w:r>
    </w:p>
    <w:p>
      <w:pPr>
        <w:ind w:firstLine="480"/>
      </w:pPr>
    </w:p>
    <w:p>
      <w:pPr>
        <w:adjustRightInd w:val="0"/>
        <w:snapToGrid w:val="0"/>
        <w:spacing w:line="300" w:lineRule="auto"/>
        <w:rPr>
          <w:rFonts w:ascii="宋体" w:hAnsi="宋体" w:cs="宋体"/>
          <w:b/>
          <w:sz w:val="28"/>
          <w:szCs w:val="28"/>
        </w:rPr>
      </w:pPr>
      <w:r>
        <w:rPr>
          <w:rFonts w:hint="eastAsia" w:ascii="宋体" w:hAnsi="宋体" w:cs="宋体"/>
          <w:b/>
          <w:sz w:val="28"/>
          <w:szCs w:val="28"/>
        </w:rPr>
        <w:t>第二部分、执行地点及期限</w:t>
      </w:r>
    </w:p>
    <w:p>
      <w:pPr>
        <w:adjustRightInd w:val="0"/>
        <w:snapToGrid w:val="0"/>
        <w:spacing w:line="300" w:lineRule="auto"/>
        <w:ind w:firstLine="241" w:firstLineChars="100"/>
        <w:rPr>
          <w:rFonts w:ascii="宋体" w:hAnsi="宋体" w:cs="宋体"/>
          <w:sz w:val="24"/>
          <w:u w:val="single"/>
        </w:rPr>
      </w:pPr>
      <w:r>
        <w:rPr>
          <w:rFonts w:hint="eastAsia" w:ascii="宋体" w:hAnsi="宋体" w:cs="宋体"/>
          <w:b/>
          <w:sz w:val="24"/>
        </w:rPr>
        <w:t>第三条</w:t>
      </w:r>
      <w:r>
        <w:rPr>
          <w:rFonts w:hint="eastAsia" w:ascii="宋体" w:hAnsi="宋体" w:cs="宋体"/>
          <w:sz w:val="24"/>
        </w:rPr>
        <w:t xml:space="preserve"> 执行地点：</w:t>
      </w:r>
      <w:r>
        <w:rPr>
          <w:rFonts w:hint="eastAsia" w:ascii="宋体" w:hAnsi="宋体" w:cs="宋体"/>
          <w:sz w:val="24"/>
          <w:u w:val="single"/>
        </w:rPr>
        <w:t>北京市西城区广安门内大街317</w:t>
      </w:r>
      <w:r>
        <w:rPr>
          <w:rFonts w:hint="eastAsia" w:ascii="宋体" w:hAnsi="宋体" w:cs="宋体"/>
          <w:sz w:val="24"/>
          <w:szCs w:val="21"/>
          <w:u w:val="single"/>
        </w:rPr>
        <w:t>号</w:t>
      </w:r>
      <w:r>
        <w:rPr>
          <w:rFonts w:hint="eastAsia" w:ascii="宋体" w:hAnsi="宋体" w:cs="宋体"/>
          <w:sz w:val="24"/>
          <w:u w:val="single"/>
        </w:rPr>
        <w:t>或甲方指定地点。</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第四条 </w:t>
      </w:r>
      <w:r>
        <w:rPr>
          <w:rFonts w:hint="eastAsia" w:ascii="宋体" w:hAnsi="宋体" w:cs="宋体"/>
          <w:bCs/>
          <w:sz w:val="24"/>
        </w:rPr>
        <w:t>执行期</w:t>
      </w:r>
      <w:r>
        <w:rPr>
          <w:rFonts w:hint="eastAsia" w:ascii="宋体" w:hAnsi="宋体" w:cs="宋体"/>
          <w:sz w:val="24"/>
        </w:rPr>
        <w:t>为</w:t>
      </w:r>
      <w:r>
        <w:rPr>
          <w:rFonts w:hint="eastAsia" w:ascii="宋体" w:hAnsi="宋体" w:cs="宋体"/>
          <w:sz w:val="24"/>
          <w:u w:val="single"/>
        </w:rPr>
        <w:t xml:space="preserve">  壹  </w:t>
      </w:r>
      <w:r>
        <w:rPr>
          <w:rFonts w:hint="eastAsia" w:ascii="宋体" w:hAnsi="宋体" w:cs="宋体"/>
          <w:sz w:val="24"/>
        </w:rPr>
        <w:t>年</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第五条</w:t>
      </w:r>
      <w:r>
        <w:rPr>
          <w:rFonts w:hint="eastAsia" w:ascii="宋体" w:hAnsi="宋体" w:cs="宋体"/>
          <w:sz w:val="24"/>
        </w:rPr>
        <w:t xml:space="preserve"> 执行期：自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日起至</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 xml:space="preserve">日止。乙方应在执行期内完成技术维护并经甲方验收合格，如届时经甲方书面确认，乙方维护事项因非乙方原因导致未办理完毕，执行期限自动顺延。   </w:t>
      </w:r>
    </w:p>
    <w:p>
      <w:pPr>
        <w:adjustRightInd w:val="0"/>
        <w:snapToGrid w:val="0"/>
        <w:spacing w:line="300" w:lineRule="auto"/>
        <w:rPr>
          <w:rFonts w:ascii="宋体" w:hAnsi="宋体" w:cs="宋体"/>
          <w:b/>
          <w:sz w:val="28"/>
          <w:szCs w:val="28"/>
        </w:rPr>
      </w:pPr>
      <w:r>
        <w:rPr>
          <w:rFonts w:hint="eastAsia" w:ascii="宋体" w:hAnsi="宋体" w:cs="宋体"/>
          <w:b/>
          <w:sz w:val="28"/>
          <w:szCs w:val="28"/>
        </w:rPr>
        <w:t>第三部分、合同金额及付款方式</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第六条</w:t>
      </w:r>
      <w:r>
        <w:rPr>
          <w:rFonts w:hint="eastAsia" w:ascii="宋体" w:hAnsi="宋体" w:cs="宋体"/>
          <w:sz w:val="24"/>
        </w:rPr>
        <w:t xml:space="preserve"> 合同总金额：人民币大写</w:t>
      </w:r>
      <w:r>
        <w:rPr>
          <w:rFonts w:hint="eastAsia" w:ascii="宋体" w:hAnsi="宋体" w:cs="宋体"/>
          <w:sz w:val="24"/>
          <w:u w:val="single"/>
        </w:rPr>
        <w:t xml:space="preserve">      </w:t>
      </w:r>
      <w:r>
        <w:rPr>
          <w:rFonts w:hint="eastAsia" w:ascii="宋体" w:hAnsi="宋体" w:cs="宋体"/>
          <w:sz w:val="24"/>
        </w:rPr>
        <w:t>元整，（￥</w:t>
      </w:r>
      <w:r>
        <w:rPr>
          <w:rFonts w:hint="eastAsia" w:ascii="宋体" w:hAnsi="宋体" w:cs="宋体"/>
          <w:sz w:val="24"/>
          <w:u w:val="single"/>
        </w:rPr>
        <w:t xml:space="preserve">      </w:t>
      </w:r>
      <w:r>
        <w:rPr>
          <w:rFonts w:hint="eastAsia" w:ascii="宋体" w:hAnsi="宋体" w:cs="宋体"/>
          <w:sz w:val="24"/>
        </w:rPr>
        <w:t>元）。以上金额是乙方履行本合同的所有费用（含税），除双方另有约定外，乙方不得要求甲方支付任何其他费用。</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第七条 </w:t>
      </w:r>
      <w:r>
        <w:rPr>
          <w:rFonts w:hint="eastAsia" w:ascii="宋体" w:hAnsi="宋体" w:cs="宋体"/>
          <w:sz w:val="24"/>
        </w:rPr>
        <w:t xml:space="preserve">支付方式 </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 xml:space="preserve">甲方分2次向乙方支付合同款项, 以人民币结算。 </w:t>
      </w:r>
    </w:p>
    <w:p>
      <w:pPr>
        <w:adjustRightInd w:val="0"/>
        <w:snapToGrid w:val="0"/>
        <w:spacing w:line="300" w:lineRule="auto"/>
        <w:ind w:firstLine="480" w:firstLineChars="200"/>
        <w:rPr>
          <w:rFonts w:ascii="宋体" w:hAnsi="宋体" w:cs="宋体"/>
          <w:sz w:val="24"/>
          <w:highlight w:val="green"/>
        </w:rPr>
      </w:pPr>
      <w:r>
        <w:rPr>
          <w:rFonts w:hint="eastAsia" w:ascii="宋体" w:hAnsi="宋体" w:cs="宋体"/>
          <w:sz w:val="24"/>
        </w:rPr>
        <w:t>1.第一次支付：合同生效后，项目执行期开始前二十（20）个工作日内，甲方向乙方支付本合同约定金额的60%，计人民币大写</w:t>
      </w:r>
      <w:r>
        <w:rPr>
          <w:rFonts w:hint="eastAsia" w:ascii="宋体" w:hAnsi="宋体" w:cs="宋体"/>
          <w:sz w:val="24"/>
          <w:u w:val="single"/>
        </w:rPr>
        <w:t xml:space="preserve">       </w:t>
      </w:r>
      <w:r>
        <w:rPr>
          <w:rFonts w:hint="eastAsia" w:ascii="宋体" w:hAnsi="宋体" w:cs="宋体"/>
          <w:sz w:val="24"/>
        </w:rPr>
        <w:t>元整 （￥</w:t>
      </w:r>
      <w:r>
        <w:rPr>
          <w:rFonts w:hint="eastAsia" w:ascii="宋体" w:hAnsi="宋体" w:cs="宋体"/>
          <w:sz w:val="24"/>
          <w:u w:val="single"/>
        </w:rPr>
        <w:t xml:space="preserve">        </w:t>
      </w:r>
      <w:r>
        <w:rPr>
          <w:rFonts w:hint="eastAsia" w:ascii="宋体" w:hAnsi="宋体" w:cs="宋体"/>
          <w:sz w:val="24"/>
        </w:rPr>
        <w:t xml:space="preserve">元）。 </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2.第二次支付：待执行期满,乙方将全部维护总结报告提供给甲方，经甲方验收合格后，甲方向乙方支付本合同约定金额的40%，计人民币大写</w:t>
      </w:r>
      <w:r>
        <w:rPr>
          <w:rFonts w:hint="eastAsia" w:ascii="宋体" w:hAnsi="宋体" w:cs="宋体"/>
          <w:sz w:val="24"/>
          <w:u w:val="single"/>
        </w:rPr>
        <w:t xml:space="preserve">     </w:t>
      </w:r>
      <w:r>
        <w:rPr>
          <w:rFonts w:hint="eastAsia" w:ascii="宋体" w:hAnsi="宋体" w:cs="宋体"/>
          <w:sz w:val="24"/>
        </w:rPr>
        <w:t>元整，（￥</w:t>
      </w:r>
      <w:r>
        <w:rPr>
          <w:rFonts w:hint="eastAsia" w:ascii="宋体" w:hAnsi="宋体" w:cs="宋体"/>
          <w:sz w:val="24"/>
          <w:u w:val="single"/>
        </w:rPr>
        <w:t xml:space="preserve">     </w:t>
      </w:r>
      <w:r>
        <w:rPr>
          <w:rFonts w:hint="eastAsia" w:ascii="宋体" w:hAnsi="宋体" w:cs="宋体"/>
          <w:sz w:val="24"/>
        </w:rPr>
        <w:t>元）。</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3.甲方每次按合同付款前，乙方向甲方出具正式、等额、合法的发票。乙方未按要求提供发票的，甲方有权拒绝付款，且该拒付不构成甲方违约，乙方不得因此暂停、中止履行义务。如乙方向甲方提供的发票不符合本合同约定或法律规定，因此给甲方造成的一切损失由乙方承担（包括但不限于损害赔偿、消除影响等）。</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4.甲方付款单位为：</w:t>
      </w:r>
      <w:r>
        <w:rPr>
          <w:rFonts w:hint="eastAsia" w:ascii="宋体" w:hAnsi="宋体" w:cs="宋体"/>
          <w:sz w:val="24"/>
          <w:u w:val="single"/>
        </w:rPr>
        <w:t>北京市城市运行管理事务中心</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5.甲方纳税人识别号：</w:t>
      </w:r>
      <w:r>
        <w:rPr>
          <w:rFonts w:hint="eastAsia" w:ascii="宋体" w:hAnsi="宋体" w:cs="宋体"/>
          <w:sz w:val="24"/>
          <w:u w:val="single"/>
        </w:rPr>
        <w:t xml:space="preserve">12110000MB1J66869N </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6.以上所有合同经费的支付，均以财政预算资金拨付到位为前提条件。甲方支付项目经费时，如遇市财政国库结账等特殊时期，具体支付时间将根据北京市财政局的有关规定执行。此时不视为甲方违约。</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7.乙方收款账户信息</w:t>
      </w:r>
    </w:p>
    <w:p>
      <w:pPr>
        <w:adjustRightInd w:val="0"/>
        <w:snapToGrid w:val="0"/>
        <w:spacing w:line="300" w:lineRule="auto"/>
        <w:ind w:firstLine="720" w:firstLineChars="300"/>
        <w:rPr>
          <w:rFonts w:ascii="宋体" w:hAnsi="宋体" w:cs="宋体"/>
          <w:sz w:val="24"/>
          <w:u w:val="single"/>
        </w:rPr>
      </w:pPr>
      <w:r>
        <w:rPr>
          <w:rFonts w:hint="eastAsia" w:ascii="宋体" w:hAnsi="宋体" w:cs="宋体"/>
          <w:sz w:val="24"/>
        </w:rPr>
        <w:t>乙方开户名：</w:t>
      </w:r>
      <w:r>
        <w:rPr>
          <w:rFonts w:hint="eastAsia" w:ascii="宋体" w:hAnsi="宋体" w:cs="宋体"/>
          <w:sz w:val="24"/>
          <w:u w:val="single"/>
        </w:rPr>
        <w:t xml:space="preserve">         </w:t>
      </w:r>
    </w:p>
    <w:p>
      <w:pPr>
        <w:adjustRightInd w:val="0"/>
        <w:snapToGrid w:val="0"/>
        <w:spacing w:line="300" w:lineRule="auto"/>
        <w:ind w:firstLine="720" w:firstLineChars="300"/>
        <w:rPr>
          <w:rFonts w:ascii="宋体" w:hAnsi="宋体" w:cs="宋体"/>
          <w:sz w:val="24"/>
          <w:u w:val="single"/>
        </w:rPr>
      </w:pPr>
      <w:r>
        <w:rPr>
          <w:rFonts w:hint="eastAsia" w:ascii="宋体" w:hAnsi="宋体" w:cs="宋体"/>
          <w:sz w:val="24"/>
        </w:rPr>
        <w:t>乙方开户行名称：</w:t>
      </w:r>
      <w:r>
        <w:rPr>
          <w:rFonts w:hint="eastAsia" w:ascii="宋体" w:hAnsi="宋体" w:cs="宋体"/>
          <w:sz w:val="24"/>
          <w:u w:val="single"/>
        </w:rPr>
        <w:t xml:space="preserve">       </w:t>
      </w:r>
    </w:p>
    <w:p>
      <w:pPr>
        <w:adjustRightInd w:val="0"/>
        <w:snapToGrid w:val="0"/>
        <w:spacing w:line="300" w:lineRule="auto"/>
        <w:ind w:firstLine="720" w:firstLineChars="300"/>
        <w:rPr>
          <w:rFonts w:ascii="宋体" w:hAnsi="宋体" w:cs="宋体"/>
          <w:sz w:val="24"/>
          <w:u w:val="single"/>
        </w:rPr>
      </w:pPr>
      <w:r>
        <w:rPr>
          <w:rFonts w:hint="eastAsia" w:ascii="宋体" w:hAnsi="宋体" w:cs="宋体"/>
          <w:sz w:val="24"/>
        </w:rPr>
        <w:t>乙方开户行账号：</w:t>
      </w:r>
      <w:r>
        <w:rPr>
          <w:rFonts w:hint="eastAsia" w:ascii="宋体" w:hAnsi="宋体" w:cs="宋体"/>
          <w:sz w:val="24"/>
          <w:u w:val="single"/>
        </w:rPr>
        <w:t xml:space="preserve">        </w:t>
      </w:r>
    </w:p>
    <w:p>
      <w:pPr>
        <w:adjustRightInd w:val="0"/>
        <w:snapToGrid w:val="0"/>
        <w:spacing w:line="300" w:lineRule="auto"/>
        <w:rPr>
          <w:rFonts w:ascii="宋体" w:hAnsi="宋体" w:cs="宋体"/>
          <w:b/>
          <w:sz w:val="28"/>
          <w:szCs w:val="28"/>
        </w:rPr>
      </w:pPr>
      <w:r>
        <w:rPr>
          <w:rFonts w:hint="eastAsia" w:ascii="宋体" w:hAnsi="宋体" w:cs="宋体"/>
          <w:b/>
          <w:sz w:val="28"/>
          <w:szCs w:val="28"/>
        </w:rPr>
        <w:t>第四部分、验收条款</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第八条 </w:t>
      </w:r>
      <w:r>
        <w:rPr>
          <w:rFonts w:hint="eastAsia" w:ascii="宋体" w:hAnsi="宋体" w:cs="宋体"/>
          <w:sz w:val="24"/>
        </w:rPr>
        <w:t>技术维护完成（</w:t>
      </w:r>
      <w:r>
        <w:rPr>
          <w:rFonts w:hint="eastAsia" w:ascii="宋体" w:hAnsi="宋体" w:cs="宋体"/>
          <w:sz w:val="24"/>
          <w:u w:val="single"/>
        </w:rPr>
        <w:t>10</w:t>
      </w:r>
      <w:r>
        <w:rPr>
          <w:rFonts w:hint="eastAsia" w:ascii="宋体" w:hAnsi="宋体" w:cs="宋体"/>
          <w:sz w:val="24"/>
        </w:rPr>
        <w:t>）日前，乙方应该通知甲方进行项目验收准备工作，以便甲方能够快速、高效地完成项目验收工作。</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第九条</w:t>
      </w:r>
      <w:r>
        <w:rPr>
          <w:rFonts w:hint="eastAsia" w:ascii="宋体" w:hAnsi="宋体" w:cs="宋体"/>
          <w:sz w:val="24"/>
        </w:rPr>
        <w:t xml:space="preserve"> 验收方法：由乙方提交项目技术报告，甲方组织验收。</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第十条</w:t>
      </w:r>
      <w:r>
        <w:rPr>
          <w:rFonts w:hint="eastAsia" w:ascii="宋体" w:hAnsi="宋体" w:cs="宋体"/>
          <w:sz w:val="24"/>
        </w:rPr>
        <w:t xml:space="preserve"> 验收标准：本合同约定的维护内容及质量要求。如乙方完成的工作不符合合同约定或甲方要求，甲方有权书面通知乙方在甲方规定的时间内予以整改。整改完成后，乙方应当重新向甲方提交验收申请。</w:t>
      </w:r>
    </w:p>
    <w:p>
      <w:pPr>
        <w:adjustRightInd w:val="0"/>
        <w:snapToGrid w:val="0"/>
        <w:spacing w:line="300" w:lineRule="auto"/>
        <w:rPr>
          <w:rFonts w:ascii="宋体" w:hAnsi="宋体" w:cs="宋体"/>
          <w:b/>
          <w:sz w:val="28"/>
          <w:szCs w:val="28"/>
        </w:rPr>
      </w:pPr>
      <w:r>
        <w:rPr>
          <w:rFonts w:hint="eastAsia" w:ascii="宋体" w:hAnsi="宋体" w:cs="宋体"/>
          <w:b/>
          <w:sz w:val="28"/>
          <w:szCs w:val="28"/>
        </w:rPr>
        <w:t>第五部分、双方责任和义务</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第十一条</w:t>
      </w:r>
      <w:r>
        <w:rPr>
          <w:rFonts w:hint="eastAsia" w:ascii="宋体" w:hAnsi="宋体" w:cs="宋体"/>
          <w:sz w:val="24"/>
        </w:rPr>
        <w:t xml:space="preserve"> 甲方责任和义务</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1.甲方负责向乙方提供项目技术维护所需的相关技术资料、数据和信息等，为本合同的履行提供相关的政策、法规、标准等支持。</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2.甲方负责对乙方的技术成果及时接受并验收。</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3.甲方负责按合同规定的金额和支付方式及时向乙方支付费用。</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4.甲方有权监督、检查乙方的工作及质量，提出工作要求、改进意见</w:t>
      </w:r>
      <w:r>
        <w:rPr>
          <w:rFonts w:hint="eastAsia" w:ascii="宋体" w:hAnsi="宋体" w:cs="宋体"/>
          <w:bCs/>
          <w:sz w:val="24"/>
        </w:rPr>
        <w:t>。</w:t>
      </w:r>
      <w:r>
        <w:rPr>
          <w:rFonts w:hint="eastAsia" w:ascii="宋体" w:hAnsi="宋体" w:cs="宋体"/>
          <w:sz w:val="24"/>
        </w:rPr>
        <w:t xml:space="preserve">   </w:t>
      </w:r>
    </w:p>
    <w:p>
      <w:pPr>
        <w:adjustRightInd w:val="0"/>
        <w:snapToGrid w:val="0"/>
        <w:spacing w:line="300" w:lineRule="auto"/>
        <w:ind w:firstLine="241" w:firstLineChars="100"/>
        <w:rPr>
          <w:rFonts w:ascii="宋体" w:hAnsi="宋体" w:cs="宋体"/>
          <w:b/>
          <w:sz w:val="24"/>
        </w:rPr>
      </w:pPr>
      <w:r>
        <w:rPr>
          <w:rFonts w:hint="eastAsia" w:ascii="宋体" w:hAnsi="宋体" w:cs="宋体"/>
          <w:b/>
          <w:sz w:val="24"/>
        </w:rPr>
        <w:t xml:space="preserve">第十二条 </w:t>
      </w:r>
      <w:r>
        <w:rPr>
          <w:rFonts w:hint="eastAsia" w:ascii="宋体" w:hAnsi="宋体" w:cs="宋体"/>
          <w:sz w:val="24"/>
        </w:rPr>
        <w:t>乙方责任和义务</w:t>
      </w:r>
    </w:p>
    <w:p>
      <w:pPr>
        <w:widowControl/>
        <w:ind w:firstLine="480" w:firstLineChars="200"/>
        <w:jc w:val="left"/>
        <w:rPr>
          <w:rFonts w:ascii="宋体" w:hAnsi="宋体" w:cs="宋体"/>
          <w:b/>
          <w:sz w:val="24"/>
        </w:rPr>
      </w:pPr>
      <w:r>
        <w:rPr>
          <w:rFonts w:hint="eastAsia" w:ascii="宋体" w:hAnsi="宋体" w:cs="宋体"/>
          <w:sz w:val="24"/>
        </w:rPr>
        <w:t>1.合同生效后，乙方应按合同内容向甲方提供技术维护；</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2.在项目具体维护的过程当中，乙方承诺严格遵守甲方关于进度、质量的各项管理规定，接受甲方的监督，以确保维护高质量按期完成。</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3.未经甲方事先书面同意，乙方不得转让本合同项下任何权利义务，不得转包、分包本项目部分或全部内容给第三人。</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4.乙方有义务配合审计部门，完成审计检查。</w:t>
      </w:r>
    </w:p>
    <w:p>
      <w:pPr>
        <w:adjustRightInd w:val="0"/>
        <w:snapToGrid w:val="0"/>
        <w:spacing w:line="300" w:lineRule="auto"/>
        <w:ind w:firstLine="480" w:firstLineChars="200"/>
        <w:rPr>
          <w:rFonts w:ascii="宋体" w:hAnsi="宋体" w:cs="宋体"/>
          <w:sz w:val="24"/>
        </w:rPr>
      </w:pPr>
      <w:r>
        <w:rPr>
          <w:rFonts w:hint="eastAsia" w:ascii="宋体" w:hAnsi="宋体" w:cs="宋体"/>
          <w:sz w:val="24"/>
          <w:szCs w:val="21"/>
        </w:rPr>
        <w:t>5.乙方有义务按照本合同约定的维护内容、标准、时限，按时、按次、按质完成对甲方的远程支持、现场处理和应急响应要求。</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6.乙方应当确保提供的技术维护符合国家及北京相关规定，不存在任何侵犯第三方著作权、商标权、专利权等合法权益的情形，因乙方提供的技术维护不符合标准给甲方或第三方造成损失的，乙方应承担全部赔偿责任。</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7.乙方应保证为甲方提供具备提供本合同项下维护所需的相应资质和许可。乙方应保证技术维护人员在甲方工作过程中人员相对稳定，未经甲方同意，乙方不得更换项目人员。甲方认为乙方人员不符合标准需要更换的，乙方应当在3日内完成更换。</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8.乙方工作人员未经甲方授权，擅自篡改甲方业务数据，或利用甲方现有业务应用系统、网络平台或者冒用甲方身份获取非法利益，造成甲方或任何第三方损失的，由乙方承担法律责任并负责赔偿相应损失。</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9.乙方技术维护应达到下列要求：</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（1）乙方应在履行本合同的全部工作中遵守与本合同有关的法律、法规和规章，并应承担由于其自身违反上述法律、法规和规章的责任。</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（2）按甲方的要求，按时完成各项项目工作。</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（3）乙方应认真执行按照甲方发出的与合同有关的任何要求，按合同规定的内容和时间完成全部项目工作。除合同另有规定外，乙方应提供为完成本合同工作所需的技术、劳务、软件系统。</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（4）乙方同意依照本合同技术维护与售后相关条款向甲方提供技术维护。</w:t>
      </w:r>
    </w:p>
    <w:p>
      <w:pPr>
        <w:widowControl/>
        <w:ind w:firstLine="480" w:firstLineChars="200"/>
        <w:jc w:val="left"/>
        <w:rPr>
          <w:rFonts w:ascii="宋体" w:hAnsi="宋体" w:cs="宋体"/>
          <w:sz w:val="24"/>
          <w:szCs w:val="21"/>
        </w:rPr>
      </w:pPr>
      <w:r>
        <w:rPr>
          <w:rFonts w:hint="eastAsia" w:ascii="宋体" w:hAnsi="宋体" w:cs="宋体"/>
          <w:sz w:val="24"/>
          <w:szCs w:val="21"/>
        </w:rPr>
        <w:t>（5）乙方同意所设计开发的软件系统仅用于本项目，本项目相关的所有软件</w:t>
      </w:r>
      <w:r>
        <w:rPr>
          <w:rFonts w:hint="eastAsia" w:ascii="宋体" w:hAnsi="宋体" w:cs="宋体"/>
          <w:sz w:val="24"/>
          <w:lang w:bidi="ar"/>
        </w:rPr>
        <w:t>（包括乙方在履行合同过程中对原有软件进行的更新、修改、二次开发成果）的</w:t>
      </w:r>
      <w:r>
        <w:rPr>
          <w:rFonts w:hint="eastAsia" w:ascii="宋体" w:hAnsi="宋体" w:cs="宋体"/>
          <w:sz w:val="24"/>
          <w:szCs w:val="21"/>
        </w:rPr>
        <w:t>知识产权以及其他合法权利归甲方所有。在涉及许可第三人使用或者向第三人转让软件时，由甲方决定。</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（6）本项目未通过终验前，乙方负责免费维护及管理工作。</w:t>
      </w:r>
    </w:p>
    <w:p>
      <w:pPr>
        <w:adjustRightInd w:val="0"/>
        <w:snapToGrid w:val="0"/>
        <w:spacing w:line="300" w:lineRule="auto"/>
        <w:ind w:firstLine="480" w:firstLineChars="200"/>
        <w:rPr>
          <w:rFonts w:ascii="宋体" w:hAnsi="宋体" w:cs="宋体"/>
          <w:sz w:val="24"/>
          <w:szCs w:val="21"/>
        </w:rPr>
      </w:pPr>
      <w:r>
        <w:rPr>
          <w:rFonts w:hint="eastAsia" w:ascii="宋体" w:hAnsi="宋体" w:cs="宋体"/>
          <w:sz w:val="24"/>
          <w:szCs w:val="21"/>
        </w:rPr>
        <w:t>10.双方明确甲方与乙方技术维护人员不存在任何劳动、劳务、劳务派遣、委托等关系，亦不承担该人员的社会保险、福利待遇、工伤责任等。如乙方技术维护人员要求甲方承担任何与劳动、劳务、劳务派遣、委托关系等相关的法律责任、待遇等提起仲裁、诉讼等，乙方应承担甲方的损失。</w:t>
      </w:r>
    </w:p>
    <w:p>
      <w:pPr>
        <w:ind w:firstLine="480"/>
      </w:pPr>
    </w:p>
    <w:p>
      <w:pPr>
        <w:adjustRightInd w:val="0"/>
        <w:snapToGrid w:val="0"/>
        <w:spacing w:line="300" w:lineRule="auto"/>
        <w:rPr>
          <w:rFonts w:ascii="宋体" w:hAnsi="宋体" w:cs="宋体"/>
          <w:b/>
          <w:sz w:val="28"/>
          <w:szCs w:val="28"/>
        </w:rPr>
      </w:pPr>
      <w:r>
        <w:rPr>
          <w:rFonts w:hint="eastAsia" w:ascii="宋体" w:hAnsi="宋体" w:cs="宋体"/>
          <w:b/>
          <w:sz w:val="28"/>
          <w:szCs w:val="28"/>
        </w:rPr>
        <w:t>第六部分、保密义务</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第十三条 </w:t>
      </w:r>
      <w:r>
        <w:rPr>
          <w:rFonts w:hint="eastAsia" w:ascii="宋体" w:hAnsi="宋体" w:cs="宋体"/>
          <w:sz w:val="24"/>
        </w:rPr>
        <w:t>乙方应对甲方提供的技术资料和数据等任何非公开信息负有保密义务，不得以任何形式、任何理由透露给第三方或擅自做本合同目的之外的使用。乙方的具体保密义务见附件</w:t>
      </w:r>
      <w:r>
        <w:rPr>
          <w:rFonts w:hint="eastAsia" w:ascii="宋体" w:hAnsi="宋体" w:cs="宋体"/>
          <w:sz w:val="24"/>
          <w:u w:val="single"/>
        </w:rPr>
        <w:t>《2026年桌面系统、视频会议保障等基础运维</w:t>
      </w:r>
      <w:r>
        <w:rPr>
          <w:rFonts w:hint="eastAsia" w:ascii="宋体" w:hAnsi="宋体" w:cs="宋体"/>
          <w:sz w:val="24"/>
          <w:szCs w:val="20"/>
          <w:u w:val="single"/>
        </w:rPr>
        <w:t>项目保密条款</w:t>
      </w:r>
      <w:r>
        <w:rPr>
          <w:rFonts w:hint="eastAsia" w:ascii="宋体" w:hAnsi="宋体" w:cs="宋体"/>
          <w:sz w:val="24"/>
          <w:u w:val="single"/>
        </w:rPr>
        <w:t>》</w:t>
      </w:r>
      <w:r>
        <w:rPr>
          <w:rFonts w:hint="eastAsia" w:ascii="宋体" w:hAnsi="宋体" w:cs="宋体"/>
          <w:sz w:val="24"/>
        </w:rPr>
        <w:t>。</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第十四条 </w:t>
      </w:r>
      <w:r>
        <w:rPr>
          <w:rFonts w:hint="eastAsia" w:ascii="宋体" w:hAnsi="宋体" w:cs="宋体"/>
          <w:sz w:val="24"/>
        </w:rPr>
        <w:t>乙方在合同执行期间及之后的任何时间内，对在履行合同过程中获知的甲方的商业秘密、技术秘密等信息必须严格予以保密，非经对方书面授权或履行法定义务之必要，乙方不得向第三方披露甲方的上述任何信息。</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第十五条 </w:t>
      </w:r>
      <w:r>
        <w:rPr>
          <w:rFonts w:hint="eastAsia" w:ascii="宋体" w:hAnsi="宋体" w:cs="宋体"/>
          <w:sz w:val="24"/>
        </w:rPr>
        <w:t>甲乙双方的保密义务不因合同的变更、解除或终止而免除，保密期限为长期，直至相关事项被公开。</w:t>
      </w:r>
    </w:p>
    <w:p>
      <w:pPr>
        <w:adjustRightInd w:val="0"/>
        <w:snapToGrid w:val="0"/>
        <w:spacing w:line="300" w:lineRule="auto"/>
        <w:rPr>
          <w:rFonts w:ascii="宋体" w:hAnsi="宋体" w:cs="宋体"/>
          <w:b/>
          <w:sz w:val="28"/>
          <w:szCs w:val="28"/>
        </w:rPr>
      </w:pPr>
      <w:r>
        <w:rPr>
          <w:rFonts w:hint="eastAsia" w:ascii="宋体" w:hAnsi="宋体" w:cs="宋体"/>
          <w:b/>
          <w:sz w:val="28"/>
          <w:szCs w:val="28"/>
        </w:rPr>
        <w:t>第七部分、知识产权</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第十六条 </w:t>
      </w:r>
      <w:r>
        <w:rPr>
          <w:rFonts w:hint="eastAsia" w:ascii="宋体" w:hAnsi="宋体" w:cs="宋体"/>
          <w:sz w:val="24"/>
        </w:rPr>
        <w:t>乙方为完成本合同所产生的全部工作成果等归甲方所有，包括但不限于该项目的阶段性工作成果、最终成果及相关资料、数据等，甲方有权以各种形式对上述工作成果进行利用；</w:t>
      </w:r>
    </w:p>
    <w:p>
      <w:pPr>
        <w:widowControl/>
        <w:ind w:firstLine="480" w:firstLineChars="200"/>
        <w:jc w:val="left"/>
        <w:rPr>
          <w:rFonts w:ascii="Calibri" w:hAnsi="Calibri"/>
        </w:rPr>
      </w:pPr>
      <w:r>
        <w:rPr>
          <w:rFonts w:hint="eastAsia" w:ascii="宋体" w:hAnsi="宋体" w:cs="宋体"/>
          <w:sz w:val="24"/>
          <w:lang w:bidi="ar"/>
        </w:rPr>
        <w:t>乙方应于本合同终止或甲方提出要求后15个工作日内，向甲方交付全部工作成果的完整原件、电子版本，乙方不得留存任何副本、备份或摘抄件。</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第十七条 </w:t>
      </w:r>
      <w:r>
        <w:rPr>
          <w:rFonts w:hint="eastAsia" w:ascii="宋体" w:hAnsi="宋体" w:cs="宋体"/>
          <w:sz w:val="24"/>
        </w:rPr>
        <w:t>未经甲方书面许可，乙方不得以任何方式（包括但不限于公布、发布、转让、自行使用等等）使用项目的任何成果，否则，应当承担相应的违约责任。</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第十八条 </w:t>
      </w:r>
      <w:r>
        <w:rPr>
          <w:rFonts w:hint="eastAsia" w:ascii="宋体" w:hAnsi="宋体" w:cs="宋体"/>
          <w:sz w:val="24"/>
        </w:rPr>
        <w:t>乙方保证向甲方提供的系统、软件、售后及技术支持等不侵犯任何第三方的知识产权等合法权益，不受第三方提出的侵犯专利权、著作权、商标权和工业设计权等合法权利的起诉。如果任何第三方提出侵权指控，乙方须与第三方交涉并承担由此发生的一切责任、费用和经济赔偿，甲方不因此承担任何责任且有权追究乙方的违约责任。</w:t>
      </w:r>
    </w:p>
    <w:p>
      <w:pPr>
        <w:adjustRightInd w:val="0"/>
        <w:snapToGrid w:val="0"/>
        <w:spacing w:line="300" w:lineRule="auto"/>
        <w:rPr>
          <w:rFonts w:ascii="宋体" w:hAnsi="宋体" w:cs="宋体"/>
          <w:b/>
          <w:sz w:val="28"/>
          <w:szCs w:val="28"/>
        </w:rPr>
      </w:pPr>
      <w:r>
        <w:rPr>
          <w:rFonts w:hint="eastAsia" w:ascii="宋体" w:hAnsi="宋体" w:cs="宋体"/>
          <w:b/>
          <w:sz w:val="28"/>
          <w:szCs w:val="28"/>
        </w:rPr>
        <w:t>第八部分、违约责任</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第十九条</w:t>
      </w:r>
      <w:r>
        <w:rPr>
          <w:rFonts w:hint="eastAsia" w:ascii="宋体" w:hAnsi="宋体" w:cs="宋体"/>
          <w:sz w:val="24"/>
        </w:rPr>
        <w:t xml:space="preserve"> 违反本合同约定，违约方应当按照《中华人民共和国民法典》有关的规定承担违约责任。</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第二十条 </w:t>
      </w:r>
      <w:r>
        <w:rPr>
          <w:rFonts w:hint="eastAsia" w:ascii="宋体" w:hAnsi="宋体" w:cs="宋体"/>
          <w:sz w:val="24"/>
        </w:rPr>
        <w:t>如乙方未按合同规定的时间提供技术维护工作（包括因验收不合格进行补救导致的逾期），则每逾期一日，乙方应按合同总额的0.5%计算，向甲方支付逾期履行违约金，延期超过15日的，甲方有权以书面通知的形式解除合同，乙方应退还全部合同款并按合同总价款的20％向甲方支付违约金，违约金不足以弥补甲方损失的，乙方应予以补足。 </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甲方有权随时对乙方的工作进行监督、检查，乙方有义务按甲方要求向甲方说明工作进行情况。如乙方工作不符合本合同的约定或对甲方造成损失的，甲方有权以书面通知的方式要求乙方进行整改，违反3次以上的（包括3次），甲方有权以书面通知的方式解除本合同，乙方应退还全部合同款并按合同总价款的20％向甲方支付违约金，违约金不足以弥补甲方损失的，乙方应予以补足。</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乙方违反合同约定的保密条款，除立即停止违约行为外，还应当向甲方支付合同总额 20 %的违约金，甲方有权单方以书面通知方式解除合同，违约金不足以弥补甲方损失的，乙方应予以补足。</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乙方保证其提交的项目成果及技术维护符合法律、法规并不侵犯其他人合法权益。若乙方违反本条约定，由此产生的纠纷及法律责任均由乙方负责解决并承担相应责任，同时，甲方还有权以书面通知方式解除本合同，乙方应退还甲方已支付的全部款项，向甲方支付合同总额20%的违约金并赔偿因此给甲方造成的全部损失。该损失包括但不限于甲方经济利益的减损、甲方为证实乙方之违约行为所支出的各项调查取证、公证费用，甲方为寻求救济而支付的诉讼费用、保全费、律师代理费、咨询费以及法院执行费用等。</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除本合同另有约定外，乙方违反合同约定义务或未按甲方要求提供技术维护的，经甲方催告后</w:t>
      </w:r>
      <w:r>
        <w:rPr>
          <w:rFonts w:hint="eastAsia" w:ascii="宋体" w:hAnsi="宋体" w:cs="宋体"/>
          <w:sz w:val="24"/>
          <w:u w:val="single"/>
        </w:rPr>
        <w:t>10</w:t>
      </w:r>
      <w:r>
        <w:rPr>
          <w:rFonts w:hint="eastAsia" w:ascii="宋体" w:hAnsi="宋体" w:cs="宋体"/>
          <w:sz w:val="24"/>
        </w:rPr>
        <w:t>日内仍拒不改正的，甲方有权以书面通知方式解除本合同，乙方应退还全部合同款并按合同总价款的20％向甲方支付违约金，违约金不足以弥补甲方损失的，乙方应予以补足。</w:t>
      </w:r>
    </w:p>
    <w:p>
      <w:pPr>
        <w:adjustRightInd w:val="0"/>
        <w:snapToGrid w:val="0"/>
        <w:spacing w:line="300" w:lineRule="auto"/>
        <w:ind w:firstLine="480" w:firstLineChars="200"/>
        <w:jc w:val="left"/>
        <w:rPr>
          <w:rFonts w:ascii="宋体" w:hAnsi="宋体" w:cs="宋体"/>
          <w:sz w:val="24"/>
        </w:rPr>
      </w:pPr>
      <w:r>
        <w:rPr>
          <w:rFonts w:hint="eastAsia" w:ascii="宋体" w:hAnsi="宋体" w:cs="宋体"/>
          <w:sz w:val="24"/>
        </w:rPr>
        <w:t>若因乙方的原因给甲方造成损失的，该损失包括但不限于甲方经济利益的减损、甲方为证实乙方之违约行为所支出的各项调查取证、公证费用，甲方为寻求救济而支付的诉讼费用、保全费、律师代理费、咨询费以及法院执行费用等。</w:t>
      </w:r>
    </w:p>
    <w:p>
      <w:pPr>
        <w:widowControl/>
        <w:adjustRightInd w:val="0"/>
        <w:snapToGrid w:val="0"/>
        <w:spacing w:line="300" w:lineRule="auto"/>
        <w:ind w:firstLine="480" w:firstLineChars="200"/>
        <w:jc w:val="left"/>
        <w:rPr>
          <w:rFonts w:ascii="Calibri" w:hAnsi="Calibri"/>
        </w:rPr>
      </w:pPr>
      <w:bookmarkStart w:id="858" w:name="auto_fouce_26"/>
      <w:bookmarkEnd w:id="858"/>
      <w:r>
        <w:rPr>
          <w:rFonts w:hint="eastAsia" w:ascii="宋体" w:hAnsi="宋体" w:cs="宋体"/>
          <w:sz w:val="24"/>
        </w:rPr>
        <w:t>若乙方未按合同约定完成技术维护服务，甲方有权在应付未付款项中直接扣除相应违约金，不足部分有权向乙方追偿。</w:t>
      </w:r>
    </w:p>
    <w:p>
      <w:pPr>
        <w:adjustRightInd w:val="0"/>
        <w:snapToGrid w:val="0"/>
        <w:spacing w:line="300" w:lineRule="auto"/>
        <w:ind w:firstLine="482" w:firstLineChars="200"/>
        <w:rPr>
          <w:rFonts w:ascii="宋体" w:hAnsi="宋体" w:cs="宋体"/>
          <w:sz w:val="24"/>
        </w:rPr>
      </w:pPr>
      <w:r>
        <w:rPr>
          <w:rFonts w:hint="eastAsia" w:ascii="宋体" w:hAnsi="宋体" w:cs="宋体"/>
          <w:b/>
          <w:sz w:val="24"/>
        </w:rPr>
        <w:t>第二十一条</w:t>
      </w:r>
      <w:r>
        <w:rPr>
          <w:rFonts w:hint="eastAsia" w:ascii="宋体" w:hAnsi="宋体" w:cs="宋体"/>
          <w:b/>
          <w:color w:val="FF0000"/>
          <w:sz w:val="24"/>
        </w:rPr>
        <w:t xml:space="preserve"> </w:t>
      </w:r>
      <w:r>
        <w:rPr>
          <w:rFonts w:hint="eastAsia" w:ascii="宋体" w:hAnsi="宋体" w:cs="宋体"/>
          <w:sz w:val="24"/>
        </w:rPr>
        <w:t>乙方保证不因其自身对外债务导致甲方或本项目的款项被任何机关查封、追偿。否则，甲方有权以书面通知方式解除本合同，乙方应退还全部合同款并按合同总价款的20％向甲方支付违约金，违约金不足以弥补甲方损失的，乙方应予以补足。</w:t>
      </w:r>
    </w:p>
    <w:p>
      <w:pPr>
        <w:adjustRightInd w:val="0"/>
        <w:snapToGrid w:val="0"/>
        <w:spacing w:line="300" w:lineRule="auto"/>
        <w:rPr>
          <w:rFonts w:ascii="宋体" w:hAnsi="宋体" w:cs="宋体"/>
          <w:sz w:val="24"/>
        </w:rPr>
      </w:pPr>
      <w:r>
        <w:rPr>
          <w:rFonts w:hint="eastAsia" w:ascii="宋体" w:hAnsi="宋体" w:cs="宋体"/>
          <w:b/>
          <w:sz w:val="28"/>
          <w:szCs w:val="28"/>
        </w:rPr>
        <w:t>第九部分、不可抗力</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第二十二条 </w:t>
      </w:r>
      <w:r>
        <w:rPr>
          <w:rFonts w:hint="eastAsia" w:ascii="宋体" w:hAnsi="宋体" w:cs="宋体"/>
          <w:sz w:val="24"/>
        </w:rPr>
        <w:t>除非合同中另有约定，在本条中，不可抗力事件系指甲方和乙方都不可预见、不可避免、不能克服的超出认识控制和防范能力的事件。这类事件使合同一方的履约变得不可能或非法。不可抗力包括：</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1.天灾（地震、洪水、火灾、台风、雷击等）；</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2.战争；</w:t>
      </w:r>
    </w:p>
    <w:p>
      <w:pPr>
        <w:adjustRightInd w:val="0"/>
        <w:snapToGrid w:val="0"/>
        <w:spacing w:line="300" w:lineRule="auto"/>
        <w:ind w:firstLine="480" w:firstLineChars="200"/>
        <w:rPr>
          <w:rFonts w:ascii="宋体" w:hAnsi="宋体" w:cs="宋体"/>
          <w:sz w:val="24"/>
        </w:rPr>
      </w:pPr>
      <w:r>
        <w:rPr>
          <w:rFonts w:hint="eastAsia" w:ascii="宋体" w:hAnsi="宋体" w:cs="宋体"/>
          <w:sz w:val="24"/>
        </w:rPr>
        <w:t>3.由于适用法律的变更或任何适用的后继法规的颁布导致本合同的履行不再合法；</w:t>
      </w:r>
    </w:p>
    <w:p>
      <w:pPr>
        <w:adjustRightInd w:val="0"/>
        <w:snapToGrid w:val="0"/>
        <w:spacing w:line="300" w:lineRule="auto"/>
        <w:ind w:firstLine="480"/>
        <w:rPr>
          <w:rFonts w:ascii="宋体" w:hAnsi="宋体" w:cs="宋体"/>
          <w:sz w:val="24"/>
        </w:rPr>
      </w:pPr>
      <w:r>
        <w:rPr>
          <w:rFonts w:hint="eastAsia" w:ascii="宋体" w:hAnsi="宋体" w:cs="宋体"/>
          <w:sz w:val="24"/>
        </w:rPr>
        <w:t>4.其他合同双方一致认可属于不可抗力的事故。</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第二十三条 </w:t>
      </w:r>
      <w:r>
        <w:rPr>
          <w:rFonts w:hint="eastAsia" w:ascii="宋体" w:hAnsi="宋体" w:cs="宋体"/>
          <w:sz w:val="24"/>
        </w:rPr>
        <w:t>甲乙双方任何一方对由于不可抗力造成的部分或全部不能履行本合同，不负责任，但应在条件允许下采取一切必要的补救措施，以减少因不可抗力造成的损失，否则须就损失扩大的部分承担赔偿责任。当事人延迟履行后发生不可抗力的，不能免除责任。</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第二十四条 </w:t>
      </w:r>
      <w:r>
        <w:rPr>
          <w:rFonts w:hint="eastAsia" w:ascii="宋体" w:hAnsi="宋体" w:cs="宋体"/>
          <w:sz w:val="24"/>
        </w:rPr>
        <w:t>遇有不可抗力的一方应在24小时内将事件的情况以书面形式通知另一方，并且在事件发生后2日内向另一方提交合同不能履行或部分不能履行或需要延期履行理由的报告。不可抗力发生期间，甲方可相应扣减维护费。</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第二十五条</w:t>
      </w:r>
      <w:r>
        <w:rPr>
          <w:rFonts w:hint="eastAsia" w:ascii="宋体" w:hAnsi="宋体" w:cs="宋体"/>
          <w:sz w:val="24"/>
        </w:rPr>
        <w:t xml:space="preserve"> 如果不可抗力影响时间延续45天以上的，双方应通过友好协商在合理的时间内达成进一步变更合同或解除合同的书面协议；协商不成的，甲方有权书面通知乙方解除本合同。</w:t>
      </w:r>
    </w:p>
    <w:p>
      <w:pPr>
        <w:widowControl/>
        <w:tabs>
          <w:tab w:val="left" w:pos="1440"/>
        </w:tabs>
        <w:adjustRightInd w:val="0"/>
        <w:snapToGrid w:val="0"/>
        <w:spacing w:line="300" w:lineRule="auto"/>
        <w:jc w:val="left"/>
        <w:rPr>
          <w:rFonts w:ascii="宋体" w:hAnsi="宋体" w:cs="宋体"/>
          <w:sz w:val="24"/>
        </w:rPr>
      </w:pPr>
      <w:r>
        <w:rPr>
          <w:rFonts w:hint="eastAsia" w:ascii="宋体" w:hAnsi="宋体" w:cs="宋体"/>
          <w:b/>
          <w:sz w:val="28"/>
          <w:szCs w:val="28"/>
        </w:rPr>
        <w:t>第十部分 技术支持与维护</w:t>
      </w:r>
    </w:p>
    <w:p>
      <w:pPr>
        <w:widowControl/>
        <w:tabs>
          <w:tab w:val="left" w:pos="1440"/>
        </w:tabs>
        <w:adjustRightInd w:val="0"/>
        <w:snapToGrid w:val="0"/>
        <w:spacing w:line="300" w:lineRule="auto"/>
        <w:ind w:firstLine="241" w:firstLineChars="100"/>
        <w:jc w:val="left"/>
        <w:rPr>
          <w:rFonts w:ascii="宋体" w:hAnsi="宋体" w:cs="宋体"/>
        </w:rPr>
      </w:pPr>
      <w:r>
        <w:rPr>
          <w:rFonts w:hint="eastAsia" w:ascii="宋体" w:hAnsi="宋体" w:cs="宋体"/>
          <w:b/>
          <w:sz w:val="24"/>
        </w:rPr>
        <w:t>第二十六条</w:t>
      </w:r>
      <w:r>
        <w:rPr>
          <w:rFonts w:hint="eastAsia" w:ascii="宋体" w:hAnsi="宋体" w:cs="宋体"/>
          <w:sz w:val="24"/>
        </w:rPr>
        <w:t>具体技术支持及维护参数详见甲方</w:t>
      </w:r>
      <w:r>
        <w:rPr>
          <w:rFonts w:hint="eastAsia" w:ascii="宋体" w:hAnsi="宋体" w:cs="宋体"/>
          <w:sz w:val="24"/>
          <w:u w:val="single"/>
        </w:rPr>
        <w:t>2026年桌面系统、视频会议保障等基础运维</w:t>
      </w:r>
      <w:r>
        <w:rPr>
          <w:rFonts w:hint="eastAsia" w:ascii="宋体" w:hAnsi="宋体" w:cs="宋体"/>
          <w:sz w:val="24"/>
        </w:rPr>
        <w:t>项目招标文件（项目编号：</w:t>
      </w:r>
      <w:r>
        <w:rPr>
          <w:rFonts w:hint="eastAsia" w:ascii="宋体" w:hAnsi="宋体" w:cs="宋体"/>
          <w:sz w:val="24"/>
          <w:u w:val="single"/>
        </w:rPr>
        <w:t xml:space="preserve">     </w:t>
      </w:r>
      <w:r>
        <w:rPr>
          <w:rFonts w:hint="eastAsia" w:ascii="宋体" w:hAnsi="宋体" w:cs="宋体"/>
          <w:sz w:val="24"/>
        </w:rPr>
        <w:t>）中“项目需求”部分，及乙方的投标文件描述。</w:t>
      </w:r>
    </w:p>
    <w:p>
      <w:pPr>
        <w:adjustRightInd w:val="0"/>
        <w:snapToGrid w:val="0"/>
        <w:spacing w:line="300" w:lineRule="auto"/>
        <w:rPr>
          <w:rFonts w:ascii="宋体" w:hAnsi="宋体" w:cs="宋体"/>
          <w:b/>
          <w:sz w:val="28"/>
          <w:szCs w:val="28"/>
        </w:rPr>
      </w:pPr>
      <w:r>
        <w:rPr>
          <w:rFonts w:hint="eastAsia" w:ascii="宋体" w:hAnsi="宋体" w:cs="宋体"/>
          <w:b/>
          <w:sz w:val="28"/>
          <w:szCs w:val="28"/>
        </w:rPr>
        <w:t>第十一部分、争议解决</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第二十七条 </w:t>
      </w:r>
      <w:r>
        <w:rPr>
          <w:rFonts w:hint="eastAsia" w:ascii="宋体" w:hAnsi="宋体" w:cs="宋体"/>
          <w:sz w:val="24"/>
        </w:rPr>
        <w:t>因合同发生的争议，合同当事人双方可通过协商解决。协商不成的，双方均有权向甲方所在地有管辖权的人民法院提起诉讼。</w:t>
      </w:r>
    </w:p>
    <w:p>
      <w:pPr>
        <w:adjustRightInd w:val="0"/>
        <w:snapToGrid w:val="0"/>
        <w:spacing w:line="300" w:lineRule="auto"/>
        <w:rPr>
          <w:rFonts w:ascii="宋体" w:hAnsi="宋体" w:cs="宋体"/>
          <w:b/>
          <w:sz w:val="28"/>
          <w:szCs w:val="28"/>
        </w:rPr>
      </w:pPr>
      <w:r>
        <w:rPr>
          <w:rFonts w:hint="eastAsia" w:ascii="宋体" w:hAnsi="宋体" w:cs="宋体"/>
          <w:b/>
          <w:sz w:val="28"/>
          <w:szCs w:val="28"/>
        </w:rPr>
        <w:t>第十二部分、合同生效及其他</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 xml:space="preserve">第二十八条 </w:t>
      </w:r>
      <w:r>
        <w:rPr>
          <w:rFonts w:hint="eastAsia" w:ascii="宋体" w:hAnsi="宋体" w:cs="宋体"/>
          <w:sz w:val="24"/>
        </w:rPr>
        <w:t>如有未尽事宜，须经双方共同协商，做出补充协议，补充协议经双方法定代表人或授权人签字并加盖公章后与本合同具有同等法律效力。双方协商书面同意的有关修改合同的文书、图表等，也是合同的组成部分。</w:t>
      </w:r>
    </w:p>
    <w:p>
      <w:pPr>
        <w:adjustRightInd w:val="0"/>
        <w:snapToGrid w:val="0"/>
        <w:spacing w:line="300" w:lineRule="auto"/>
        <w:ind w:firstLine="241" w:firstLineChars="100"/>
        <w:rPr>
          <w:rFonts w:ascii="宋体" w:hAnsi="宋体" w:cs="宋体"/>
          <w:sz w:val="24"/>
        </w:rPr>
      </w:pPr>
      <w:r>
        <w:rPr>
          <w:rFonts w:hint="eastAsia" w:ascii="宋体" w:hAnsi="宋体" w:cs="宋体"/>
          <w:b/>
          <w:sz w:val="24"/>
        </w:rPr>
        <w:t>第二十九条</w:t>
      </w:r>
      <w:r>
        <w:rPr>
          <w:rFonts w:hint="eastAsia" w:ascii="宋体" w:hAnsi="宋体" w:cs="宋体"/>
          <w:sz w:val="24"/>
        </w:rPr>
        <w:t xml:space="preserve"> 合同自法定代表人或委托代理人签字并盖公章之日起生效。</w:t>
      </w:r>
    </w:p>
    <w:p>
      <w:pPr>
        <w:adjustRightInd w:val="0"/>
        <w:snapToGrid w:val="0"/>
        <w:spacing w:line="300" w:lineRule="auto"/>
        <w:ind w:firstLine="241" w:firstLineChars="100"/>
        <w:rPr>
          <w:rFonts w:ascii="宋体" w:hAnsi="宋体" w:cs="宋体"/>
          <w:sz w:val="24"/>
          <w:szCs w:val="20"/>
        </w:rPr>
      </w:pPr>
      <w:r>
        <w:rPr>
          <w:rFonts w:hint="eastAsia" w:ascii="宋体" w:hAnsi="宋体" w:cs="宋体"/>
          <w:b/>
          <w:sz w:val="24"/>
          <w:szCs w:val="20"/>
        </w:rPr>
        <w:t>第三十条</w:t>
      </w:r>
      <w:r>
        <w:rPr>
          <w:rFonts w:hint="eastAsia" w:ascii="宋体" w:hAnsi="宋体" w:cs="宋体"/>
          <w:sz w:val="24"/>
          <w:szCs w:val="20"/>
        </w:rPr>
        <w:t xml:space="preserve"> 合同正本一式</w:t>
      </w:r>
      <w:r>
        <w:rPr>
          <w:rFonts w:hint="eastAsia" w:ascii="宋体" w:hAnsi="宋体" w:cs="宋体"/>
          <w:sz w:val="24"/>
          <w:szCs w:val="20"/>
          <w:u w:val="single"/>
        </w:rPr>
        <w:t xml:space="preserve"> 陆 </w:t>
      </w:r>
      <w:r>
        <w:rPr>
          <w:rFonts w:hint="eastAsia" w:ascii="宋体" w:hAnsi="宋体" w:cs="宋体"/>
          <w:sz w:val="24"/>
          <w:szCs w:val="20"/>
        </w:rPr>
        <w:t>份，甲乙双方各执</w:t>
      </w:r>
      <w:r>
        <w:rPr>
          <w:rFonts w:hint="eastAsia" w:ascii="宋体" w:hAnsi="宋体" w:cs="宋体"/>
          <w:sz w:val="24"/>
          <w:szCs w:val="20"/>
          <w:u w:val="single"/>
        </w:rPr>
        <w:t xml:space="preserve"> 叁 </w:t>
      </w:r>
      <w:r>
        <w:rPr>
          <w:rFonts w:hint="eastAsia" w:ascii="宋体" w:hAnsi="宋体" w:cs="宋体"/>
          <w:sz w:val="24"/>
          <w:szCs w:val="20"/>
        </w:rPr>
        <w:t>份，具有同等法律效力。</w:t>
      </w:r>
    </w:p>
    <w:p>
      <w:pPr>
        <w:widowControl/>
        <w:adjustRightInd w:val="0"/>
        <w:snapToGrid w:val="0"/>
        <w:spacing w:line="300" w:lineRule="auto"/>
        <w:ind w:firstLine="241" w:firstLineChars="100"/>
        <w:jc w:val="left"/>
        <w:rPr>
          <w:rFonts w:ascii="宋体" w:hAnsi="宋体" w:cs="宋体"/>
          <w:bCs/>
          <w:sz w:val="24"/>
        </w:rPr>
      </w:pPr>
      <w:r>
        <w:rPr>
          <w:rFonts w:hint="eastAsia" w:ascii="宋体" w:hAnsi="宋体" w:cs="宋体"/>
          <w:b/>
          <w:sz w:val="24"/>
        </w:rPr>
        <w:t xml:space="preserve">第三十一条 </w:t>
      </w:r>
      <w:r>
        <w:rPr>
          <w:rFonts w:hint="eastAsia" w:ascii="宋体" w:hAnsi="宋体" w:cs="宋体"/>
          <w:bCs/>
          <w:sz w:val="24"/>
          <w:lang w:bidi="ar"/>
        </w:rPr>
        <w:t>双方确认本合同签署页载明的通讯地址为各方履行本合同及争议解决相关所有通知、文书的法定送达地址，任何书面通知按该地址寄出后三日内即视为有效送达。若任何一方变更送达地址，应当提前七日书面通知对方，未通知的，按原地址送达仍视为有效送达。</w:t>
      </w:r>
    </w:p>
    <w:p>
      <w:pPr>
        <w:adjustRightInd w:val="0"/>
        <w:snapToGrid w:val="0"/>
        <w:spacing w:line="300" w:lineRule="auto"/>
        <w:ind w:firstLine="240" w:firstLineChars="100"/>
        <w:rPr>
          <w:rFonts w:ascii="宋体" w:hAnsi="宋体" w:cs="宋体"/>
          <w:sz w:val="24"/>
          <w:szCs w:val="20"/>
        </w:rPr>
      </w:pPr>
    </w:p>
    <w:p>
      <w:pPr>
        <w:adjustRightInd w:val="0"/>
        <w:snapToGrid w:val="0"/>
        <w:spacing w:line="300" w:lineRule="auto"/>
        <w:rPr>
          <w:rFonts w:ascii="宋体" w:hAnsi="宋体" w:cs="宋体"/>
          <w:b/>
          <w:bCs/>
          <w:sz w:val="28"/>
          <w:szCs w:val="28"/>
        </w:rPr>
      </w:pPr>
      <w:bookmarkStart w:id="859" w:name="_Toc65537655"/>
    </w:p>
    <w:p>
      <w:pPr>
        <w:rPr>
          <w:rFonts w:ascii="宋体" w:hAnsi="宋体" w:cs="宋体"/>
          <w:sz w:val="24"/>
        </w:rPr>
      </w:pPr>
      <w:r>
        <w:rPr>
          <w:rFonts w:hint="eastAsia" w:ascii="宋体" w:hAnsi="宋体" w:cs="宋体"/>
          <w:b/>
          <w:bCs/>
          <w:sz w:val="28"/>
          <w:szCs w:val="28"/>
        </w:rPr>
        <w:t>附件：</w:t>
      </w:r>
      <w:bookmarkEnd w:id="859"/>
      <w:r>
        <w:rPr>
          <w:rFonts w:hint="eastAsia" w:ascii="宋体" w:hAnsi="宋体" w:cs="宋体"/>
          <w:sz w:val="24"/>
          <w:szCs w:val="20"/>
        </w:rPr>
        <w:t>2026年桌面系统、视频会议保障等基础运维项目保密条款</w:t>
      </w:r>
    </w:p>
    <w:p>
      <w:pPr>
        <w:rPr>
          <w:rFonts w:ascii="宋体" w:hAnsi="宋体" w:cs="宋体"/>
        </w:rPr>
      </w:pPr>
    </w:p>
    <w:p>
      <w:pPr>
        <w:spacing w:line="360" w:lineRule="auto"/>
        <w:rPr>
          <w:rFonts w:ascii="宋体" w:hAnsi="宋体" w:cs="宋体"/>
          <w:sz w:val="24"/>
          <w:szCs w:val="20"/>
        </w:rPr>
      </w:pPr>
      <w:r>
        <w:rPr>
          <w:rFonts w:hint="eastAsia" w:ascii="宋体" w:hAnsi="宋体" w:cs="宋体"/>
          <w:sz w:val="24"/>
          <w:szCs w:val="20"/>
        </w:rPr>
        <w:t>（以下无正文）</w:t>
      </w:r>
    </w:p>
    <w:p>
      <w:pPr>
        <w:rPr>
          <w:rFonts w:ascii="宋体" w:hAnsi="宋体" w:cs="宋体"/>
          <w:sz w:val="24"/>
        </w:rPr>
      </w:pPr>
      <w:r>
        <w:rPr>
          <w:rFonts w:hint="eastAsia" w:ascii="宋体" w:hAnsi="宋体" w:cs="宋体"/>
          <w:sz w:val="24"/>
        </w:rPr>
        <w:br w:type="page"/>
      </w:r>
    </w:p>
    <w:p>
      <w:pPr>
        <w:spacing w:line="360" w:lineRule="auto"/>
        <w:rPr>
          <w:rFonts w:ascii="宋体" w:hAnsi="宋体" w:cs="宋体"/>
          <w:sz w:val="24"/>
          <w:szCs w:val="20"/>
        </w:rPr>
      </w:pPr>
      <w:r>
        <w:rPr>
          <w:rFonts w:hint="eastAsia" w:ascii="宋体" w:hAnsi="宋体" w:cs="宋体"/>
          <w:sz w:val="24"/>
          <w:szCs w:val="20"/>
        </w:rPr>
        <w:t>（此页无正文）</w:t>
      </w:r>
    </w:p>
    <w:tbl>
      <w:tblPr>
        <w:tblStyle w:val="55"/>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843"/>
        <w:gridCol w:w="2447"/>
        <w:gridCol w:w="112"/>
        <w:gridCol w:w="704"/>
        <w:gridCol w:w="1087"/>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trPr>
        <w:tc>
          <w:tcPr>
            <w:tcW w:w="708" w:type="dxa"/>
            <w:vMerge w:val="restart"/>
            <w:textDirection w:val="tbRlV"/>
            <w:vAlign w:val="center"/>
          </w:tcPr>
          <w:p>
            <w:pPr>
              <w:spacing w:line="500" w:lineRule="exact"/>
              <w:ind w:left="113" w:right="113"/>
              <w:jc w:val="center"/>
              <w:rPr>
                <w:rFonts w:ascii="宋体" w:hAnsi="宋体" w:cs="宋体"/>
                <w:spacing w:val="20"/>
                <w:sz w:val="24"/>
              </w:rPr>
            </w:pPr>
            <w:r>
              <w:rPr>
                <w:rFonts w:hint="eastAsia" w:ascii="宋体" w:hAnsi="宋体" w:cs="宋体"/>
                <w:spacing w:val="20"/>
                <w:sz w:val="24"/>
              </w:rPr>
              <w:t>委托人（甲方）</w:t>
            </w:r>
          </w:p>
        </w:tc>
        <w:tc>
          <w:tcPr>
            <w:tcW w:w="1843" w:type="dxa"/>
            <w:vAlign w:val="center"/>
          </w:tcPr>
          <w:p>
            <w:pPr>
              <w:spacing w:line="600" w:lineRule="exact"/>
              <w:jc w:val="center"/>
              <w:rPr>
                <w:rFonts w:ascii="宋体" w:hAnsi="宋体" w:cs="宋体"/>
                <w:sz w:val="24"/>
              </w:rPr>
            </w:pPr>
            <w:r>
              <w:rPr>
                <w:rFonts w:hint="eastAsia" w:ascii="宋体" w:hAnsi="宋体" w:cs="宋体"/>
                <w:sz w:val="24"/>
              </w:rPr>
              <w:t>名称(或姓名)</w:t>
            </w:r>
          </w:p>
        </w:tc>
        <w:tc>
          <w:tcPr>
            <w:tcW w:w="4350" w:type="dxa"/>
            <w:gridSpan w:val="4"/>
            <w:vAlign w:val="center"/>
          </w:tcPr>
          <w:p>
            <w:pPr>
              <w:spacing w:line="600" w:lineRule="exact"/>
              <w:rPr>
                <w:rFonts w:ascii="宋体" w:hAnsi="宋体" w:cs="宋体"/>
                <w:sz w:val="24"/>
              </w:rPr>
            </w:pPr>
            <w:r>
              <w:rPr>
                <w:rFonts w:hint="eastAsia" w:ascii="宋体" w:hAnsi="宋体" w:cs="宋体"/>
                <w:sz w:val="24"/>
              </w:rPr>
              <w:t>北京市城市运行管理事务中心</w:t>
            </w:r>
          </w:p>
        </w:tc>
        <w:tc>
          <w:tcPr>
            <w:tcW w:w="2039" w:type="dxa"/>
            <w:vMerge w:val="restart"/>
          </w:tcPr>
          <w:p>
            <w:pPr>
              <w:spacing w:line="600" w:lineRule="exact"/>
              <w:jc w:val="center"/>
              <w:rPr>
                <w:rFonts w:ascii="宋体" w:hAnsi="宋体" w:cs="宋体"/>
                <w:sz w:val="24"/>
              </w:rPr>
            </w:pPr>
            <w:r>
              <w:rPr>
                <w:rFonts w:hint="eastAsia" w:ascii="宋体" w:hAnsi="宋体" w:cs="宋体"/>
                <w:sz w:val="24"/>
              </w:rPr>
              <w:t xml:space="preserve"> </w:t>
            </w:r>
          </w:p>
          <w:p>
            <w:pPr>
              <w:spacing w:line="600" w:lineRule="exact"/>
              <w:jc w:val="center"/>
              <w:rPr>
                <w:rFonts w:ascii="宋体" w:hAnsi="宋体" w:cs="宋体"/>
                <w:sz w:val="24"/>
              </w:rPr>
            </w:pPr>
          </w:p>
          <w:p>
            <w:pPr>
              <w:spacing w:line="600" w:lineRule="exact"/>
              <w:jc w:val="center"/>
              <w:rPr>
                <w:rFonts w:ascii="宋体" w:hAnsi="宋体" w:cs="宋体"/>
                <w:sz w:val="24"/>
              </w:rPr>
            </w:pPr>
          </w:p>
          <w:p>
            <w:pPr>
              <w:spacing w:line="600" w:lineRule="exact"/>
              <w:jc w:val="center"/>
              <w:rPr>
                <w:rFonts w:ascii="宋体" w:hAnsi="宋体" w:cs="宋体"/>
                <w:sz w:val="24"/>
              </w:rPr>
            </w:pPr>
            <w:r>
              <w:rPr>
                <w:rFonts w:hint="eastAsia" w:ascii="宋体" w:hAnsi="宋体" w:cs="宋体"/>
                <w:sz w:val="24"/>
              </w:rPr>
              <w:t>单位公章</w:t>
            </w:r>
          </w:p>
          <w:p>
            <w:pPr>
              <w:spacing w:line="600" w:lineRule="exact"/>
              <w:jc w:val="right"/>
              <w:rPr>
                <w:rFonts w:ascii="宋体" w:hAnsi="宋体" w:cs="宋体"/>
                <w:sz w:val="24"/>
              </w:rPr>
            </w:pPr>
          </w:p>
          <w:p>
            <w:pPr>
              <w:spacing w:line="600" w:lineRule="exact"/>
              <w:ind w:right="240"/>
              <w:jc w:val="right"/>
              <w:rPr>
                <w:rFonts w:ascii="宋体" w:hAnsi="宋体" w:cs="宋体"/>
                <w:sz w:val="24"/>
              </w:rPr>
            </w:pPr>
            <w:r>
              <w:rPr>
                <w:rFonts w:hint="eastAsia" w:ascii="宋体" w:hAnsi="宋体" w:cs="宋体"/>
                <w:sz w:val="24"/>
              </w:rPr>
              <w:t>年  月  日</w:t>
            </w:r>
          </w:p>
          <w:p>
            <w:pPr>
              <w:spacing w:line="600" w:lineRule="exact"/>
              <w:jc w:val="right"/>
              <w:rPr>
                <w:rFonts w:ascii="宋体" w:hAnsi="宋体" w:cs="宋体"/>
                <w:sz w:val="24"/>
              </w:rPr>
            </w:pPr>
          </w:p>
          <w:p>
            <w:pPr>
              <w:spacing w:line="600" w:lineRule="exact"/>
              <w:jc w:val="righ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2" w:hRule="exact"/>
        </w:trPr>
        <w:tc>
          <w:tcPr>
            <w:tcW w:w="708" w:type="dxa"/>
            <w:vMerge w:val="continue"/>
          </w:tcPr>
          <w:p>
            <w:pPr>
              <w:spacing w:line="600" w:lineRule="exact"/>
              <w:jc w:val="left"/>
              <w:rPr>
                <w:rFonts w:ascii="宋体" w:hAnsi="宋体" w:cs="宋体"/>
                <w:sz w:val="24"/>
              </w:rPr>
            </w:pPr>
          </w:p>
        </w:tc>
        <w:tc>
          <w:tcPr>
            <w:tcW w:w="1843" w:type="dxa"/>
            <w:vAlign w:val="center"/>
          </w:tcPr>
          <w:p>
            <w:pPr>
              <w:spacing w:line="600" w:lineRule="exact"/>
              <w:jc w:val="center"/>
              <w:rPr>
                <w:rFonts w:ascii="宋体" w:hAnsi="宋体" w:cs="宋体"/>
                <w:sz w:val="24"/>
              </w:rPr>
            </w:pPr>
            <w:r>
              <w:rPr>
                <w:rFonts w:hint="eastAsia" w:ascii="宋体" w:hAnsi="宋体" w:cs="宋体"/>
                <w:sz w:val="24"/>
              </w:rPr>
              <w:t>法定代表人</w:t>
            </w:r>
          </w:p>
        </w:tc>
        <w:tc>
          <w:tcPr>
            <w:tcW w:w="4350" w:type="dxa"/>
            <w:gridSpan w:val="4"/>
            <w:vAlign w:val="center"/>
          </w:tcPr>
          <w:p>
            <w:pPr>
              <w:spacing w:line="600" w:lineRule="exact"/>
              <w:jc w:val="right"/>
              <w:rPr>
                <w:rFonts w:ascii="宋体" w:hAnsi="宋体" w:cs="宋体"/>
                <w:sz w:val="24"/>
              </w:rPr>
            </w:pPr>
            <w:r>
              <w:rPr>
                <w:rFonts w:hint="eastAsia" w:ascii="宋体" w:hAnsi="宋体" w:cs="宋体"/>
                <w:sz w:val="24"/>
              </w:rPr>
              <w:t>(签字)</w:t>
            </w:r>
          </w:p>
        </w:tc>
        <w:tc>
          <w:tcPr>
            <w:tcW w:w="2039" w:type="dxa"/>
            <w:vMerge w:val="continue"/>
          </w:tcPr>
          <w:p>
            <w:pPr>
              <w:spacing w:line="6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exact"/>
        </w:trPr>
        <w:tc>
          <w:tcPr>
            <w:tcW w:w="708" w:type="dxa"/>
            <w:vMerge w:val="continue"/>
          </w:tcPr>
          <w:p>
            <w:pPr>
              <w:spacing w:line="600" w:lineRule="exact"/>
              <w:jc w:val="left"/>
              <w:rPr>
                <w:rFonts w:ascii="宋体" w:hAnsi="宋体" w:cs="宋体"/>
                <w:sz w:val="24"/>
              </w:rPr>
            </w:pPr>
          </w:p>
        </w:tc>
        <w:tc>
          <w:tcPr>
            <w:tcW w:w="1843" w:type="dxa"/>
            <w:vAlign w:val="center"/>
          </w:tcPr>
          <w:p>
            <w:pPr>
              <w:spacing w:line="600" w:lineRule="exact"/>
              <w:jc w:val="center"/>
              <w:rPr>
                <w:rFonts w:ascii="宋体" w:hAnsi="宋体" w:cs="宋体"/>
                <w:sz w:val="24"/>
              </w:rPr>
            </w:pPr>
            <w:r>
              <w:rPr>
                <w:rFonts w:hint="eastAsia" w:ascii="宋体" w:hAnsi="宋体" w:cs="宋体"/>
                <w:sz w:val="24"/>
              </w:rPr>
              <w:t>委托代理人</w:t>
            </w:r>
          </w:p>
        </w:tc>
        <w:tc>
          <w:tcPr>
            <w:tcW w:w="4350" w:type="dxa"/>
            <w:gridSpan w:val="4"/>
            <w:vAlign w:val="center"/>
          </w:tcPr>
          <w:p>
            <w:pPr>
              <w:spacing w:line="600" w:lineRule="exact"/>
              <w:jc w:val="right"/>
              <w:rPr>
                <w:rFonts w:ascii="宋体" w:hAnsi="宋体" w:cs="宋体"/>
                <w:sz w:val="24"/>
              </w:rPr>
            </w:pPr>
            <w:r>
              <w:rPr>
                <w:rFonts w:hint="eastAsia" w:ascii="宋体" w:hAnsi="宋体" w:cs="宋体"/>
                <w:sz w:val="24"/>
              </w:rPr>
              <w:t>(签字)</w:t>
            </w:r>
          </w:p>
        </w:tc>
        <w:tc>
          <w:tcPr>
            <w:tcW w:w="2039" w:type="dxa"/>
            <w:vMerge w:val="continue"/>
          </w:tcPr>
          <w:p>
            <w:pPr>
              <w:spacing w:line="6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trPr>
        <w:tc>
          <w:tcPr>
            <w:tcW w:w="708" w:type="dxa"/>
            <w:vMerge w:val="continue"/>
          </w:tcPr>
          <w:p>
            <w:pPr>
              <w:spacing w:line="600" w:lineRule="exact"/>
              <w:jc w:val="left"/>
              <w:rPr>
                <w:rFonts w:ascii="宋体" w:hAnsi="宋体" w:cs="宋体"/>
                <w:sz w:val="24"/>
              </w:rPr>
            </w:pPr>
          </w:p>
        </w:tc>
        <w:tc>
          <w:tcPr>
            <w:tcW w:w="1843" w:type="dxa"/>
            <w:vMerge w:val="restart"/>
            <w:vAlign w:val="center"/>
          </w:tcPr>
          <w:p>
            <w:pPr>
              <w:spacing w:line="600" w:lineRule="exact"/>
              <w:jc w:val="center"/>
              <w:rPr>
                <w:rFonts w:ascii="宋体" w:hAnsi="宋体" w:cs="宋体"/>
                <w:sz w:val="24"/>
              </w:rPr>
            </w:pPr>
            <w:r>
              <w:rPr>
                <w:rFonts w:hint="eastAsia" w:ascii="宋体" w:hAnsi="宋体" w:cs="宋体"/>
                <w:sz w:val="24"/>
              </w:rPr>
              <w:t>住  所</w:t>
            </w:r>
          </w:p>
          <w:p>
            <w:pPr>
              <w:spacing w:line="600" w:lineRule="exact"/>
              <w:jc w:val="center"/>
              <w:rPr>
                <w:rFonts w:ascii="宋体" w:hAnsi="宋体" w:cs="宋体"/>
                <w:sz w:val="24"/>
              </w:rPr>
            </w:pPr>
            <w:r>
              <w:rPr>
                <w:rFonts w:hint="eastAsia" w:ascii="宋体" w:hAnsi="宋体" w:cs="宋体"/>
                <w:sz w:val="24"/>
              </w:rPr>
              <w:t>(通讯地址)</w:t>
            </w:r>
          </w:p>
        </w:tc>
        <w:tc>
          <w:tcPr>
            <w:tcW w:w="2559" w:type="dxa"/>
            <w:gridSpan w:val="2"/>
            <w:vMerge w:val="restart"/>
            <w:vAlign w:val="center"/>
          </w:tcPr>
          <w:p>
            <w:pPr>
              <w:jc w:val="center"/>
              <w:rPr>
                <w:rFonts w:ascii="宋体" w:hAnsi="宋体" w:cs="宋体"/>
                <w:sz w:val="24"/>
              </w:rPr>
            </w:pPr>
            <w:r>
              <w:rPr>
                <w:rFonts w:hint="eastAsia" w:ascii="宋体" w:hAnsi="宋体" w:cs="宋体"/>
                <w:color w:val="000000"/>
                <w:sz w:val="24"/>
              </w:rPr>
              <w:t>北京市西城区广安门内大街317号</w:t>
            </w:r>
          </w:p>
        </w:tc>
        <w:tc>
          <w:tcPr>
            <w:tcW w:w="704" w:type="dxa"/>
            <w:vMerge w:val="restart"/>
            <w:vAlign w:val="center"/>
          </w:tcPr>
          <w:p>
            <w:pPr>
              <w:spacing w:line="600" w:lineRule="exact"/>
              <w:jc w:val="center"/>
              <w:rPr>
                <w:rFonts w:ascii="宋体" w:hAnsi="宋体" w:cs="宋体"/>
                <w:sz w:val="24"/>
              </w:rPr>
            </w:pPr>
            <w:r>
              <w:rPr>
                <w:rFonts w:hint="eastAsia" w:ascii="宋体" w:hAnsi="宋体" w:cs="宋体"/>
                <w:sz w:val="24"/>
              </w:rPr>
              <w:t>邮政</w:t>
            </w:r>
          </w:p>
          <w:p>
            <w:pPr>
              <w:spacing w:line="600" w:lineRule="exact"/>
              <w:jc w:val="center"/>
              <w:rPr>
                <w:rFonts w:ascii="宋体" w:hAnsi="宋体" w:cs="宋体"/>
                <w:sz w:val="24"/>
              </w:rPr>
            </w:pPr>
            <w:r>
              <w:rPr>
                <w:rFonts w:hint="eastAsia" w:ascii="宋体" w:hAnsi="宋体" w:cs="宋体"/>
                <w:sz w:val="24"/>
              </w:rPr>
              <w:t>编码</w:t>
            </w:r>
          </w:p>
        </w:tc>
        <w:tc>
          <w:tcPr>
            <w:tcW w:w="1087" w:type="dxa"/>
            <w:vMerge w:val="restart"/>
            <w:vAlign w:val="center"/>
          </w:tcPr>
          <w:p>
            <w:pPr>
              <w:spacing w:line="600" w:lineRule="exact"/>
              <w:jc w:val="center"/>
              <w:rPr>
                <w:rFonts w:ascii="宋体" w:hAnsi="宋体" w:cs="宋体"/>
                <w:sz w:val="24"/>
              </w:rPr>
            </w:pPr>
            <w:r>
              <w:rPr>
                <w:rFonts w:hint="eastAsia" w:ascii="宋体" w:hAnsi="宋体" w:cs="宋体"/>
                <w:sz w:val="24"/>
              </w:rPr>
              <w:t>100053</w:t>
            </w:r>
          </w:p>
        </w:tc>
        <w:tc>
          <w:tcPr>
            <w:tcW w:w="2039" w:type="dxa"/>
            <w:vMerge w:val="continue"/>
          </w:tcPr>
          <w:p>
            <w:pPr>
              <w:spacing w:line="6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exact"/>
        </w:trPr>
        <w:tc>
          <w:tcPr>
            <w:tcW w:w="708" w:type="dxa"/>
            <w:vMerge w:val="continue"/>
          </w:tcPr>
          <w:p>
            <w:pPr>
              <w:spacing w:line="600" w:lineRule="exact"/>
              <w:jc w:val="left"/>
              <w:rPr>
                <w:rFonts w:ascii="宋体" w:hAnsi="宋体" w:cs="宋体"/>
                <w:sz w:val="24"/>
              </w:rPr>
            </w:pPr>
          </w:p>
        </w:tc>
        <w:tc>
          <w:tcPr>
            <w:tcW w:w="1843" w:type="dxa"/>
            <w:vMerge w:val="continue"/>
          </w:tcPr>
          <w:p>
            <w:pPr>
              <w:spacing w:line="600" w:lineRule="exact"/>
              <w:jc w:val="left"/>
              <w:rPr>
                <w:rFonts w:ascii="宋体" w:hAnsi="宋体" w:cs="宋体"/>
                <w:sz w:val="24"/>
              </w:rPr>
            </w:pPr>
          </w:p>
        </w:tc>
        <w:tc>
          <w:tcPr>
            <w:tcW w:w="2559" w:type="dxa"/>
            <w:gridSpan w:val="2"/>
            <w:vMerge w:val="continue"/>
          </w:tcPr>
          <w:p>
            <w:pPr>
              <w:spacing w:line="600" w:lineRule="exact"/>
              <w:jc w:val="left"/>
              <w:rPr>
                <w:rFonts w:ascii="宋体" w:hAnsi="宋体" w:cs="宋体"/>
                <w:sz w:val="24"/>
              </w:rPr>
            </w:pPr>
          </w:p>
        </w:tc>
        <w:tc>
          <w:tcPr>
            <w:tcW w:w="704" w:type="dxa"/>
            <w:vMerge w:val="continue"/>
          </w:tcPr>
          <w:p>
            <w:pPr>
              <w:spacing w:line="600" w:lineRule="exact"/>
              <w:jc w:val="left"/>
              <w:rPr>
                <w:rFonts w:ascii="宋体" w:hAnsi="宋体" w:cs="宋体"/>
                <w:sz w:val="24"/>
              </w:rPr>
            </w:pPr>
          </w:p>
        </w:tc>
        <w:tc>
          <w:tcPr>
            <w:tcW w:w="1087" w:type="dxa"/>
            <w:vMerge w:val="continue"/>
          </w:tcPr>
          <w:p>
            <w:pPr>
              <w:spacing w:line="600" w:lineRule="exact"/>
              <w:jc w:val="left"/>
              <w:rPr>
                <w:rFonts w:ascii="宋体" w:hAnsi="宋体" w:cs="宋体"/>
                <w:sz w:val="24"/>
              </w:rPr>
            </w:pPr>
          </w:p>
        </w:tc>
        <w:tc>
          <w:tcPr>
            <w:tcW w:w="2039" w:type="dxa"/>
            <w:vMerge w:val="continue"/>
          </w:tcPr>
          <w:p>
            <w:pPr>
              <w:spacing w:line="6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7" w:hRule="exact"/>
        </w:trPr>
        <w:tc>
          <w:tcPr>
            <w:tcW w:w="708" w:type="dxa"/>
            <w:vMerge w:val="restart"/>
            <w:textDirection w:val="tbRlV"/>
            <w:vAlign w:val="center"/>
          </w:tcPr>
          <w:p>
            <w:pPr>
              <w:spacing w:line="500" w:lineRule="exact"/>
              <w:ind w:left="113" w:right="113"/>
              <w:jc w:val="center"/>
              <w:rPr>
                <w:rFonts w:ascii="宋体" w:hAnsi="宋体" w:cs="宋体"/>
                <w:sz w:val="24"/>
              </w:rPr>
            </w:pPr>
            <w:r>
              <w:rPr>
                <w:rFonts w:hint="eastAsia" w:ascii="宋体" w:hAnsi="宋体" w:cs="宋体"/>
                <w:sz w:val="24"/>
              </w:rPr>
              <w:t>承担单位(乙方)</w:t>
            </w:r>
          </w:p>
        </w:tc>
        <w:tc>
          <w:tcPr>
            <w:tcW w:w="1843" w:type="dxa"/>
            <w:vAlign w:val="center"/>
          </w:tcPr>
          <w:p>
            <w:pPr>
              <w:jc w:val="center"/>
              <w:rPr>
                <w:rFonts w:ascii="宋体" w:hAnsi="宋体" w:cs="宋体"/>
                <w:sz w:val="24"/>
              </w:rPr>
            </w:pPr>
            <w:r>
              <w:rPr>
                <w:rFonts w:hint="eastAsia" w:ascii="宋体" w:hAnsi="宋体" w:cs="宋体"/>
                <w:sz w:val="24"/>
              </w:rPr>
              <w:t>名称(或姓名)</w:t>
            </w:r>
          </w:p>
        </w:tc>
        <w:tc>
          <w:tcPr>
            <w:tcW w:w="4350" w:type="dxa"/>
            <w:gridSpan w:val="4"/>
            <w:vAlign w:val="center"/>
          </w:tcPr>
          <w:p>
            <w:pPr>
              <w:spacing w:line="600" w:lineRule="exact"/>
              <w:jc w:val="left"/>
              <w:rPr>
                <w:rFonts w:ascii="宋体" w:hAnsi="宋体" w:cs="宋体"/>
                <w:sz w:val="24"/>
              </w:rPr>
            </w:pPr>
            <w:r>
              <w:rPr>
                <w:rFonts w:hint="eastAsia" w:ascii="宋体" w:hAnsi="宋体" w:cs="宋体"/>
                <w:sz w:val="24"/>
              </w:rPr>
              <w:t xml:space="preserve">       </w:t>
            </w:r>
          </w:p>
        </w:tc>
        <w:tc>
          <w:tcPr>
            <w:tcW w:w="2039" w:type="dxa"/>
            <w:vMerge w:val="restart"/>
          </w:tcPr>
          <w:p>
            <w:pPr>
              <w:spacing w:line="600" w:lineRule="exact"/>
              <w:rPr>
                <w:rFonts w:ascii="宋体" w:hAnsi="宋体" w:cs="宋体"/>
                <w:sz w:val="24"/>
              </w:rPr>
            </w:pPr>
          </w:p>
          <w:p>
            <w:pPr>
              <w:spacing w:line="600" w:lineRule="exact"/>
              <w:ind w:firstLine="240" w:firstLineChars="100"/>
              <w:jc w:val="center"/>
              <w:rPr>
                <w:rFonts w:ascii="宋体" w:hAnsi="宋体" w:cs="宋体"/>
                <w:sz w:val="24"/>
              </w:rPr>
            </w:pPr>
          </w:p>
          <w:p>
            <w:pPr>
              <w:spacing w:line="600" w:lineRule="exact"/>
              <w:ind w:firstLine="240" w:firstLineChars="100"/>
              <w:jc w:val="center"/>
              <w:rPr>
                <w:rFonts w:ascii="宋体" w:hAnsi="宋体" w:cs="宋体"/>
                <w:sz w:val="24"/>
              </w:rPr>
            </w:pPr>
          </w:p>
          <w:p>
            <w:pPr>
              <w:spacing w:line="600" w:lineRule="exact"/>
              <w:ind w:firstLine="240" w:firstLineChars="100"/>
              <w:jc w:val="center"/>
              <w:rPr>
                <w:rFonts w:ascii="宋体" w:hAnsi="宋体" w:cs="宋体"/>
                <w:sz w:val="24"/>
              </w:rPr>
            </w:pPr>
            <w:r>
              <w:rPr>
                <w:rFonts w:hint="eastAsia" w:ascii="宋体" w:hAnsi="宋体" w:cs="宋体"/>
                <w:sz w:val="24"/>
              </w:rPr>
              <w:t>单位公章</w:t>
            </w:r>
          </w:p>
          <w:p>
            <w:pPr>
              <w:spacing w:line="600" w:lineRule="exact"/>
              <w:rPr>
                <w:rFonts w:ascii="宋体" w:hAnsi="宋体" w:cs="宋体"/>
                <w:sz w:val="24"/>
              </w:rPr>
            </w:pPr>
          </w:p>
          <w:p>
            <w:pPr>
              <w:spacing w:line="600" w:lineRule="exact"/>
              <w:jc w:val="center"/>
              <w:rPr>
                <w:rFonts w:ascii="宋体" w:hAnsi="宋体" w:cs="宋体"/>
                <w:sz w:val="24"/>
              </w:rPr>
            </w:pPr>
            <w:r>
              <w:rPr>
                <w:rFonts w:hint="eastAsia" w:ascii="宋体" w:hAnsi="宋体" w:cs="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exact"/>
        </w:trPr>
        <w:tc>
          <w:tcPr>
            <w:tcW w:w="708" w:type="dxa"/>
            <w:vMerge w:val="continue"/>
          </w:tcPr>
          <w:p>
            <w:pPr>
              <w:spacing w:line="600" w:lineRule="exact"/>
              <w:jc w:val="left"/>
              <w:rPr>
                <w:rFonts w:ascii="宋体" w:hAnsi="宋体" w:cs="宋体"/>
                <w:sz w:val="24"/>
              </w:rPr>
            </w:pPr>
          </w:p>
        </w:tc>
        <w:tc>
          <w:tcPr>
            <w:tcW w:w="1843" w:type="dxa"/>
            <w:vAlign w:val="center"/>
          </w:tcPr>
          <w:p>
            <w:pPr>
              <w:spacing w:line="600" w:lineRule="exact"/>
              <w:jc w:val="center"/>
              <w:rPr>
                <w:rFonts w:ascii="宋体" w:hAnsi="宋体" w:cs="宋体"/>
                <w:sz w:val="24"/>
              </w:rPr>
            </w:pPr>
            <w:r>
              <w:rPr>
                <w:rFonts w:hint="eastAsia" w:ascii="宋体" w:hAnsi="宋体" w:cs="宋体"/>
                <w:sz w:val="24"/>
              </w:rPr>
              <w:t>法定代表人</w:t>
            </w:r>
          </w:p>
        </w:tc>
        <w:tc>
          <w:tcPr>
            <w:tcW w:w="4350" w:type="dxa"/>
            <w:gridSpan w:val="4"/>
            <w:vAlign w:val="center"/>
          </w:tcPr>
          <w:p>
            <w:pPr>
              <w:spacing w:line="600" w:lineRule="exact"/>
              <w:jc w:val="right"/>
              <w:rPr>
                <w:rFonts w:ascii="宋体" w:hAnsi="宋体" w:cs="宋体"/>
                <w:sz w:val="24"/>
              </w:rPr>
            </w:pPr>
            <w:r>
              <w:rPr>
                <w:rFonts w:hint="eastAsia" w:ascii="宋体" w:hAnsi="宋体" w:cs="宋体"/>
                <w:sz w:val="24"/>
              </w:rPr>
              <w:t>(签字)</w:t>
            </w:r>
          </w:p>
        </w:tc>
        <w:tc>
          <w:tcPr>
            <w:tcW w:w="2039" w:type="dxa"/>
            <w:vMerge w:val="continue"/>
          </w:tcPr>
          <w:p>
            <w:pPr>
              <w:spacing w:line="6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exact"/>
        </w:trPr>
        <w:tc>
          <w:tcPr>
            <w:tcW w:w="708" w:type="dxa"/>
            <w:vMerge w:val="continue"/>
          </w:tcPr>
          <w:p>
            <w:pPr>
              <w:spacing w:line="600" w:lineRule="exact"/>
              <w:jc w:val="left"/>
              <w:rPr>
                <w:rFonts w:ascii="宋体" w:hAnsi="宋体" w:cs="宋体"/>
                <w:sz w:val="24"/>
              </w:rPr>
            </w:pPr>
          </w:p>
        </w:tc>
        <w:tc>
          <w:tcPr>
            <w:tcW w:w="1843" w:type="dxa"/>
            <w:vAlign w:val="center"/>
          </w:tcPr>
          <w:p>
            <w:pPr>
              <w:spacing w:line="600" w:lineRule="exact"/>
              <w:jc w:val="center"/>
              <w:rPr>
                <w:rFonts w:ascii="宋体" w:hAnsi="宋体" w:cs="宋体"/>
                <w:sz w:val="24"/>
              </w:rPr>
            </w:pPr>
            <w:r>
              <w:rPr>
                <w:rFonts w:hint="eastAsia" w:ascii="宋体" w:hAnsi="宋体" w:cs="宋体"/>
                <w:sz w:val="24"/>
              </w:rPr>
              <w:t>委托代理人</w:t>
            </w:r>
          </w:p>
        </w:tc>
        <w:tc>
          <w:tcPr>
            <w:tcW w:w="4350" w:type="dxa"/>
            <w:gridSpan w:val="4"/>
            <w:vAlign w:val="center"/>
          </w:tcPr>
          <w:p>
            <w:pPr>
              <w:spacing w:line="600" w:lineRule="exact"/>
              <w:jc w:val="right"/>
              <w:rPr>
                <w:rFonts w:ascii="宋体" w:hAnsi="宋体" w:cs="宋体"/>
                <w:sz w:val="24"/>
              </w:rPr>
            </w:pPr>
            <w:r>
              <w:rPr>
                <w:rFonts w:hint="eastAsia" w:ascii="宋体" w:hAnsi="宋体" w:cs="宋体"/>
                <w:sz w:val="24"/>
              </w:rPr>
              <w:t>(签字)</w:t>
            </w:r>
          </w:p>
        </w:tc>
        <w:tc>
          <w:tcPr>
            <w:tcW w:w="2039" w:type="dxa"/>
            <w:vMerge w:val="continue"/>
          </w:tcPr>
          <w:p>
            <w:pPr>
              <w:spacing w:line="600" w:lineRule="exact"/>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7" w:hRule="atLeast"/>
        </w:trPr>
        <w:tc>
          <w:tcPr>
            <w:tcW w:w="708" w:type="dxa"/>
            <w:vMerge w:val="continue"/>
          </w:tcPr>
          <w:p>
            <w:pPr>
              <w:spacing w:line="600" w:lineRule="exact"/>
              <w:jc w:val="left"/>
              <w:rPr>
                <w:rFonts w:ascii="宋体" w:hAnsi="宋体" w:cs="宋体"/>
                <w:sz w:val="24"/>
              </w:rPr>
            </w:pPr>
          </w:p>
        </w:tc>
        <w:tc>
          <w:tcPr>
            <w:tcW w:w="1843" w:type="dxa"/>
            <w:vAlign w:val="center"/>
          </w:tcPr>
          <w:p>
            <w:pPr>
              <w:spacing w:line="600" w:lineRule="exact"/>
              <w:jc w:val="center"/>
              <w:rPr>
                <w:rFonts w:ascii="宋体" w:hAnsi="宋体" w:cs="宋体"/>
                <w:sz w:val="24"/>
              </w:rPr>
            </w:pPr>
            <w:r>
              <w:rPr>
                <w:rFonts w:hint="eastAsia" w:ascii="宋体" w:hAnsi="宋体" w:cs="宋体"/>
                <w:sz w:val="24"/>
              </w:rPr>
              <w:t>住  所</w:t>
            </w:r>
          </w:p>
          <w:p>
            <w:pPr>
              <w:spacing w:line="600" w:lineRule="exact"/>
              <w:jc w:val="center"/>
              <w:rPr>
                <w:rFonts w:ascii="宋体" w:hAnsi="宋体" w:cs="宋体"/>
                <w:sz w:val="24"/>
              </w:rPr>
            </w:pPr>
            <w:r>
              <w:rPr>
                <w:rFonts w:hint="eastAsia" w:ascii="宋体" w:hAnsi="宋体" w:cs="宋体"/>
                <w:sz w:val="24"/>
              </w:rPr>
              <w:t>(通讯地址)</w:t>
            </w:r>
          </w:p>
        </w:tc>
        <w:tc>
          <w:tcPr>
            <w:tcW w:w="2447" w:type="dxa"/>
            <w:vAlign w:val="center"/>
          </w:tcPr>
          <w:p>
            <w:pPr>
              <w:jc w:val="left"/>
              <w:rPr>
                <w:rFonts w:ascii="宋体" w:hAnsi="宋体" w:cs="宋体"/>
                <w:sz w:val="30"/>
                <w:szCs w:val="30"/>
              </w:rPr>
            </w:pPr>
          </w:p>
        </w:tc>
        <w:tc>
          <w:tcPr>
            <w:tcW w:w="816" w:type="dxa"/>
            <w:gridSpan w:val="2"/>
            <w:vAlign w:val="center"/>
          </w:tcPr>
          <w:p>
            <w:pPr>
              <w:spacing w:line="600" w:lineRule="exact"/>
              <w:jc w:val="center"/>
              <w:rPr>
                <w:rFonts w:ascii="宋体" w:hAnsi="宋体" w:cs="宋体"/>
                <w:sz w:val="24"/>
              </w:rPr>
            </w:pPr>
            <w:r>
              <w:rPr>
                <w:rFonts w:hint="eastAsia" w:ascii="宋体" w:hAnsi="宋体" w:cs="宋体"/>
                <w:sz w:val="24"/>
              </w:rPr>
              <w:t>邮政</w:t>
            </w:r>
          </w:p>
          <w:p>
            <w:pPr>
              <w:jc w:val="center"/>
              <w:rPr>
                <w:rFonts w:ascii="宋体" w:hAnsi="宋体" w:cs="宋体"/>
                <w:sz w:val="24"/>
              </w:rPr>
            </w:pPr>
            <w:r>
              <w:rPr>
                <w:rFonts w:hint="eastAsia" w:ascii="宋体" w:hAnsi="宋体" w:cs="宋体"/>
                <w:sz w:val="24"/>
              </w:rPr>
              <w:t>编码</w:t>
            </w:r>
          </w:p>
        </w:tc>
        <w:tc>
          <w:tcPr>
            <w:tcW w:w="1087" w:type="dxa"/>
            <w:tcBorders>
              <w:bottom w:val="single" w:color="auto" w:sz="4" w:space="0"/>
            </w:tcBorders>
            <w:vAlign w:val="center"/>
          </w:tcPr>
          <w:p>
            <w:pPr>
              <w:jc w:val="left"/>
              <w:rPr>
                <w:rFonts w:ascii="宋体" w:hAnsi="宋体" w:cs="宋体"/>
                <w:sz w:val="24"/>
              </w:rPr>
            </w:pPr>
          </w:p>
        </w:tc>
        <w:tc>
          <w:tcPr>
            <w:tcW w:w="2039" w:type="dxa"/>
            <w:vMerge w:val="continue"/>
          </w:tcPr>
          <w:p>
            <w:pPr>
              <w:spacing w:line="600" w:lineRule="exact"/>
              <w:jc w:val="left"/>
              <w:rPr>
                <w:rFonts w:ascii="宋体" w:hAnsi="宋体" w:cs="宋体"/>
                <w:sz w:val="24"/>
              </w:rPr>
            </w:pPr>
          </w:p>
        </w:tc>
      </w:tr>
    </w:tbl>
    <w:p>
      <w:pPr>
        <w:snapToGrid w:val="0"/>
        <w:spacing w:line="520" w:lineRule="exact"/>
        <w:ind w:firstLine="480" w:firstLineChars="200"/>
        <w:rPr>
          <w:rFonts w:ascii="宋体" w:hAnsi="宋体" w:cs="宋体"/>
          <w:kern w:val="0"/>
          <w:sz w:val="24"/>
        </w:rPr>
      </w:pPr>
    </w:p>
    <w:p>
      <w:pPr>
        <w:snapToGrid w:val="0"/>
        <w:spacing w:line="520" w:lineRule="exact"/>
        <w:ind w:firstLine="480" w:firstLineChars="200"/>
        <w:rPr>
          <w:rFonts w:ascii="宋体" w:hAnsi="宋体" w:cs="宋体"/>
          <w:kern w:val="0"/>
          <w:sz w:val="24"/>
        </w:rPr>
      </w:pPr>
    </w:p>
    <w:p>
      <w:pPr>
        <w:snapToGrid w:val="0"/>
        <w:spacing w:line="520" w:lineRule="exact"/>
        <w:ind w:firstLine="480" w:firstLineChars="200"/>
        <w:rPr>
          <w:rFonts w:ascii="宋体" w:hAnsi="宋体" w:cs="宋体"/>
          <w:kern w:val="0"/>
          <w:sz w:val="24"/>
        </w:rPr>
      </w:pPr>
    </w:p>
    <w:p>
      <w:pPr>
        <w:spacing w:line="360" w:lineRule="auto"/>
        <w:ind w:firstLine="480" w:firstLineChars="200"/>
        <w:jc w:val="left"/>
        <w:rPr>
          <w:rFonts w:ascii="宋体" w:hAnsi="宋体" w:cs="宋体"/>
          <w:kern w:val="0"/>
          <w:sz w:val="24"/>
        </w:rPr>
      </w:pPr>
    </w:p>
    <w:p>
      <w:pPr>
        <w:spacing w:line="360" w:lineRule="auto"/>
        <w:ind w:firstLine="480" w:firstLineChars="200"/>
        <w:jc w:val="left"/>
        <w:rPr>
          <w:rFonts w:ascii="宋体" w:hAnsi="宋体" w:cs="宋体"/>
          <w:kern w:val="0"/>
          <w:sz w:val="24"/>
        </w:rPr>
      </w:pPr>
    </w:p>
    <w:p>
      <w:pPr>
        <w:spacing w:line="360" w:lineRule="auto"/>
        <w:ind w:firstLine="480" w:firstLineChars="200"/>
        <w:jc w:val="left"/>
        <w:rPr>
          <w:rFonts w:ascii="宋体" w:hAnsi="宋体" w:cs="宋体"/>
          <w:kern w:val="0"/>
          <w:sz w:val="24"/>
        </w:rPr>
      </w:pPr>
    </w:p>
    <w:p>
      <w:pPr>
        <w:snapToGrid w:val="0"/>
        <w:spacing w:line="400" w:lineRule="exact"/>
        <w:contextualSpacing/>
        <w:rPr>
          <w:rFonts w:ascii="宋体" w:hAnsi="宋体" w:cs="宋体"/>
          <w:b/>
          <w:sz w:val="30"/>
          <w:szCs w:val="30"/>
        </w:rPr>
      </w:pPr>
      <w:r>
        <w:rPr>
          <w:rFonts w:hint="eastAsia" w:ascii="宋体" w:hAnsi="宋体" w:cs="宋体"/>
          <w:b/>
          <w:sz w:val="30"/>
          <w:szCs w:val="30"/>
        </w:rPr>
        <w:br w:type="page"/>
      </w:r>
    </w:p>
    <w:p>
      <w:pPr>
        <w:tabs>
          <w:tab w:val="left" w:pos="0"/>
          <w:tab w:val="left" w:pos="567"/>
          <w:tab w:val="left" w:pos="601"/>
        </w:tabs>
        <w:autoSpaceDE w:val="0"/>
        <w:autoSpaceDN w:val="0"/>
        <w:adjustRightInd w:val="0"/>
        <w:spacing w:line="560" w:lineRule="exact"/>
        <w:rPr>
          <w:rFonts w:ascii="宋体" w:hAnsi="宋体" w:cs="宋体"/>
          <w:b/>
          <w:kern w:val="0"/>
          <w:sz w:val="30"/>
          <w:szCs w:val="30"/>
        </w:rPr>
      </w:pPr>
      <w:r>
        <w:rPr>
          <w:rFonts w:hint="eastAsia" w:ascii="宋体" w:hAnsi="宋体" w:cs="宋体"/>
          <w:b/>
          <w:kern w:val="0"/>
          <w:sz w:val="30"/>
          <w:szCs w:val="30"/>
        </w:rPr>
        <w:t>附件：</w:t>
      </w:r>
    </w:p>
    <w:p>
      <w:pPr>
        <w:spacing w:line="400" w:lineRule="exact"/>
        <w:jc w:val="center"/>
        <w:rPr>
          <w:rFonts w:ascii="宋体" w:hAnsi="宋体" w:cs="宋体"/>
          <w:b/>
          <w:sz w:val="30"/>
          <w:szCs w:val="30"/>
        </w:rPr>
      </w:pPr>
      <w:r>
        <w:rPr>
          <w:rFonts w:hint="eastAsia" w:ascii="宋体" w:hAnsi="宋体" w:cs="宋体"/>
          <w:b/>
          <w:sz w:val="30"/>
          <w:szCs w:val="30"/>
        </w:rPr>
        <w:t>2026年桌面系统、视频会议保障等基础运维项目保密条款</w:t>
      </w:r>
    </w:p>
    <w:p>
      <w:pPr>
        <w:tabs>
          <w:tab w:val="left" w:pos="0"/>
          <w:tab w:val="left" w:pos="567"/>
          <w:tab w:val="left" w:pos="601"/>
        </w:tabs>
        <w:autoSpaceDE w:val="0"/>
        <w:autoSpaceDN w:val="0"/>
        <w:adjustRightInd w:val="0"/>
        <w:spacing w:line="240" w:lineRule="atLeast"/>
        <w:jc w:val="center"/>
        <w:rPr>
          <w:rFonts w:ascii="宋体" w:hAnsi="宋体" w:cs="宋体"/>
          <w:b/>
          <w:sz w:val="10"/>
          <w:szCs w:val="10"/>
        </w:rPr>
      </w:pPr>
    </w:p>
    <w:p>
      <w:pPr>
        <w:snapToGrid w:val="0"/>
        <w:spacing w:line="360" w:lineRule="exact"/>
        <w:ind w:firstLine="480" w:firstLineChars="200"/>
        <w:contextualSpacing/>
        <w:rPr>
          <w:rFonts w:ascii="宋体" w:hAnsi="宋体" w:cs="宋体"/>
          <w:sz w:val="24"/>
        </w:rPr>
      </w:pPr>
      <w:r>
        <w:rPr>
          <w:rFonts w:hint="eastAsia" w:ascii="宋体" w:hAnsi="宋体" w:cs="宋体"/>
          <w:sz w:val="24"/>
        </w:rPr>
        <w:t>鉴于，甲方：</w:t>
      </w:r>
      <w:r>
        <w:rPr>
          <w:rFonts w:hint="eastAsia" w:ascii="宋体" w:hAnsi="宋体" w:cs="宋体"/>
          <w:sz w:val="24"/>
          <w:u w:val="single"/>
        </w:rPr>
        <w:t>北京市城市运行管理事务中心</w:t>
      </w:r>
      <w:r>
        <w:rPr>
          <w:rFonts w:hint="eastAsia" w:ascii="宋体" w:hAnsi="宋体" w:cs="宋体"/>
          <w:sz w:val="24"/>
        </w:rPr>
        <w:t>、乙方：</w:t>
      </w:r>
      <w:r>
        <w:rPr>
          <w:rFonts w:hint="eastAsia" w:ascii="宋体" w:hAnsi="宋体" w:cs="宋体"/>
          <w:sz w:val="24"/>
          <w:u w:val="single"/>
        </w:rPr>
        <w:t xml:space="preserve">              </w:t>
      </w:r>
      <w:r>
        <w:rPr>
          <w:rFonts w:hint="eastAsia" w:ascii="宋体" w:hAnsi="宋体" w:cs="宋体"/>
          <w:sz w:val="24"/>
        </w:rPr>
        <w:t xml:space="preserve">，签订了 </w:t>
      </w:r>
      <w:r>
        <w:rPr>
          <w:rFonts w:hint="eastAsia" w:ascii="宋体" w:hAnsi="宋体" w:cs="宋体"/>
          <w:sz w:val="24"/>
          <w:u w:val="single"/>
        </w:rPr>
        <w:t xml:space="preserve">2026年桌面系统、视频会议保障等基础运维  </w:t>
      </w:r>
      <w:r>
        <w:rPr>
          <w:rFonts w:hint="eastAsia" w:ascii="宋体" w:hAnsi="宋体" w:cs="宋体"/>
          <w:sz w:val="24"/>
        </w:rPr>
        <w:t>项目的《技术维护合同》，在合同执行中乙方已经或将要知悉甲方的相关保密信息。为了保护上述合作中涉及的保密信息，明确双方的权利义务，甲、乙双方在平等自愿、</w:t>
      </w:r>
    </w:p>
    <w:p>
      <w:pPr>
        <w:snapToGrid w:val="0"/>
        <w:spacing w:line="360" w:lineRule="exact"/>
        <w:ind w:firstLine="480" w:firstLineChars="200"/>
        <w:contextualSpacing/>
        <w:rPr>
          <w:rFonts w:ascii="宋体" w:hAnsi="宋体" w:cs="宋体"/>
          <w:sz w:val="24"/>
        </w:rPr>
      </w:pPr>
      <w:r>
        <w:rPr>
          <w:rFonts w:hint="eastAsia" w:ascii="宋体" w:hAnsi="宋体" w:cs="宋体"/>
          <w:sz w:val="24"/>
        </w:rPr>
        <w:t>协商一致的基础上达成以下条款：</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一、安全要求</w:t>
      </w:r>
    </w:p>
    <w:p>
      <w:pPr>
        <w:snapToGrid w:val="0"/>
        <w:spacing w:line="360" w:lineRule="exact"/>
        <w:ind w:firstLine="480" w:firstLineChars="200"/>
        <w:contextualSpacing/>
        <w:rPr>
          <w:rFonts w:ascii="宋体" w:hAnsi="宋体" w:cs="宋体"/>
          <w:sz w:val="24"/>
        </w:rPr>
      </w:pPr>
      <w:r>
        <w:rPr>
          <w:rFonts w:hint="eastAsia" w:ascii="宋体" w:hAnsi="宋体" w:cs="宋体"/>
          <w:sz w:val="24"/>
        </w:rPr>
        <w:t>1.乙方必须遵守甲方的各项规章制度，严格按照工作规范组织进行运维工作，制定切实可行的措施保障人员安全，设备安全，生产安全。</w:t>
      </w:r>
    </w:p>
    <w:p>
      <w:pPr>
        <w:snapToGrid w:val="0"/>
        <w:spacing w:line="360" w:lineRule="exact"/>
        <w:ind w:firstLine="480" w:firstLineChars="200"/>
        <w:contextualSpacing/>
        <w:rPr>
          <w:rFonts w:ascii="宋体" w:hAnsi="宋体" w:cs="宋体"/>
          <w:sz w:val="24"/>
        </w:rPr>
      </w:pPr>
      <w:r>
        <w:rPr>
          <w:rFonts w:hint="eastAsia" w:ascii="宋体" w:hAnsi="宋体" w:cs="宋体"/>
          <w:sz w:val="24"/>
        </w:rPr>
        <w:t>2.乙方必须制定合理的措施对运维人员进行管理和思想教育，加强保密意识，安全生产意识。</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二、保密信息范围</w:t>
      </w:r>
    </w:p>
    <w:p>
      <w:pPr>
        <w:snapToGrid w:val="0"/>
        <w:spacing w:line="360" w:lineRule="exact"/>
        <w:ind w:firstLine="480" w:firstLineChars="200"/>
        <w:contextualSpacing/>
        <w:rPr>
          <w:rFonts w:ascii="宋体" w:hAnsi="宋体" w:cs="宋体"/>
          <w:sz w:val="24"/>
        </w:rPr>
      </w:pPr>
      <w:r>
        <w:rPr>
          <w:rFonts w:hint="eastAsia" w:ascii="宋体" w:hAnsi="宋体" w:cs="宋体"/>
          <w:sz w:val="24"/>
        </w:rPr>
        <w:t>本条款所称的“保密信息”是指，乙方在合同履行过程中获得的下列信息，但不包括通过公众渠道可以获得的信息或经甲方书面同意允许向第三方透露的信息：</w:t>
      </w:r>
    </w:p>
    <w:p>
      <w:pPr>
        <w:snapToGrid w:val="0"/>
        <w:spacing w:line="360" w:lineRule="exact"/>
        <w:ind w:firstLine="480" w:firstLineChars="200"/>
        <w:contextualSpacing/>
        <w:rPr>
          <w:rFonts w:ascii="宋体" w:hAnsi="宋体" w:cs="宋体"/>
          <w:sz w:val="24"/>
        </w:rPr>
      </w:pPr>
      <w:r>
        <w:rPr>
          <w:rFonts w:hint="eastAsia" w:ascii="宋体" w:hAnsi="宋体" w:cs="宋体"/>
          <w:sz w:val="24"/>
        </w:rPr>
        <w:t>1.工作秘密：一切与政府工作有关的信息资料或其他性质的资料，包括但不限于：政府业务数据、人员机构信息、财务资料等；</w:t>
      </w:r>
    </w:p>
    <w:p>
      <w:pPr>
        <w:snapToGrid w:val="0"/>
        <w:spacing w:line="360" w:lineRule="exact"/>
        <w:ind w:firstLine="480" w:firstLineChars="200"/>
        <w:contextualSpacing/>
        <w:rPr>
          <w:rFonts w:ascii="宋体" w:hAnsi="宋体" w:cs="宋体"/>
          <w:sz w:val="24"/>
        </w:rPr>
      </w:pPr>
      <w:r>
        <w:rPr>
          <w:rFonts w:hint="eastAsia" w:ascii="宋体" w:hAnsi="宋体" w:cs="宋体"/>
          <w:sz w:val="24"/>
        </w:rPr>
        <w:t>2.技术秘密：指甲方的计算机信息系统、网络架构、信息安全体系结构、软件、数据库系统、系统数据、文档及技术指标等；</w:t>
      </w:r>
    </w:p>
    <w:p>
      <w:pPr>
        <w:snapToGrid w:val="0"/>
        <w:spacing w:line="360" w:lineRule="exact"/>
        <w:ind w:firstLine="480" w:firstLineChars="200"/>
        <w:contextualSpacing/>
        <w:rPr>
          <w:rFonts w:ascii="宋体" w:hAnsi="宋体" w:cs="宋体"/>
          <w:sz w:val="24"/>
        </w:rPr>
      </w:pPr>
      <w:r>
        <w:rPr>
          <w:rFonts w:hint="eastAsia" w:ascii="宋体" w:hAnsi="宋体" w:cs="宋体"/>
          <w:sz w:val="24"/>
        </w:rPr>
        <w:t>3.其他保密信息：包括但不限于运维过程中获取的有关数据、流程、分析成果；甲方的内部管理资料、财务资料；甲方其他项目的信息及有关政府行政机关规划、调整等尚未公开的资料。</w:t>
      </w:r>
    </w:p>
    <w:p>
      <w:pPr>
        <w:snapToGrid w:val="0"/>
        <w:spacing w:line="360" w:lineRule="exact"/>
        <w:ind w:firstLine="480" w:firstLineChars="200"/>
        <w:contextualSpacing/>
        <w:rPr>
          <w:rFonts w:ascii="宋体" w:hAnsi="宋体" w:cs="宋体"/>
          <w:sz w:val="24"/>
        </w:rPr>
      </w:pPr>
      <w:r>
        <w:rPr>
          <w:rFonts w:hint="eastAsia" w:ascii="宋体" w:hAnsi="宋体" w:cs="宋体"/>
          <w:sz w:val="24"/>
        </w:rPr>
        <w:t xml:space="preserve">上述保密信息的表现形式不限，无论是书面的、口头的、图形的或其他任何形式的信息。 </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三、安全保密期限</w:t>
      </w:r>
    </w:p>
    <w:p>
      <w:pPr>
        <w:snapToGrid w:val="0"/>
        <w:spacing w:line="360" w:lineRule="exact"/>
        <w:ind w:firstLine="480" w:firstLineChars="200"/>
        <w:contextualSpacing/>
        <w:rPr>
          <w:rFonts w:ascii="宋体" w:hAnsi="宋体" w:cs="宋体"/>
          <w:sz w:val="24"/>
        </w:rPr>
      </w:pPr>
      <w:r>
        <w:rPr>
          <w:rFonts w:hint="eastAsia" w:ascii="宋体" w:hAnsi="宋体" w:cs="宋体"/>
          <w:sz w:val="24"/>
        </w:rPr>
        <w:t>本条款约定的保密责任期为长期，《技术维护合同》有效期间及合同解除或终止后，乙方均应履行上述保密义务，直至保密信息向社会公开，如在《技术维护合同》签订前乙方已实际接收或接触甲方保密信息的，则本条款的法律效力追溯至乙方实际接收或接触甲方保密信息之时，自该时起，乙方即应开始履行保密义务和责任。</w:t>
      </w:r>
    </w:p>
    <w:p>
      <w:pPr>
        <w:snapToGrid w:val="0"/>
        <w:spacing w:line="360" w:lineRule="exact"/>
        <w:ind w:firstLine="480" w:firstLineChars="200"/>
        <w:contextualSpacing/>
        <w:rPr>
          <w:rFonts w:ascii="宋体" w:hAnsi="宋体" w:cs="宋体"/>
          <w:sz w:val="24"/>
        </w:rPr>
      </w:pPr>
      <w:r>
        <w:rPr>
          <w:rFonts w:hint="eastAsia" w:ascii="宋体" w:hAnsi="宋体" w:cs="宋体"/>
          <w:sz w:val="24"/>
        </w:rPr>
        <w:t>四、保密义务人</w:t>
      </w:r>
    </w:p>
    <w:p>
      <w:pPr>
        <w:snapToGrid w:val="0"/>
        <w:spacing w:line="360" w:lineRule="exact"/>
        <w:ind w:firstLine="480" w:firstLineChars="200"/>
        <w:contextualSpacing/>
        <w:rPr>
          <w:rFonts w:ascii="宋体" w:hAnsi="宋体" w:cs="宋体"/>
          <w:sz w:val="24"/>
        </w:rPr>
      </w:pPr>
      <w:r>
        <w:rPr>
          <w:rFonts w:hint="eastAsia" w:ascii="宋体" w:hAnsi="宋体" w:cs="宋体"/>
          <w:sz w:val="24"/>
        </w:rPr>
        <w:t>本条款项下保密义务人为，乙方单位及乙方涉及保密信息的员工。</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五、保密义务</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乙方保证对所获悉的甲方保密信息按照下列规定进行保密，并在缺少相关保密条款约定时，应至少采取适用于对自己的保密信息同样的保护措施和审慎程度进行保密：</w:t>
      </w:r>
    </w:p>
    <w:p>
      <w:pPr>
        <w:snapToGrid w:val="0"/>
        <w:spacing w:line="360" w:lineRule="exact"/>
        <w:ind w:firstLine="480" w:firstLineChars="200"/>
        <w:contextualSpacing/>
        <w:rPr>
          <w:rFonts w:ascii="宋体" w:hAnsi="宋体" w:cs="宋体"/>
          <w:sz w:val="24"/>
        </w:rPr>
      </w:pPr>
      <w:r>
        <w:rPr>
          <w:rFonts w:hint="eastAsia" w:ascii="宋体" w:hAnsi="宋体" w:cs="宋体"/>
          <w:sz w:val="24"/>
        </w:rPr>
        <w:t>1．仅将本条款项下保密信息使用于与运维工作有关的用途。</w:t>
      </w:r>
    </w:p>
    <w:p>
      <w:pPr>
        <w:snapToGrid w:val="0"/>
        <w:spacing w:line="360" w:lineRule="exact"/>
        <w:ind w:firstLine="480" w:firstLineChars="200"/>
        <w:contextualSpacing/>
        <w:rPr>
          <w:rFonts w:ascii="宋体" w:hAnsi="宋体" w:cs="宋体"/>
          <w:sz w:val="24"/>
        </w:rPr>
      </w:pPr>
      <w:r>
        <w:rPr>
          <w:rFonts w:hint="eastAsia" w:ascii="宋体" w:hAnsi="宋体" w:cs="宋体"/>
          <w:sz w:val="24"/>
        </w:rPr>
        <w:t>2．除直接参与运维工作的人员之外，不得将保密信息透露给其他无关人员或任何第三方。</w:t>
      </w:r>
    </w:p>
    <w:p>
      <w:pPr>
        <w:snapToGrid w:val="0"/>
        <w:spacing w:line="360" w:lineRule="exact"/>
        <w:ind w:firstLine="480" w:firstLineChars="200"/>
        <w:contextualSpacing/>
        <w:rPr>
          <w:rFonts w:ascii="宋体" w:hAnsi="宋体" w:cs="宋体"/>
          <w:sz w:val="24"/>
        </w:rPr>
      </w:pPr>
      <w:r>
        <w:rPr>
          <w:rFonts w:hint="eastAsia" w:ascii="宋体" w:hAnsi="宋体" w:cs="宋体"/>
          <w:sz w:val="24"/>
        </w:rPr>
        <w:t>3．不能将甲方保密信息的全部或部分进行发布、传播、复制或仿造。</w:t>
      </w:r>
    </w:p>
    <w:p>
      <w:pPr>
        <w:snapToGrid w:val="0"/>
        <w:spacing w:line="360" w:lineRule="exact"/>
        <w:ind w:firstLine="480" w:firstLineChars="200"/>
        <w:contextualSpacing/>
        <w:rPr>
          <w:rFonts w:ascii="宋体" w:hAnsi="宋体" w:cs="宋体"/>
          <w:sz w:val="24"/>
        </w:rPr>
      </w:pPr>
      <w:r>
        <w:rPr>
          <w:rFonts w:hint="eastAsia" w:ascii="宋体" w:hAnsi="宋体" w:cs="宋体"/>
          <w:sz w:val="24"/>
        </w:rPr>
        <w:t>4．乙方均应告知并以适当的方式要求其直接参与运维工作的人员，按照本条款规定保守保密信息。如乙方工作人员违反本条款规定，泄露甲方保密信息的，乙方应承担违约责任。</w:t>
      </w:r>
    </w:p>
    <w:p>
      <w:pPr>
        <w:snapToGrid w:val="0"/>
        <w:spacing w:line="360" w:lineRule="exact"/>
        <w:ind w:firstLine="480" w:firstLineChars="200"/>
        <w:contextualSpacing/>
        <w:rPr>
          <w:rFonts w:ascii="宋体" w:hAnsi="宋体" w:cs="宋体"/>
          <w:sz w:val="24"/>
        </w:rPr>
      </w:pPr>
      <w:r>
        <w:rPr>
          <w:rFonts w:hint="eastAsia" w:ascii="宋体" w:hAnsi="宋体" w:cs="宋体"/>
          <w:sz w:val="24"/>
        </w:rPr>
        <w:t>5．乙方不能利用获悉信息为自己或其他方开发信息、技术和产品，或与甲方的产品进行竞争。</w:t>
      </w:r>
    </w:p>
    <w:p>
      <w:pPr>
        <w:snapToGrid w:val="0"/>
        <w:spacing w:line="360" w:lineRule="exact"/>
        <w:ind w:firstLine="480" w:firstLineChars="200"/>
        <w:contextualSpacing/>
        <w:rPr>
          <w:rFonts w:ascii="宋体" w:hAnsi="宋体" w:cs="宋体"/>
          <w:sz w:val="24"/>
        </w:rPr>
      </w:pPr>
      <w:r>
        <w:rPr>
          <w:rFonts w:hint="eastAsia" w:ascii="宋体" w:hAnsi="宋体" w:cs="宋体"/>
          <w:sz w:val="24"/>
        </w:rPr>
        <w:t>6．未经甲方书面许可并采取加密措施，乙方不得擅自将载有保密信息的任何文档、图纸、资料、磁盘、胶片等介质，带离甲方工作场所。</w:t>
      </w:r>
    </w:p>
    <w:p>
      <w:pPr>
        <w:snapToGrid w:val="0"/>
        <w:spacing w:line="360" w:lineRule="exact"/>
        <w:ind w:firstLine="480" w:firstLineChars="200"/>
        <w:contextualSpacing/>
        <w:rPr>
          <w:rFonts w:ascii="宋体" w:hAnsi="宋体" w:cs="宋体"/>
          <w:sz w:val="24"/>
        </w:rPr>
      </w:pPr>
      <w:r>
        <w:rPr>
          <w:rFonts w:hint="eastAsia" w:ascii="宋体" w:hAnsi="宋体" w:cs="宋体"/>
          <w:sz w:val="24"/>
        </w:rPr>
        <w:t>7．对于用户数据和维护结果数据的保管、访问，乙方无关人员不能访问；必需访问的人员，乙方要进行严格的访问控制；管理用户数据的人员应由乙方严格筛选。</w:t>
      </w:r>
    </w:p>
    <w:p>
      <w:pPr>
        <w:snapToGrid w:val="0"/>
        <w:spacing w:line="360" w:lineRule="exact"/>
        <w:ind w:firstLine="480" w:firstLineChars="200"/>
        <w:contextualSpacing/>
        <w:rPr>
          <w:rFonts w:ascii="宋体" w:hAnsi="宋体" w:cs="宋体"/>
          <w:sz w:val="24"/>
        </w:rPr>
      </w:pPr>
      <w:r>
        <w:rPr>
          <w:rFonts w:hint="eastAsia" w:ascii="宋体" w:hAnsi="宋体" w:cs="宋体"/>
          <w:sz w:val="24"/>
        </w:rPr>
        <w:t>8．对于甲方提供给乙方使用的任何资源，如网络、NOTES等，乙方都只能将其用于工作，而不能用于其他目的，特别是从事侵害甲方利益的活动。</w:t>
      </w:r>
    </w:p>
    <w:p>
      <w:pPr>
        <w:snapToGrid w:val="0"/>
        <w:spacing w:line="360" w:lineRule="exact"/>
        <w:ind w:firstLine="480" w:firstLineChars="200"/>
        <w:contextualSpacing/>
        <w:rPr>
          <w:rFonts w:ascii="宋体" w:hAnsi="宋体" w:cs="宋体"/>
          <w:sz w:val="24"/>
        </w:rPr>
      </w:pPr>
      <w:r>
        <w:rPr>
          <w:rFonts w:hint="eastAsia" w:ascii="宋体" w:hAnsi="宋体" w:cs="宋体"/>
          <w:sz w:val="24"/>
        </w:rPr>
        <w:t>六、保密信息的交回</w:t>
      </w:r>
    </w:p>
    <w:p>
      <w:pPr>
        <w:snapToGrid w:val="0"/>
        <w:spacing w:line="360" w:lineRule="exact"/>
        <w:ind w:firstLine="480" w:firstLineChars="200"/>
        <w:contextualSpacing/>
        <w:rPr>
          <w:rFonts w:ascii="宋体" w:hAnsi="宋体" w:cs="宋体"/>
          <w:sz w:val="24"/>
        </w:rPr>
      </w:pPr>
      <w:r>
        <w:rPr>
          <w:rFonts w:hint="eastAsia" w:ascii="宋体" w:hAnsi="宋体" w:cs="宋体"/>
          <w:sz w:val="24"/>
        </w:rPr>
        <w:t>1.本项目涉及的运维相关工作终止后，乙方应按照甲方的要求对相关保密信息做相应处理，比如销毁或其他处理方式。</w:t>
      </w:r>
    </w:p>
    <w:p>
      <w:pPr>
        <w:snapToGrid w:val="0"/>
        <w:spacing w:line="360" w:lineRule="exact"/>
        <w:ind w:firstLine="480" w:firstLineChars="200"/>
        <w:contextualSpacing/>
        <w:rPr>
          <w:rFonts w:ascii="宋体" w:hAnsi="宋体" w:cs="宋体"/>
          <w:sz w:val="24"/>
        </w:rPr>
      </w:pPr>
      <w:r>
        <w:rPr>
          <w:rFonts w:hint="eastAsia" w:ascii="宋体" w:hAnsi="宋体" w:cs="宋体"/>
          <w:sz w:val="24"/>
        </w:rPr>
        <w:t>2.当甲方以书面形式要求交回保密信息时，乙方应当立即交回所有的书面或其他有形的保密信息以及所有描述和概括保密信息的文件。</w:t>
      </w:r>
    </w:p>
    <w:p>
      <w:pPr>
        <w:snapToGrid w:val="0"/>
        <w:spacing w:line="360" w:lineRule="exact"/>
        <w:ind w:firstLine="480" w:firstLineChars="200"/>
        <w:contextualSpacing/>
        <w:rPr>
          <w:rFonts w:ascii="宋体" w:hAnsi="宋体" w:cs="宋体"/>
          <w:sz w:val="24"/>
        </w:rPr>
      </w:pPr>
      <w:r>
        <w:rPr>
          <w:rFonts w:hint="eastAsia" w:ascii="宋体" w:hAnsi="宋体" w:cs="宋体"/>
          <w:sz w:val="24"/>
        </w:rPr>
        <w:t>3.未经甲方书面许可，乙方不得丢弃和自行处理保密信息。</w:t>
      </w:r>
    </w:p>
    <w:p>
      <w:pPr>
        <w:snapToGrid w:val="0"/>
        <w:spacing w:line="360" w:lineRule="exact"/>
        <w:ind w:firstLine="480" w:firstLineChars="200"/>
        <w:contextualSpacing/>
        <w:rPr>
          <w:rFonts w:ascii="宋体" w:hAnsi="宋体" w:cs="宋体"/>
          <w:sz w:val="24"/>
        </w:rPr>
      </w:pPr>
      <w:r>
        <w:rPr>
          <w:rFonts w:hint="eastAsia" w:ascii="宋体" w:hAnsi="宋体" w:cs="宋体"/>
          <w:sz w:val="24"/>
        </w:rPr>
        <w:t>七、争议的解决</w:t>
      </w:r>
    </w:p>
    <w:p>
      <w:pPr>
        <w:snapToGrid w:val="0"/>
        <w:spacing w:line="360" w:lineRule="exact"/>
        <w:ind w:firstLine="480" w:firstLineChars="200"/>
        <w:contextualSpacing/>
        <w:rPr>
          <w:rFonts w:ascii="宋体" w:hAnsi="宋体" w:cs="宋体"/>
          <w:sz w:val="24"/>
        </w:rPr>
      </w:pPr>
      <w:r>
        <w:rPr>
          <w:rFonts w:hint="eastAsia" w:ascii="宋体" w:hAnsi="宋体" w:cs="宋体"/>
          <w:sz w:val="24"/>
        </w:rPr>
        <w:t>因履行本条款而发生的或与《技术维护合同》有关的一切争议，双方应协商解决，协商不成的，双方均有权向甲方所在地有管辖权的人民法院提起诉讼。</w:t>
      </w:r>
    </w:p>
    <w:p>
      <w:pPr>
        <w:snapToGrid w:val="0"/>
        <w:spacing w:line="360" w:lineRule="exact"/>
        <w:ind w:firstLine="480" w:firstLineChars="200"/>
        <w:contextualSpacing/>
        <w:rPr>
          <w:rFonts w:ascii="宋体" w:hAnsi="宋体" w:cs="宋体"/>
          <w:sz w:val="24"/>
        </w:rPr>
      </w:pPr>
      <w:r>
        <w:rPr>
          <w:rFonts w:hint="eastAsia" w:ascii="宋体" w:hAnsi="宋体" w:cs="宋体"/>
          <w:sz w:val="24"/>
        </w:rPr>
        <w:t>八、其他</w:t>
      </w:r>
    </w:p>
    <w:p>
      <w:pPr>
        <w:snapToGrid w:val="0"/>
        <w:spacing w:line="360" w:lineRule="exact"/>
        <w:ind w:firstLine="480" w:firstLineChars="200"/>
        <w:contextualSpacing/>
        <w:rPr>
          <w:rFonts w:ascii="宋体" w:hAnsi="宋体" w:cs="宋体"/>
          <w:sz w:val="24"/>
        </w:rPr>
      </w:pPr>
      <w:r>
        <w:rPr>
          <w:rFonts w:hint="eastAsia" w:ascii="宋体" w:hAnsi="宋体" w:cs="宋体"/>
          <w:sz w:val="24"/>
        </w:rPr>
        <w:t>本条款未尽事宜，甲、乙双方另行签订补充条款，补充条款与本条款具有同等法律效力。</w:t>
      </w:r>
      <w:r>
        <w:rPr>
          <w:rFonts w:hint="eastAsia" w:ascii="宋体" w:hAnsi="宋体" w:cs="宋体"/>
          <w:sz w:val="24"/>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60" w:name="_Toc218620575"/>
      <w:r>
        <w:rPr>
          <w:rFonts w:hint="eastAsia" w:ascii="宋体" w:hAnsi="宋体" w:cs="宋体"/>
          <w:b/>
          <w:color w:val="000000" w:themeColor="text1"/>
          <w:sz w:val="36"/>
          <w:szCs w:val="36"/>
          <w14:textFill>
            <w14:solidFill>
              <w14:schemeClr w14:val="tx1"/>
            </w14:solidFill>
          </w14:textFill>
        </w:rPr>
        <w:t>第七章   投标文件格式</w:t>
      </w:r>
      <w:bookmarkEnd w:id="857"/>
      <w:bookmarkEnd w:id="860"/>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Pr>
        <w:pStyle w:val="6"/>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8"/>
        <w:rPr>
          <w:rStyle w:val="465"/>
          <w:rFonts w:hint="default" w:ascii="宋体" w:hAnsi="宋体"/>
          <w:b w:val="0"/>
          <w:sz w:val="24"/>
          <w:szCs w:val="24"/>
          <w:u w:val="none"/>
        </w:rPr>
      </w:pPr>
      <w:r>
        <w:rPr>
          <w:rStyle w:val="465"/>
          <w:rFonts w:hint="default" w:ascii="宋体" w:hAnsi="宋体"/>
          <w:b w:val="0"/>
          <w:sz w:val="24"/>
          <w:szCs w:val="24"/>
          <w:u w:val="none"/>
        </w:rPr>
        <w:t>1  满足《中华人民共和国政府采购法》第二十二条规定</w:t>
      </w:r>
    </w:p>
    <w:p>
      <w:pPr>
        <w:pStyle w:val="9"/>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9"/>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5"/>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8"/>
        <w:rPr>
          <w:rStyle w:val="465"/>
          <w:rFonts w:hint="default" w:ascii="宋体" w:hAnsi="宋体"/>
          <w:b w:val="0"/>
          <w:sz w:val="24"/>
          <w:u w:val="none"/>
        </w:rPr>
      </w:pPr>
      <w:r>
        <w:rPr>
          <w:rStyle w:val="465"/>
          <w:rFonts w:hint="default" w:ascii="宋体" w:hAnsi="宋体"/>
          <w:b w:val="0"/>
          <w:sz w:val="24"/>
          <w:u w:val="none"/>
        </w:rPr>
        <w:t xml:space="preserve">2 </w:t>
      </w:r>
      <w:r>
        <w:rPr>
          <w:rStyle w:val="465"/>
          <w:rFonts w:hint="default" w:ascii="宋体" w:hAnsi="宋体"/>
          <w:b w:val="0"/>
          <w:sz w:val="24"/>
          <w:szCs w:val="24"/>
          <w:u w:val="none"/>
        </w:rPr>
        <w:t xml:space="preserve"> </w:t>
      </w:r>
      <w:r>
        <w:rPr>
          <w:rStyle w:val="465"/>
          <w:rFonts w:hint="default" w:ascii="宋体" w:hAnsi="宋体"/>
          <w:b w:val="0"/>
          <w:sz w:val="24"/>
          <w:u w:val="none"/>
        </w:rPr>
        <w:t>落实政府采购政策需满足的资格要求</w:t>
      </w:r>
    </w:p>
    <w:p>
      <w:pPr>
        <w:pStyle w:val="9"/>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中小企业政策证明文件（包号1不适用）</w:t>
      </w:r>
    </w:p>
    <w:p>
      <w:pPr>
        <w:tabs>
          <w:tab w:val="left" w:pos="5580"/>
        </w:tabs>
        <w:spacing w:line="360" w:lineRule="auto"/>
        <w:rPr>
          <w:rFonts w:ascii="宋体" w:hAnsi="宋体" w:cs="宋体"/>
          <w:color w:val="000000" w:themeColor="text1"/>
          <w:sz w:val="24"/>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10"/>
        <w:jc w:val="left"/>
        <w:rPr>
          <w:rStyle w:val="97"/>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7"/>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中小企业声明函（货物）格式</w:t>
      </w:r>
    </w:p>
    <w:p>
      <w:pPr>
        <w:spacing w:line="360" w:lineRule="auto"/>
        <w:ind w:firstLine="504"/>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360" w:lineRule="auto"/>
        <w:ind w:firstLine="504"/>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，属于（中型企业、小型企业、微型企业）；</w:t>
      </w:r>
    </w:p>
    <w:p>
      <w:pPr>
        <w:spacing w:line="360" w:lineRule="auto"/>
        <w:ind w:firstLine="504"/>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w:t>
      </w:r>
    </w:p>
    <w:p>
      <w:pPr>
        <w:spacing w:line="360" w:lineRule="auto"/>
        <w:ind w:firstLine="504"/>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360" w:lineRule="auto"/>
        <w:ind w:firstLine="504"/>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360" w:lineRule="auto"/>
        <w:ind w:firstLine="504"/>
        <w:rPr>
          <w:rFonts w:ascii="宋体" w:hAnsi="宋体" w:cs="宋体"/>
          <w:spacing w:val="6"/>
          <w:sz w:val="24"/>
        </w:rPr>
      </w:pPr>
    </w:p>
    <w:p>
      <w:pPr>
        <w:spacing w:line="360" w:lineRule="auto"/>
        <w:ind w:right="360" w:firstLine="480"/>
        <w:jc w:val="right"/>
        <w:rPr>
          <w:rFonts w:ascii="宋体" w:hAnsi="宋体" w:cs="宋体"/>
          <w:sz w:val="24"/>
        </w:rPr>
      </w:pPr>
      <w:r>
        <w:rPr>
          <w:rFonts w:hint="eastAsia" w:ascii="宋体" w:hAnsi="宋体" w:cs="宋体"/>
          <w:sz w:val="24"/>
        </w:rPr>
        <w:t>企业名称（盖章）：________</w:t>
      </w:r>
    </w:p>
    <w:p>
      <w:pPr>
        <w:spacing w:line="360" w:lineRule="auto"/>
        <w:ind w:right="360" w:firstLine="480"/>
        <w:jc w:val="right"/>
        <w:rPr>
          <w:rFonts w:ascii="宋体" w:hAnsi="宋体" w:cs="宋体"/>
          <w:sz w:val="24"/>
        </w:rPr>
      </w:pPr>
      <w:r>
        <w:rPr>
          <w:rFonts w:hint="eastAsia" w:ascii="宋体" w:hAnsi="宋体" w:cs="宋体"/>
          <w:sz w:val="24"/>
        </w:rPr>
        <w:t>日 期：________</w:t>
      </w:r>
    </w:p>
    <w:p>
      <w:pPr>
        <w:spacing w:line="360" w:lineRule="auto"/>
        <w:ind w:right="360" w:firstLine="480"/>
        <w:jc w:val="right"/>
        <w:rPr>
          <w:rFonts w:ascii="宋体" w:hAnsi="宋体" w:cs="宋体"/>
          <w:sz w:val="24"/>
        </w:rPr>
      </w:pPr>
    </w:p>
    <w:p>
      <w:pPr>
        <w:spacing w:line="360" w:lineRule="auto"/>
        <w:ind w:right="360" w:firstLine="480"/>
        <w:jc w:val="right"/>
        <w:rPr>
          <w:rFonts w:ascii="宋体" w:hAnsi="宋体" w:cs="宋体"/>
          <w:sz w:val="24"/>
        </w:rPr>
      </w:pPr>
    </w:p>
    <w:tbl>
      <w:tblPr>
        <w:tblStyle w:val="55"/>
        <w:tblW w:w="8523"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3" w:type="dxa"/>
            <w:tcBorders>
              <w:top w:val="single" w:color="auto" w:sz="4" w:space="0"/>
              <w:left w:val="nil"/>
              <w:bottom w:val="nil"/>
              <w:right w:val="nil"/>
            </w:tcBorders>
          </w:tcPr>
          <w:p>
            <w:pPr>
              <w:adjustRightInd w:val="0"/>
              <w:snapToGrid w:val="0"/>
              <w:jc w:val="left"/>
              <w:rPr>
                <w:rFonts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pPr>
        <w:spacing w:line="360" w:lineRule="auto"/>
        <w:rPr>
          <w:rFonts w:ascii="宋体" w:hAnsi="宋体" w:cs="宋体"/>
          <w:color w:val="000000" w:themeColor="text1"/>
          <w:sz w:val="24"/>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1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7"/>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5"/>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61"/>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jc w:val="center"/>
              <w:rPr>
                <w:color w:val="000000" w:themeColor="text1"/>
                <w:sz w:val="24"/>
                <w14:textFill>
                  <w14:solidFill>
                    <w14:schemeClr w14:val="tx1"/>
                  </w14:solidFill>
                </w14:textFill>
              </w:rPr>
            </w:pPr>
          </w:p>
        </w:tc>
        <w:tc>
          <w:tcPr>
            <w:tcW w:w="1125" w:type="dxa"/>
            <w:vAlign w:val="center"/>
          </w:tcPr>
          <w:p>
            <w:pPr>
              <w:pStyle w:val="261"/>
              <w:jc w:val="center"/>
              <w:rPr>
                <w:color w:val="000000" w:themeColor="text1"/>
                <w:sz w:val="30"/>
                <w14:textFill>
                  <w14:solidFill>
                    <w14:schemeClr w14:val="tx1"/>
                  </w14:solidFill>
                </w14:textFill>
              </w:rPr>
            </w:pPr>
          </w:p>
        </w:tc>
        <w:tc>
          <w:tcPr>
            <w:tcW w:w="1561" w:type="dxa"/>
            <w:vAlign w:val="center"/>
          </w:tcPr>
          <w:p>
            <w:pPr>
              <w:pStyle w:val="261"/>
              <w:jc w:val="center"/>
              <w:rPr>
                <w:color w:val="000000" w:themeColor="text1"/>
                <w:sz w:val="30"/>
                <w14:textFill>
                  <w14:solidFill>
                    <w14:schemeClr w14:val="tx1"/>
                  </w14:solidFill>
                </w14:textFill>
              </w:rPr>
            </w:pP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1"/>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9"/>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9"/>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7"/>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2"/>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9"/>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8"/>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bookmarkStart w:id="861" w:name="_Hlt520274407"/>
      <w:bookmarkEnd w:id="861"/>
      <w:bookmarkStart w:id="862" w:name="_Hlt520274065"/>
      <w:bookmarkEnd w:id="862"/>
      <w:bookmarkStart w:id="863" w:name="_Hlt520343392"/>
      <w:bookmarkEnd w:id="863"/>
      <w:bookmarkStart w:id="864" w:name="_Hlt520274393"/>
      <w:bookmarkEnd w:id="864"/>
      <w:bookmarkStart w:id="865" w:name="_Hlt520274121"/>
      <w:bookmarkEnd w:id="865"/>
      <w:bookmarkStart w:id="866" w:name="_Hlt520350918"/>
      <w:bookmarkEnd w:id="866"/>
      <w:bookmarkStart w:id="867" w:name="_Hlt520343000"/>
      <w:bookmarkEnd w:id="867"/>
      <w:bookmarkStart w:id="868" w:name="_Hlt520271212"/>
      <w:bookmarkEnd w:id="868"/>
      <w:bookmarkStart w:id="869" w:name="_Hlt520273711"/>
      <w:bookmarkEnd w:id="869"/>
      <w:bookmarkStart w:id="870" w:name="_Hlt520355504"/>
      <w:bookmarkEnd w:id="870"/>
      <w:bookmarkStart w:id="871" w:name="_Ref467988698"/>
      <w:bookmarkStart w:id="872" w:name="_Toc480942349"/>
      <w:bookmarkStart w:id="873" w:name="_Toc150774761"/>
      <w:bookmarkStart w:id="874" w:name="_Toc520356217"/>
      <w:bookmarkStart w:id="875" w:name="_Toc226965829"/>
      <w:bookmarkStart w:id="876" w:name="_Toc226309800"/>
      <w:bookmarkStart w:id="877" w:name="_Toc142311058"/>
      <w:bookmarkStart w:id="878" w:name="_Toc226337252"/>
      <w:bookmarkStart w:id="879" w:name="_Toc127151556"/>
      <w:bookmarkStart w:id="880" w:name="_Toc226965746"/>
      <w:bookmarkStart w:id="881" w:name="_Toc150480794"/>
      <w:bookmarkStart w:id="882" w:name="_Toc195842921"/>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1"/>
      <w:bookmarkEnd w:id="872"/>
      <w:r>
        <w:rPr>
          <w:rFonts w:hint="eastAsia" w:hAnsi="宋体" w:cs="宋体"/>
          <w:b w:val="0"/>
          <w:color w:val="000000" w:themeColor="text1"/>
          <w:szCs w:val="24"/>
          <w:u w:val="none"/>
          <w14:textFill>
            <w14:solidFill>
              <w14:schemeClr w14:val="tx1"/>
            </w14:solidFill>
          </w14:textFill>
        </w:rPr>
        <w:t>书</w:t>
      </w:r>
      <w:bookmarkEnd w:id="873"/>
      <w:bookmarkEnd w:id="874"/>
      <w:bookmarkEnd w:id="875"/>
      <w:bookmarkEnd w:id="876"/>
      <w:bookmarkEnd w:id="877"/>
      <w:bookmarkEnd w:id="878"/>
      <w:bookmarkEnd w:id="879"/>
      <w:bookmarkEnd w:id="880"/>
      <w:bookmarkEnd w:id="881"/>
      <w:bookmarkEnd w:id="882"/>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883" w:name="_Hlt520355938"/>
      <w:bookmarkEnd w:id="883"/>
      <w:bookmarkStart w:id="884" w:name="_Hlt520356243"/>
      <w:bookmarkEnd w:id="884"/>
      <w:bookmarkStart w:id="885" w:name="_Toc305158899"/>
      <w:bookmarkStart w:id="886" w:name="_Toc150480795"/>
      <w:bookmarkStart w:id="887" w:name="_Toc226965747"/>
      <w:bookmarkStart w:id="888" w:name="_Toc150774762"/>
      <w:bookmarkStart w:id="889" w:name="_Toc226309801"/>
      <w:bookmarkStart w:id="890" w:name="_Toc305158825"/>
      <w:bookmarkStart w:id="891" w:name="_Toc520356218"/>
      <w:bookmarkStart w:id="892" w:name="_Toc265228395"/>
      <w:bookmarkStart w:id="893" w:name="_Toc264969247"/>
      <w:bookmarkStart w:id="894" w:name="_Ref467988705"/>
      <w:bookmarkStart w:id="895" w:name="_Toc195842922"/>
      <w:bookmarkStart w:id="896" w:name="_Toc480942350"/>
      <w:bookmarkStart w:id="897" w:name="_Toc127151557"/>
      <w:bookmarkStart w:id="898" w:name="_Toc142311059"/>
      <w:bookmarkStart w:id="899" w:name="_Toc226337253"/>
      <w:bookmarkStart w:id="900" w:name="_Toc226965830"/>
      <w:r>
        <w:rPr>
          <w:rFonts w:hint="eastAsia" w:ascii="宋体" w:hAnsi="宋体" w:cs="宋体"/>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4"/>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2"/>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2"/>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2"/>
        <w:kinsoku w:val="0"/>
        <w:overflowPunct w:val="0"/>
        <w:spacing w:line="583" w:lineRule="auto"/>
        <w:ind w:right="4305"/>
        <w:rPr>
          <w:rFonts w:cs="宋体"/>
          <w:color w:val="000000" w:themeColor="text1"/>
          <w:spacing w:val="-3"/>
          <w14:textFill>
            <w14:solidFill>
              <w14:schemeClr w14:val="tx1"/>
            </w14:solidFill>
          </w14:textFill>
        </w:rPr>
      </w:pPr>
    </w:p>
    <w:p>
      <w:pPr>
        <w:pStyle w:val="22"/>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2"/>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01" w:name="_Toc164608827"/>
      <w:bookmarkStart w:id="902" w:name="_Toc264969248"/>
      <w:bookmarkStart w:id="903" w:name="_Toc265228396"/>
      <w:bookmarkStart w:id="904" w:name="_Toc305158900"/>
      <w:bookmarkStart w:id="905" w:name="_Toc164608672"/>
      <w:bookmarkStart w:id="906" w:name="_Toc226965748"/>
      <w:bookmarkStart w:id="907" w:name="_Toc305158826"/>
      <w:bookmarkStart w:id="908" w:name="_Toc226337254"/>
      <w:bookmarkStart w:id="909" w:name="_Toc226965831"/>
      <w:bookmarkStart w:id="910" w:name="_Toc226309802"/>
      <w:bookmarkStart w:id="911" w:name="_Toc195842923"/>
      <w:r>
        <w:rPr>
          <w:rFonts w:hint="eastAsia" w:ascii="宋体" w:hAnsi="宋体" w:cs="宋体"/>
          <w:b/>
          <w:color w:val="000000" w:themeColor="text1"/>
          <w:sz w:val="36"/>
          <w:szCs w:val="36"/>
          <w14:textFill>
            <w14:solidFill>
              <w14:schemeClr w14:val="tx1"/>
            </w14:solidFill>
          </w14:textFill>
        </w:rPr>
        <w:t>开标一览表</w:t>
      </w:r>
      <w:bookmarkEnd w:id="901"/>
      <w:bookmarkEnd w:id="902"/>
      <w:bookmarkEnd w:id="903"/>
      <w:bookmarkEnd w:id="904"/>
      <w:bookmarkEnd w:id="905"/>
      <w:bookmarkEnd w:id="906"/>
      <w:bookmarkEnd w:id="907"/>
      <w:bookmarkEnd w:id="908"/>
      <w:bookmarkEnd w:id="909"/>
      <w:bookmarkEnd w:id="910"/>
      <w:bookmarkEnd w:id="911"/>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5"/>
        <w:tblW w:w="7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632" w:type="dxa"/>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3396" w:type="dxa"/>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3639" w:type="dxa"/>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32" w:type="dxa"/>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3396" w:type="dxa"/>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22" w:type="dxa"/>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817" w:type="dxa"/>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632" w:type="dxa"/>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3396"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22"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17"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12" w:name="_Toc150480796"/>
      <w:bookmarkStart w:id="913" w:name="_Toc305158901"/>
      <w:bookmarkStart w:id="914" w:name="_Toc195842924"/>
      <w:bookmarkStart w:id="915" w:name="_Toc264969249"/>
      <w:bookmarkStart w:id="916" w:name="_Toc226309803"/>
      <w:bookmarkStart w:id="917" w:name="_Toc226965832"/>
      <w:bookmarkStart w:id="918" w:name="_Toc127151558"/>
      <w:bookmarkStart w:id="919" w:name="_Toc226965749"/>
      <w:bookmarkStart w:id="920" w:name="_Toc142311060"/>
      <w:bookmarkStart w:id="921" w:name="_Toc305158827"/>
      <w:bookmarkStart w:id="922" w:name="_Toc265228397"/>
      <w:bookmarkStart w:id="923" w:name="_Toc150774763"/>
      <w:bookmarkStart w:id="924" w:name="_Toc226337255"/>
    </w:p>
    <w:p>
      <w:pPr>
        <w:widowControl/>
        <w:jc w:val="left"/>
        <w:rPr>
          <w:rFonts w:ascii="宋体" w:hAnsi="宋体" w:cs="宋体"/>
          <w:color w:val="000000" w:themeColor="text1"/>
          <w:sz w:val="24"/>
          <w:szCs w:val="20"/>
          <w14:textFill>
            <w14:solidFill>
              <w14:schemeClr w14:val="tx1"/>
            </w14:solidFill>
          </w14:textFill>
        </w:rPr>
        <w:sectPr>
          <w:footerReference r:id="rId10" w:type="default"/>
          <w:pgSz w:w="11907" w:h="16840"/>
          <w:pgMar w:top="1440" w:right="1800" w:bottom="1440" w:left="1800" w:header="851" w:footer="851" w:gutter="0"/>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25" w:name="OLE_LINK49"/>
      <w:r>
        <w:rPr>
          <w:rFonts w:hint="eastAsia" w:ascii="宋体" w:hAnsi="宋体" w:cs="宋体"/>
          <w:sz w:val="24"/>
        </w:rPr>
        <w:t>/包号</w:t>
      </w:r>
      <w:bookmarkEnd w:id="925"/>
      <w:r>
        <w:rPr>
          <w:rFonts w:hint="eastAsia" w:ascii="宋体" w:hAnsi="宋体" w:cs="宋体"/>
          <w:sz w:val="24"/>
        </w:rPr>
        <w:t>：___________ 项目名称：__________报价单位：人民币元</w:t>
      </w:r>
    </w:p>
    <w:tbl>
      <w:tblPr>
        <w:tblStyle w:val="5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4483"/>
        <w:gridCol w:w="2056"/>
        <w:gridCol w:w="1841"/>
        <w:gridCol w:w="2053"/>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7" w:type="dxa"/>
            <w:vAlign w:val="center"/>
          </w:tcPr>
          <w:p>
            <w:pPr>
              <w:adjustRightInd w:val="0"/>
              <w:snapToGrid w:val="0"/>
              <w:jc w:val="left"/>
              <w:rPr>
                <w:b/>
                <w:color w:val="000000"/>
                <w:sz w:val="24"/>
              </w:rPr>
            </w:pPr>
            <w:r>
              <w:rPr>
                <w:b/>
                <w:color w:val="000000"/>
                <w:sz w:val="24"/>
              </w:rPr>
              <w:t>序号</w:t>
            </w:r>
          </w:p>
        </w:tc>
        <w:tc>
          <w:tcPr>
            <w:tcW w:w="4483" w:type="dxa"/>
            <w:vAlign w:val="center"/>
          </w:tcPr>
          <w:p>
            <w:pPr>
              <w:adjustRightInd w:val="0"/>
              <w:snapToGrid w:val="0"/>
              <w:jc w:val="center"/>
              <w:rPr>
                <w:b/>
                <w:color w:val="000000"/>
                <w:sz w:val="24"/>
              </w:rPr>
            </w:pPr>
            <w:r>
              <w:rPr>
                <w:b/>
                <w:color w:val="000000"/>
                <w:sz w:val="24"/>
              </w:rPr>
              <w:t>分项名称</w:t>
            </w:r>
          </w:p>
        </w:tc>
        <w:tc>
          <w:tcPr>
            <w:tcW w:w="2056" w:type="dxa"/>
            <w:vAlign w:val="center"/>
          </w:tcPr>
          <w:p>
            <w:pPr>
              <w:adjustRightInd w:val="0"/>
              <w:snapToGrid w:val="0"/>
              <w:jc w:val="center"/>
              <w:rPr>
                <w:b/>
                <w:color w:val="000000"/>
                <w:sz w:val="24"/>
              </w:rPr>
            </w:pPr>
            <w:r>
              <w:rPr>
                <w:b/>
                <w:color w:val="000000"/>
                <w:sz w:val="24"/>
              </w:rPr>
              <w:t>单价（元）</w:t>
            </w:r>
          </w:p>
        </w:tc>
        <w:tc>
          <w:tcPr>
            <w:tcW w:w="1841" w:type="dxa"/>
            <w:vAlign w:val="center"/>
          </w:tcPr>
          <w:p>
            <w:pPr>
              <w:adjustRightInd w:val="0"/>
              <w:snapToGrid w:val="0"/>
              <w:jc w:val="center"/>
              <w:rPr>
                <w:b/>
                <w:color w:val="000000"/>
                <w:sz w:val="24"/>
              </w:rPr>
            </w:pPr>
            <w:r>
              <w:rPr>
                <w:b/>
                <w:color w:val="000000"/>
                <w:sz w:val="24"/>
              </w:rPr>
              <w:t>数量</w:t>
            </w:r>
          </w:p>
        </w:tc>
        <w:tc>
          <w:tcPr>
            <w:tcW w:w="2053" w:type="dxa"/>
            <w:vAlign w:val="center"/>
          </w:tcPr>
          <w:p>
            <w:pPr>
              <w:adjustRightInd w:val="0"/>
              <w:snapToGrid w:val="0"/>
              <w:jc w:val="center"/>
              <w:rPr>
                <w:b/>
                <w:color w:val="000000"/>
                <w:sz w:val="24"/>
              </w:rPr>
            </w:pPr>
            <w:r>
              <w:rPr>
                <w:b/>
                <w:color w:val="000000"/>
                <w:sz w:val="24"/>
              </w:rPr>
              <w:t>合价（元）</w:t>
            </w:r>
          </w:p>
        </w:tc>
        <w:tc>
          <w:tcPr>
            <w:tcW w:w="2606" w:type="dxa"/>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7" w:type="dxa"/>
            <w:vAlign w:val="center"/>
          </w:tcPr>
          <w:p>
            <w:pPr>
              <w:adjustRightInd w:val="0"/>
              <w:snapToGrid w:val="0"/>
              <w:jc w:val="center"/>
              <w:rPr>
                <w:color w:val="000000"/>
                <w:sz w:val="24"/>
              </w:rPr>
            </w:pPr>
            <w:r>
              <w:rPr>
                <w:color w:val="000000"/>
                <w:sz w:val="24"/>
              </w:rPr>
              <w:t>1</w:t>
            </w:r>
          </w:p>
        </w:tc>
        <w:tc>
          <w:tcPr>
            <w:tcW w:w="4483" w:type="dxa"/>
            <w:vAlign w:val="center"/>
          </w:tcPr>
          <w:p>
            <w:pPr>
              <w:adjustRightInd w:val="0"/>
              <w:snapToGrid w:val="0"/>
              <w:jc w:val="left"/>
              <w:rPr>
                <w:color w:val="000000"/>
                <w:sz w:val="24"/>
              </w:rPr>
            </w:pP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7" w:type="dxa"/>
            <w:vAlign w:val="center"/>
          </w:tcPr>
          <w:p>
            <w:pPr>
              <w:adjustRightInd w:val="0"/>
              <w:snapToGrid w:val="0"/>
              <w:jc w:val="center"/>
              <w:rPr>
                <w:color w:val="000000"/>
                <w:sz w:val="24"/>
              </w:rPr>
            </w:pPr>
            <w:r>
              <w:rPr>
                <w:color w:val="000000"/>
                <w:sz w:val="24"/>
              </w:rPr>
              <w:t>2</w:t>
            </w:r>
          </w:p>
        </w:tc>
        <w:tc>
          <w:tcPr>
            <w:tcW w:w="4483" w:type="dxa"/>
            <w:vAlign w:val="center"/>
          </w:tcPr>
          <w:p>
            <w:pPr>
              <w:adjustRightInd w:val="0"/>
              <w:snapToGrid w:val="0"/>
              <w:jc w:val="left"/>
              <w:rPr>
                <w:color w:val="000000"/>
                <w:sz w:val="24"/>
              </w:rPr>
            </w:pP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27" w:type="dxa"/>
            <w:vAlign w:val="center"/>
          </w:tcPr>
          <w:p>
            <w:pPr>
              <w:adjustRightInd w:val="0"/>
              <w:snapToGrid w:val="0"/>
              <w:jc w:val="center"/>
              <w:rPr>
                <w:color w:val="000000"/>
                <w:sz w:val="24"/>
              </w:rPr>
            </w:pPr>
            <w:r>
              <w:rPr>
                <w:color w:val="000000"/>
                <w:sz w:val="24"/>
              </w:rPr>
              <w:t>3</w:t>
            </w:r>
          </w:p>
        </w:tc>
        <w:tc>
          <w:tcPr>
            <w:tcW w:w="4483" w:type="dxa"/>
            <w:vAlign w:val="center"/>
          </w:tcPr>
          <w:p>
            <w:pPr>
              <w:adjustRightInd w:val="0"/>
              <w:snapToGrid w:val="0"/>
              <w:jc w:val="left"/>
              <w:rPr>
                <w:color w:val="000000"/>
                <w:sz w:val="24"/>
              </w:rPr>
            </w:pPr>
            <w:r>
              <w:rPr>
                <w:color w:val="000000"/>
                <w:sz w:val="24"/>
              </w:rPr>
              <w:t>…</w:t>
            </w: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307" w:type="dxa"/>
            <w:gridSpan w:val="4"/>
            <w:vAlign w:val="center"/>
          </w:tcPr>
          <w:p>
            <w:pPr>
              <w:adjustRightInd w:val="0"/>
              <w:snapToGrid w:val="0"/>
              <w:jc w:val="right"/>
              <w:rPr>
                <w:color w:val="000000"/>
                <w:sz w:val="24"/>
              </w:rPr>
            </w:pPr>
            <w:r>
              <w:rPr>
                <w:b/>
                <w:color w:val="000000"/>
                <w:sz w:val="24"/>
              </w:rPr>
              <w:t>总价（元）</w:t>
            </w: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bl>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ind w:firstLine="480" w:firstLineChars="200"/>
        <w:rPr>
          <w:rFonts w:ascii="宋体" w:hAnsi="宋体"/>
          <w:sz w:val="24"/>
        </w:rPr>
      </w:pPr>
    </w:p>
    <w:p>
      <w:pPr>
        <w:pStyle w:val="22"/>
        <w:spacing w:before="103" w:line="196" w:lineRule="auto"/>
        <w:rPr>
          <w:spacing w:val="-1"/>
        </w:rPr>
      </w:pPr>
    </w:p>
    <w:p>
      <w:pPr>
        <w:pStyle w:val="22"/>
        <w:spacing w:before="103" w:line="196" w:lineRule="auto"/>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12"/>
    <w:bookmarkEnd w:id="913"/>
    <w:bookmarkEnd w:id="914"/>
    <w:bookmarkEnd w:id="915"/>
    <w:bookmarkEnd w:id="916"/>
    <w:bookmarkEnd w:id="917"/>
    <w:bookmarkEnd w:id="918"/>
    <w:bookmarkEnd w:id="919"/>
    <w:bookmarkEnd w:id="920"/>
    <w:bookmarkEnd w:id="921"/>
    <w:bookmarkEnd w:id="922"/>
    <w:bookmarkEnd w:id="923"/>
    <w:bookmarkEnd w:id="924"/>
    <w:p>
      <w:pPr>
        <w:pStyle w:val="8"/>
        <w:rPr>
          <w:rFonts w:hAnsi="宋体" w:cs="宋体"/>
          <w:b w:val="0"/>
          <w:color w:val="000000" w:themeColor="text1"/>
          <w:szCs w:val="24"/>
          <w:u w:val="none"/>
          <w14:textFill>
            <w14:solidFill>
              <w14:schemeClr w14:val="tx1"/>
            </w14:solidFill>
          </w14:textFill>
        </w:rPr>
      </w:pPr>
      <w:bookmarkStart w:id="926" w:name="_Toc150480798"/>
      <w:bookmarkStart w:id="927" w:name="_Toc142311062"/>
      <w:bookmarkStart w:id="928" w:name="_Toc150774765"/>
      <w:bookmarkStart w:id="929" w:name="_Toc127151562"/>
      <w:bookmarkStart w:id="930" w:name="_Toc305158904"/>
      <w:bookmarkStart w:id="931" w:name="_Toc305158830"/>
      <w:bookmarkStart w:id="932" w:name="_Toc265228400"/>
      <w:bookmarkStart w:id="933" w:name="_Toc226965835"/>
      <w:bookmarkStart w:id="934" w:name="_Toc195842927"/>
      <w:bookmarkStart w:id="935" w:name="_Toc226965752"/>
      <w:bookmarkStart w:id="936" w:name="_Toc264969252"/>
      <w:bookmarkStart w:id="937" w:name="_Toc226337258"/>
      <w:bookmarkStart w:id="938" w:name="_Toc226309806"/>
      <w:bookmarkStart w:id="939" w:name="_Toc226965834"/>
      <w:bookmarkStart w:id="940" w:name="_Toc305158829"/>
      <w:bookmarkStart w:id="941" w:name="_Toc226309805"/>
      <w:bookmarkStart w:id="942" w:name="_Toc195842926"/>
      <w:bookmarkStart w:id="943" w:name="_Toc265228399"/>
      <w:bookmarkStart w:id="944" w:name="_Toc150480797"/>
      <w:bookmarkStart w:id="945" w:name="_Toc127151561"/>
      <w:bookmarkStart w:id="946" w:name="_Toc226965751"/>
      <w:bookmarkStart w:id="947" w:name="_Toc142311061"/>
      <w:bookmarkStart w:id="948" w:name="_Toc264969251"/>
      <w:bookmarkStart w:id="949" w:name="_Toc226337257"/>
      <w:bookmarkStart w:id="950" w:name="_Toc150774764"/>
      <w:bookmarkStart w:id="951" w:name="_Toc305158903"/>
      <w:r>
        <w:rPr>
          <w:rFonts w:hint="eastAsia" w:hAnsi="宋体" w:cs="宋体"/>
          <w:b w:val="0"/>
          <w:color w:val="000000" w:themeColor="text1"/>
          <w:szCs w:val="24"/>
          <w:u w:val="none"/>
          <w14:textFill>
            <w14:solidFill>
              <w14:schemeClr w14:val="tx1"/>
            </w14:solidFill>
          </w14:textFill>
        </w:rPr>
        <w:t>5  合同条款偏离表</w:t>
      </w:r>
      <w:bookmarkEnd w:id="926"/>
      <w:bookmarkEnd w:id="927"/>
      <w:bookmarkEnd w:id="928"/>
      <w:bookmarkEnd w:id="929"/>
      <w:bookmarkEnd w:id="930"/>
      <w:bookmarkEnd w:id="931"/>
      <w:bookmarkEnd w:id="932"/>
      <w:bookmarkEnd w:id="933"/>
      <w:bookmarkEnd w:id="934"/>
      <w:bookmarkEnd w:id="935"/>
      <w:bookmarkEnd w:id="936"/>
      <w:bookmarkEnd w:id="937"/>
      <w:bookmarkEnd w:id="938"/>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62"/>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62"/>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39"/>
      <w:bookmarkEnd w:id="940"/>
      <w:bookmarkEnd w:id="941"/>
      <w:bookmarkEnd w:id="942"/>
      <w:bookmarkEnd w:id="943"/>
      <w:bookmarkEnd w:id="944"/>
      <w:bookmarkEnd w:id="945"/>
      <w:bookmarkEnd w:id="946"/>
      <w:bookmarkEnd w:id="947"/>
      <w:bookmarkEnd w:id="948"/>
      <w:bookmarkEnd w:id="949"/>
      <w:bookmarkEnd w:id="950"/>
      <w:bookmarkEnd w:id="951"/>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62"/>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ascii="宋体" w:hAnsi="宋体" w:cs="宋体"/>
          <w:color w:val="000000"/>
          <w:spacing w:val="6"/>
          <w:sz w:val="24"/>
        </w:rPr>
      </w:pPr>
      <w:bookmarkStart w:id="952" w:name="OLE_LINK192"/>
      <w:bookmarkStart w:id="953" w:name="OLE_LINK193"/>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5"/>
        <w:tblW w:w="8523"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3"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2"/>
    <w:bookmarkEnd w:id="953"/>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w:t>
      </w:r>
      <w:r>
        <w:rPr>
          <w:rStyle w:val="64"/>
          <w:rFonts w:hint="eastAsia" w:ascii="Times New Roman"/>
          <w:b w:val="0"/>
          <w:kern w:val="2"/>
          <w:u w:val="none"/>
        </w:rPr>
        <w:t>（本项目不适用）</w:t>
      </w:r>
    </w:p>
    <w:p>
      <w:pPr>
        <w:pStyle w:val="49"/>
        <w:shd w:val="clear" w:color="auto" w:fill="FFFFFF"/>
        <w:spacing w:before="30" w:beforeAutospacing="0" w:after="30" w:afterAutospacing="0"/>
        <w:jc w:val="center"/>
        <w:rPr>
          <w:color w:val="333333"/>
          <w:sz w:val="36"/>
          <w:szCs w:val="36"/>
        </w:rPr>
      </w:pPr>
      <w:r>
        <w:rPr>
          <w:rStyle w:val="59"/>
          <w:rFonts w:hint="eastAsia"/>
          <w:color w:val="333333"/>
          <w:sz w:val="36"/>
          <w:szCs w:val="36"/>
          <w:shd w:val="clear" w:color="auto" w:fill="FFFFFF"/>
        </w:rPr>
        <w:t>关于符合本国产品标准的声明函</w:t>
      </w:r>
    </w:p>
    <w:p>
      <w:pPr>
        <w:pStyle w:val="49"/>
        <w:shd w:val="clear" w:color="auto" w:fill="FFFFFF"/>
        <w:spacing w:before="30" w:beforeAutospacing="0" w:after="30" w:afterAutospacing="0"/>
        <w:ind w:firstLine="420"/>
        <w:rPr>
          <w:color w:val="333333"/>
        </w:rPr>
      </w:pP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62"/>
          <w:rFonts w:hint="eastAsia"/>
          <w:color w:val="333333"/>
          <w:u w:val="single"/>
          <w:shd w:val="clear" w:color="auto" w:fill="FFFFFF"/>
        </w:rPr>
        <w:t>（产品名称1）</w:t>
      </w:r>
      <w:r>
        <w:rPr>
          <w:rStyle w:val="62"/>
          <w:rFonts w:hint="eastAsia"/>
          <w:color w:val="333333"/>
          <w:shd w:val="clear" w:color="auto" w:fill="FFFFFF"/>
          <w:vertAlign w:val="superscript"/>
        </w:rPr>
        <w:t>1</w:t>
      </w:r>
      <w:r>
        <w:rPr>
          <w:rFonts w:hint="eastAsia"/>
          <w:color w:val="333333"/>
          <w:shd w:val="clear" w:color="auto" w:fill="FFFFFF"/>
        </w:rPr>
        <w:t>，生产厂为</w:t>
      </w:r>
      <w:r>
        <w:rPr>
          <w:rStyle w:val="62"/>
          <w:rFonts w:hint="eastAsia"/>
          <w:color w:val="333333"/>
          <w:u w:val="single"/>
          <w:shd w:val="clear" w:color="auto" w:fill="FFFFFF"/>
        </w:rPr>
        <w:t>（厂名）</w:t>
      </w:r>
      <w:r>
        <w:rPr>
          <w:rStyle w:val="62"/>
          <w:rFonts w:hint="eastAsia"/>
          <w:color w:val="333333"/>
          <w:shd w:val="clear" w:color="auto" w:fill="FFFFFF"/>
          <w:vertAlign w:val="superscript"/>
        </w:rPr>
        <w:t>2</w:t>
      </w:r>
      <w:r>
        <w:rPr>
          <w:rFonts w:hint="eastAsia"/>
          <w:color w:val="333333"/>
          <w:shd w:val="clear" w:color="auto" w:fill="FFFFFF"/>
        </w:rPr>
        <w:t>，厂址为</w:t>
      </w:r>
      <w:r>
        <w:rPr>
          <w:rStyle w:val="62"/>
          <w:rFonts w:hint="eastAsia"/>
          <w:color w:val="333333"/>
          <w:u w:val="single"/>
          <w:shd w:val="clear" w:color="auto" w:fill="FFFFFF"/>
        </w:rPr>
        <w:t>（生产厂址）</w:t>
      </w:r>
      <w:r>
        <w:rPr>
          <w:rFonts w:hint="eastAsia"/>
          <w:color w:val="333333"/>
          <w:shd w:val="clear" w:color="auto" w:fill="FFFFFF"/>
        </w:rPr>
        <w:t>。</w:t>
      </w:r>
      <w:r>
        <w:rPr>
          <w:rStyle w:val="62"/>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62"/>
          <w:rFonts w:hint="eastAsia"/>
          <w:color w:val="333333"/>
          <w:u w:val="single"/>
          <w:shd w:val="clear" w:color="auto" w:fill="FFFFFF"/>
        </w:rPr>
        <w:t>（规定比例）</w:t>
      </w:r>
      <w:r>
        <w:rPr>
          <w:rStyle w:val="62"/>
          <w:rFonts w:hint="eastAsia"/>
          <w:color w:val="333333"/>
          <w:shd w:val="clear" w:color="auto" w:fill="FFFFFF"/>
          <w:vertAlign w:val="superscript"/>
        </w:rPr>
        <w:t>3</w:t>
      </w:r>
      <w:r>
        <w:rPr>
          <w:rFonts w:hint="eastAsia"/>
          <w:color w:val="333333"/>
          <w:shd w:val="clear" w:color="auto" w:fill="FFFFFF"/>
        </w:rPr>
        <w:t>。</w:t>
      </w:r>
      <w:r>
        <w:rPr>
          <w:rStyle w:val="62"/>
          <w:rFonts w:hint="eastAsia"/>
          <w:color w:val="333333"/>
          <w:u w:val="single"/>
          <w:shd w:val="clear" w:color="auto" w:fill="FFFFFF"/>
        </w:rPr>
        <w:t>（产品名称1）</w:t>
      </w:r>
      <w:r>
        <w:rPr>
          <w:rFonts w:hint="eastAsia"/>
          <w:color w:val="333333"/>
          <w:shd w:val="clear" w:color="auto" w:fill="FFFFFF"/>
        </w:rPr>
        <w:t>的</w:t>
      </w:r>
      <w:r>
        <w:rPr>
          <w:rStyle w:val="62"/>
          <w:rFonts w:hint="eastAsia"/>
          <w:color w:val="333333"/>
          <w:u w:val="single"/>
          <w:shd w:val="clear" w:color="auto" w:fill="FFFFFF"/>
        </w:rPr>
        <w:t>（关键组件）</w:t>
      </w:r>
      <w:r>
        <w:rPr>
          <w:rStyle w:val="62"/>
          <w:rFonts w:hint="eastAsia"/>
          <w:color w:val="333333"/>
          <w:shd w:val="clear" w:color="auto" w:fill="FFFFFF"/>
          <w:vertAlign w:val="superscript"/>
        </w:rPr>
        <w:t>4</w:t>
      </w:r>
      <w:r>
        <w:rPr>
          <w:rFonts w:hint="eastAsia"/>
          <w:color w:val="333333"/>
          <w:shd w:val="clear" w:color="auto" w:fill="FFFFFF"/>
        </w:rPr>
        <w:t>在中国境内生产。</w:t>
      </w:r>
      <w:r>
        <w:rPr>
          <w:rStyle w:val="62"/>
          <w:rFonts w:hint="eastAsia"/>
          <w:color w:val="333333"/>
          <w:u w:val="single"/>
          <w:shd w:val="clear" w:color="auto" w:fill="FFFFFF"/>
        </w:rPr>
        <w:t>（产品名称1）</w:t>
      </w:r>
      <w:r>
        <w:rPr>
          <w:rFonts w:hint="eastAsia"/>
          <w:color w:val="333333"/>
          <w:shd w:val="clear" w:color="auto" w:fill="FFFFFF"/>
        </w:rPr>
        <w:t>的</w:t>
      </w:r>
      <w:r>
        <w:rPr>
          <w:rStyle w:val="62"/>
          <w:rFonts w:hint="eastAsia"/>
          <w:color w:val="333333"/>
          <w:u w:val="single"/>
          <w:shd w:val="clear" w:color="auto" w:fill="FFFFFF"/>
        </w:rPr>
        <w:t>（关键工序）</w:t>
      </w:r>
      <w:r>
        <w:rPr>
          <w:rStyle w:val="62"/>
          <w:rFonts w:hint="eastAsia"/>
          <w:color w:val="333333"/>
          <w:shd w:val="clear" w:color="auto" w:fill="FFFFFF"/>
          <w:vertAlign w:val="superscript"/>
        </w:rPr>
        <w:t>5</w:t>
      </w:r>
      <w:r>
        <w:rPr>
          <w:rFonts w:hint="eastAsia"/>
          <w:color w:val="333333"/>
          <w:shd w:val="clear" w:color="auto" w:fill="FFFFFF"/>
        </w:rPr>
        <w:t>在中国境内完成。</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62"/>
          <w:rFonts w:hint="eastAsia"/>
          <w:color w:val="333333"/>
          <w:u w:val="single"/>
          <w:shd w:val="clear" w:color="auto" w:fill="FFFFFF"/>
        </w:rPr>
        <w:t>（产品名称2）</w:t>
      </w:r>
      <w:r>
        <w:rPr>
          <w:rFonts w:hint="eastAsia"/>
          <w:color w:val="333333"/>
          <w:shd w:val="clear" w:color="auto" w:fill="FFFFFF"/>
        </w:rPr>
        <w:t>，生产厂为</w:t>
      </w:r>
      <w:r>
        <w:rPr>
          <w:rStyle w:val="62"/>
          <w:rFonts w:hint="eastAsia"/>
          <w:color w:val="333333"/>
          <w:u w:val="single"/>
          <w:shd w:val="clear" w:color="auto" w:fill="FFFFFF"/>
        </w:rPr>
        <w:t>（厂名）</w:t>
      </w:r>
      <w:r>
        <w:rPr>
          <w:rFonts w:hint="eastAsia"/>
          <w:color w:val="333333"/>
          <w:shd w:val="clear" w:color="auto" w:fill="FFFFFF"/>
        </w:rPr>
        <w:t>，厂址为</w:t>
      </w:r>
      <w:r>
        <w:rPr>
          <w:rStyle w:val="62"/>
          <w:rFonts w:hint="eastAsia"/>
          <w:color w:val="333333"/>
          <w:u w:val="single"/>
          <w:shd w:val="clear" w:color="auto" w:fill="FFFFFF"/>
        </w:rPr>
        <w:t>（生产厂址）</w:t>
      </w:r>
      <w:r>
        <w:rPr>
          <w:rFonts w:hint="eastAsia"/>
          <w:color w:val="333333"/>
          <w:shd w:val="clear" w:color="auto" w:fill="FFFFFF"/>
        </w:rPr>
        <w:t>。</w:t>
      </w:r>
      <w:r>
        <w:rPr>
          <w:rStyle w:val="62"/>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62"/>
          <w:rFonts w:hint="eastAsia"/>
          <w:color w:val="333333"/>
          <w:u w:val="single"/>
          <w:shd w:val="clear" w:color="auto" w:fill="FFFFFF"/>
        </w:rPr>
        <w:t>（规定比例）</w:t>
      </w:r>
      <w:r>
        <w:rPr>
          <w:rFonts w:hint="eastAsia"/>
          <w:color w:val="333333"/>
          <w:shd w:val="clear" w:color="auto" w:fill="FFFFFF"/>
        </w:rPr>
        <w:t>。</w:t>
      </w:r>
      <w:r>
        <w:rPr>
          <w:rStyle w:val="62"/>
          <w:rFonts w:hint="eastAsia"/>
          <w:color w:val="333333"/>
          <w:u w:val="single"/>
          <w:shd w:val="clear" w:color="auto" w:fill="FFFFFF"/>
        </w:rPr>
        <w:t>（产品名称2）</w:t>
      </w:r>
      <w:r>
        <w:rPr>
          <w:rFonts w:hint="eastAsia"/>
          <w:color w:val="333333"/>
          <w:shd w:val="clear" w:color="auto" w:fill="FFFFFF"/>
        </w:rPr>
        <w:t>的</w:t>
      </w:r>
      <w:r>
        <w:rPr>
          <w:rStyle w:val="62"/>
          <w:rFonts w:hint="eastAsia"/>
          <w:color w:val="333333"/>
          <w:u w:val="single"/>
          <w:shd w:val="clear" w:color="auto" w:fill="FFFFFF"/>
        </w:rPr>
        <w:t>（关键组件）</w:t>
      </w:r>
      <w:r>
        <w:rPr>
          <w:rFonts w:hint="eastAsia"/>
          <w:color w:val="333333"/>
          <w:shd w:val="clear" w:color="auto" w:fill="FFFFFF"/>
        </w:rPr>
        <w:t>在中国境内生产。</w:t>
      </w:r>
      <w:r>
        <w:rPr>
          <w:rStyle w:val="62"/>
          <w:rFonts w:hint="eastAsia"/>
          <w:color w:val="333333"/>
          <w:u w:val="single"/>
          <w:shd w:val="clear" w:color="auto" w:fill="FFFFFF"/>
        </w:rPr>
        <w:t>（产品名称2）</w:t>
      </w:r>
      <w:r>
        <w:rPr>
          <w:rFonts w:hint="eastAsia"/>
          <w:color w:val="333333"/>
          <w:shd w:val="clear" w:color="auto" w:fill="FFFFFF"/>
        </w:rPr>
        <w:t>的</w:t>
      </w:r>
      <w:r>
        <w:rPr>
          <w:rStyle w:val="62"/>
          <w:rFonts w:hint="eastAsia"/>
          <w:color w:val="333333"/>
          <w:u w:val="single"/>
          <w:shd w:val="clear" w:color="auto" w:fill="FFFFFF"/>
        </w:rPr>
        <w:t>（关键工序）</w:t>
      </w:r>
      <w:r>
        <w:rPr>
          <w:rFonts w:hint="eastAsia"/>
          <w:color w:val="333333"/>
          <w:shd w:val="clear" w:color="auto" w:fill="FFFFFF"/>
        </w:rPr>
        <w:t>在中国境内完成。</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9"/>
        <w:shd w:val="clear" w:color="auto" w:fill="FFFFFF"/>
        <w:spacing w:before="0" w:beforeAutospacing="0" w:after="0" w:afterAutospacing="0" w:line="360" w:lineRule="auto"/>
        <w:rPr>
          <w:color w:val="333333"/>
        </w:rPr>
      </w:pPr>
    </w:p>
    <w:p>
      <w:pPr>
        <w:pStyle w:val="49"/>
        <w:shd w:val="clear" w:color="auto" w:fill="FFFFFF"/>
        <w:spacing w:before="0" w:beforeAutospacing="0" w:after="0" w:afterAutospacing="0" w:line="360" w:lineRule="auto"/>
        <w:jc w:val="right"/>
        <w:rPr>
          <w:color w:val="333333"/>
          <w:shd w:val="clear" w:color="auto" w:fill="FFFFFF"/>
        </w:rPr>
      </w:pP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9"/>
        <w:shd w:val="clear" w:color="auto" w:fill="FFFFFF"/>
        <w:spacing w:before="0" w:beforeAutospacing="0" w:after="0" w:afterAutospacing="0" w:line="360" w:lineRule="auto"/>
        <w:rPr>
          <w:color w:val="333333"/>
          <w:shd w:val="clear" w:color="auto" w:fill="FFFFFF"/>
        </w:rPr>
      </w:pPr>
    </w:p>
    <w:p>
      <w:pPr>
        <w:pStyle w:val="49"/>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9"/>
        <w:shd w:val="clear" w:color="auto" w:fill="FFFFFF"/>
        <w:spacing w:before="30" w:beforeAutospacing="0" w:after="30" w:afterAutospacing="0"/>
        <w:jc w:val="center"/>
        <w:rPr>
          <w:rStyle w:val="59"/>
          <w:sz w:val="36"/>
          <w:szCs w:val="36"/>
        </w:rPr>
      </w:pPr>
      <w:r>
        <w:rPr>
          <w:rStyle w:val="59"/>
          <w:rFonts w:hint="eastAsia"/>
          <w:sz w:val="36"/>
          <w:szCs w:val="36"/>
        </w:rPr>
        <w:t>所投产品成本汇总信息</w:t>
      </w:r>
    </w:p>
    <w:p>
      <w:pPr>
        <w:pStyle w:val="49"/>
        <w:shd w:val="clear" w:color="auto" w:fill="FFFFFF"/>
        <w:spacing w:before="30" w:beforeAutospacing="0" w:after="30" w:afterAutospacing="0"/>
        <w:rPr>
          <w:rStyle w:val="59"/>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9"/>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8"/>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5"/>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61"/>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jc w:val="center"/>
              <w:rPr>
                <w:color w:val="000000" w:themeColor="text1"/>
                <w:sz w:val="24"/>
                <w14:textFill>
                  <w14:solidFill>
                    <w14:schemeClr w14:val="tx1"/>
                  </w14:solidFill>
                </w14:textFill>
              </w:rPr>
            </w:pPr>
          </w:p>
        </w:tc>
        <w:tc>
          <w:tcPr>
            <w:tcW w:w="1125" w:type="dxa"/>
            <w:vAlign w:val="center"/>
          </w:tcPr>
          <w:p>
            <w:pPr>
              <w:pStyle w:val="261"/>
              <w:jc w:val="center"/>
              <w:rPr>
                <w:color w:val="000000" w:themeColor="text1"/>
                <w:sz w:val="30"/>
                <w14:textFill>
                  <w14:solidFill>
                    <w14:schemeClr w14:val="tx1"/>
                  </w14:solidFill>
                </w14:textFill>
              </w:rPr>
            </w:pPr>
          </w:p>
        </w:tc>
        <w:tc>
          <w:tcPr>
            <w:tcW w:w="1561" w:type="dxa"/>
            <w:vAlign w:val="center"/>
          </w:tcPr>
          <w:p>
            <w:pPr>
              <w:pStyle w:val="261"/>
              <w:jc w:val="center"/>
              <w:rPr>
                <w:color w:val="000000" w:themeColor="text1"/>
                <w:sz w:val="30"/>
                <w14:textFill>
                  <w14:solidFill>
                    <w14:schemeClr w14:val="tx1"/>
                  </w14:solidFill>
                </w14:textFill>
              </w:rPr>
            </w:pP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1"/>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2"/>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2"/>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2"/>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2"/>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2"/>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2"/>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2"/>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2"/>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9"/>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bl>
    <w:p>
      <w:pPr>
        <w:pStyle w:val="22"/>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2"/>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2"/>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9"/>
        <w:jc w:val="left"/>
        <w:rPr>
          <w:rFonts w:ascii="宋体" w:hAnsi="宋体" w:eastAsia="宋体"/>
          <w:b w:val="0"/>
          <w:sz w:val="24"/>
          <w:szCs w:val="24"/>
        </w:rPr>
      </w:pPr>
      <w:bookmarkStart w:id="954" w:name="_Toc1455919030"/>
      <w:bookmarkStart w:id="955" w:name="_Toc6182"/>
      <w:r>
        <w:rPr>
          <w:rFonts w:ascii="宋体" w:hAnsi="宋体" w:eastAsia="宋体"/>
          <w:b w:val="0"/>
          <w:sz w:val="24"/>
          <w:szCs w:val="24"/>
        </w:rPr>
        <w:t>10</w:t>
      </w:r>
      <w:r>
        <w:rPr>
          <w:rFonts w:hint="eastAsia" w:ascii="宋体" w:hAnsi="宋体" w:eastAsia="宋体"/>
          <w:b w:val="0"/>
          <w:sz w:val="24"/>
          <w:szCs w:val="24"/>
        </w:rPr>
        <w:t>-2 业绩证明材料</w:t>
      </w:r>
      <w:bookmarkEnd w:id="954"/>
      <w:bookmarkEnd w:id="955"/>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5"/>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7"/>
        <w:spacing w:line="360" w:lineRule="auto"/>
        <w:ind w:firstLine="720" w:firstLineChars="300"/>
        <w:rPr>
          <w:rFonts w:hAnsi="宋体" w:cs="宋体"/>
          <w:color w:val="000000" w:themeColor="text1"/>
          <w14:textFill>
            <w14:solidFill>
              <w14:schemeClr w14:val="tx1"/>
            </w14:solidFill>
          </w14:textFill>
        </w:rPr>
      </w:pPr>
      <w:bookmarkStart w:id="956" w:name="OLE_LINK195"/>
      <w:r>
        <w:rPr>
          <w:rFonts w:hint="eastAsia" w:hAnsi="宋体" w:cs="宋体"/>
          <w:color w:val="000000" w:themeColor="text1"/>
          <w14:textFill>
            <w14:solidFill>
              <w14:schemeClr w14:val="tx1"/>
            </w14:solidFill>
          </w14:textFill>
        </w:rPr>
        <w:t>说明：</w:t>
      </w:r>
    </w:p>
    <w:p>
      <w:pPr>
        <w:pStyle w:val="7"/>
        <w:numPr>
          <w:ilvl w:val="0"/>
          <w:numId w:val="18"/>
        </w:numPr>
        <w:spacing w:line="360" w:lineRule="auto"/>
        <w:rPr>
          <w:rFonts w:hAnsi="宋体" w:cs="宋体"/>
          <w:color w:val="000000" w:themeColor="text1"/>
          <w14:textFill>
            <w14:solidFill>
              <w14:schemeClr w14:val="tx1"/>
            </w14:solidFill>
          </w14:textFill>
        </w:rPr>
      </w:pPr>
      <w:bookmarkStart w:id="957" w:name="OLE_LINK194"/>
      <w:r>
        <w:rPr>
          <w:rFonts w:hint="eastAsia" w:hAnsi="宋体" w:cs="宋体"/>
        </w:rPr>
        <w:t>详见评分表中对于</w:t>
      </w:r>
      <w:r>
        <w:rPr>
          <w:rFonts w:hint="eastAsia" w:hAnsi="宋体" w:cs="宋体"/>
          <w:kern w:val="0"/>
        </w:rPr>
        <w:t>类似项目业绩要求（以合同签约日期为准）</w:t>
      </w:r>
      <w:r>
        <w:rPr>
          <w:rFonts w:hint="eastAsia" w:hAnsi="宋体" w:cs="宋体"/>
          <w:color w:val="000000" w:themeColor="text1"/>
          <w14:textFill>
            <w14:solidFill>
              <w14:schemeClr w14:val="tx1"/>
            </w14:solidFill>
          </w14:textFill>
        </w:rPr>
        <w:t>。</w:t>
      </w:r>
    </w:p>
    <w:p>
      <w:pPr>
        <w:pStyle w:val="7"/>
        <w:spacing w:line="360" w:lineRule="auto"/>
        <w:ind w:left="1080" w:firstLine="0"/>
        <w:rPr>
          <w:rFonts w:hAnsi="宋体"/>
          <w:color w:val="000000" w:themeColor="text1"/>
          <w14:textFill>
            <w14:solidFill>
              <w14:schemeClr w14:val="tx1"/>
            </w14:solidFill>
          </w14:textFill>
        </w:rPr>
      </w:pPr>
      <w:r>
        <w:rPr>
          <w:rFonts w:hint="eastAsia" w:hAnsi="宋体" w:cs="宋体"/>
        </w:rPr>
        <w:t>应提供其证明材料（</w:t>
      </w:r>
      <w:r>
        <w:rPr>
          <w:rFonts w:hint="eastAsia" w:hAnsi="宋体" w:cs="宋体"/>
          <w:bCs/>
          <w:szCs w:val="21"/>
        </w:rPr>
        <w:t>至少包括首页、服务内容页、金额页和双方盖章页等合同关键页复印件并加盖投标人公章</w:t>
      </w:r>
      <w:r>
        <w:rPr>
          <w:rFonts w:hint="eastAsia" w:hAnsi="宋体" w:cs="宋体"/>
        </w:rPr>
        <w:t>）</w:t>
      </w:r>
      <w:r>
        <w:rPr>
          <w:rFonts w:hint="eastAsia" w:hAnsi="宋体"/>
          <w:color w:val="000000" w:themeColor="text1"/>
          <w14:textFill>
            <w14:solidFill>
              <w14:schemeClr w14:val="tx1"/>
            </w14:solidFill>
          </w14:textFill>
        </w:rPr>
        <w:t>。</w:t>
      </w:r>
    </w:p>
    <w:p>
      <w:pPr>
        <w:pStyle w:val="7"/>
        <w:spacing w:line="360" w:lineRule="auto"/>
        <w:ind w:firstLine="720" w:firstLineChars="3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56"/>
      <w:bookmarkEnd w:id="957"/>
    </w:p>
    <w:p>
      <w:pPr>
        <w:pStyle w:val="30"/>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9"/>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58" w:name="_Toc188382274"/>
      <w:r>
        <w:rPr>
          <w:rFonts w:ascii="宋体" w:hAnsi="宋体" w:eastAsia="宋体"/>
          <w:b w:val="0"/>
          <w:sz w:val="24"/>
          <w:szCs w:val="24"/>
        </w:rPr>
        <w:t>10</w:t>
      </w:r>
      <w:r>
        <w:rPr>
          <w:rFonts w:hint="eastAsia" w:ascii="宋体" w:hAnsi="宋体" w:eastAsia="宋体"/>
          <w:b w:val="0"/>
          <w:sz w:val="24"/>
          <w:szCs w:val="24"/>
        </w:rPr>
        <w:t>-3 招标文件要求提供的其他资料（如有）</w:t>
      </w:r>
    </w:p>
    <w:p>
      <w:pPr>
        <w:widowControl/>
        <w:spacing w:line="360" w:lineRule="auto"/>
        <w:jc w:val="left"/>
        <w:rPr>
          <w:rFonts w:ascii="宋体" w:hAnsi="宋体" w:cs="宋体"/>
          <w:b/>
          <w:color w:val="000000" w:themeColor="text1"/>
          <w:kern w:val="0"/>
          <w:sz w:val="28"/>
          <w:szCs w:val="20"/>
          <w14:textFill>
            <w14:solidFill>
              <w14:schemeClr w14:val="tx1"/>
            </w14:solidFill>
          </w14:textFill>
        </w:rPr>
      </w:pPr>
      <w:r>
        <w:rPr>
          <w:rFonts w:ascii="宋体" w:hAnsi="宋体" w:cs="宋体"/>
          <w:color w:val="000000" w:themeColor="text1"/>
          <w14:textFill>
            <w14:solidFill>
              <w14:schemeClr w14:val="tx1"/>
            </w14:solidFill>
          </w14:textFill>
        </w:rPr>
        <w:br w:type="page"/>
      </w:r>
    </w:p>
    <w:p>
      <w:pPr>
        <w:pStyle w:val="9"/>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58"/>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59" w:name="OLE_LINK6"/>
      <w:r>
        <w:rPr>
          <w:rFonts w:hint="eastAsia" w:ascii="宋体" w:hAnsi="宋体" w:cs="仿宋_GB2312"/>
          <w:b/>
          <w:bCs/>
          <w:color w:val="000000" w:themeColor="text1"/>
          <w:sz w:val="24"/>
          <w14:textFill>
            <w14:solidFill>
              <w14:schemeClr w14:val="tx1"/>
            </w14:solidFill>
          </w14:textFill>
        </w:rPr>
        <w:t>具体详见附录8</w:t>
      </w:r>
      <w:bookmarkEnd w:id="959"/>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5"/>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60" w:name="_Toc199921595"/>
      <w:bookmarkStart w:id="961" w:name="_Toc209958510"/>
      <w:bookmarkStart w:id="962" w:name="_Toc218620576"/>
      <w:bookmarkStart w:id="963" w:name="_Toc624"/>
      <w:r>
        <w:rPr>
          <w:rFonts w:hint="eastAsia" w:hAnsi="宋体" w:cs="宋体"/>
          <w:bCs/>
          <w:sz w:val="24"/>
          <w:szCs w:val="24"/>
        </w:rPr>
        <w:t>附录1：政府采购促进中小企业发展管理办法</w:t>
      </w:r>
      <w:bookmarkEnd w:id="960"/>
      <w:bookmarkEnd w:id="961"/>
      <w:bookmarkEnd w:id="962"/>
      <w:bookmarkEnd w:id="963"/>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64" w:name="page2"/>
      <w:bookmarkEnd w:id="964"/>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65" w:name="page3"/>
      <w:bookmarkEnd w:id="965"/>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66" w:name="page4"/>
      <w:bookmarkEnd w:id="966"/>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67" w:name="page5"/>
      <w:bookmarkEnd w:id="967"/>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68" w:name="page6"/>
      <w:bookmarkEnd w:id="968"/>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69" w:name="page7"/>
      <w:bookmarkEnd w:id="969"/>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2"/>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70" w:name="_Toc445916627"/>
      <w:bookmarkStart w:id="971" w:name="_Toc447223799"/>
      <w:bookmarkStart w:id="972" w:name="_Toc445984998"/>
      <w:bookmarkStart w:id="973" w:name="_Toc497489391"/>
      <w:bookmarkStart w:id="974" w:name="_Toc21554"/>
      <w:bookmarkStart w:id="975" w:name="_Toc12674"/>
      <w:bookmarkStart w:id="976" w:name="_Toc20829"/>
      <w:r>
        <w:rPr>
          <w:rFonts w:hint="eastAsia" w:ascii="宋体" w:hAnsi="宋体" w:cs="宋体"/>
          <w:bCs/>
        </w:rPr>
        <w:br w:type="page"/>
      </w:r>
    </w:p>
    <w:p>
      <w:pPr>
        <w:pStyle w:val="5"/>
        <w:tabs>
          <w:tab w:val="left" w:pos="432"/>
        </w:tabs>
        <w:jc w:val="left"/>
        <w:rPr>
          <w:rFonts w:hAnsi="宋体" w:cs="宋体"/>
          <w:bCs/>
          <w:sz w:val="24"/>
          <w:szCs w:val="24"/>
        </w:rPr>
      </w:pPr>
      <w:bookmarkStart w:id="977" w:name="_Toc105425452"/>
      <w:bookmarkStart w:id="978" w:name="_Toc199921596"/>
      <w:bookmarkStart w:id="979" w:name="_Toc218620577"/>
      <w:bookmarkStart w:id="980" w:name="_Toc15435094"/>
      <w:bookmarkStart w:id="981" w:name="_Toc85461450"/>
      <w:bookmarkStart w:id="982" w:name="_Toc92789350"/>
      <w:bookmarkStart w:id="983" w:name="_Toc102058323"/>
      <w:bookmarkStart w:id="984" w:name="_Toc50760979"/>
      <w:bookmarkStart w:id="985" w:name="_Toc1628643191"/>
      <w:bookmarkStart w:id="986" w:name="_Toc8999377"/>
      <w:bookmarkStart w:id="987" w:name="_Toc16436"/>
      <w:bookmarkStart w:id="988" w:name="_Toc101191899"/>
      <w:bookmarkStart w:id="989" w:name="_Toc209958511"/>
      <w:bookmarkStart w:id="990" w:name="_Toc83722638"/>
      <w:r>
        <w:rPr>
          <w:rFonts w:hint="eastAsia" w:hAnsi="宋体" w:cs="宋体"/>
          <w:bCs/>
          <w:sz w:val="24"/>
          <w:szCs w:val="24"/>
        </w:rPr>
        <w:t>附录2：关于印发中小企业划型标准规定的通知</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9"/>
        <w:spacing w:line="360" w:lineRule="auto"/>
        <w:ind w:firstLine="480"/>
        <w:rPr>
          <w:sz w:val="21"/>
          <w:szCs w:val="21"/>
        </w:rPr>
      </w:pPr>
      <w:r>
        <w:rPr>
          <w:rFonts w:hint="eastAsia"/>
          <w:sz w:val="21"/>
          <w:szCs w:val="21"/>
        </w:rPr>
        <w:t>各省、自治区、直辖市人民政府，国务院各部委、各直属机构及有关单位：</w:t>
      </w:r>
    </w:p>
    <w:p>
      <w:pPr>
        <w:pStyle w:val="49"/>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9"/>
        <w:spacing w:line="360" w:lineRule="auto"/>
        <w:ind w:firstLine="480"/>
        <w:rPr>
          <w:sz w:val="21"/>
          <w:szCs w:val="21"/>
        </w:rPr>
      </w:pPr>
      <w:r>
        <w:rPr>
          <w:rFonts w:hint="eastAsia"/>
          <w:sz w:val="21"/>
          <w:szCs w:val="21"/>
        </w:rPr>
        <w:t>　　　　　　　　　　　　　　　　　　     　工业和信息化部　国家统计局</w:t>
      </w:r>
    </w:p>
    <w:p>
      <w:pPr>
        <w:pStyle w:val="49"/>
        <w:spacing w:line="360" w:lineRule="auto"/>
        <w:ind w:firstLine="480"/>
        <w:rPr>
          <w:sz w:val="21"/>
          <w:szCs w:val="21"/>
        </w:rPr>
      </w:pPr>
      <w:r>
        <w:rPr>
          <w:rFonts w:hint="eastAsia"/>
          <w:sz w:val="21"/>
          <w:szCs w:val="21"/>
        </w:rPr>
        <w:t>　　　　　　　　　　　　　　　　           国家发展和改革委员会　财政部</w:t>
      </w:r>
    </w:p>
    <w:p>
      <w:pPr>
        <w:pStyle w:val="49"/>
        <w:spacing w:line="360" w:lineRule="auto"/>
        <w:ind w:firstLine="480"/>
        <w:rPr>
          <w:sz w:val="21"/>
          <w:szCs w:val="21"/>
        </w:rPr>
      </w:pPr>
      <w:r>
        <w:rPr>
          <w:rFonts w:hint="eastAsia"/>
          <w:sz w:val="21"/>
          <w:szCs w:val="21"/>
        </w:rPr>
        <w:t>　　　　　　　　　　　　　　　　　　　　  　二○一一年六月十八日</w:t>
      </w:r>
    </w:p>
    <w:p>
      <w:pPr>
        <w:pStyle w:val="49"/>
        <w:spacing w:line="360" w:lineRule="auto"/>
        <w:ind w:firstLine="480"/>
        <w:jc w:val="center"/>
      </w:pPr>
      <w:r>
        <w:rPr>
          <w:rStyle w:val="59"/>
          <w:rFonts w:hint="eastAsia"/>
        </w:rPr>
        <w:t>中小企业划型标准规定</w:t>
      </w:r>
    </w:p>
    <w:p>
      <w:pPr>
        <w:numPr>
          <w:ilvl w:val="0"/>
          <w:numId w:val="19"/>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9"/>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9"/>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9"/>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991" w:name="OLE_LINK23"/>
      <w:bookmarkStart w:id="992"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1"/>
      <w:bookmarkEnd w:id="992"/>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9"/>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9"/>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9"/>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9"/>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5"/>
        <w:tabs>
          <w:tab w:val="left" w:pos="432"/>
        </w:tabs>
        <w:jc w:val="left"/>
        <w:rPr>
          <w:rFonts w:hAnsi="宋体" w:cs="宋体"/>
          <w:bCs/>
          <w:sz w:val="24"/>
          <w:szCs w:val="24"/>
        </w:rPr>
      </w:pPr>
      <w:bookmarkStart w:id="993" w:name="_Toc102058324"/>
      <w:bookmarkStart w:id="994" w:name="_Toc15435095"/>
      <w:bookmarkStart w:id="995" w:name="_Toc101191900"/>
      <w:bookmarkStart w:id="996" w:name="_Toc92789351"/>
      <w:bookmarkStart w:id="997" w:name="_Toc8999378"/>
      <w:bookmarkStart w:id="998" w:name="_Toc85461451"/>
      <w:bookmarkStart w:id="999" w:name="_Toc105425453"/>
      <w:bookmarkStart w:id="1000" w:name="_Toc779546475"/>
      <w:bookmarkStart w:id="1001" w:name="_Toc8212"/>
      <w:bookmarkStart w:id="1002" w:name="_Toc50760980"/>
      <w:bookmarkStart w:id="1003" w:name="_Toc497489392"/>
      <w:bookmarkStart w:id="1004" w:name="_Toc83722639"/>
      <w:r>
        <w:rPr>
          <w:rFonts w:hint="eastAsia" w:hAnsi="宋体" w:cs="宋体"/>
          <w:bCs/>
          <w:sz w:val="24"/>
          <w:szCs w:val="24"/>
        </w:rPr>
        <w:br w:type="page"/>
      </w:r>
      <w:bookmarkStart w:id="1005" w:name="_Toc209958512"/>
      <w:bookmarkStart w:id="1006" w:name="_Toc199921597"/>
      <w:bookmarkStart w:id="1007" w:name="_Toc18061"/>
      <w:bookmarkStart w:id="1008" w:name="_Toc218620578"/>
      <w:r>
        <w:rPr>
          <w:rFonts w:hint="eastAsia" w:hAnsi="宋体" w:cs="宋体"/>
          <w:bCs/>
          <w:sz w:val="24"/>
          <w:szCs w:val="24"/>
        </w:rPr>
        <w:t>附录3：财政部 民政部 中国残疾人联合会关于促进残疾人就业政府采购政策的通知</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9"/>
        <w:shd w:val="clear" w:color="auto" w:fill="FFFFFF"/>
        <w:spacing w:before="0" w:beforeAutospacing="0" w:after="0" w:afterAutospacing="0" w:line="360" w:lineRule="auto"/>
        <w:ind w:firstLine="480"/>
        <w:jc w:val="both"/>
        <w:rPr>
          <w:sz w:val="21"/>
          <w:szCs w:val="21"/>
        </w:rPr>
      </w:pPr>
      <w:bookmarkStart w:id="1009"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09"/>
      <w:r>
        <w:rPr>
          <w:rFonts w:hint="eastAsia"/>
          <w:sz w:val="21"/>
          <w:szCs w:val="21"/>
        </w:rPr>
        <w:t>：</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9"/>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9"/>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5"/>
        <w:tabs>
          <w:tab w:val="left" w:pos="432"/>
        </w:tabs>
        <w:spacing w:line="360" w:lineRule="auto"/>
        <w:jc w:val="left"/>
        <w:rPr>
          <w:rFonts w:hAnsi="宋体" w:cs="宋体"/>
          <w:bCs/>
          <w:sz w:val="24"/>
          <w:szCs w:val="24"/>
        </w:rPr>
      </w:pPr>
      <w:bookmarkStart w:id="1010" w:name="_Toc218620579"/>
      <w:bookmarkStart w:id="1011" w:name="_Toc209958513"/>
      <w:bookmarkStart w:id="1012" w:name="_Toc199921598"/>
      <w:r>
        <w:rPr>
          <w:rFonts w:hint="eastAsia" w:hAnsi="宋体" w:cs="宋体"/>
          <w:bCs/>
          <w:sz w:val="24"/>
          <w:szCs w:val="24"/>
        </w:rPr>
        <w:t>附录4：财政部 司法部 关于政府采购支持监狱企业发展有关问题的通知</w:t>
      </w:r>
      <w:bookmarkEnd w:id="1010"/>
      <w:bookmarkEnd w:id="1011"/>
      <w:bookmarkEnd w:id="1012"/>
      <w:r>
        <w:rPr>
          <w:rFonts w:hint="eastAsia" w:hAnsi="宋体" w:cs="宋体"/>
          <w:bCs/>
          <w:sz w:val="24"/>
          <w:szCs w:val="24"/>
        </w:rPr>
        <w:t xml:space="preserve">  </w:t>
      </w:r>
    </w:p>
    <w:p>
      <w:pPr>
        <w:pStyle w:val="7"/>
        <w:snapToGrid w:val="0"/>
        <w:rPr>
          <w:rFonts w:hAnsi="宋体"/>
        </w:rPr>
      </w:pPr>
    </w:p>
    <w:p>
      <w:pPr>
        <w:pStyle w:val="7"/>
        <w:snapToGrid w:val="0"/>
        <w:ind w:firstLine="0"/>
        <w:jc w:val="center"/>
        <w:rPr>
          <w:rFonts w:hAnsi="宋体"/>
        </w:rPr>
      </w:pPr>
      <w:r>
        <w:rPr>
          <w:rFonts w:hint="eastAsia" w:hAnsi="宋体"/>
        </w:rPr>
        <w:t>2014年6月10日 财库〔2014〕68号</w:t>
      </w:r>
    </w:p>
    <w:p>
      <w:pPr>
        <w:pStyle w:val="7"/>
        <w:snapToGrid w:val="0"/>
        <w:rPr>
          <w:rFonts w:hAnsi="宋体"/>
        </w:rPr>
      </w:pPr>
    </w:p>
    <w:p>
      <w:pPr>
        <w:pStyle w:val="49"/>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9"/>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9"/>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9"/>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9"/>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9"/>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9"/>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5"/>
        <w:tabs>
          <w:tab w:val="left" w:pos="432"/>
        </w:tabs>
        <w:spacing w:line="360" w:lineRule="auto"/>
        <w:jc w:val="left"/>
        <w:rPr>
          <w:rFonts w:hAnsi="宋体" w:cs="宋体"/>
          <w:bCs/>
          <w:sz w:val="24"/>
          <w:szCs w:val="24"/>
        </w:rPr>
      </w:pPr>
      <w:bookmarkStart w:id="1013" w:name="_Toc199921599"/>
      <w:bookmarkStart w:id="1014" w:name="_Toc209958514"/>
      <w:bookmarkStart w:id="1015" w:name="_Toc218620580"/>
      <w:r>
        <w:rPr>
          <w:rFonts w:hint="eastAsia" w:hAnsi="宋体" w:cs="宋体"/>
          <w:bCs/>
          <w:sz w:val="24"/>
          <w:szCs w:val="24"/>
        </w:rPr>
        <w:t>附录5：关于进一步加大政府采购支持中小企业力度的通知</w:t>
      </w:r>
      <w:bookmarkEnd w:id="1013"/>
      <w:bookmarkEnd w:id="1014"/>
      <w:bookmarkEnd w:id="1015"/>
    </w:p>
    <w:p>
      <w:pPr>
        <w:jc w:val="center"/>
        <w:rPr>
          <w:rFonts w:ascii="宋体" w:hAnsi="宋体"/>
          <w:sz w:val="24"/>
        </w:rPr>
      </w:pPr>
      <w:r>
        <w:rPr>
          <w:rFonts w:hint="eastAsia" w:ascii="宋体" w:hAnsi="宋体"/>
          <w:sz w:val="24"/>
        </w:rPr>
        <w:t>财库〔2022〕19号</w:t>
      </w:r>
    </w:p>
    <w:p>
      <w:pPr>
        <w:pStyle w:val="49"/>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9"/>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9"/>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9"/>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9"/>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9"/>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9"/>
        <w:shd w:val="clear" w:color="auto" w:fill="FFFFFF"/>
        <w:spacing w:before="0" w:beforeAutospacing="0" w:after="225" w:afterAutospacing="0" w:line="360" w:lineRule="auto"/>
        <w:ind w:firstLine="480"/>
      </w:pPr>
      <w:r>
        <w:rPr>
          <w:rFonts w:hint="eastAsia"/>
        </w:rPr>
        <w:t>本通知自2022年7月1日起执行。</w:t>
      </w:r>
    </w:p>
    <w:p>
      <w:pPr>
        <w:pStyle w:val="49"/>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5"/>
        <w:tabs>
          <w:tab w:val="left" w:pos="432"/>
        </w:tabs>
        <w:spacing w:line="360" w:lineRule="auto"/>
        <w:jc w:val="left"/>
        <w:rPr>
          <w:rFonts w:hAnsi="宋体" w:cs="宋体"/>
          <w:bCs/>
          <w:sz w:val="24"/>
          <w:szCs w:val="24"/>
        </w:rPr>
      </w:pPr>
      <w:bookmarkStart w:id="1016" w:name="_Toc218620581"/>
      <w:bookmarkStart w:id="1017" w:name="_Toc199921600"/>
      <w:bookmarkStart w:id="1018" w:name="_Toc209958515"/>
      <w:bookmarkStart w:id="1019" w:name="_Toc92789352"/>
      <w:bookmarkStart w:id="1020" w:name="_Toc85461452"/>
      <w:bookmarkStart w:id="1021" w:name="_Toc83722640"/>
      <w:bookmarkStart w:id="1022" w:name="_Toc9219"/>
      <w:bookmarkStart w:id="1023" w:name="_Toc105425454"/>
      <w:bookmarkStart w:id="1024" w:name="_Toc39874978"/>
      <w:bookmarkStart w:id="1025" w:name="_Toc101191901"/>
      <w:bookmarkStart w:id="1026" w:name="_Toc102058325"/>
      <w:r>
        <w:rPr>
          <w:rFonts w:hint="eastAsia" w:hAnsi="宋体" w:cs="宋体"/>
          <w:bCs/>
          <w:sz w:val="24"/>
          <w:szCs w:val="24"/>
        </w:rPr>
        <w:t>附录6：财政部 发展改革委关于印发节能产品政府采购品目清单的通知</w:t>
      </w:r>
      <w:bookmarkEnd w:id="1016"/>
      <w:bookmarkEnd w:id="1017"/>
      <w:bookmarkEnd w:id="1018"/>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3"/>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4"/>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5"/>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6"/>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5"/>
        <w:tabs>
          <w:tab w:val="left" w:pos="432"/>
        </w:tabs>
        <w:spacing w:line="360" w:lineRule="auto"/>
        <w:jc w:val="left"/>
        <w:rPr>
          <w:rFonts w:hAnsi="宋体" w:cs="宋体"/>
          <w:bCs/>
          <w:sz w:val="24"/>
          <w:szCs w:val="24"/>
        </w:rPr>
      </w:pPr>
      <w:bookmarkStart w:id="1027" w:name="_Toc209958516"/>
      <w:bookmarkStart w:id="1028" w:name="_Toc199921601"/>
      <w:bookmarkStart w:id="1029" w:name="_Toc218620582"/>
      <w:r>
        <w:rPr>
          <w:rFonts w:hint="eastAsia" w:hAnsi="宋体" w:cs="宋体"/>
          <w:bCs/>
          <w:sz w:val="24"/>
          <w:szCs w:val="24"/>
        </w:rPr>
        <w:t>附录7：关于印发环境标志产品政府采购品目清单的通知</w:t>
      </w:r>
      <w:bookmarkEnd w:id="1027"/>
      <w:bookmarkEnd w:id="1028"/>
      <w:bookmarkEnd w:id="1029"/>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5"/>
        <w:tabs>
          <w:tab w:val="left" w:pos="432"/>
        </w:tabs>
        <w:spacing w:line="360" w:lineRule="auto"/>
        <w:jc w:val="left"/>
        <w:rPr>
          <w:rFonts w:hAnsi="宋体" w:cs="宋体"/>
          <w:bCs/>
          <w:sz w:val="24"/>
          <w:szCs w:val="24"/>
        </w:rPr>
      </w:pPr>
      <w:bookmarkStart w:id="1030" w:name="_Toc209958517"/>
      <w:bookmarkStart w:id="1031" w:name="_Toc199921602"/>
      <w:bookmarkStart w:id="1032" w:name="_Toc218620583"/>
      <w:r>
        <w:rPr>
          <w:rFonts w:hint="eastAsia" w:hAnsi="宋体" w:cs="宋体"/>
          <w:bCs/>
          <w:sz w:val="24"/>
          <w:szCs w:val="24"/>
        </w:rPr>
        <w:t>附录8：</w:t>
      </w:r>
      <w:bookmarkEnd w:id="1019"/>
      <w:bookmarkEnd w:id="1020"/>
      <w:bookmarkEnd w:id="1021"/>
      <w:r>
        <w:rPr>
          <w:rFonts w:hint="eastAsia" w:hAnsi="宋体" w:cs="宋体"/>
          <w:bCs/>
          <w:sz w:val="24"/>
          <w:szCs w:val="24"/>
        </w:rPr>
        <w:t>市场监管总局关于发布参与实施政府采购节能产品、环境标志产品认证机构名录的公告</w:t>
      </w:r>
      <w:bookmarkEnd w:id="1022"/>
      <w:bookmarkEnd w:id="1023"/>
      <w:bookmarkEnd w:id="1024"/>
      <w:bookmarkEnd w:id="1025"/>
      <w:bookmarkEnd w:id="1026"/>
      <w:bookmarkEnd w:id="1030"/>
      <w:bookmarkEnd w:id="1031"/>
      <w:bookmarkEnd w:id="1032"/>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9"/>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9"/>
        <w:spacing w:before="680" w:beforeAutospacing="0" w:after="632" w:afterAutospacing="0" w:line="360" w:lineRule="auto"/>
        <w:ind w:left="302" w:right="226" w:firstLine="480"/>
        <w:rPr>
          <w:sz w:val="21"/>
          <w:szCs w:val="21"/>
        </w:rPr>
      </w:pPr>
    </w:p>
    <w:p>
      <w:pPr>
        <w:pStyle w:val="49"/>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9"/>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9"/>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5"/>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5"/>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5"/>
        <w:tabs>
          <w:tab w:val="left" w:pos="432"/>
        </w:tabs>
        <w:spacing w:line="360" w:lineRule="auto"/>
        <w:jc w:val="left"/>
        <w:rPr>
          <w:rFonts w:hAnsi="宋体" w:cs="宋体"/>
          <w:bCs/>
          <w:sz w:val="24"/>
          <w:szCs w:val="24"/>
        </w:rPr>
      </w:pPr>
      <w:bookmarkStart w:id="1033" w:name="_Toc199921604"/>
      <w:bookmarkStart w:id="1034" w:name="_Toc218620584"/>
      <w:bookmarkStart w:id="1035" w:name="_Toc209958518"/>
      <w:bookmarkStart w:id="1036"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33"/>
      <w:bookmarkEnd w:id="1034"/>
      <w:bookmarkEnd w:id="1035"/>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9"/>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9"/>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9"/>
        <w:shd w:val="clear" w:color="auto" w:fill="FFFFFF"/>
        <w:spacing w:before="0" w:beforeAutospacing="0" w:after="0" w:afterAutospacing="0" w:line="360" w:lineRule="auto"/>
        <w:textAlignment w:val="baseline"/>
      </w:pPr>
      <w:r>
        <w:rPr>
          <w:rFonts w:hint="eastAsia"/>
        </w:rPr>
        <w:t>　　</w:t>
      </w:r>
      <w:r>
        <w:rPr>
          <w:rStyle w:val="59"/>
        </w:rPr>
        <w:t>一、高度重视信用记录查询及使用工作</w:t>
      </w:r>
    </w:p>
    <w:p>
      <w:pPr>
        <w:pStyle w:val="49"/>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9"/>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9"/>
        <w:shd w:val="clear" w:color="auto" w:fill="FFFFFF"/>
        <w:spacing w:before="0" w:beforeAutospacing="0" w:after="0" w:afterAutospacing="0" w:line="360" w:lineRule="auto"/>
        <w:textAlignment w:val="baseline"/>
      </w:pPr>
      <w:r>
        <w:rPr>
          <w:rFonts w:hint="eastAsia"/>
        </w:rPr>
        <w:t>　　</w:t>
      </w:r>
      <w:r>
        <w:rPr>
          <w:rStyle w:val="59"/>
        </w:rPr>
        <w:t>二、认真做好信用记录查询及使用工作</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（一）总体要求。</w:t>
      </w:r>
    </w:p>
    <w:p>
      <w:pPr>
        <w:pStyle w:val="49"/>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（二）信用记录查询渠道。</w:t>
      </w:r>
    </w:p>
    <w:p>
      <w:pPr>
        <w:pStyle w:val="49"/>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（三）信用记录的使用。</w:t>
      </w:r>
    </w:p>
    <w:p>
      <w:pPr>
        <w:pStyle w:val="49"/>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9"/>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9"/>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9"/>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9"/>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9"/>
        <w:shd w:val="clear" w:color="auto" w:fill="FFFFFF"/>
        <w:spacing w:before="0" w:beforeAutospacing="0" w:after="0" w:afterAutospacing="0" w:line="360" w:lineRule="auto"/>
        <w:textAlignment w:val="baseline"/>
      </w:pPr>
      <w:r>
        <w:rPr>
          <w:rFonts w:hint="eastAsia"/>
        </w:rPr>
        <w:t>　　</w:t>
      </w:r>
      <w:r>
        <w:rPr>
          <w:rStyle w:val="59"/>
        </w:rPr>
        <w:t>三、工作要求</w:t>
      </w:r>
    </w:p>
    <w:p>
      <w:pPr>
        <w:pStyle w:val="49"/>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9"/>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9"/>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9"/>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36"/>
    <w:p>
      <w:pPr>
        <w:pStyle w:val="5"/>
        <w:tabs>
          <w:tab w:val="left" w:pos="432"/>
        </w:tabs>
        <w:spacing w:line="360" w:lineRule="auto"/>
        <w:jc w:val="left"/>
        <w:rPr>
          <w:rFonts w:hAnsi="宋体" w:cs="宋体"/>
          <w:bCs/>
          <w:sz w:val="24"/>
          <w:szCs w:val="24"/>
        </w:rPr>
      </w:pPr>
      <w:bookmarkStart w:id="1037" w:name="_Toc218620585"/>
      <w:bookmarkStart w:id="1038" w:name="_Toc209958520"/>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37"/>
      <w:bookmarkEnd w:id="1038"/>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5"/>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9"/>
        <w:shd w:val="clear" w:color="auto" w:fill="FFFFFF"/>
        <w:spacing w:before="0" w:beforeAutospacing="0" w:after="0" w:afterAutospacing="0"/>
        <w:jc w:val="center"/>
        <w:rPr>
          <w:color w:val="333333"/>
          <w:sz w:val="36"/>
          <w:szCs w:val="36"/>
        </w:rPr>
      </w:pPr>
      <w:bookmarkStart w:id="1039" w:name="OLE_LINK21"/>
      <w:r>
        <w:rPr>
          <w:rStyle w:val="59"/>
          <w:rFonts w:hint="eastAsia"/>
          <w:color w:val="333333"/>
          <w:sz w:val="36"/>
          <w:szCs w:val="36"/>
        </w:rPr>
        <w:t>国务院办公厅关于在政府采购中</w:t>
      </w: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实施本国产品标准及相关政策的通知</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right"/>
        <w:rPr>
          <w:color w:val="333333"/>
        </w:rPr>
      </w:pPr>
      <w:r>
        <w:rPr>
          <w:rFonts w:hint="eastAsia"/>
          <w:color w:val="333333"/>
        </w:rPr>
        <w:t>国办发〔2025〕34号  </w:t>
      </w:r>
    </w:p>
    <w:p>
      <w:pPr>
        <w:pStyle w:val="49"/>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9"/>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9"/>
        <w:shd w:val="clear" w:color="auto" w:fill="FFFFFF"/>
        <w:spacing w:before="0" w:beforeAutospacing="0" w:after="0" w:afterAutospacing="0"/>
        <w:ind w:firstLine="480"/>
        <w:rPr>
          <w:color w:val="333333"/>
        </w:rPr>
      </w:pPr>
      <w:r>
        <w:rPr>
          <w:rStyle w:val="59"/>
          <w:rFonts w:hint="eastAsia"/>
          <w:color w:val="333333"/>
        </w:rPr>
        <w:t>一、本国产品标准</w:t>
      </w:r>
    </w:p>
    <w:p>
      <w:pPr>
        <w:pStyle w:val="49"/>
        <w:shd w:val="clear" w:color="auto" w:fill="FFFFFF"/>
        <w:spacing w:before="30" w:beforeAutospacing="0" w:after="30" w:afterAutospacing="0"/>
        <w:ind w:firstLine="480"/>
        <w:rPr>
          <w:color w:val="333333"/>
        </w:rPr>
      </w:pPr>
      <w:r>
        <w:rPr>
          <w:rFonts w:hint="eastAsia"/>
          <w:color w:val="333333"/>
        </w:rPr>
        <w:t>本国产品应当符合以下条件：</w:t>
      </w:r>
    </w:p>
    <w:p>
      <w:pPr>
        <w:pStyle w:val="49"/>
        <w:shd w:val="clear" w:color="auto" w:fill="FFFFFF"/>
        <w:spacing w:before="0" w:beforeAutospacing="0" w:after="0" w:afterAutospacing="0"/>
        <w:ind w:firstLine="480"/>
        <w:rPr>
          <w:color w:val="333333"/>
        </w:rPr>
      </w:pPr>
      <w:r>
        <w:rPr>
          <w:rFonts w:hint="eastAsia"/>
          <w:color w:val="333333"/>
        </w:rPr>
        <w:t>（一）在中国境内生产</w:t>
      </w:r>
    </w:p>
    <w:p>
      <w:pPr>
        <w:pStyle w:val="49"/>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9"/>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9"/>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9"/>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9"/>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9"/>
        <w:shd w:val="clear" w:color="auto" w:fill="FFFFFF"/>
        <w:spacing w:before="30" w:beforeAutospacing="0" w:after="30" w:afterAutospacing="0"/>
        <w:ind w:firstLine="480"/>
        <w:rPr>
          <w:color w:val="333333"/>
        </w:rPr>
      </w:pPr>
      <w:r>
        <w:rPr>
          <w:rFonts w:hint="eastAsia"/>
          <w:color w:val="333333"/>
        </w:rPr>
        <w:t>4.简单的上漆、磨光和分装；</w:t>
      </w:r>
    </w:p>
    <w:p>
      <w:pPr>
        <w:pStyle w:val="49"/>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9"/>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9"/>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9"/>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9"/>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9"/>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9"/>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9"/>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9"/>
        <w:shd w:val="clear" w:color="auto" w:fill="FFFFFF"/>
        <w:spacing w:before="0" w:beforeAutospacing="0" w:after="0" w:afterAutospacing="0"/>
        <w:ind w:firstLine="480"/>
        <w:rPr>
          <w:color w:val="333333"/>
        </w:rPr>
      </w:pPr>
      <w:r>
        <w:rPr>
          <w:rStyle w:val="59"/>
          <w:rFonts w:hint="eastAsia"/>
          <w:color w:val="333333"/>
        </w:rPr>
        <w:t>二、本国产品标准的适用范围</w:t>
      </w:r>
    </w:p>
    <w:p>
      <w:pPr>
        <w:pStyle w:val="49"/>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9"/>
        <w:shd w:val="clear" w:color="auto" w:fill="FFFFFF"/>
        <w:spacing w:before="0" w:beforeAutospacing="0" w:after="0" w:afterAutospacing="0"/>
        <w:ind w:firstLine="480"/>
        <w:rPr>
          <w:color w:val="333333"/>
        </w:rPr>
      </w:pPr>
      <w:r>
        <w:rPr>
          <w:rStyle w:val="59"/>
          <w:rFonts w:hint="eastAsia"/>
          <w:color w:val="333333"/>
        </w:rPr>
        <w:t>三、对本国产品的支持政策</w:t>
      </w:r>
    </w:p>
    <w:p>
      <w:pPr>
        <w:pStyle w:val="49"/>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9"/>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9"/>
        <w:shd w:val="clear" w:color="auto" w:fill="FFFFFF"/>
        <w:spacing w:before="0" w:beforeAutospacing="0" w:after="0" w:afterAutospacing="0"/>
        <w:ind w:firstLine="480"/>
        <w:rPr>
          <w:color w:val="333333"/>
        </w:rPr>
      </w:pPr>
      <w:r>
        <w:rPr>
          <w:rStyle w:val="59"/>
          <w:rFonts w:hint="eastAsia"/>
          <w:color w:val="333333"/>
        </w:rPr>
        <w:t>四、政策执行要求</w:t>
      </w:r>
    </w:p>
    <w:p>
      <w:pPr>
        <w:pStyle w:val="49"/>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9"/>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0" w:name="OLE_LINK8"/>
      <w:r>
        <w:rPr>
          <w:rFonts w:hint="eastAsia"/>
          <w:color w:val="333333"/>
        </w:rPr>
        <w:t>符合要求的《声明函》或有关证明文件的</w:t>
      </w:r>
      <w:bookmarkEnd w:id="1040"/>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9"/>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9"/>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9"/>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9"/>
        <w:shd w:val="clear" w:color="auto" w:fill="FFFFFF"/>
        <w:spacing w:before="0" w:beforeAutospacing="0" w:after="0" w:afterAutospacing="0"/>
        <w:ind w:firstLine="480"/>
        <w:rPr>
          <w:color w:val="333333"/>
        </w:rPr>
      </w:pPr>
      <w:r>
        <w:rPr>
          <w:rStyle w:val="59"/>
          <w:rFonts w:hint="eastAsia"/>
          <w:color w:val="333333"/>
        </w:rPr>
        <w:t>五、争议处理</w:t>
      </w:r>
    </w:p>
    <w:p>
      <w:pPr>
        <w:pStyle w:val="49"/>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9"/>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9"/>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9"/>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9"/>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9"/>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9"/>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9"/>
        <w:shd w:val="clear" w:color="auto" w:fill="FFFFFF"/>
        <w:spacing w:before="30" w:beforeAutospacing="0" w:after="30" w:afterAutospacing="0"/>
        <w:ind w:firstLine="480"/>
        <w:rPr>
          <w:color w:val="333333"/>
        </w:rPr>
      </w:pPr>
      <w:r>
        <w:rPr>
          <w:rFonts w:hint="eastAsia"/>
          <w:color w:val="333333"/>
        </w:rPr>
        <w:t>本通知自2026年1月1日起施行。</w:t>
      </w:r>
    </w:p>
    <w:p>
      <w:pPr>
        <w:pStyle w:val="49"/>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9"/>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9"/>
        <w:shd w:val="clear" w:color="auto" w:fill="FFFFFF"/>
        <w:spacing w:before="30" w:beforeAutospacing="0" w:after="30" w:afterAutospacing="0"/>
        <w:jc w:val="right"/>
        <w:rPr>
          <w:color w:val="333333"/>
        </w:rPr>
      </w:pPr>
      <w:r>
        <w:rPr>
          <w:rFonts w:hint="eastAsia"/>
          <w:color w:val="333333"/>
        </w:rPr>
        <w:t>国务院办公厅         </w:t>
      </w:r>
    </w:p>
    <w:p>
      <w:pPr>
        <w:pStyle w:val="49"/>
        <w:shd w:val="clear" w:color="auto" w:fill="FFFFFF"/>
        <w:spacing w:before="30" w:beforeAutospacing="0" w:after="30" w:afterAutospacing="0"/>
        <w:jc w:val="right"/>
        <w:rPr>
          <w:color w:val="333333"/>
        </w:rPr>
      </w:pPr>
      <w:r>
        <w:rPr>
          <w:rFonts w:hint="eastAsia"/>
          <w:color w:val="333333"/>
        </w:rPr>
        <w:t>2025年9月28日    </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widowControl/>
        <w:jc w:val="left"/>
        <w:rPr>
          <w:rStyle w:val="59"/>
          <w:rFonts w:ascii="宋体" w:hAnsi="宋体" w:cs="宋体"/>
          <w:color w:val="333333"/>
          <w:kern w:val="0"/>
          <w:sz w:val="24"/>
        </w:rPr>
      </w:pPr>
      <w:r>
        <w:rPr>
          <w:rStyle w:val="59"/>
          <w:rFonts w:ascii="宋体" w:hAnsi="宋体"/>
          <w:color w:val="333333"/>
        </w:rPr>
        <w:br w:type="page"/>
      </w:r>
    </w:p>
    <w:p>
      <w:pPr>
        <w:pStyle w:val="49"/>
        <w:shd w:val="clear" w:color="auto" w:fill="FFFFFF"/>
        <w:spacing w:before="0" w:beforeAutospacing="0" w:after="0" w:afterAutospacing="0"/>
        <w:rPr>
          <w:color w:val="333333"/>
        </w:rPr>
      </w:pPr>
      <w:r>
        <w:rPr>
          <w:rStyle w:val="59"/>
          <w:rFonts w:hint="eastAsia"/>
          <w:color w:val="333333"/>
        </w:rPr>
        <w:t>附件1</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中国境内生产的组件成本核算基本规则</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9"/>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9"/>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9"/>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9"/>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widowControl/>
        <w:jc w:val="left"/>
        <w:rPr>
          <w:rStyle w:val="59"/>
          <w:rFonts w:ascii="宋体" w:hAnsi="宋体" w:cs="宋体"/>
          <w:color w:val="333333"/>
          <w:kern w:val="0"/>
          <w:sz w:val="24"/>
        </w:rPr>
      </w:pPr>
      <w:r>
        <w:rPr>
          <w:rStyle w:val="59"/>
          <w:rFonts w:ascii="宋体" w:hAnsi="宋体"/>
          <w:color w:val="333333"/>
        </w:rPr>
        <w:br w:type="page"/>
      </w:r>
    </w:p>
    <w:p>
      <w:pPr>
        <w:pStyle w:val="49"/>
        <w:shd w:val="clear" w:color="auto" w:fill="FFFFFF"/>
        <w:spacing w:before="0" w:beforeAutospacing="0" w:after="0" w:afterAutospacing="0"/>
        <w:rPr>
          <w:color w:val="333333"/>
        </w:rPr>
      </w:pPr>
      <w:r>
        <w:rPr>
          <w:rStyle w:val="59"/>
          <w:rFonts w:hint="eastAsia"/>
          <w:color w:val="333333"/>
        </w:rPr>
        <w:t>附件2</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关于符合本国产品标准的声明函</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9"/>
        <w:shd w:val="clear" w:color="auto" w:fill="FFFFFF"/>
        <w:spacing w:before="0" w:beforeAutospacing="0" w:after="0" w:afterAutospacing="0"/>
        <w:ind w:firstLine="480"/>
        <w:rPr>
          <w:color w:val="333333"/>
        </w:rPr>
      </w:pPr>
      <w:r>
        <w:rPr>
          <w:rFonts w:hint="eastAsia"/>
          <w:color w:val="333333"/>
        </w:rPr>
        <w:t>1.</w:t>
      </w:r>
      <w:r>
        <w:rPr>
          <w:rStyle w:val="62"/>
          <w:rFonts w:hint="eastAsia"/>
          <w:color w:val="333333"/>
        </w:rPr>
        <w:t>（产品名称1）</w:t>
      </w:r>
      <w:r>
        <w:rPr>
          <w:rStyle w:val="62"/>
          <w:rFonts w:hint="eastAsia"/>
          <w:color w:val="333333"/>
          <w:vertAlign w:val="superscript"/>
        </w:rPr>
        <w:t>1</w:t>
      </w:r>
      <w:r>
        <w:rPr>
          <w:rFonts w:hint="eastAsia"/>
          <w:color w:val="333333"/>
        </w:rPr>
        <w:t>，生产厂为</w:t>
      </w:r>
      <w:r>
        <w:rPr>
          <w:rStyle w:val="62"/>
          <w:rFonts w:hint="eastAsia"/>
          <w:color w:val="333333"/>
        </w:rPr>
        <w:t>（厂名）</w:t>
      </w:r>
      <w:r>
        <w:rPr>
          <w:rStyle w:val="62"/>
          <w:rFonts w:hint="eastAsia"/>
          <w:color w:val="333333"/>
          <w:vertAlign w:val="superscript"/>
        </w:rPr>
        <w:t>2</w:t>
      </w:r>
      <w:r>
        <w:rPr>
          <w:rFonts w:hint="eastAsia"/>
          <w:color w:val="333333"/>
        </w:rPr>
        <w:t>，厂址为</w:t>
      </w:r>
      <w:r>
        <w:rPr>
          <w:rStyle w:val="62"/>
          <w:rFonts w:hint="eastAsia"/>
          <w:color w:val="333333"/>
        </w:rPr>
        <w:t>（生产厂址）</w:t>
      </w:r>
      <w:r>
        <w:rPr>
          <w:rFonts w:hint="eastAsia"/>
          <w:color w:val="333333"/>
        </w:rPr>
        <w:t>。</w:t>
      </w:r>
      <w:r>
        <w:rPr>
          <w:rStyle w:val="62"/>
          <w:rFonts w:hint="eastAsia"/>
          <w:color w:val="333333"/>
        </w:rPr>
        <w:t>（产品名称1）</w:t>
      </w:r>
      <w:r>
        <w:rPr>
          <w:rFonts w:hint="eastAsia"/>
          <w:color w:val="333333"/>
        </w:rPr>
        <w:t>的中国境内生产的组件成本占比≥</w:t>
      </w:r>
      <w:r>
        <w:rPr>
          <w:rStyle w:val="62"/>
          <w:rFonts w:hint="eastAsia"/>
          <w:color w:val="333333"/>
        </w:rPr>
        <w:t>（规定比例）</w:t>
      </w:r>
      <w:r>
        <w:rPr>
          <w:rStyle w:val="62"/>
          <w:rFonts w:hint="eastAsia"/>
          <w:color w:val="333333"/>
          <w:vertAlign w:val="superscript"/>
        </w:rPr>
        <w:t>3</w:t>
      </w:r>
      <w:r>
        <w:rPr>
          <w:rFonts w:hint="eastAsia"/>
          <w:color w:val="333333"/>
        </w:rPr>
        <w:t>。</w:t>
      </w:r>
      <w:r>
        <w:rPr>
          <w:rStyle w:val="62"/>
          <w:rFonts w:hint="eastAsia"/>
          <w:color w:val="333333"/>
        </w:rPr>
        <w:t>（产品名称1）</w:t>
      </w:r>
      <w:r>
        <w:rPr>
          <w:rFonts w:hint="eastAsia"/>
          <w:color w:val="333333"/>
        </w:rPr>
        <w:t>的</w:t>
      </w:r>
      <w:r>
        <w:rPr>
          <w:rStyle w:val="62"/>
          <w:rFonts w:hint="eastAsia"/>
          <w:color w:val="333333"/>
        </w:rPr>
        <w:t>（关键组件）</w:t>
      </w:r>
      <w:r>
        <w:rPr>
          <w:rStyle w:val="62"/>
          <w:rFonts w:hint="eastAsia"/>
          <w:color w:val="333333"/>
          <w:vertAlign w:val="superscript"/>
        </w:rPr>
        <w:t>4</w:t>
      </w:r>
      <w:r>
        <w:rPr>
          <w:rFonts w:hint="eastAsia"/>
          <w:color w:val="333333"/>
        </w:rPr>
        <w:t>在中国境内生产。</w:t>
      </w:r>
      <w:r>
        <w:rPr>
          <w:rStyle w:val="62"/>
          <w:rFonts w:hint="eastAsia"/>
          <w:color w:val="333333"/>
        </w:rPr>
        <w:t>（产品名称1）</w:t>
      </w:r>
      <w:r>
        <w:rPr>
          <w:rFonts w:hint="eastAsia"/>
          <w:color w:val="333333"/>
        </w:rPr>
        <w:t>的</w:t>
      </w:r>
      <w:r>
        <w:rPr>
          <w:rStyle w:val="62"/>
          <w:rFonts w:hint="eastAsia"/>
          <w:color w:val="333333"/>
        </w:rPr>
        <w:t>（关键工序）</w:t>
      </w:r>
      <w:r>
        <w:rPr>
          <w:rStyle w:val="62"/>
          <w:rFonts w:hint="eastAsia"/>
          <w:color w:val="333333"/>
          <w:vertAlign w:val="superscript"/>
        </w:rPr>
        <w:t>5</w:t>
      </w:r>
      <w:r>
        <w:rPr>
          <w:rFonts w:hint="eastAsia"/>
          <w:color w:val="333333"/>
        </w:rPr>
        <w:t>在中国境内完成。</w:t>
      </w:r>
    </w:p>
    <w:p>
      <w:pPr>
        <w:pStyle w:val="49"/>
        <w:shd w:val="clear" w:color="auto" w:fill="FFFFFF"/>
        <w:spacing w:before="0" w:beforeAutospacing="0" w:after="0" w:afterAutospacing="0"/>
        <w:ind w:firstLine="480"/>
        <w:rPr>
          <w:color w:val="333333"/>
        </w:rPr>
      </w:pPr>
      <w:r>
        <w:rPr>
          <w:rFonts w:hint="eastAsia"/>
          <w:color w:val="333333"/>
        </w:rPr>
        <w:t>2.</w:t>
      </w:r>
      <w:r>
        <w:rPr>
          <w:rStyle w:val="62"/>
          <w:rFonts w:hint="eastAsia"/>
          <w:color w:val="333333"/>
        </w:rPr>
        <w:t>（产品名称2）</w:t>
      </w:r>
      <w:r>
        <w:rPr>
          <w:rFonts w:hint="eastAsia"/>
          <w:color w:val="333333"/>
        </w:rPr>
        <w:t>，生产厂为</w:t>
      </w:r>
      <w:r>
        <w:rPr>
          <w:rStyle w:val="62"/>
          <w:rFonts w:hint="eastAsia"/>
          <w:color w:val="333333"/>
        </w:rPr>
        <w:t>（厂名）</w:t>
      </w:r>
      <w:r>
        <w:rPr>
          <w:rFonts w:hint="eastAsia"/>
          <w:color w:val="333333"/>
        </w:rPr>
        <w:t>，厂址为</w:t>
      </w:r>
      <w:r>
        <w:rPr>
          <w:rStyle w:val="62"/>
          <w:rFonts w:hint="eastAsia"/>
          <w:color w:val="333333"/>
        </w:rPr>
        <w:t>（生产厂址）</w:t>
      </w:r>
      <w:r>
        <w:rPr>
          <w:rFonts w:hint="eastAsia"/>
          <w:color w:val="333333"/>
        </w:rPr>
        <w:t>。</w:t>
      </w:r>
      <w:r>
        <w:rPr>
          <w:rStyle w:val="62"/>
          <w:rFonts w:hint="eastAsia"/>
          <w:color w:val="333333"/>
        </w:rPr>
        <w:t>（产品名称2）</w:t>
      </w:r>
      <w:r>
        <w:rPr>
          <w:rFonts w:hint="eastAsia"/>
          <w:color w:val="333333"/>
        </w:rPr>
        <w:t>的中国境内生产的组件成本占比≥</w:t>
      </w:r>
      <w:r>
        <w:rPr>
          <w:rStyle w:val="62"/>
          <w:rFonts w:hint="eastAsia"/>
          <w:color w:val="333333"/>
        </w:rPr>
        <w:t>（规定比例）</w:t>
      </w:r>
      <w:r>
        <w:rPr>
          <w:rFonts w:hint="eastAsia"/>
          <w:color w:val="333333"/>
        </w:rPr>
        <w:t>。</w:t>
      </w:r>
      <w:r>
        <w:rPr>
          <w:rStyle w:val="62"/>
          <w:rFonts w:hint="eastAsia"/>
          <w:color w:val="333333"/>
        </w:rPr>
        <w:t>（产品名称2）</w:t>
      </w:r>
      <w:r>
        <w:rPr>
          <w:rFonts w:hint="eastAsia"/>
          <w:color w:val="333333"/>
        </w:rPr>
        <w:t>的</w:t>
      </w:r>
      <w:r>
        <w:rPr>
          <w:rStyle w:val="62"/>
          <w:rFonts w:hint="eastAsia"/>
          <w:color w:val="333333"/>
        </w:rPr>
        <w:t>（关键组件）</w:t>
      </w:r>
      <w:r>
        <w:rPr>
          <w:rFonts w:hint="eastAsia"/>
          <w:color w:val="333333"/>
        </w:rPr>
        <w:t>在中国境内生产。</w:t>
      </w:r>
      <w:r>
        <w:rPr>
          <w:rStyle w:val="62"/>
          <w:rFonts w:hint="eastAsia"/>
          <w:color w:val="333333"/>
        </w:rPr>
        <w:t>（产品名称2）</w:t>
      </w:r>
      <w:r>
        <w:rPr>
          <w:rFonts w:hint="eastAsia"/>
          <w:color w:val="333333"/>
        </w:rPr>
        <w:t>的</w:t>
      </w:r>
      <w:r>
        <w:rPr>
          <w:rStyle w:val="62"/>
          <w:rFonts w:hint="eastAsia"/>
          <w:color w:val="333333"/>
        </w:rPr>
        <w:t>（关键工序）</w:t>
      </w:r>
      <w:r>
        <w:rPr>
          <w:rFonts w:hint="eastAsia"/>
          <w:color w:val="333333"/>
        </w:rPr>
        <w:t>在中国境内完成。</w:t>
      </w:r>
    </w:p>
    <w:p>
      <w:pPr>
        <w:pStyle w:val="49"/>
        <w:shd w:val="clear" w:color="auto" w:fill="FFFFFF"/>
        <w:spacing w:before="30" w:beforeAutospacing="0" w:after="30" w:afterAutospacing="0"/>
        <w:ind w:firstLine="480"/>
        <w:rPr>
          <w:color w:val="333333"/>
        </w:rPr>
      </w:pPr>
      <w:r>
        <w:rPr>
          <w:rFonts w:hint="eastAsia"/>
          <w:color w:val="333333"/>
        </w:rPr>
        <w:t>……</w:t>
      </w:r>
    </w:p>
    <w:p>
      <w:pPr>
        <w:pStyle w:val="49"/>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9"/>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9"/>
        <w:shd w:val="clear" w:color="auto" w:fill="FFFFFF"/>
        <w:spacing w:before="30" w:beforeAutospacing="0" w:after="30" w:afterAutospacing="0"/>
        <w:ind w:firstLine="480"/>
        <w:jc w:val="right"/>
        <w:rPr>
          <w:color w:val="333333"/>
        </w:rPr>
      </w:pPr>
      <w:r>
        <w:rPr>
          <w:rFonts w:hint="eastAsia"/>
          <w:color w:val="333333"/>
        </w:rPr>
        <w:t>日期：　　　　　年　　月　日    </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rPr>
          <w:color w:val="333333"/>
        </w:rPr>
      </w:pPr>
      <w:r>
        <w:rPr>
          <w:rFonts w:hint="eastAsia"/>
          <w:color w:val="333333"/>
        </w:rPr>
        <w:t>_____________________________</w:t>
      </w:r>
    </w:p>
    <w:p>
      <w:pPr>
        <w:pStyle w:val="49"/>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9"/>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9"/>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9"/>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9"/>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39"/>
    <w:p>
      <w:pPr>
        <w:rPr>
          <w:rFonts w:ascii="宋体" w:hAnsi="宋体"/>
        </w:rPr>
      </w:pPr>
    </w:p>
    <w:p>
      <w:pPr>
        <w:rPr>
          <w:rFonts w:ascii="宋体" w:hAnsi="宋体"/>
        </w:rPr>
      </w:pPr>
      <w:r>
        <w:rPr>
          <w:rFonts w:ascii="宋体" w:hAnsi="宋体"/>
        </w:rPr>
        <w:br w:type="page"/>
      </w:r>
    </w:p>
    <w:p>
      <w:pPr>
        <w:pStyle w:val="5"/>
        <w:spacing w:line="360" w:lineRule="auto"/>
        <w:jc w:val="left"/>
        <w:rPr>
          <w:rFonts w:hAnsi="宋体"/>
          <w:bCs/>
          <w:sz w:val="24"/>
          <w:szCs w:val="24"/>
        </w:rPr>
      </w:pPr>
      <w:bookmarkStart w:id="1041" w:name="_Toc218620586"/>
      <w:bookmarkStart w:id="1042" w:name="_Toc203404616"/>
      <w:bookmarkStart w:id="1043" w:name="_Toc209958521"/>
      <w:bookmarkStart w:id="1044" w:name="OLE_LINK187"/>
      <w:bookmarkStart w:id="1045"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9"/>
        <w:shd w:val="clear" w:color="auto" w:fill="FFFFFF"/>
        <w:spacing w:before="0" w:beforeAutospacing="0" w:after="0" w:afterAutospacing="0"/>
        <w:jc w:val="center"/>
        <w:rPr>
          <w:rStyle w:val="59"/>
          <w:color w:val="333333"/>
          <w:sz w:val="36"/>
          <w:szCs w:val="36"/>
        </w:rPr>
      </w:pPr>
      <w:r>
        <w:rPr>
          <w:rStyle w:val="59"/>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9"/>
        <w:shd w:val="clear" w:color="auto" w:fill="FFFFFF"/>
        <w:spacing w:before="75" w:beforeAutospacing="0" w:after="330" w:afterAutospacing="0"/>
        <w:jc w:val="right"/>
        <w:textAlignment w:val="baseline"/>
        <w:rPr>
          <w:color w:val="383838"/>
        </w:rPr>
      </w:pPr>
      <w:r>
        <w:rPr>
          <w:color w:val="383838"/>
        </w:rPr>
        <w:t>财政部</w:t>
      </w:r>
    </w:p>
    <w:p>
      <w:pPr>
        <w:pStyle w:val="49"/>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5"/>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1"/>
      <w:bookmarkEnd w:id="1042"/>
      <w:bookmarkEnd w:id="1043"/>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9"/>
        <w:shd w:val="clear" w:color="auto" w:fill="FFFFFF"/>
        <w:spacing w:before="0" w:beforeAutospacing="0" w:after="0" w:afterAutospacing="0" w:line="560" w:lineRule="atLeast"/>
        <w:ind w:left="1678" w:hanging="1040"/>
      </w:pPr>
    </w:p>
    <w:p>
      <w:pPr>
        <w:pStyle w:val="49"/>
        <w:shd w:val="clear" w:color="auto" w:fill="FFFFFF"/>
        <w:spacing w:before="0" w:beforeAutospacing="0" w:after="0" w:afterAutospacing="0" w:line="560" w:lineRule="atLeast"/>
        <w:ind w:firstLine="640"/>
        <w:jc w:val="both"/>
      </w:pPr>
      <w:r>
        <w:rPr>
          <w:rStyle w:val="522"/>
          <w:rFonts w:hint="eastAsia"/>
          <w:szCs w:val="32"/>
        </w:rPr>
        <w:t> </w:t>
      </w:r>
    </w:p>
    <w:p>
      <w:pPr>
        <w:pStyle w:val="49"/>
        <w:shd w:val="clear" w:color="auto" w:fill="FFFFFF"/>
        <w:spacing w:before="0" w:beforeAutospacing="0" w:after="0" w:afterAutospacing="0" w:line="560" w:lineRule="atLeast"/>
        <w:ind w:firstLine="5440"/>
        <w:jc w:val="right"/>
      </w:pPr>
      <w:r>
        <w:rPr>
          <w:rStyle w:val="522"/>
        </w:rPr>
        <w:t>市场监管总局</w:t>
      </w:r>
    </w:p>
    <w:p>
      <w:pPr>
        <w:pStyle w:val="49"/>
        <w:shd w:val="clear" w:color="auto" w:fill="FFFFFF"/>
        <w:spacing w:before="0" w:beforeAutospacing="0" w:after="0" w:afterAutospacing="0" w:line="560" w:lineRule="atLeast"/>
        <w:ind w:firstLine="5440"/>
        <w:jc w:val="right"/>
      </w:pPr>
      <w:r>
        <w:t>2023年8月10日</w:t>
      </w:r>
    </w:p>
    <w:p>
      <w:pPr>
        <w:pStyle w:val="49"/>
        <w:shd w:val="clear" w:color="auto" w:fill="FFFFFF"/>
        <w:spacing w:before="0" w:beforeAutospacing="0" w:after="0" w:afterAutospacing="0" w:line="594" w:lineRule="atLeast"/>
      </w:pPr>
      <w:r>
        <w:rPr>
          <w:rStyle w:val="522"/>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5"/>
        <w:tblW w:w="9498" w:type="dxa"/>
        <w:tblInd w:w="-743" w:type="dxa"/>
        <w:tblLayout w:type="fixed"/>
        <w:tblCellMar>
          <w:top w:w="0" w:type="dxa"/>
          <w:left w:w="0" w:type="dxa"/>
          <w:bottom w:w="0" w:type="dxa"/>
          <w:right w:w="0" w:type="dxa"/>
        </w:tblCellMar>
      </w:tblPr>
      <w:tblGrid>
        <w:gridCol w:w="1560"/>
        <w:gridCol w:w="7938"/>
      </w:tblGrid>
      <w:tr>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46" w:name="OLE_LINK211"/>
            <w:bookmarkStart w:id="1047" w:name="OLE_LINK212"/>
            <w:r>
              <w:rPr>
                <w:rFonts w:ascii="宋体" w:hAnsi="宋体"/>
                <w:kern w:val="0"/>
                <w:sz w:val="23"/>
                <w:szCs w:val="23"/>
              </w:rPr>
              <w:t>冷热饮水机</w:t>
            </w:r>
            <w:bookmarkEnd w:id="1046"/>
            <w:bookmarkEnd w:id="1047"/>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9"/>
        <w:shd w:val="clear" w:color="auto" w:fill="FFFFFF"/>
        <w:spacing w:before="0" w:beforeAutospacing="0" w:after="0" w:afterAutospacing="0" w:line="480" w:lineRule="atLeast"/>
        <w:jc w:val="center"/>
      </w:pPr>
    </w:p>
    <w:bookmarkEnd w:id="1044"/>
    <w:bookmarkEnd w:id="1045"/>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2B11DC-0703-43FE-A8BB-B4076955D01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67B5E12-87BA-44D6-B52B-1F9BEE25A8F4}"/>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D8474102-5275-4CC9-A55D-866DE8572097}"/>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20B0500000000000000"/>
    <w:charset w:val="00"/>
    <w:family w:val="swiss"/>
    <w:pitch w:val="default"/>
    <w:sig w:usb0="00000000" w:usb1="00000000" w:usb2="00000000" w:usb3="00000000" w:csb0="00000001" w:csb1="00000000"/>
  </w:font>
  <w:font w:name="font-weight : 400">
    <w:altName w:val="Noto Serif SC"/>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4F136716-22F3-4F0E-B6DE-51860878534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Noto Serif SC">
    <w:panose1 w:val="02020200000000000000"/>
    <w:charset w:val="86"/>
    <w:family w:val="auto"/>
    <w:pitch w:val="default"/>
    <w:sig w:usb0="20000083" w:usb1="2ADF3C10" w:usb2="00000016" w:usb3="00000000" w:csb0="600601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right" w:y="1"/>
      <w:rPr>
        <w:rStyle w:val="60"/>
      </w:rPr>
    </w:pPr>
    <w:r>
      <w:rPr>
        <w:rStyle w:val="60"/>
      </w:rPr>
      <w:fldChar w:fldCharType="begin"/>
    </w:r>
    <w:r>
      <w:rPr>
        <w:rStyle w:val="60"/>
      </w:rPr>
      <w:instrText xml:space="preserve">PAGE  </w:instrText>
    </w:r>
    <w:r>
      <w:rPr>
        <w:rStyle w:val="60"/>
      </w:rPr>
      <w:fldChar w:fldCharType="end"/>
    </w:r>
  </w:p>
  <w:p>
    <w:pPr>
      <w:pStyle w:val="35"/>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napToGrid w:val="0"/>
      <w:jc w:val="left"/>
      <w:rPr>
        <w:rFonts w:ascii="宋体" w:hAnsi="Calibri"/>
        <w:kern w:val="0"/>
        <w:sz w:val="18"/>
        <w:szCs w:val="20"/>
      </w:rPr>
    </w:pPr>
    <w:r>
      <w:rPr>
        <w:rFonts w:ascii="宋体" w:hAnsi="Calibri"/>
        <w:kern w:val="0"/>
        <w:sz w:val="18"/>
        <w:szCs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autoSpaceDE w:val="0"/>
                            <w:autoSpaceDN w:val="0"/>
                            <w:adjustRightInd w:val="0"/>
                            <w:snapToGrid w:val="0"/>
                            <w:jc w:val="left"/>
                            <w:rPr>
                              <w:rFonts w:ascii="宋体" w:hAnsi="Calibri"/>
                              <w:kern w:val="0"/>
                              <w:sz w:val="24"/>
                            </w:rPr>
                          </w:pPr>
                          <w:r>
                            <w:rPr>
                              <w:rFonts w:hint="eastAsia" w:ascii="宋体" w:hAnsi="Calibri"/>
                              <w:kern w:val="0"/>
                              <w:sz w:val="24"/>
                            </w:rPr>
                            <w:fldChar w:fldCharType="begin"/>
                          </w:r>
                          <w:r>
                            <w:rPr>
                              <w:rFonts w:hint="eastAsia" w:ascii="宋体" w:hAnsi="Calibri"/>
                              <w:kern w:val="0"/>
                              <w:sz w:val="24"/>
                            </w:rPr>
                            <w:instrText xml:space="preserve"> PAGE  \* MERGEFORMAT </w:instrText>
                          </w:r>
                          <w:r>
                            <w:rPr>
                              <w:rFonts w:hint="eastAsia" w:ascii="宋体" w:hAnsi="Calibri"/>
                              <w:kern w:val="0"/>
                              <w:sz w:val="24"/>
                            </w:rPr>
                            <w:fldChar w:fldCharType="separate"/>
                          </w:r>
                          <w:r>
                            <w:rPr>
                              <w:rFonts w:ascii="宋体" w:hAnsi="Calibri"/>
                              <w:kern w:val="0"/>
                              <w:sz w:val="24"/>
                            </w:rPr>
                            <w:t>1</w:t>
                          </w:r>
                          <w:r>
                            <w:rPr>
                              <w:rFonts w:hint="eastAsia" w:ascii="宋体" w:hAnsi="Calibri"/>
                              <w:kern w:val="0"/>
                              <w:sz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autoSpaceDE w:val="0"/>
                      <w:autoSpaceDN w:val="0"/>
                      <w:adjustRightInd w:val="0"/>
                      <w:snapToGrid w:val="0"/>
                      <w:jc w:val="left"/>
                      <w:rPr>
                        <w:rFonts w:ascii="宋体" w:hAnsi="Calibri"/>
                        <w:kern w:val="0"/>
                        <w:sz w:val="24"/>
                      </w:rPr>
                    </w:pPr>
                    <w:r>
                      <w:rPr>
                        <w:rFonts w:hint="eastAsia" w:ascii="宋体" w:hAnsi="Calibri"/>
                        <w:kern w:val="0"/>
                        <w:sz w:val="24"/>
                      </w:rPr>
                      <w:fldChar w:fldCharType="begin"/>
                    </w:r>
                    <w:r>
                      <w:rPr>
                        <w:rFonts w:hint="eastAsia" w:ascii="宋体" w:hAnsi="Calibri"/>
                        <w:kern w:val="0"/>
                        <w:sz w:val="24"/>
                      </w:rPr>
                      <w:instrText xml:space="preserve"> PAGE  \* MERGEFORMAT </w:instrText>
                    </w:r>
                    <w:r>
                      <w:rPr>
                        <w:rFonts w:hint="eastAsia" w:ascii="宋体" w:hAnsi="Calibri"/>
                        <w:kern w:val="0"/>
                        <w:sz w:val="24"/>
                      </w:rPr>
                      <w:fldChar w:fldCharType="separate"/>
                    </w:r>
                    <w:r>
                      <w:rPr>
                        <w:rFonts w:ascii="宋体" w:hAnsi="Calibri"/>
                        <w:kern w:val="0"/>
                        <w:sz w:val="24"/>
                      </w:rPr>
                      <w:t>1</w:t>
                    </w:r>
                    <w:r>
                      <w:rPr>
                        <w:rFonts w:hint="eastAsia" w:ascii="宋体" w:hAnsi="Calibri"/>
                        <w:kern w:val="0"/>
                        <w:sz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40F62"/>
    <w:multiLevelType w:val="singleLevel"/>
    <w:tmpl w:val="F0E40F62"/>
    <w:lvl w:ilvl="0" w:tentative="0">
      <w:start w:val="1"/>
      <w:numFmt w:val="decimal"/>
      <w:lvlText w:val="%1."/>
      <w:lvlJc w:val="left"/>
      <w:pPr>
        <w:tabs>
          <w:tab w:val="left" w:pos="312"/>
        </w:tabs>
      </w:pPr>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3"/>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8"/>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68"/>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7"/>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6"/>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3"/>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2"/>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61"/>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4"/>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7"/>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5"/>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22"/>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E230849"/>
    <w:multiLevelType w:val="multilevel"/>
    <w:tmpl w:val="0E230849"/>
    <w:lvl w:ilvl="0" w:tentative="0">
      <w:start w:val="1"/>
      <w:numFmt w:val="decimal"/>
      <w:pStyle w:val="223"/>
      <w:lvlText w:val="%1"/>
      <w:lvlJc w:val="left"/>
      <w:pPr>
        <w:ind w:left="680" w:hanging="680"/>
      </w:pPr>
      <w:rPr>
        <w:rFonts w:hint="eastAsia" w:ascii="宋体" w:hAnsi="宋体" w:eastAsia="宋体"/>
      </w:rPr>
    </w:lvl>
    <w:lvl w:ilvl="1" w:tentative="0">
      <w:start w:val="1"/>
      <w:numFmt w:val="decimal"/>
      <w:pStyle w:val="224"/>
      <w:lvlText w:val="%1.%2"/>
      <w:lvlJc w:val="left"/>
      <w:pPr>
        <w:ind w:left="851" w:hanging="851"/>
      </w:pPr>
      <w:rPr>
        <w:rFonts w:hint="eastAsia" w:ascii="宋体" w:hAnsi="宋体" w:eastAsia="宋体"/>
        <w:color w:val="auto"/>
      </w:rPr>
    </w:lvl>
    <w:lvl w:ilvl="2" w:tentative="0">
      <w:start w:val="1"/>
      <w:numFmt w:val="decimal"/>
      <w:pStyle w:val="22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667154C"/>
    <w:multiLevelType w:val="multilevel"/>
    <w:tmpl w:val="1667154C"/>
    <w:lvl w:ilvl="0" w:tentative="0">
      <w:start w:val="1"/>
      <w:numFmt w:val="decimal"/>
      <w:pStyle w:val="360"/>
      <w:lvlText w:val="%1"/>
      <w:lvlJc w:val="left"/>
      <w:pPr>
        <w:tabs>
          <w:tab w:val="left" w:pos="900"/>
        </w:tabs>
        <w:ind w:left="900" w:hanging="900"/>
      </w:pPr>
      <w:rPr>
        <w:rFonts w:hint="eastAsia"/>
      </w:rPr>
    </w:lvl>
    <w:lvl w:ilvl="1" w:tentative="0">
      <w:start w:val="1"/>
      <w:numFmt w:val="decimal"/>
      <w:pStyle w:val="359"/>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61"/>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5">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7">
    <w:nsid w:val="59F6D0D3"/>
    <w:multiLevelType w:val="singleLevel"/>
    <w:tmpl w:val="59F6D0D3"/>
    <w:lvl w:ilvl="0" w:tentative="0">
      <w:start w:val="1"/>
      <w:numFmt w:val="chineseCounting"/>
      <w:suff w:val="nothing"/>
      <w:lvlText w:val="%1、"/>
      <w:lvlJc w:val="left"/>
    </w:lvl>
  </w:abstractNum>
  <w:abstractNum w:abstractNumId="18">
    <w:nsid w:val="77869199"/>
    <w:multiLevelType w:val="singleLevel"/>
    <w:tmpl w:val="77869199"/>
    <w:lvl w:ilvl="0" w:tentative="0">
      <w:start w:val="3"/>
      <w:numFmt w:val="chineseCounting"/>
      <w:suff w:val="nothing"/>
      <w:lvlText w:val="（%1）"/>
      <w:lvlJc w:val="left"/>
      <w:rPr>
        <w:rFonts w:hint="eastAsia"/>
      </w:rPr>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2"/>
  </w:num>
  <w:num w:numId="9">
    <w:abstractNumId w:val="7"/>
  </w:num>
  <w:num w:numId="10">
    <w:abstractNumId w:val="14"/>
  </w:num>
  <w:num w:numId="11">
    <w:abstractNumId w:val="1"/>
  </w:num>
  <w:num w:numId="12">
    <w:abstractNumId w:val="15"/>
  </w:num>
  <w:num w:numId="13">
    <w:abstractNumId w:val="11"/>
  </w:num>
  <w:num w:numId="14">
    <w:abstractNumId w:val="0"/>
  </w:num>
  <w:num w:numId="15">
    <w:abstractNumId w:val="18"/>
  </w:num>
  <w:num w:numId="16">
    <w:abstractNumId w:val="13"/>
  </w:num>
  <w:num w:numId="17">
    <w:abstractNumId w:val="16"/>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683"/>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592"/>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778"/>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2FC"/>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868"/>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77B8B"/>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3F1"/>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5F"/>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71C"/>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025"/>
    <w:rsid w:val="00966189"/>
    <w:rsid w:val="00966A2D"/>
    <w:rsid w:val="00966D41"/>
    <w:rsid w:val="00966F99"/>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2D"/>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AF"/>
    <w:rsid w:val="00CB5364"/>
    <w:rsid w:val="00CB53C3"/>
    <w:rsid w:val="00CB53D8"/>
    <w:rsid w:val="00CB548D"/>
    <w:rsid w:val="00CB551A"/>
    <w:rsid w:val="00CB565E"/>
    <w:rsid w:val="00CB5661"/>
    <w:rsid w:val="00CB5A2F"/>
    <w:rsid w:val="00CB5AFE"/>
    <w:rsid w:val="00CB5B23"/>
    <w:rsid w:val="00CB5CA0"/>
    <w:rsid w:val="00CB5E12"/>
    <w:rsid w:val="00CB6036"/>
    <w:rsid w:val="00CB635F"/>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8B"/>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6F9"/>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4D27"/>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FA5805"/>
    <w:rsid w:val="02736662"/>
    <w:rsid w:val="02CF7A3A"/>
    <w:rsid w:val="02DA4639"/>
    <w:rsid w:val="031E1F88"/>
    <w:rsid w:val="037E78F9"/>
    <w:rsid w:val="0470002E"/>
    <w:rsid w:val="04B360C1"/>
    <w:rsid w:val="0613161F"/>
    <w:rsid w:val="06CB35C4"/>
    <w:rsid w:val="077D4340"/>
    <w:rsid w:val="07A47FA9"/>
    <w:rsid w:val="07B02DFC"/>
    <w:rsid w:val="081F75BF"/>
    <w:rsid w:val="09B86599"/>
    <w:rsid w:val="0A286C83"/>
    <w:rsid w:val="0B401717"/>
    <w:rsid w:val="0B660C1A"/>
    <w:rsid w:val="0BCE066E"/>
    <w:rsid w:val="0BE65DF4"/>
    <w:rsid w:val="0BE86EEE"/>
    <w:rsid w:val="0CDF2F6F"/>
    <w:rsid w:val="0CED5D9A"/>
    <w:rsid w:val="0D480CF4"/>
    <w:rsid w:val="0D644315"/>
    <w:rsid w:val="0D782A7C"/>
    <w:rsid w:val="0DC900F6"/>
    <w:rsid w:val="0DCC43E3"/>
    <w:rsid w:val="0ECB2AFF"/>
    <w:rsid w:val="0F7E5BC2"/>
    <w:rsid w:val="0FAA561B"/>
    <w:rsid w:val="0FDF5034"/>
    <w:rsid w:val="101D3AF7"/>
    <w:rsid w:val="105A5869"/>
    <w:rsid w:val="11EA5BE4"/>
    <w:rsid w:val="11F56B6F"/>
    <w:rsid w:val="12CB18A0"/>
    <w:rsid w:val="13B96E17"/>
    <w:rsid w:val="13D051BB"/>
    <w:rsid w:val="14243948"/>
    <w:rsid w:val="142D7C09"/>
    <w:rsid w:val="14870AD5"/>
    <w:rsid w:val="14920034"/>
    <w:rsid w:val="14933A29"/>
    <w:rsid w:val="16125DAF"/>
    <w:rsid w:val="16444CD7"/>
    <w:rsid w:val="1701199D"/>
    <w:rsid w:val="1712445D"/>
    <w:rsid w:val="17F93E0B"/>
    <w:rsid w:val="18135780"/>
    <w:rsid w:val="1A9058A9"/>
    <w:rsid w:val="1AB01F69"/>
    <w:rsid w:val="1B5A57C5"/>
    <w:rsid w:val="1C455CA5"/>
    <w:rsid w:val="1C675A41"/>
    <w:rsid w:val="1D2C69D2"/>
    <w:rsid w:val="1DBB18AB"/>
    <w:rsid w:val="1EAA1060"/>
    <w:rsid w:val="1EB32C36"/>
    <w:rsid w:val="2039750C"/>
    <w:rsid w:val="21637D6D"/>
    <w:rsid w:val="21A319E8"/>
    <w:rsid w:val="22C57048"/>
    <w:rsid w:val="239E00B4"/>
    <w:rsid w:val="23B53EAA"/>
    <w:rsid w:val="23BE3576"/>
    <w:rsid w:val="24156E1F"/>
    <w:rsid w:val="241A2A47"/>
    <w:rsid w:val="243B2FEE"/>
    <w:rsid w:val="250C37AD"/>
    <w:rsid w:val="251E74A4"/>
    <w:rsid w:val="25C3437A"/>
    <w:rsid w:val="25E15AE3"/>
    <w:rsid w:val="26A42060"/>
    <w:rsid w:val="273A295D"/>
    <w:rsid w:val="27843CE5"/>
    <w:rsid w:val="28235435"/>
    <w:rsid w:val="28470060"/>
    <w:rsid w:val="28A956EB"/>
    <w:rsid w:val="28E56CDC"/>
    <w:rsid w:val="28EA25A9"/>
    <w:rsid w:val="28FC3596"/>
    <w:rsid w:val="29AA30DA"/>
    <w:rsid w:val="2AB23619"/>
    <w:rsid w:val="2B347A3C"/>
    <w:rsid w:val="2B5B5B5C"/>
    <w:rsid w:val="2BEDCB12"/>
    <w:rsid w:val="2C4810FA"/>
    <w:rsid w:val="2ECC1C8B"/>
    <w:rsid w:val="2EDE27BE"/>
    <w:rsid w:val="2F03376A"/>
    <w:rsid w:val="2FCB5706"/>
    <w:rsid w:val="2FCD06EB"/>
    <w:rsid w:val="30DA198B"/>
    <w:rsid w:val="31817E50"/>
    <w:rsid w:val="31BA0043"/>
    <w:rsid w:val="31EE5F41"/>
    <w:rsid w:val="32152698"/>
    <w:rsid w:val="329C56D5"/>
    <w:rsid w:val="32C11E4B"/>
    <w:rsid w:val="32CD354C"/>
    <w:rsid w:val="32DD2181"/>
    <w:rsid w:val="32EB653A"/>
    <w:rsid w:val="33FE6BE1"/>
    <w:rsid w:val="35B756B5"/>
    <w:rsid w:val="36FA338C"/>
    <w:rsid w:val="37103BA1"/>
    <w:rsid w:val="37EDF4F5"/>
    <w:rsid w:val="38EF10B0"/>
    <w:rsid w:val="393C3BD7"/>
    <w:rsid w:val="3BCB6780"/>
    <w:rsid w:val="3BDA58E1"/>
    <w:rsid w:val="3C9D5E15"/>
    <w:rsid w:val="3D610EA1"/>
    <w:rsid w:val="3DB75AD1"/>
    <w:rsid w:val="3DEE62BF"/>
    <w:rsid w:val="3DFFB930"/>
    <w:rsid w:val="3E5654D6"/>
    <w:rsid w:val="3E73290A"/>
    <w:rsid w:val="3EEB66BF"/>
    <w:rsid w:val="3F982986"/>
    <w:rsid w:val="3FDEA7DB"/>
    <w:rsid w:val="3FFBE3E2"/>
    <w:rsid w:val="404B5A00"/>
    <w:rsid w:val="40E3639E"/>
    <w:rsid w:val="411A73CB"/>
    <w:rsid w:val="41762B1F"/>
    <w:rsid w:val="42CD0A98"/>
    <w:rsid w:val="42FB203E"/>
    <w:rsid w:val="42FC0372"/>
    <w:rsid w:val="431A0C09"/>
    <w:rsid w:val="444F574B"/>
    <w:rsid w:val="44B903DB"/>
    <w:rsid w:val="450916D7"/>
    <w:rsid w:val="45556501"/>
    <w:rsid w:val="46CC15CD"/>
    <w:rsid w:val="471E09F1"/>
    <w:rsid w:val="47E2567D"/>
    <w:rsid w:val="480E2158"/>
    <w:rsid w:val="480F57AF"/>
    <w:rsid w:val="48233A15"/>
    <w:rsid w:val="48384D06"/>
    <w:rsid w:val="492312D0"/>
    <w:rsid w:val="49286AB2"/>
    <w:rsid w:val="496A6DE7"/>
    <w:rsid w:val="4B3A7DC7"/>
    <w:rsid w:val="4B65373A"/>
    <w:rsid w:val="4B8D6483"/>
    <w:rsid w:val="4CEB48AD"/>
    <w:rsid w:val="4D00163A"/>
    <w:rsid w:val="4D6E0833"/>
    <w:rsid w:val="4D8C3CBC"/>
    <w:rsid w:val="4DF740D0"/>
    <w:rsid w:val="4E973F34"/>
    <w:rsid w:val="4EFB0E9B"/>
    <w:rsid w:val="4F0F5BE3"/>
    <w:rsid w:val="4F2103FD"/>
    <w:rsid w:val="4F48437E"/>
    <w:rsid w:val="4F4DDC4D"/>
    <w:rsid w:val="5070230F"/>
    <w:rsid w:val="514C5C89"/>
    <w:rsid w:val="514D1A43"/>
    <w:rsid w:val="51596183"/>
    <w:rsid w:val="520B25A1"/>
    <w:rsid w:val="5233158F"/>
    <w:rsid w:val="52422029"/>
    <w:rsid w:val="52A5614E"/>
    <w:rsid w:val="52E87329"/>
    <w:rsid w:val="52FC7DC9"/>
    <w:rsid w:val="53215482"/>
    <w:rsid w:val="535E2C1C"/>
    <w:rsid w:val="536568BD"/>
    <w:rsid w:val="54D90AD4"/>
    <w:rsid w:val="55040901"/>
    <w:rsid w:val="551161EC"/>
    <w:rsid w:val="55A81B98"/>
    <w:rsid w:val="55BF3C80"/>
    <w:rsid w:val="55E528CE"/>
    <w:rsid w:val="55F02DB1"/>
    <w:rsid w:val="566E693B"/>
    <w:rsid w:val="56861391"/>
    <w:rsid w:val="56DF05DE"/>
    <w:rsid w:val="56F70118"/>
    <w:rsid w:val="57BD69DA"/>
    <w:rsid w:val="57FC6189"/>
    <w:rsid w:val="59D70523"/>
    <w:rsid w:val="59EF0258"/>
    <w:rsid w:val="59F40D00"/>
    <w:rsid w:val="5A347163"/>
    <w:rsid w:val="5B54551A"/>
    <w:rsid w:val="5B6E1D19"/>
    <w:rsid w:val="5B963C9D"/>
    <w:rsid w:val="5BBA5184"/>
    <w:rsid w:val="5C226CF3"/>
    <w:rsid w:val="5C9F091B"/>
    <w:rsid w:val="5CA22D1D"/>
    <w:rsid w:val="5D7A51F0"/>
    <w:rsid w:val="5DD0156B"/>
    <w:rsid w:val="5E0B036F"/>
    <w:rsid w:val="5EFE417B"/>
    <w:rsid w:val="5F073306"/>
    <w:rsid w:val="5F1D1F5A"/>
    <w:rsid w:val="5F4D6E91"/>
    <w:rsid w:val="5F56244B"/>
    <w:rsid w:val="5F5F73B9"/>
    <w:rsid w:val="5F9252D0"/>
    <w:rsid w:val="5FFFD8C0"/>
    <w:rsid w:val="600B02EA"/>
    <w:rsid w:val="60196513"/>
    <w:rsid w:val="619260ED"/>
    <w:rsid w:val="61A11B07"/>
    <w:rsid w:val="61C46B55"/>
    <w:rsid w:val="62861287"/>
    <w:rsid w:val="63795759"/>
    <w:rsid w:val="63BF6D23"/>
    <w:rsid w:val="64BFAF20"/>
    <w:rsid w:val="64F61BE2"/>
    <w:rsid w:val="656E5C27"/>
    <w:rsid w:val="65C74899"/>
    <w:rsid w:val="65E7D84C"/>
    <w:rsid w:val="660E3674"/>
    <w:rsid w:val="6637C928"/>
    <w:rsid w:val="673733DA"/>
    <w:rsid w:val="677019ED"/>
    <w:rsid w:val="67E91E66"/>
    <w:rsid w:val="6838144E"/>
    <w:rsid w:val="68636F31"/>
    <w:rsid w:val="686719DE"/>
    <w:rsid w:val="686B2462"/>
    <w:rsid w:val="68AA7398"/>
    <w:rsid w:val="6A797903"/>
    <w:rsid w:val="6AA0644F"/>
    <w:rsid w:val="6AB5580B"/>
    <w:rsid w:val="6B3B6738"/>
    <w:rsid w:val="6BA46F9F"/>
    <w:rsid w:val="6CDF0224"/>
    <w:rsid w:val="6D405B9F"/>
    <w:rsid w:val="6DEA0953"/>
    <w:rsid w:val="6E002AA7"/>
    <w:rsid w:val="6E1753FD"/>
    <w:rsid w:val="6E300441"/>
    <w:rsid w:val="6EF5249C"/>
    <w:rsid w:val="6F3EF8F4"/>
    <w:rsid w:val="6F97D24A"/>
    <w:rsid w:val="703C0F56"/>
    <w:rsid w:val="7054013A"/>
    <w:rsid w:val="71895C77"/>
    <w:rsid w:val="71CF3736"/>
    <w:rsid w:val="71E909FE"/>
    <w:rsid w:val="73E16254"/>
    <w:rsid w:val="742C597A"/>
    <w:rsid w:val="7499002B"/>
    <w:rsid w:val="75297821"/>
    <w:rsid w:val="752D0371"/>
    <w:rsid w:val="75906307"/>
    <w:rsid w:val="75B5A293"/>
    <w:rsid w:val="75F95673"/>
    <w:rsid w:val="762D089E"/>
    <w:rsid w:val="76443AB5"/>
    <w:rsid w:val="77407BB6"/>
    <w:rsid w:val="77735706"/>
    <w:rsid w:val="77BE7064"/>
    <w:rsid w:val="77C45345"/>
    <w:rsid w:val="77E97D7C"/>
    <w:rsid w:val="77EB940F"/>
    <w:rsid w:val="77FE53E9"/>
    <w:rsid w:val="77FFD178"/>
    <w:rsid w:val="786579EC"/>
    <w:rsid w:val="78B72AEB"/>
    <w:rsid w:val="78BE65B5"/>
    <w:rsid w:val="79CB4DB9"/>
    <w:rsid w:val="7AF73C51"/>
    <w:rsid w:val="7B6770D5"/>
    <w:rsid w:val="7B7F2F1D"/>
    <w:rsid w:val="7BC506FF"/>
    <w:rsid w:val="7BDBDEEB"/>
    <w:rsid w:val="7BFCFFC7"/>
    <w:rsid w:val="7DF15500"/>
    <w:rsid w:val="7DF3DCD2"/>
    <w:rsid w:val="7EB644E4"/>
    <w:rsid w:val="7F2544AE"/>
    <w:rsid w:val="7F3873AC"/>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8"/>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6">
    <w:name w:val="heading 2"/>
    <w:basedOn w:val="1"/>
    <w:next w:val="7"/>
    <w:link w:val="69"/>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8">
    <w:name w:val="heading 3"/>
    <w:basedOn w:val="1"/>
    <w:next w:val="7"/>
    <w:link w:val="7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9">
    <w:name w:val="heading 4"/>
    <w:basedOn w:val="1"/>
    <w:next w:val="1"/>
    <w:link w:val="72"/>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10">
    <w:name w:val="heading 5"/>
    <w:basedOn w:val="1"/>
    <w:next w:val="1"/>
    <w:link w:val="73"/>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11">
    <w:name w:val="heading 6"/>
    <w:basedOn w:val="1"/>
    <w:next w:val="1"/>
    <w:link w:val="74"/>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2">
    <w:name w:val="heading 7"/>
    <w:basedOn w:val="1"/>
    <w:next w:val="1"/>
    <w:link w:val="75"/>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3">
    <w:name w:val="heading 8"/>
    <w:basedOn w:val="1"/>
    <w:next w:val="1"/>
    <w:link w:val="76"/>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77"/>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8">
    <w:name w:val="Default Paragraph Font"/>
    <w:autoRedefine/>
    <w:semiHidden/>
    <w:unhideWhenUsed/>
    <w:qFormat/>
    <w:uiPriority w:val="1"/>
  </w:style>
  <w:style w:type="table" w:default="1" w:styleId="55">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
    <w:basedOn w:val="3"/>
    <w:autoRedefine/>
    <w:qFormat/>
    <w:uiPriority w:val="0"/>
  </w:style>
  <w:style w:type="paragraph" w:customStyle="1" w:styleId="3">
    <w:name w:val="正文样式"/>
    <w:basedOn w:val="1"/>
    <w:next w:val="1"/>
    <w:autoRedefine/>
    <w:qFormat/>
    <w:uiPriority w:val="7"/>
    <w:pPr>
      <w:ind w:firstLine="480"/>
    </w:pPr>
  </w:style>
  <w:style w:type="paragraph" w:styleId="4">
    <w:name w:val="macro"/>
    <w:link w:val="528"/>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7">
    <w:name w:val="Normal Indent"/>
    <w:basedOn w:val="1"/>
    <w:link w:val="70"/>
    <w:autoRedefine/>
    <w:qFormat/>
    <w:uiPriority w:val="99"/>
    <w:pPr>
      <w:autoSpaceDE w:val="0"/>
      <w:autoSpaceDN w:val="0"/>
      <w:adjustRightInd w:val="0"/>
      <w:ind w:firstLine="420"/>
      <w:jc w:val="left"/>
    </w:pPr>
    <w:rPr>
      <w:rFonts w:ascii="宋体"/>
      <w:sz w:val="24"/>
    </w:rPr>
  </w:style>
  <w:style w:type="paragraph" w:styleId="15">
    <w:name w:val="toc 7"/>
    <w:basedOn w:val="1"/>
    <w:next w:val="1"/>
    <w:autoRedefine/>
    <w:qFormat/>
    <w:uiPriority w:val="99"/>
    <w:pPr>
      <w:ind w:left="2520" w:leftChars="1200"/>
    </w:pPr>
  </w:style>
  <w:style w:type="paragraph" w:styleId="16">
    <w:name w:val="List Number"/>
    <w:basedOn w:val="17"/>
    <w:autoRedefine/>
    <w:unhideWhenUsed/>
    <w:qFormat/>
    <w:uiPriority w:val="99"/>
    <w:pPr>
      <w:tabs>
        <w:tab w:val="left" w:pos="360"/>
      </w:tabs>
      <w:spacing w:line="360" w:lineRule="auto"/>
      <w:ind w:left="360" w:hanging="360"/>
    </w:pPr>
    <w:rPr>
      <w:rFonts w:ascii="宋体"/>
      <w:szCs w:val="21"/>
      <w:lang w:val="zh-CN"/>
    </w:rPr>
  </w:style>
  <w:style w:type="paragraph" w:customStyle="1" w:styleId="17">
    <w:name w:val="列出段落1"/>
    <w:basedOn w:val="1"/>
    <w:link w:val="109"/>
    <w:autoRedefine/>
    <w:qFormat/>
    <w:uiPriority w:val="34"/>
    <w:pPr>
      <w:ind w:firstLine="420" w:firstLineChars="200"/>
    </w:pPr>
    <w:rPr>
      <w:rFonts w:ascii="Calibri" w:hAnsi="Calibri"/>
      <w:szCs w:val="22"/>
    </w:rPr>
  </w:style>
  <w:style w:type="paragraph" w:styleId="18">
    <w:name w:val="caption"/>
    <w:basedOn w:val="1"/>
    <w:next w:val="1"/>
    <w:autoRedefine/>
    <w:qFormat/>
    <w:uiPriority w:val="99"/>
    <w:pPr>
      <w:spacing w:line="480" w:lineRule="auto"/>
    </w:pPr>
    <w:rPr>
      <w:rFonts w:ascii="华文中宋" w:hAnsi="华文中宋" w:eastAsia="华文中宋"/>
      <w:sz w:val="36"/>
      <w:szCs w:val="20"/>
    </w:rPr>
  </w:style>
  <w:style w:type="paragraph" w:styleId="19">
    <w:name w:val="Document Map"/>
    <w:basedOn w:val="1"/>
    <w:link w:val="78"/>
    <w:autoRedefine/>
    <w:qFormat/>
    <w:uiPriority w:val="99"/>
    <w:pPr>
      <w:shd w:val="clear" w:color="auto" w:fill="000080"/>
    </w:pPr>
  </w:style>
  <w:style w:type="paragraph" w:styleId="20">
    <w:name w:val="annotation text"/>
    <w:basedOn w:val="1"/>
    <w:link w:val="79"/>
    <w:autoRedefine/>
    <w:qFormat/>
    <w:uiPriority w:val="99"/>
    <w:pPr>
      <w:jc w:val="left"/>
    </w:pPr>
  </w:style>
  <w:style w:type="paragraph" w:styleId="21">
    <w:name w:val="Body Text 3"/>
    <w:basedOn w:val="1"/>
    <w:link w:val="80"/>
    <w:autoRedefine/>
    <w:qFormat/>
    <w:uiPriority w:val="99"/>
    <w:pPr>
      <w:spacing w:after="120"/>
    </w:pPr>
    <w:rPr>
      <w:sz w:val="16"/>
      <w:szCs w:val="16"/>
    </w:rPr>
  </w:style>
  <w:style w:type="paragraph" w:styleId="22">
    <w:name w:val="Body Text"/>
    <w:basedOn w:val="1"/>
    <w:next w:val="23"/>
    <w:link w:val="81"/>
    <w:autoRedefine/>
    <w:qFormat/>
    <w:uiPriority w:val="99"/>
    <w:pPr>
      <w:tabs>
        <w:tab w:val="left" w:pos="567"/>
      </w:tabs>
      <w:spacing w:before="120" w:line="22" w:lineRule="atLeast"/>
    </w:pPr>
    <w:rPr>
      <w:rFonts w:ascii="宋体" w:hAnsi="宋体"/>
      <w:sz w:val="24"/>
    </w:rPr>
  </w:style>
  <w:style w:type="paragraph" w:customStyle="1" w:styleId="23">
    <w:name w:val="目录 11"/>
    <w:next w:val="1"/>
    <w:autoRedefine/>
    <w:qFormat/>
    <w:uiPriority w:val="0"/>
    <w:pPr>
      <w:wordWrap w:val="0"/>
      <w:jc w:val="both"/>
    </w:pPr>
    <w:rPr>
      <w:rFonts w:ascii="Calibri" w:hAnsi="Calibri" w:eastAsia="宋体" w:cs="Calibri"/>
      <w:sz w:val="21"/>
      <w:szCs w:val="22"/>
      <w:lang w:val="en-US" w:eastAsia="zh-CN" w:bidi="ar-SA"/>
    </w:rPr>
  </w:style>
  <w:style w:type="paragraph" w:styleId="24">
    <w:name w:val="Body Text Indent"/>
    <w:basedOn w:val="1"/>
    <w:next w:val="1"/>
    <w:link w:val="82"/>
    <w:autoRedefine/>
    <w:qFormat/>
    <w:uiPriority w:val="99"/>
    <w:pPr>
      <w:spacing w:line="360" w:lineRule="auto"/>
      <w:ind w:firstLine="570"/>
    </w:pPr>
    <w:rPr>
      <w:sz w:val="24"/>
    </w:rPr>
  </w:style>
  <w:style w:type="paragraph" w:styleId="25">
    <w:name w:val="List 2"/>
    <w:basedOn w:val="1"/>
    <w:autoRedefine/>
    <w:qFormat/>
    <w:uiPriority w:val="99"/>
    <w:pPr>
      <w:ind w:left="100" w:leftChars="200" w:hanging="200" w:hangingChars="200"/>
    </w:pPr>
  </w:style>
  <w:style w:type="paragraph" w:styleId="26">
    <w:name w:val="Block Text"/>
    <w:basedOn w:val="1"/>
    <w:autoRedefine/>
    <w:qFormat/>
    <w:uiPriority w:val="99"/>
    <w:pPr>
      <w:widowControl/>
      <w:ind w:left="480" w:right="-341" w:firstLine="513"/>
    </w:pPr>
    <w:rPr>
      <w:kern w:val="0"/>
      <w:sz w:val="24"/>
      <w:szCs w:val="20"/>
    </w:rPr>
  </w:style>
  <w:style w:type="paragraph" w:styleId="27">
    <w:name w:val="index 4"/>
    <w:basedOn w:val="1"/>
    <w:next w:val="1"/>
    <w:autoRedefine/>
    <w:unhideWhenUsed/>
    <w:qFormat/>
    <w:uiPriority w:val="99"/>
    <w:pPr>
      <w:ind w:left="600" w:leftChars="600"/>
    </w:pPr>
  </w:style>
  <w:style w:type="paragraph" w:styleId="28">
    <w:name w:val="toc 5"/>
    <w:basedOn w:val="1"/>
    <w:next w:val="1"/>
    <w:autoRedefine/>
    <w:qFormat/>
    <w:uiPriority w:val="99"/>
    <w:pPr>
      <w:ind w:left="1680" w:leftChars="800"/>
    </w:pPr>
  </w:style>
  <w:style w:type="paragraph" w:styleId="29">
    <w:name w:val="toc 3"/>
    <w:basedOn w:val="1"/>
    <w:next w:val="1"/>
    <w:autoRedefine/>
    <w:qFormat/>
    <w:uiPriority w:val="99"/>
    <w:pPr>
      <w:ind w:left="840" w:leftChars="400"/>
    </w:pPr>
  </w:style>
  <w:style w:type="paragraph" w:styleId="30">
    <w:name w:val="Plain Text"/>
    <w:basedOn w:val="1"/>
    <w:link w:val="83"/>
    <w:autoRedefine/>
    <w:qFormat/>
    <w:uiPriority w:val="99"/>
    <w:rPr>
      <w:rFonts w:hint="eastAsia" w:ascii="宋体" w:hAnsi="Courier New"/>
      <w:szCs w:val="20"/>
    </w:rPr>
  </w:style>
  <w:style w:type="paragraph" w:styleId="31">
    <w:name w:val="toc 8"/>
    <w:basedOn w:val="1"/>
    <w:next w:val="1"/>
    <w:autoRedefine/>
    <w:qFormat/>
    <w:uiPriority w:val="99"/>
    <w:pPr>
      <w:ind w:left="2940" w:leftChars="1400"/>
    </w:pPr>
  </w:style>
  <w:style w:type="paragraph" w:styleId="32">
    <w:name w:val="Date"/>
    <w:basedOn w:val="1"/>
    <w:next w:val="1"/>
    <w:link w:val="84"/>
    <w:autoRedefine/>
    <w:qFormat/>
    <w:uiPriority w:val="99"/>
    <w:pPr>
      <w:ind w:left="100" w:leftChars="2500"/>
    </w:pPr>
    <w:rPr>
      <w:rFonts w:ascii="仿宋_GB2312" w:hAnsi="宋体" w:eastAsia="仿宋_GB2312"/>
      <w:color w:val="000000"/>
      <w:sz w:val="24"/>
    </w:rPr>
  </w:style>
  <w:style w:type="paragraph" w:styleId="33">
    <w:name w:val="Body Text Indent 2"/>
    <w:basedOn w:val="1"/>
    <w:link w:val="85"/>
    <w:autoRedefine/>
    <w:qFormat/>
    <w:uiPriority w:val="99"/>
    <w:pPr>
      <w:ind w:firstLine="480" w:firstLineChars="200"/>
    </w:pPr>
    <w:rPr>
      <w:rFonts w:ascii="仿宋_GB2312" w:eastAsia="仿宋_GB2312"/>
      <w:sz w:val="24"/>
    </w:rPr>
  </w:style>
  <w:style w:type="paragraph" w:styleId="34">
    <w:name w:val="Balloon Text"/>
    <w:basedOn w:val="1"/>
    <w:link w:val="86"/>
    <w:autoRedefine/>
    <w:qFormat/>
    <w:uiPriority w:val="99"/>
    <w:rPr>
      <w:sz w:val="18"/>
      <w:szCs w:val="18"/>
    </w:rPr>
  </w:style>
  <w:style w:type="paragraph" w:styleId="35">
    <w:name w:val="footer"/>
    <w:basedOn w:val="1"/>
    <w:link w:val="87"/>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6">
    <w:name w:val="header"/>
    <w:basedOn w:val="1"/>
    <w:link w:val="88"/>
    <w:autoRedefine/>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8">
    <w:name w:val="toc 4"/>
    <w:basedOn w:val="1"/>
    <w:next w:val="1"/>
    <w:autoRedefine/>
    <w:qFormat/>
    <w:uiPriority w:val="99"/>
    <w:pPr>
      <w:ind w:left="1260" w:leftChars="600"/>
    </w:pPr>
  </w:style>
  <w:style w:type="paragraph" w:styleId="39">
    <w:name w:val="Subtitle"/>
    <w:basedOn w:val="1"/>
    <w:next w:val="1"/>
    <w:link w:val="419"/>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40">
    <w:name w:val="footnote text"/>
    <w:basedOn w:val="1"/>
    <w:link w:val="270"/>
    <w:autoRedefine/>
    <w:unhideWhenUsed/>
    <w:qFormat/>
    <w:uiPriority w:val="99"/>
    <w:pPr>
      <w:adjustRightInd w:val="0"/>
      <w:spacing w:line="312" w:lineRule="atLeast"/>
      <w:jc w:val="left"/>
    </w:pPr>
    <w:rPr>
      <w:kern w:val="0"/>
      <w:sz w:val="18"/>
      <w:szCs w:val="20"/>
      <w:lang w:val="zh-CN"/>
    </w:rPr>
  </w:style>
  <w:style w:type="paragraph" w:styleId="41">
    <w:name w:val="toc 6"/>
    <w:basedOn w:val="1"/>
    <w:next w:val="1"/>
    <w:autoRedefine/>
    <w:qFormat/>
    <w:uiPriority w:val="99"/>
    <w:pPr>
      <w:ind w:left="2100" w:leftChars="1000"/>
    </w:pPr>
  </w:style>
  <w:style w:type="paragraph" w:styleId="42">
    <w:name w:val="Body Text Indent 3"/>
    <w:basedOn w:val="1"/>
    <w:link w:val="89"/>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3">
    <w:name w:val="index 9"/>
    <w:basedOn w:val="1"/>
    <w:next w:val="1"/>
    <w:autoRedefine/>
    <w:qFormat/>
    <w:uiPriority w:val="0"/>
    <w:pPr>
      <w:ind w:left="1600" w:leftChars="1600"/>
    </w:pPr>
  </w:style>
  <w:style w:type="paragraph" w:styleId="44">
    <w:name w:val="table of figures"/>
    <w:basedOn w:val="1"/>
    <w:next w:val="1"/>
    <w:autoRedefine/>
    <w:unhideWhenUsed/>
    <w:qFormat/>
    <w:uiPriority w:val="99"/>
    <w:pPr>
      <w:ind w:left="840" w:hanging="420"/>
    </w:pPr>
    <w:rPr>
      <w:szCs w:val="20"/>
    </w:rPr>
  </w:style>
  <w:style w:type="paragraph" w:styleId="45">
    <w:name w:val="toc 2"/>
    <w:basedOn w:val="1"/>
    <w:next w:val="1"/>
    <w:autoRedefine/>
    <w:qFormat/>
    <w:uiPriority w:val="99"/>
    <w:pPr>
      <w:tabs>
        <w:tab w:val="right" w:leader="dot" w:pos="8937"/>
      </w:tabs>
      <w:spacing w:line="312" w:lineRule="auto"/>
      <w:ind w:left="420" w:leftChars="200"/>
    </w:pPr>
  </w:style>
  <w:style w:type="paragraph" w:styleId="46">
    <w:name w:val="toc 9"/>
    <w:basedOn w:val="1"/>
    <w:next w:val="1"/>
    <w:autoRedefine/>
    <w:qFormat/>
    <w:uiPriority w:val="99"/>
    <w:pPr>
      <w:ind w:left="3360" w:leftChars="1600"/>
    </w:pPr>
  </w:style>
  <w:style w:type="paragraph" w:styleId="47">
    <w:name w:val="Body Text 2"/>
    <w:basedOn w:val="1"/>
    <w:link w:val="271"/>
    <w:autoRedefine/>
    <w:unhideWhenUsed/>
    <w:qFormat/>
    <w:uiPriority w:val="99"/>
    <w:pPr>
      <w:adjustRightInd w:val="0"/>
      <w:spacing w:line="360" w:lineRule="atLeast"/>
    </w:pPr>
    <w:rPr>
      <w:rFonts w:ascii="宋体" w:hAnsi="宋体"/>
      <w:kern w:val="0"/>
      <w:sz w:val="24"/>
      <w:u w:val="single"/>
      <w:lang w:val="zh-CN"/>
    </w:rPr>
  </w:style>
  <w:style w:type="paragraph" w:styleId="48">
    <w:name w:val="HTML Preformatted"/>
    <w:basedOn w:val="1"/>
    <w:link w:val="9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9">
    <w:name w:val="Normal (Web)"/>
    <w:basedOn w:val="1"/>
    <w:link w:val="266"/>
    <w:autoRedefine/>
    <w:unhideWhenUsed/>
    <w:qFormat/>
    <w:uiPriority w:val="99"/>
    <w:pPr>
      <w:widowControl/>
      <w:spacing w:before="100" w:beforeAutospacing="1" w:after="100" w:afterAutospacing="1"/>
      <w:jc w:val="left"/>
    </w:pPr>
    <w:rPr>
      <w:rFonts w:ascii="宋体" w:hAnsi="宋体" w:cs="宋体"/>
      <w:kern w:val="0"/>
      <w:sz w:val="24"/>
    </w:rPr>
  </w:style>
  <w:style w:type="paragraph" w:styleId="50">
    <w:name w:val="index 1"/>
    <w:basedOn w:val="1"/>
    <w:next w:val="1"/>
    <w:autoRedefine/>
    <w:qFormat/>
    <w:uiPriority w:val="99"/>
    <w:rPr>
      <w:szCs w:val="20"/>
    </w:rPr>
  </w:style>
  <w:style w:type="paragraph" w:styleId="51">
    <w:name w:val="Title"/>
    <w:basedOn w:val="1"/>
    <w:link w:val="91"/>
    <w:autoRedefine/>
    <w:qFormat/>
    <w:uiPriority w:val="99"/>
    <w:pPr>
      <w:jc w:val="center"/>
      <w:outlineLvl w:val="0"/>
    </w:pPr>
    <w:rPr>
      <w:b/>
      <w:sz w:val="32"/>
      <w:szCs w:val="20"/>
    </w:rPr>
  </w:style>
  <w:style w:type="paragraph" w:styleId="52">
    <w:name w:val="annotation subject"/>
    <w:basedOn w:val="20"/>
    <w:next w:val="20"/>
    <w:link w:val="92"/>
    <w:autoRedefine/>
    <w:qFormat/>
    <w:uiPriority w:val="99"/>
    <w:rPr>
      <w:b/>
      <w:bCs/>
    </w:rPr>
  </w:style>
  <w:style w:type="paragraph" w:styleId="53">
    <w:name w:val="Body Text First Indent"/>
    <w:basedOn w:val="22"/>
    <w:link w:val="273"/>
    <w:autoRedefine/>
    <w:unhideWhenUsed/>
    <w:qFormat/>
    <w:uiPriority w:val="99"/>
    <w:pPr>
      <w:spacing w:before="0" w:after="120" w:line="240" w:lineRule="auto"/>
      <w:ind w:firstLine="420" w:firstLineChars="100"/>
    </w:pPr>
    <w:rPr>
      <w:rFonts w:ascii="Times New Roman" w:hAnsi="Times New Roman"/>
      <w:sz w:val="21"/>
    </w:rPr>
  </w:style>
  <w:style w:type="paragraph" w:styleId="54">
    <w:name w:val="Body Text First Indent 2"/>
    <w:basedOn w:val="24"/>
    <w:link w:val="93"/>
    <w:autoRedefine/>
    <w:qFormat/>
    <w:uiPriority w:val="99"/>
    <w:pPr>
      <w:spacing w:after="120" w:line="480" w:lineRule="exact"/>
      <w:ind w:left="420" w:leftChars="200" w:firstLine="420" w:firstLineChars="200"/>
    </w:pPr>
    <w:rPr>
      <w:szCs w:val="20"/>
    </w:rPr>
  </w:style>
  <w:style w:type="table" w:styleId="56">
    <w:name w:val="Table Grid"/>
    <w:basedOn w:val="5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7">
    <w:name w:val="Medium Grid 1 Accent 2"/>
    <w:basedOn w:val="55"/>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9">
    <w:name w:val="Strong"/>
    <w:autoRedefine/>
    <w:qFormat/>
    <w:uiPriority w:val="22"/>
    <w:rPr>
      <w:b/>
      <w:bCs/>
    </w:rPr>
  </w:style>
  <w:style w:type="character" w:styleId="60">
    <w:name w:val="page number"/>
    <w:autoRedefine/>
    <w:qFormat/>
    <w:uiPriority w:val="0"/>
  </w:style>
  <w:style w:type="character" w:styleId="61">
    <w:name w:val="FollowedHyperlink"/>
    <w:autoRedefine/>
    <w:qFormat/>
    <w:uiPriority w:val="99"/>
    <w:rPr>
      <w:color w:val="800080"/>
      <w:u w:val="single"/>
    </w:rPr>
  </w:style>
  <w:style w:type="character" w:styleId="62">
    <w:name w:val="Emphasis"/>
    <w:autoRedefine/>
    <w:qFormat/>
    <w:uiPriority w:val="20"/>
    <w:rPr>
      <w:color w:val="CC0033"/>
    </w:rPr>
  </w:style>
  <w:style w:type="character" w:styleId="63">
    <w:name w:val="Hyperlink"/>
    <w:autoRedefine/>
    <w:qFormat/>
    <w:uiPriority w:val="99"/>
    <w:rPr>
      <w:color w:val="0000FF"/>
      <w:u w:val="single"/>
    </w:rPr>
  </w:style>
  <w:style w:type="character" w:styleId="64">
    <w:name w:val="annotation reference"/>
    <w:autoRedefine/>
    <w:qFormat/>
    <w:uiPriority w:val="99"/>
    <w:rPr>
      <w:sz w:val="21"/>
      <w:szCs w:val="21"/>
    </w:rPr>
  </w:style>
  <w:style w:type="character" w:styleId="65">
    <w:name w:val="HTML Cite"/>
    <w:autoRedefine/>
    <w:qFormat/>
    <w:uiPriority w:val="0"/>
    <w:rPr>
      <w:i/>
      <w:iCs/>
    </w:rPr>
  </w:style>
  <w:style w:type="character" w:styleId="66">
    <w:name w:val="footnote reference"/>
    <w:autoRedefine/>
    <w:unhideWhenUsed/>
    <w:qFormat/>
    <w:uiPriority w:val="0"/>
    <w:rPr>
      <w:vertAlign w:val="superscript"/>
    </w:rPr>
  </w:style>
  <w:style w:type="character" w:customStyle="1" w:styleId="67">
    <w:name w:val="标题 2 字符"/>
    <w:autoRedefine/>
    <w:qFormat/>
    <w:locked/>
    <w:uiPriority w:val="0"/>
    <w:rPr>
      <w:rFonts w:hint="default" w:ascii="Arial" w:hAnsi="Arial" w:eastAsia="宋体" w:cs="Arial"/>
      <w:sz w:val="28"/>
      <w:lang w:val="zh-CN" w:eastAsia="zh-CN"/>
    </w:rPr>
  </w:style>
  <w:style w:type="character" w:customStyle="1" w:styleId="68">
    <w:name w:val="标题 1 字符1"/>
    <w:link w:val="5"/>
    <w:autoRedefine/>
    <w:qFormat/>
    <w:uiPriority w:val="0"/>
    <w:rPr>
      <w:rFonts w:ascii="宋体"/>
      <w:b/>
      <w:kern w:val="44"/>
      <w:sz w:val="32"/>
    </w:rPr>
  </w:style>
  <w:style w:type="character" w:customStyle="1" w:styleId="69">
    <w:name w:val="标题 2 字符1"/>
    <w:link w:val="6"/>
    <w:autoRedefine/>
    <w:qFormat/>
    <w:uiPriority w:val="0"/>
    <w:rPr>
      <w:rFonts w:ascii="Arial" w:hAnsi="Arial" w:eastAsia="黑体"/>
      <w:b/>
      <w:sz w:val="30"/>
      <w:lang w:val="en-US" w:eastAsia="zh-CN" w:bidi="ar-SA"/>
    </w:rPr>
  </w:style>
  <w:style w:type="character" w:customStyle="1" w:styleId="70">
    <w:name w:val="正文缩进 字符3"/>
    <w:link w:val="7"/>
    <w:autoRedefine/>
    <w:qFormat/>
    <w:uiPriority w:val="0"/>
    <w:rPr>
      <w:rFonts w:ascii="宋体" w:eastAsia="宋体"/>
      <w:kern w:val="2"/>
      <w:sz w:val="24"/>
      <w:szCs w:val="24"/>
      <w:lang w:val="en-US" w:eastAsia="zh-CN" w:bidi="ar-SA"/>
    </w:rPr>
  </w:style>
  <w:style w:type="character" w:customStyle="1" w:styleId="71">
    <w:name w:val="标题 3 字符2"/>
    <w:link w:val="8"/>
    <w:autoRedefine/>
    <w:qFormat/>
    <w:uiPriority w:val="9"/>
    <w:rPr>
      <w:rFonts w:ascii="宋体" w:eastAsia="宋体"/>
      <w:b/>
      <w:sz w:val="24"/>
      <w:u w:val="single"/>
      <w:lang w:val="en-US" w:eastAsia="zh-CN" w:bidi="ar-SA"/>
    </w:rPr>
  </w:style>
  <w:style w:type="character" w:customStyle="1" w:styleId="72">
    <w:name w:val="标题 4 字符1"/>
    <w:link w:val="9"/>
    <w:autoRedefine/>
    <w:qFormat/>
    <w:uiPriority w:val="0"/>
    <w:rPr>
      <w:rFonts w:ascii="Arial" w:hAnsi="Arial" w:eastAsia="黑体"/>
      <w:b/>
      <w:sz w:val="28"/>
    </w:rPr>
  </w:style>
  <w:style w:type="character" w:customStyle="1" w:styleId="73">
    <w:name w:val="标题 5 字符1"/>
    <w:link w:val="10"/>
    <w:autoRedefine/>
    <w:qFormat/>
    <w:uiPriority w:val="0"/>
    <w:rPr>
      <w:b/>
      <w:sz w:val="28"/>
    </w:rPr>
  </w:style>
  <w:style w:type="character" w:customStyle="1" w:styleId="74">
    <w:name w:val="标题 6 字符1"/>
    <w:link w:val="11"/>
    <w:autoRedefine/>
    <w:qFormat/>
    <w:uiPriority w:val="0"/>
    <w:rPr>
      <w:rFonts w:ascii="Arial" w:hAnsi="Arial" w:eastAsia="黑体"/>
      <w:b/>
      <w:sz w:val="24"/>
    </w:rPr>
  </w:style>
  <w:style w:type="character" w:customStyle="1" w:styleId="75">
    <w:name w:val="标题 7 字符1"/>
    <w:link w:val="12"/>
    <w:autoRedefine/>
    <w:qFormat/>
    <w:uiPriority w:val="0"/>
    <w:rPr>
      <w:b/>
      <w:sz w:val="24"/>
    </w:rPr>
  </w:style>
  <w:style w:type="character" w:customStyle="1" w:styleId="76">
    <w:name w:val="标题 8 字符1"/>
    <w:link w:val="13"/>
    <w:autoRedefine/>
    <w:qFormat/>
    <w:uiPriority w:val="0"/>
    <w:rPr>
      <w:rFonts w:ascii="Arial" w:hAnsi="Arial" w:eastAsia="黑体"/>
      <w:sz w:val="24"/>
    </w:rPr>
  </w:style>
  <w:style w:type="character" w:customStyle="1" w:styleId="77">
    <w:name w:val="标题 9 字符1"/>
    <w:link w:val="14"/>
    <w:autoRedefine/>
    <w:qFormat/>
    <w:uiPriority w:val="0"/>
    <w:rPr>
      <w:rFonts w:ascii="Arial" w:hAnsi="Arial" w:eastAsia="黑体"/>
      <w:sz w:val="21"/>
    </w:rPr>
  </w:style>
  <w:style w:type="character" w:customStyle="1" w:styleId="78">
    <w:name w:val="文档结构图 字符1"/>
    <w:link w:val="19"/>
    <w:autoRedefine/>
    <w:qFormat/>
    <w:uiPriority w:val="0"/>
    <w:rPr>
      <w:kern w:val="2"/>
      <w:sz w:val="21"/>
      <w:szCs w:val="24"/>
      <w:shd w:val="clear" w:color="auto" w:fill="000080"/>
    </w:rPr>
  </w:style>
  <w:style w:type="character" w:customStyle="1" w:styleId="79">
    <w:name w:val="批注文字 字符3"/>
    <w:link w:val="20"/>
    <w:autoRedefine/>
    <w:qFormat/>
    <w:uiPriority w:val="99"/>
    <w:rPr>
      <w:kern w:val="2"/>
      <w:sz w:val="21"/>
      <w:szCs w:val="24"/>
    </w:rPr>
  </w:style>
  <w:style w:type="character" w:customStyle="1" w:styleId="80">
    <w:name w:val="正文文本 3 字符1"/>
    <w:link w:val="21"/>
    <w:autoRedefine/>
    <w:qFormat/>
    <w:uiPriority w:val="0"/>
    <w:rPr>
      <w:kern w:val="2"/>
      <w:sz w:val="16"/>
      <w:szCs w:val="16"/>
    </w:rPr>
  </w:style>
  <w:style w:type="character" w:customStyle="1" w:styleId="81">
    <w:name w:val="正文文本 字符1"/>
    <w:link w:val="22"/>
    <w:autoRedefine/>
    <w:qFormat/>
    <w:uiPriority w:val="0"/>
    <w:rPr>
      <w:rFonts w:ascii="宋体" w:hAnsi="宋体"/>
      <w:kern w:val="2"/>
      <w:sz w:val="24"/>
      <w:szCs w:val="24"/>
    </w:rPr>
  </w:style>
  <w:style w:type="character" w:customStyle="1" w:styleId="82">
    <w:name w:val="正文文本缩进 字符1"/>
    <w:link w:val="24"/>
    <w:autoRedefine/>
    <w:qFormat/>
    <w:uiPriority w:val="0"/>
    <w:rPr>
      <w:rFonts w:eastAsia="宋体"/>
      <w:kern w:val="2"/>
      <w:sz w:val="24"/>
      <w:szCs w:val="24"/>
      <w:lang w:val="en-US" w:eastAsia="zh-CN" w:bidi="ar-SA"/>
    </w:rPr>
  </w:style>
  <w:style w:type="character" w:customStyle="1" w:styleId="83">
    <w:name w:val="纯文本 字符2"/>
    <w:link w:val="30"/>
    <w:autoRedefine/>
    <w:qFormat/>
    <w:uiPriority w:val="99"/>
    <w:rPr>
      <w:rFonts w:hint="eastAsia" w:ascii="宋体" w:hAnsi="Courier New" w:eastAsia="宋体" w:cs="宋体"/>
      <w:kern w:val="2"/>
      <w:sz w:val="21"/>
    </w:rPr>
  </w:style>
  <w:style w:type="character" w:customStyle="1" w:styleId="84">
    <w:name w:val="日期 字符2"/>
    <w:link w:val="32"/>
    <w:autoRedefine/>
    <w:qFormat/>
    <w:uiPriority w:val="99"/>
    <w:rPr>
      <w:rFonts w:ascii="仿宋_GB2312" w:hAnsi="宋体" w:eastAsia="仿宋_GB2312"/>
      <w:color w:val="000000"/>
      <w:kern w:val="2"/>
      <w:sz w:val="24"/>
      <w:szCs w:val="24"/>
    </w:rPr>
  </w:style>
  <w:style w:type="character" w:customStyle="1" w:styleId="85">
    <w:name w:val="正文文本缩进 2 字符1"/>
    <w:link w:val="33"/>
    <w:autoRedefine/>
    <w:qFormat/>
    <w:uiPriority w:val="0"/>
    <w:rPr>
      <w:rFonts w:ascii="仿宋_GB2312" w:eastAsia="仿宋_GB2312"/>
      <w:kern w:val="2"/>
      <w:sz w:val="24"/>
      <w:szCs w:val="24"/>
    </w:rPr>
  </w:style>
  <w:style w:type="character" w:customStyle="1" w:styleId="86">
    <w:name w:val="批注框文本 字符2"/>
    <w:link w:val="34"/>
    <w:autoRedefine/>
    <w:qFormat/>
    <w:uiPriority w:val="0"/>
    <w:rPr>
      <w:kern w:val="2"/>
      <w:sz w:val="18"/>
      <w:szCs w:val="18"/>
    </w:rPr>
  </w:style>
  <w:style w:type="character" w:customStyle="1" w:styleId="87">
    <w:name w:val="页脚 字符2"/>
    <w:link w:val="35"/>
    <w:autoRedefine/>
    <w:qFormat/>
    <w:uiPriority w:val="0"/>
    <w:rPr>
      <w:rFonts w:ascii="宋体" w:eastAsia="宋体"/>
      <w:sz w:val="18"/>
      <w:lang w:val="en-US" w:eastAsia="zh-CN" w:bidi="ar-SA"/>
    </w:rPr>
  </w:style>
  <w:style w:type="character" w:customStyle="1" w:styleId="88">
    <w:name w:val="页眉 字符2"/>
    <w:link w:val="36"/>
    <w:autoRedefine/>
    <w:qFormat/>
    <w:uiPriority w:val="99"/>
    <w:rPr>
      <w:rFonts w:eastAsia="宋体"/>
      <w:kern w:val="2"/>
      <w:sz w:val="18"/>
      <w:szCs w:val="18"/>
      <w:lang w:val="en-US" w:eastAsia="zh-CN" w:bidi="ar-SA"/>
    </w:rPr>
  </w:style>
  <w:style w:type="character" w:customStyle="1" w:styleId="89">
    <w:name w:val="正文文本缩进 3 字符1"/>
    <w:link w:val="42"/>
    <w:autoRedefine/>
    <w:qFormat/>
    <w:uiPriority w:val="99"/>
    <w:rPr>
      <w:rFonts w:ascii="宋体"/>
      <w:sz w:val="24"/>
    </w:rPr>
  </w:style>
  <w:style w:type="character" w:customStyle="1" w:styleId="90">
    <w:name w:val="HTML 预设格式 字符1"/>
    <w:link w:val="48"/>
    <w:autoRedefine/>
    <w:qFormat/>
    <w:uiPriority w:val="0"/>
    <w:rPr>
      <w:rFonts w:ascii="宋体" w:hAnsi="宋体" w:cs="宋体"/>
      <w:sz w:val="24"/>
      <w:szCs w:val="24"/>
    </w:rPr>
  </w:style>
  <w:style w:type="character" w:customStyle="1" w:styleId="91">
    <w:name w:val="标题 字符1"/>
    <w:link w:val="51"/>
    <w:autoRedefine/>
    <w:qFormat/>
    <w:uiPriority w:val="0"/>
    <w:rPr>
      <w:b/>
      <w:kern w:val="2"/>
      <w:sz w:val="32"/>
    </w:rPr>
  </w:style>
  <w:style w:type="character" w:customStyle="1" w:styleId="92">
    <w:name w:val="批注主题 字符2"/>
    <w:link w:val="52"/>
    <w:autoRedefine/>
    <w:qFormat/>
    <w:uiPriority w:val="0"/>
    <w:rPr>
      <w:rFonts w:ascii="Times New Roman" w:hAnsi="Times New Roman" w:eastAsia="宋体" w:cs="Times New Roman"/>
      <w:b/>
      <w:bCs/>
      <w:kern w:val="2"/>
      <w:sz w:val="21"/>
      <w:szCs w:val="24"/>
      <w:lang w:val="en-US" w:eastAsia="zh-CN" w:bidi="ar-SA"/>
    </w:rPr>
  </w:style>
  <w:style w:type="character" w:customStyle="1" w:styleId="93">
    <w:name w:val="正文首行缩进 2 字符"/>
    <w:link w:val="54"/>
    <w:autoRedefine/>
    <w:qFormat/>
    <w:uiPriority w:val="99"/>
    <w:rPr>
      <w:rFonts w:eastAsia="宋体"/>
      <w:kern w:val="2"/>
      <w:sz w:val="24"/>
      <w:szCs w:val="24"/>
      <w:lang w:val="en-US" w:eastAsia="zh-CN" w:bidi="ar-SA"/>
    </w:rPr>
  </w:style>
  <w:style w:type="character" w:customStyle="1" w:styleId="94">
    <w:name w:val="批注文字 字符"/>
    <w:autoRedefine/>
    <w:qFormat/>
    <w:uiPriority w:val="99"/>
    <w:rPr>
      <w:rFonts w:ascii="Times New Roman" w:hAnsi="Times New Roman" w:eastAsia="宋体" w:cs="Times New Roman"/>
      <w:sz w:val="24"/>
      <w:lang w:val="en-US" w:eastAsia="zh-CN" w:bidi="ar-SA"/>
    </w:rPr>
  </w:style>
  <w:style w:type="character" w:customStyle="1" w:styleId="95">
    <w:name w:val="c21"/>
    <w:autoRedefine/>
    <w:qFormat/>
    <w:uiPriority w:val="0"/>
    <w:rPr>
      <w:rFonts w:hint="default" w:ascii="ˎ̥" w:hAnsi="ˎ̥"/>
      <w:color w:val="000000"/>
      <w:sz w:val="20"/>
      <w:szCs w:val="20"/>
      <w:u w:val="none"/>
    </w:rPr>
  </w:style>
  <w:style w:type="character" w:customStyle="1" w:styleId="96">
    <w:name w:val="title4"/>
    <w:autoRedefine/>
    <w:qFormat/>
    <w:uiPriority w:val="0"/>
    <w:rPr>
      <w:b/>
      <w:bCs/>
      <w:color w:val="1D87B3"/>
      <w:sz w:val="15"/>
      <w:szCs w:val="15"/>
    </w:rPr>
  </w:style>
  <w:style w:type="character" w:customStyle="1" w:styleId="97">
    <w:name w:val="标题 2 Char Char"/>
    <w:autoRedefine/>
    <w:qFormat/>
    <w:uiPriority w:val="0"/>
    <w:rPr>
      <w:rFonts w:ascii="Arial" w:hAnsi="Arial" w:eastAsia="黑体"/>
      <w:b/>
      <w:bCs/>
      <w:kern w:val="2"/>
      <w:sz w:val="32"/>
      <w:szCs w:val="32"/>
      <w:lang w:val="en-US" w:eastAsia="zh-CN" w:bidi="ar-SA"/>
    </w:rPr>
  </w:style>
  <w:style w:type="character" w:customStyle="1" w:styleId="98">
    <w:name w:val="black1"/>
    <w:autoRedefine/>
    <w:qFormat/>
    <w:uiPriority w:val="0"/>
    <w:rPr>
      <w:color w:val="000000"/>
    </w:rPr>
  </w:style>
  <w:style w:type="character" w:customStyle="1" w:styleId="99">
    <w:name w:val="street-address"/>
    <w:autoRedefine/>
    <w:qFormat/>
    <w:uiPriority w:val="0"/>
  </w:style>
  <w:style w:type="character" w:customStyle="1" w:styleId="100">
    <w:name w:val="locality"/>
    <w:autoRedefine/>
    <w:qFormat/>
    <w:uiPriority w:val="0"/>
  </w:style>
  <w:style w:type="character" w:customStyle="1" w:styleId="101">
    <w:name w:val="正文文本缩进 Char1"/>
    <w:link w:val="102"/>
    <w:autoRedefine/>
    <w:qFormat/>
    <w:uiPriority w:val="0"/>
    <w:rPr>
      <w:rFonts w:ascii="宋体" w:hAnsi="宋体" w:eastAsia="宋体"/>
      <w:sz w:val="24"/>
      <w:szCs w:val="24"/>
      <w:lang w:bidi="ar-SA"/>
    </w:rPr>
  </w:style>
  <w:style w:type="paragraph" w:customStyle="1" w:styleId="102">
    <w:name w:val="正文文本缩进1"/>
    <w:basedOn w:val="1"/>
    <w:link w:val="101"/>
    <w:autoRedefine/>
    <w:qFormat/>
    <w:uiPriority w:val="0"/>
    <w:pPr>
      <w:spacing w:line="480" w:lineRule="exact"/>
      <w:ind w:firstLine="480" w:firstLineChars="200"/>
    </w:pPr>
    <w:rPr>
      <w:rFonts w:ascii="宋体" w:hAnsi="宋体"/>
      <w:kern w:val="0"/>
      <w:sz w:val="24"/>
    </w:rPr>
  </w:style>
  <w:style w:type="character" w:customStyle="1" w:styleId="103">
    <w:name w:val="Char Char11"/>
    <w:autoRedefine/>
    <w:qFormat/>
    <w:uiPriority w:val="0"/>
    <w:rPr>
      <w:rFonts w:ascii="宋体" w:eastAsia="宋体"/>
      <w:b/>
      <w:sz w:val="24"/>
      <w:u w:val="single"/>
      <w:lang w:val="en-US" w:eastAsia="zh-CN" w:bidi="ar-SA"/>
    </w:rPr>
  </w:style>
  <w:style w:type="character" w:customStyle="1" w:styleId="104">
    <w:name w:val="txt"/>
    <w:autoRedefine/>
    <w:qFormat/>
    <w:uiPriority w:val="0"/>
  </w:style>
  <w:style w:type="character" w:customStyle="1" w:styleId="105">
    <w:name w:val="正文缩进 Char Char"/>
    <w:link w:val="106"/>
    <w:autoRedefine/>
    <w:qFormat/>
    <w:uiPriority w:val="0"/>
    <w:rPr>
      <w:rFonts w:ascii="宋体" w:eastAsia="宋体"/>
      <w:snapToGrid w:val="0"/>
      <w:color w:val="000000"/>
      <w:kern w:val="28"/>
      <w:sz w:val="28"/>
      <w:lang w:bidi="ar-SA"/>
    </w:rPr>
  </w:style>
  <w:style w:type="paragraph" w:customStyle="1" w:styleId="106">
    <w:name w:val="正文缩进1"/>
    <w:basedOn w:val="1"/>
    <w:link w:val="105"/>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7">
    <w:name w:val="普通文字1 Char1"/>
    <w:autoRedefine/>
    <w:qFormat/>
    <w:uiPriority w:val="0"/>
    <w:rPr>
      <w:rFonts w:ascii="宋体" w:hAnsi="Courier New" w:eastAsia="宋体"/>
      <w:kern w:val="2"/>
      <w:sz w:val="21"/>
      <w:lang w:val="en-US" w:eastAsia="zh-CN" w:bidi="ar-SA"/>
    </w:rPr>
  </w:style>
  <w:style w:type="character" w:customStyle="1" w:styleId="108">
    <w:name w:val="chanpin1"/>
    <w:autoRedefine/>
    <w:qFormat/>
    <w:uiPriority w:val="0"/>
    <w:rPr>
      <w:rFonts w:hint="default" w:ascii="ˎ̥" w:hAnsi="ˎ̥"/>
      <w:color w:val="000000"/>
      <w:sz w:val="20"/>
      <w:szCs w:val="20"/>
      <w:u w:val="none"/>
    </w:rPr>
  </w:style>
  <w:style w:type="character" w:customStyle="1" w:styleId="109">
    <w:name w:val="列出段落 字符"/>
    <w:link w:val="17"/>
    <w:autoRedefine/>
    <w:qFormat/>
    <w:uiPriority w:val="34"/>
    <w:rPr>
      <w:rFonts w:ascii="Calibri" w:hAnsi="Calibri" w:eastAsia="宋体"/>
      <w:kern w:val="2"/>
      <w:sz w:val="21"/>
      <w:szCs w:val="22"/>
      <w:lang w:val="en-US" w:eastAsia="zh-CN" w:bidi="ar-SA"/>
    </w:rPr>
  </w:style>
  <w:style w:type="character" w:customStyle="1" w:styleId="110">
    <w:name w:val="标题 3 Char Char"/>
    <w:autoRedefine/>
    <w:qFormat/>
    <w:uiPriority w:val="0"/>
    <w:rPr>
      <w:rFonts w:eastAsia="宋体"/>
      <w:b/>
      <w:bCs/>
      <w:kern w:val="2"/>
      <w:sz w:val="32"/>
      <w:szCs w:val="32"/>
      <w:lang w:val="en-US" w:eastAsia="zh-CN" w:bidi="ar-SA"/>
    </w:rPr>
  </w:style>
  <w:style w:type="character" w:customStyle="1" w:styleId="111">
    <w:name w:val="段1 Char"/>
    <w:autoRedefine/>
    <w:qFormat/>
    <w:uiPriority w:val="0"/>
    <w:rPr>
      <w:rFonts w:ascii="宋体" w:eastAsia="宋体"/>
      <w:sz w:val="24"/>
      <w:lang w:val="en-US" w:eastAsia="zh-CN" w:bidi="ar-SA"/>
    </w:rPr>
  </w:style>
  <w:style w:type="character" w:customStyle="1" w:styleId="112">
    <w:name w:val="chanpin拷贝"/>
    <w:autoRedefine/>
    <w:qFormat/>
    <w:uiPriority w:val="0"/>
  </w:style>
  <w:style w:type="character" w:customStyle="1" w:styleId="113">
    <w:name w:val="纯文本 Char1"/>
    <w:autoRedefine/>
    <w:qFormat/>
    <w:uiPriority w:val="0"/>
    <w:rPr>
      <w:rFonts w:ascii="宋体" w:hAnsi="Courier New" w:eastAsia="宋体"/>
      <w:kern w:val="2"/>
      <w:sz w:val="21"/>
      <w:lang w:val="en-US" w:eastAsia="zh-CN" w:bidi="ar-SA"/>
    </w:rPr>
  </w:style>
  <w:style w:type="character" w:customStyle="1" w:styleId="114">
    <w:name w:val="apple-style-span"/>
    <w:autoRedefine/>
    <w:qFormat/>
    <w:uiPriority w:val="0"/>
    <w:rPr>
      <w:rFonts w:cs="Times New Roman"/>
    </w:rPr>
  </w:style>
  <w:style w:type="paragraph" w:customStyle="1" w:styleId="115">
    <w:name w:val="二级条标题"/>
    <w:basedOn w:val="116"/>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6">
    <w:name w:val="一级条标题"/>
    <w:basedOn w:val="117"/>
    <w:next w:val="1"/>
    <w:autoRedefine/>
    <w:qFormat/>
    <w:uiPriority w:val="99"/>
    <w:pPr>
      <w:numPr>
        <w:ilvl w:val="1"/>
      </w:numPr>
      <w:tabs>
        <w:tab w:val="left" w:pos="360"/>
        <w:tab w:val="left" w:pos="840"/>
      </w:tabs>
      <w:ind w:left="0" w:hanging="840"/>
      <w:outlineLvl w:val="1"/>
    </w:pPr>
  </w:style>
  <w:style w:type="paragraph" w:customStyle="1" w:styleId="117">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8">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9">
    <w:name w:val="字元 字元"/>
    <w:basedOn w:val="1"/>
    <w:autoRedefine/>
    <w:qFormat/>
    <w:uiPriority w:val="99"/>
    <w:rPr>
      <w:rFonts w:ascii="Tahoma" w:hAnsi="Tahoma"/>
      <w:sz w:val="24"/>
      <w:szCs w:val="20"/>
    </w:rPr>
  </w:style>
  <w:style w:type="paragraph" w:customStyle="1" w:styleId="120">
    <w:name w:val="Char3 Char Char Char"/>
    <w:basedOn w:val="1"/>
    <w:autoRedefine/>
    <w:qFormat/>
    <w:uiPriority w:val="99"/>
    <w:rPr>
      <w:rFonts w:ascii="Tahoma" w:hAnsi="Tahoma"/>
      <w:sz w:val="24"/>
      <w:szCs w:val="20"/>
    </w:rPr>
  </w:style>
  <w:style w:type="paragraph" w:customStyle="1" w:styleId="121">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2">
    <w:name w:val="项目编号2"/>
    <w:basedOn w:val="123"/>
    <w:autoRedefine/>
    <w:qFormat/>
    <w:uiPriority w:val="99"/>
    <w:pPr>
      <w:numPr>
        <w:numId w:val="2"/>
      </w:numPr>
    </w:pPr>
  </w:style>
  <w:style w:type="paragraph" w:customStyle="1" w:styleId="123">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4">
    <w:name w:val="图中文字"/>
    <w:basedOn w:val="1"/>
    <w:autoRedefine/>
    <w:qFormat/>
    <w:uiPriority w:val="99"/>
    <w:pPr>
      <w:adjustRightInd w:val="0"/>
      <w:snapToGrid w:val="0"/>
      <w:spacing w:line="0" w:lineRule="atLeast"/>
      <w:jc w:val="center"/>
    </w:pPr>
    <w:rPr>
      <w:sz w:val="24"/>
      <w:szCs w:val="20"/>
    </w:rPr>
  </w:style>
  <w:style w:type="paragraph" w:customStyle="1" w:styleId="125">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7">
    <w:name w:val="Char2"/>
    <w:basedOn w:val="1"/>
    <w:autoRedefine/>
    <w:qFormat/>
    <w:uiPriority w:val="99"/>
    <w:rPr>
      <w:rFonts w:ascii="Tahoma" w:hAnsi="Tahoma"/>
      <w:sz w:val="24"/>
      <w:szCs w:val="20"/>
    </w:rPr>
  </w:style>
  <w:style w:type="paragraph" w:customStyle="1" w:styleId="128">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0">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31">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2">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3">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4">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5">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7">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8">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9">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0">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1">
    <w:name w:val="font8"/>
    <w:basedOn w:val="1"/>
    <w:autoRedefine/>
    <w:qFormat/>
    <w:uiPriority w:val="99"/>
    <w:pPr>
      <w:widowControl/>
      <w:spacing w:before="100" w:beforeAutospacing="1" w:after="100" w:afterAutospacing="1"/>
      <w:jc w:val="left"/>
    </w:pPr>
    <w:rPr>
      <w:kern w:val="0"/>
      <w:sz w:val="36"/>
      <w:szCs w:val="36"/>
    </w:rPr>
  </w:style>
  <w:style w:type="paragraph" w:customStyle="1" w:styleId="142">
    <w:name w:val="Char"/>
    <w:basedOn w:val="1"/>
    <w:autoRedefine/>
    <w:qFormat/>
    <w:uiPriority w:val="99"/>
    <w:pPr>
      <w:tabs>
        <w:tab w:val="left" w:pos="360"/>
      </w:tabs>
    </w:pPr>
    <w:rPr>
      <w:sz w:val="24"/>
    </w:rPr>
  </w:style>
  <w:style w:type="paragraph" w:customStyle="1" w:styleId="143">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4">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5">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1"/>
    <w:basedOn w:val="19"/>
    <w:autoRedefine/>
    <w:qFormat/>
    <w:uiPriority w:val="99"/>
    <w:rPr>
      <w:rFonts w:ascii="Tahoma" w:hAnsi="Tahoma"/>
      <w:sz w:val="24"/>
    </w:rPr>
  </w:style>
  <w:style w:type="paragraph" w:customStyle="1" w:styleId="147">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8">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9">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0">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51">
    <w:name w:val="Char1 Char Char Char1"/>
    <w:basedOn w:val="1"/>
    <w:autoRedefine/>
    <w:qFormat/>
    <w:uiPriority w:val="99"/>
    <w:rPr>
      <w:rFonts w:ascii="Tahoma" w:hAnsi="Tahoma" w:cs="仿宋_GB2312"/>
      <w:sz w:val="24"/>
      <w:szCs w:val="28"/>
    </w:rPr>
  </w:style>
  <w:style w:type="paragraph" w:customStyle="1" w:styleId="152">
    <w:name w:val="四级条标题"/>
    <w:basedOn w:val="153"/>
    <w:next w:val="1"/>
    <w:autoRedefine/>
    <w:qFormat/>
    <w:uiPriority w:val="99"/>
    <w:pPr>
      <w:numPr>
        <w:ilvl w:val="4"/>
      </w:numPr>
      <w:tabs>
        <w:tab w:val="left" w:pos="360"/>
        <w:tab w:val="left" w:pos="840"/>
      </w:tabs>
      <w:ind w:left="0" w:hanging="840"/>
      <w:outlineLvl w:val="4"/>
    </w:pPr>
  </w:style>
  <w:style w:type="paragraph" w:customStyle="1" w:styleId="153">
    <w:name w:val="三级条标题"/>
    <w:basedOn w:val="115"/>
    <w:next w:val="1"/>
    <w:autoRedefine/>
    <w:qFormat/>
    <w:uiPriority w:val="99"/>
    <w:pPr>
      <w:numPr>
        <w:ilvl w:val="3"/>
        <w:numId w:val="1"/>
      </w:numPr>
      <w:ind w:left="0" w:hanging="840"/>
      <w:outlineLvl w:val="3"/>
    </w:pPr>
  </w:style>
  <w:style w:type="paragraph" w:customStyle="1" w:styleId="154">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5">
    <w:name w:val="样式 标题 2 + 宋体 五号 行距: 单倍行距"/>
    <w:basedOn w:val="6"/>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6">
    <w:name w:val="List Paragraph1"/>
    <w:basedOn w:val="1"/>
    <w:autoRedefine/>
    <w:qFormat/>
    <w:uiPriority w:val="99"/>
    <w:pPr>
      <w:ind w:firstLine="420" w:firstLineChars="200"/>
    </w:pPr>
    <w:rPr>
      <w:rFonts w:ascii="Calibri" w:hAnsi="Calibri"/>
      <w:szCs w:val="22"/>
    </w:rPr>
  </w:style>
  <w:style w:type="paragraph" w:customStyle="1" w:styleId="157">
    <w:name w:val="项目符号1"/>
    <w:basedOn w:val="158"/>
    <w:autoRedefine/>
    <w:qFormat/>
    <w:uiPriority w:val="99"/>
    <w:pPr>
      <w:ind w:left="-25" w:firstLine="0"/>
    </w:pPr>
  </w:style>
  <w:style w:type="paragraph" w:customStyle="1" w:styleId="158">
    <w:name w:val="正文文本样式"/>
    <w:basedOn w:val="1"/>
    <w:autoRedefine/>
    <w:qFormat/>
    <w:uiPriority w:val="99"/>
    <w:pPr>
      <w:spacing w:line="360" w:lineRule="auto"/>
      <w:ind w:firstLine="482"/>
    </w:pPr>
    <w:rPr>
      <w:rFonts w:cs="宋体"/>
      <w:sz w:val="24"/>
      <w:szCs w:val="20"/>
    </w:rPr>
  </w:style>
  <w:style w:type="paragraph" w:customStyle="1" w:styleId="159">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0">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61">
    <w:name w:val="五级条标题"/>
    <w:basedOn w:val="152"/>
    <w:next w:val="1"/>
    <w:autoRedefine/>
    <w:qFormat/>
    <w:uiPriority w:val="99"/>
    <w:pPr>
      <w:numPr>
        <w:ilvl w:val="5"/>
      </w:numPr>
      <w:ind w:left="0" w:hanging="840"/>
      <w:outlineLvl w:val="5"/>
    </w:pPr>
  </w:style>
  <w:style w:type="paragraph" w:customStyle="1" w:styleId="162">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3">
    <w:name w:val="文档正文"/>
    <w:basedOn w:val="1"/>
    <w:autoRedefine/>
    <w:qFormat/>
    <w:uiPriority w:val="99"/>
    <w:pPr>
      <w:snapToGrid w:val="0"/>
      <w:spacing w:before="120" w:after="120" w:line="180" w:lineRule="auto"/>
    </w:pPr>
    <w:rPr>
      <w:rFonts w:ascii="Arial" w:hAnsi="Arial"/>
      <w:szCs w:val="20"/>
    </w:rPr>
  </w:style>
  <w:style w:type="paragraph" w:customStyle="1" w:styleId="164">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5">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6">
    <w:name w:val="Char Char Char1 Char"/>
    <w:basedOn w:val="1"/>
    <w:autoRedefine/>
    <w:qFormat/>
    <w:uiPriority w:val="99"/>
    <w:rPr>
      <w:rFonts w:ascii="Tahoma" w:hAnsi="Tahoma"/>
      <w:sz w:val="24"/>
      <w:szCs w:val="20"/>
    </w:rPr>
  </w:style>
  <w:style w:type="paragraph" w:customStyle="1" w:styleId="167">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8">
    <w:name w:val="1名"/>
    <w:basedOn w:val="1"/>
    <w:autoRedefine/>
    <w:qFormat/>
    <w:uiPriority w:val="99"/>
    <w:pPr>
      <w:numPr>
        <w:ilvl w:val="0"/>
        <w:numId w:val="5"/>
      </w:numPr>
      <w:spacing w:before="120"/>
    </w:pPr>
    <w:rPr>
      <w:rFonts w:ascii="宋体"/>
      <w:sz w:val="28"/>
      <w:szCs w:val="20"/>
    </w:rPr>
  </w:style>
  <w:style w:type="paragraph" w:customStyle="1" w:styleId="169">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0">
    <w:name w:val="Char Char Char1 Char1"/>
    <w:basedOn w:val="1"/>
    <w:autoRedefine/>
    <w:qFormat/>
    <w:uiPriority w:val="99"/>
    <w:rPr>
      <w:rFonts w:ascii="Tahoma" w:hAnsi="Tahoma"/>
      <w:sz w:val="24"/>
      <w:szCs w:val="20"/>
    </w:rPr>
  </w:style>
  <w:style w:type="paragraph" w:customStyle="1" w:styleId="171">
    <w:name w:val="Char Char Char Char Char Char Char Char Char Char"/>
    <w:basedOn w:val="1"/>
    <w:autoRedefine/>
    <w:qFormat/>
    <w:uiPriority w:val="99"/>
  </w:style>
  <w:style w:type="paragraph" w:customStyle="1" w:styleId="172">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3">
    <w:name w:val="Char1"/>
    <w:basedOn w:val="1"/>
    <w:autoRedefine/>
    <w:qFormat/>
    <w:uiPriority w:val="99"/>
    <w:pPr>
      <w:tabs>
        <w:tab w:val="left" w:pos="360"/>
      </w:tabs>
    </w:pPr>
    <w:rPr>
      <w:sz w:val="24"/>
    </w:rPr>
  </w:style>
  <w:style w:type="paragraph" w:customStyle="1" w:styleId="174">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5">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6">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7">
    <w:name w:val="默认段落字体 Para Char Char Char Char"/>
    <w:basedOn w:val="1"/>
    <w:autoRedefine/>
    <w:qFormat/>
    <w:uiPriority w:val="99"/>
    <w:rPr>
      <w:rFonts w:ascii="Arial" w:hAnsi="Arial" w:cs="Arial"/>
      <w:szCs w:val="21"/>
    </w:rPr>
  </w:style>
  <w:style w:type="paragraph" w:customStyle="1" w:styleId="178">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9">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0">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81">
    <w:name w:val="Char Char Char"/>
    <w:basedOn w:val="1"/>
    <w:autoRedefine/>
    <w:qFormat/>
    <w:uiPriority w:val="99"/>
    <w:rPr>
      <w:rFonts w:ascii="Tahoma" w:hAnsi="Tahoma"/>
      <w:sz w:val="24"/>
      <w:szCs w:val="20"/>
    </w:rPr>
  </w:style>
  <w:style w:type="paragraph" w:customStyle="1" w:styleId="182">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3">
    <w:name w:val="缺省文本"/>
    <w:basedOn w:val="1"/>
    <w:autoRedefine/>
    <w:qFormat/>
    <w:uiPriority w:val="99"/>
    <w:pPr>
      <w:autoSpaceDE w:val="0"/>
      <w:autoSpaceDN w:val="0"/>
      <w:adjustRightInd w:val="0"/>
      <w:jc w:val="left"/>
    </w:pPr>
    <w:rPr>
      <w:kern w:val="0"/>
      <w:sz w:val="24"/>
    </w:rPr>
  </w:style>
  <w:style w:type="paragraph" w:customStyle="1" w:styleId="184">
    <w:name w:val="Char Char Char1"/>
    <w:basedOn w:val="1"/>
    <w:autoRedefine/>
    <w:qFormat/>
    <w:uiPriority w:val="99"/>
    <w:rPr>
      <w:rFonts w:ascii="Tahoma" w:hAnsi="Tahoma"/>
      <w:sz w:val="24"/>
      <w:szCs w:val="20"/>
    </w:rPr>
  </w:style>
  <w:style w:type="paragraph" w:customStyle="1" w:styleId="185">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6">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7">
    <w:name w:val="样式2"/>
    <w:basedOn w:val="50"/>
    <w:autoRedefine/>
    <w:qFormat/>
    <w:uiPriority w:val="99"/>
    <w:pPr>
      <w:spacing w:line="360" w:lineRule="auto"/>
      <w:jc w:val="center"/>
    </w:pPr>
    <w:rPr>
      <w:sz w:val="24"/>
    </w:rPr>
  </w:style>
  <w:style w:type="paragraph" w:customStyle="1" w:styleId="18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9">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90">
    <w:name w:val="正文 + 楷体_GB2312"/>
    <w:basedOn w:val="1"/>
    <w:autoRedefine/>
    <w:qFormat/>
    <w:uiPriority w:val="99"/>
    <w:pPr>
      <w:widowControl/>
      <w:jc w:val="left"/>
    </w:pPr>
    <w:rPr>
      <w:rFonts w:ascii="楷体_GB2312" w:eastAsia="楷体_GB2312" w:cs="Arial"/>
      <w:kern w:val="0"/>
      <w:sz w:val="24"/>
    </w:rPr>
  </w:style>
  <w:style w:type="paragraph" w:customStyle="1" w:styleId="191">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2">
    <w:name w:val="1 Char Char Char Char"/>
    <w:basedOn w:val="1"/>
    <w:autoRedefine/>
    <w:qFormat/>
    <w:uiPriority w:val="99"/>
    <w:rPr>
      <w:rFonts w:ascii="Tahoma" w:hAnsi="Tahoma"/>
      <w:sz w:val="24"/>
      <w:szCs w:val="20"/>
    </w:rPr>
  </w:style>
  <w:style w:type="paragraph" w:customStyle="1" w:styleId="193">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4">
    <w:name w:val="列出段落11"/>
    <w:basedOn w:val="1"/>
    <w:autoRedefine/>
    <w:qFormat/>
    <w:uiPriority w:val="99"/>
    <w:pPr>
      <w:ind w:firstLine="420" w:firstLineChars="200"/>
    </w:pPr>
    <w:rPr>
      <w:rFonts w:ascii="Calibri" w:hAnsi="Calibri"/>
      <w:szCs w:val="22"/>
    </w:rPr>
  </w:style>
  <w:style w:type="paragraph" w:customStyle="1" w:styleId="195">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6">
    <w:name w:val="字元 字元1"/>
    <w:basedOn w:val="1"/>
    <w:autoRedefine/>
    <w:qFormat/>
    <w:uiPriority w:val="99"/>
    <w:rPr>
      <w:rFonts w:ascii="Tahoma" w:hAnsi="Tahoma"/>
      <w:sz w:val="24"/>
      <w:szCs w:val="20"/>
    </w:rPr>
  </w:style>
  <w:style w:type="paragraph" w:customStyle="1" w:styleId="197">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8">
    <w:name w:val="项目编号3"/>
    <w:basedOn w:val="158"/>
    <w:autoRedefine/>
    <w:qFormat/>
    <w:uiPriority w:val="99"/>
    <w:pPr>
      <w:numPr>
        <w:ilvl w:val="0"/>
        <w:numId w:val="6"/>
      </w:numPr>
    </w:pPr>
  </w:style>
  <w:style w:type="paragraph" w:customStyle="1" w:styleId="199">
    <w:name w:val="Char21"/>
    <w:basedOn w:val="1"/>
    <w:autoRedefine/>
    <w:qFormat/>
    <w:uiPriority w:val="99"/>
    <w:rPr>
      <w:rFonts w:ascii="Tahoma" w:hAnsi="Tahoma"/>
      <w:sz w:val="24"/>
      <w:szCs w:val="20"/>
    </w:rPr>
  </w:style>
  <w:style w:type="paragraph" w:customStyle="1" w:styleId="200">
    <w:name w:val="表格文字"/>
    <w:basedOn w:val="24"/>
    <w:autoRedefine/>
    <w:qFormat/>
    <w:uiPriority w:val="99"/>
    <w:pPr>
      <w:spacing w:before="20" w:after="20" w:line="240" w:lineRule="auto"/>
      <w:ind w:firstLine="0"/>
    </w:pPr>
    <w:rPr>
      <w:rFonts w:ascii="Century Gothic" w:hAnsi="Century Gothic"/>
      <w:sz w:val="20"/>
      <w:szCs w:val="20"/>
    </w:rPr>
  </w:style>
  <w:style w:type="paragraph" w:customStyle="1" w:styleId="201">
    <w:name w:val="Char Char Char Char Char Char Char Char Char Char1"/>
    <w:basedOn w:val="1"/>
    <w:autoRedefine/>
    <w:qFormat/>
    <w:uiPriority w:val="99"/>
    <w:rPr>
      <w:rFonts w:ascii="宋体" w:hAnsi="宋体" w:cs="Courier New"/>
      <w:sz w:val="32"/>
      <w:szCs w:val="32"/>
    </w:rPr>
  </w:style>
  <w:style w:type="paragraph" w:customStyle="1" w:styleId="202">
    <w:name w:val="正文文本样式 加粗"/>
    <w:basedOn w:val="158"/>
    <w:autoRedefine/>
    <w:qFormat/>
    <w:uiPriority w:val="99"/>
    <w:rPr>
      <w:b/>
    </w:rPr>
  </w:style>
  <w:style w:type="paragraph" w:customStyle="1" w:styleId="203">
    <w:name w:val="Char2 Char Char Char Char Char Char"/>
    <w:basedOn w:val="1"/>
    <w:autoRedefine/>
    <w:qFormat/>
    <w:uiPriority w:val="99"/>
    <w:pPr>
      <w:widowControl/>
      <w:spacing w:line="400" w:lineRule="exact"/>
      <w:jc w:val="center"/>
    </w:pPr>
  </w:style>
  <w:style w:type="paragraph" w:customStyle="1" w:styleId="204">
    <w:name w:val="Char Char4"/>
    <w:basedOn w:val="1"/>
    <w:autoRedefine/>
    <w:qFormat/>
    <w:uiPriority w:val="99"/>
    <w:pPr>
      <w:widowControl/>
      <w:spacing w:line="400" w:lineRule="exact"/>
      <w:jc w:val="center"/>
    </w:pPr>
  </w:style>
  <w:style w:type="paragraph" w:customStyle="1" w:styleId="205">
    <w:name w:val="Char3 Char Char Char1"/>
    <w:basedOn w:val="1"/>
    <w:autoRedefine/>
    <w:qFormat/>
    <w:uiPriority w:val="99"/>
    <w:rPr>
      <w:rFonts w:ascii="Tahoma" w:hAnsi="Tahoma"/>
      <w:sz w:val="24"/>
      <w:szCs w:val="20"/>
    </w:rPr>
  </w:style>
  <w:style w:type="paragraph" w:customStyle="1" w:styleId="206">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8">
    <w:name w:val="中等深浅网格 1 - 强调文字颜色 2 Char"/>
    <w:link w:val="209"/>
    <w:autoRedefine/>
    <w:qFormat/>
    <w:uiPriority w:val="0"/>
    <w:rPr>
      <w:kern w:val="2"/>
      <w:sz w:val="21"/>
      <w:szCs w:val="24"/>
      <w:lang w:val="zh-CN" w:eastAsia="zh-CN"/>
    </w:rPr>
  </w:style>
  <w:style w:type="paragraph" w:customStyle="1" w:styleId="209">
    <w:name w:val="1"/>
    <w:link w:val="208"/>
    <w:autoRedefine/>
    <w:qFormat/>
    <w:uiPriority w:val="0"/>
    <w:rPr>
      <w:rFonts w:ascii="Times New Roman" w:hAnsi="Times New Roman" w:eastAsia="宋体" w:cs="Times New Roman"/>
      <w:kern w:val="2"/>
      <w:sz w:val="21"/>
      <w:szCs w:val="24"/>
      <w:lang w:val="zh-CN" w:eastAsia="zh-CN" w:bidi="ar-SA"/>
    </w:rPr>
  </w:style>
  <w:style w:type="paragraph" w:customStyle="1" w:styleId="210">
    <w:name w:val="图文"/>
    <w:basedOn w:val="1"/>
    <w:autoRedefine/>
    <w:qFormat/>
    <w:uiPriority w:val="99"/>
    <w:pPr>
      <w:adjustRightInd w:val="0"/>
      <w:snapToGrid w:val="0"/>
      <w:spacing w:after="50" w:line="360" w:lineRule="auto"/>
    </w:pPr>
    <w:rPr>
      <w:sz w:val="24"/>
    </w:rPr>
  </w:style>
  <w:style w:type="paragraph" w:customStyle="1" w:styleId="211">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2">
    <w:name w:val="正文表格"/>
    <w:basedOn w:val="1"/>
    <w:link w:val="213"/>
    <w:autoRedefine/>
    <w:qFormat/>
    <w:uiPriority w:val="0"/>
    <w:pPr>
      <w:adjustRightInd w:val="0"/>
      <w:snapToGrid w:val="0"/>
      <w:jc w:val="left"/>
    </w:pPr>
    <w:rPr>
      <w:rFonts w:ascii="宋体" w:hAnsi="宋体"/>
      <w:color w:val="000000"/>
      <w:szCs w:val="21"/>
    </w:rPr>
  </w:style>
  <w:style w:type="character" w:customStyle="1" w:styleId="213">
    <w:name w:val="正文表格 Char"/>
    <w:link w:val="212"/>
    <w:autoRedefine/>
    <w:qFormat/>
    <w:uiPriority w:val="0"/>
    <w:rPr>
      <w:rFonts w:ascii="宋体" w:hAnsi="宋体"/>
      <w:color w:val="000000"/>
      <w:kern w:val="2"/>
      <w:sz w:val="21"/>
      <w:szCs w:val="21"/>
    </w:rPr>
  </w:style>
  <w:style w:type="paragraph" w:customStyle="1" w:styleId="214">
    <w:name w:val="正文重点"/>
    <w:basedOn w:val="1"/>
    <w:link w:val="215"/>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5">
    <w:name w:val="正文重点 Char"/>
    <w:link w:val="214"/>
    <w:autoRedefine/>
    <w:qFormat/>
    <w:uiPriority w:val="0"/>
    <w:rPr>
      <w:b/>
      <w:sz w:val="24"/>
    </w:rPr>
  </w:style>
  <w:style w:type="paragraph" w:customStyle="1" w:styleId="216">
    <w:name w:val="标题1-附件"/>
    <w:basedOn w:val="5"/>
    <w:autoRedefine/>
    <w:qFormat/>
    <w:uiPriority w:val="99"/>
    <w:pPr>
      <w:jc w:val="left"/>
    </w:pPr>
    <w:rPr>
      <w:sz w:val="24"/>
      <w:szCs w:val="24"/>
    </w:rPr>
  </w:style>
  <w:style w:type="paragraph" w:customStyle="1" w:styleId="217">
    <w:name w:val="正文小标题"/>
    <w:basedOn w:val="1"/>
    <w:next w:val="7"/>
    <w:link w:val="218"/>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8">
    <w:name w:val="正文小标题 Char"/>
    <w:link w:val="217"/>
    <w:autoRedefine/>
    <w:qFormat/>
    <w:uiPriority w:val="0"/>
    <w:rPr>
      <w:rFonts w:ascii="宋体" w:hAnsi="宋体"/>
      <w:b/>
      <w:i/>
      <w:color w:val="FF0000"/>
      <w:kern w:val="2"/>
      <w:sz w:val="24"/>
    </w:rPr>
  </w:style>
  <w:style w:type="paragraph" w:customStyle="1" w:styleId="219">
    <w:name w:val="正文大标题"/>
    <w:basedOn w:val="217"/>
    <w:next w:val="7"/>
    <w:link w:val="220"/>
    <w:autoRedefine/>
    <w:qFormat/>
    <w:uiPriority w:val="0"/>
    <w:pPr>
      <w:jc w:val="center"/>
    </w:pPr>
    <w:rPr>
      <w:i w:val="0"/>
      <w:color w:val="000000"/>
      <w:sz w:val="28"/>
      <w:szCs w:val="21"/>
    </w:rPr>
  </w:style>
  <w:style w:type="character" w:customStyle="1" w:styleId="220">
    <w:name w:val="正文大标题 Char"/>
    <w:link w:val="219"/>
    <w:autoRedefine/>
    <w:qFormat/>
    <w:uiPriority w:val="0"/>
    <w:rPr>
      <w:rFonts w:ascii="宋体" w:hAnsi="宋体"/>
      <w:b/>
      <w:color w:val="000000"/>
      <w:kern w:val="2"/>
      <w:sz w:val="28"/>
      <w:szCs w:val="21"/>
    </w:rPr>
  </w:style>
  <w:style w:type="paragraph" w:customStyle="1" w:styleId="221">
    <w:name w:val="注释"/>
    <w:basedOn w:val="1"/>
    <w:link w:val="222"/>
    <w:autoRedefine/>
    <w:qFormat/>
    <w:uiPriority w:val="0"/>
    <w:pPr>
      <w:adjustRightInd w:val="0"/>
      <w:snapToGrid w:val="0"/>
      <w:ind w:left="420" w:hanging="420" w:hangingChars="200"/>
      <w:jc w:val="left"/>
    </w:pPr>
    <w:rPr>
      <w:rFonts w:ascii="宋体" w:hAnsi="宋体"/>
      <w:szCs w:val="21"/>
    </w:rPr>
  </w:style>
  <w:style w:type="character" w:customStyle="1" w:styleId="222">
    <w:name w:val="注释 Char"/>
    <w:link w:val="221"/>
    <w:autoRedefine/>
    <w:qFormat/>
    <w:uiPriority w:val="0"/>
    <w:rPr>
      <w:rFonts w:ascii="宋体" w:hAnsi="宋体"/>
      <w:kern w:val="2"/>
      <w:sz w:val="21"/>
      <w:szCs w:val="21"/>
    </w:rPr>
  </w:style>
  <w:style w:type="paragraph" w:customStyle="1" w:styleId="223">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4">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5">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6">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7">
    <w:name w:val="表格1"/>
    <w:basedOn w:val="1"/>
    <w:autoRedefine/>
    <w:qFormat/>
    <w:uiPriority w:val="99"/>
    <w:pPr>
      <w:ind w:firstLine="480" w:firstLineChars="200"/>
      <w:jc w:val="center"/>
    </w:pPr>
    <w:rPr>
      <w:sz w:val="24"/>
      <w:szCs w:val="20"/>
    </w:rPr>
  </w:style>
  <w:style w:type="character" w:customStyle="1" w:styleId="228">
    <w:name w:val="纯文本 字符1"/>
    <w:autoRedefine/>
    <w:qFormat/>
    <w:uiPriority w:val="0"/>
    <w:rPr>
      <w:rFonts w:ascii="宋体" w:hAnsi="Courier New"/>
    </w:rPr>
  </w:style>
  <w:style w:type="character" w:customStyle="1" w:styleId="229">
    <w:name w:val="bjh-p"/>
    <w:autoRedefine/>
    <w:qFormat/>
    <w:uiPriority w:val="0"/>
  </w:style>
  <w:style w:type="paragraph" w:customStyle="1" w:styleId="230">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31">
    <w:name w:val="正文格式 Char"/>
    <w:link w:val="232"/>
    <w:autoRedefine/>
    <w:qFormat/>
    <w:locked/>
    <w:uiPriority w:val="0"/>
    <w:rPr>
      <w:rFonts w:ascii="宋体" w:hAnsi="宋体"/>
      <w:sz w:val="24"/>
      <w:szCs w:val="24"/>
      <w:lang w:val="en-GB"/>
    </w:rPr>
  </w:style>
  <w:style w:type="paragraph" w:customStyle="1" w:styleId="232">
    <w:name w:val="正文格式"/>
    <w:basedOn w:val="1"/>
    <w:link w:val="231"/>
    <w:autoRedefine/>
    <w:qFormat/>
    <w:uiPriority w:val="0"/>
    <w:pPr>
      <w:spacing w:beforeLines="50" w:line="360" w:lineRule="auto"/>
      <w:ind w:firstLine="480" w:firstLineChars="200"/>
    </w:pPr>
    <w:rPr>
      <w:rFonts w:ascii="宋体" w:hAnsi="宋体"/>
      <w:kern w:val="0"/>
      <w:sz w:val="24"/>
      <w:lang w:val="en-GB"/>
    </w:rPr>
  </w:style>
  <w:style w:type="character" w:customStyle="1" w:styleId="233">
    <w:name w:val="标题 3 Char"/>
    <w:autoRedefine/>
    <w:qFormat/>
    <w:uiPriority w:val="0"/>
    <w:rPr>
      <w:rFonts w:ascii="宋体" w:eastAsia="宋体"/>
      <w:b/>
      <w:sz w:val="24"/>
      <w:u w:val="single"/>
      <w:lang w:val="en-US" w:eastAsia="zh-CN" w:bidi="ar-SA"/>
    </w:rPr>
  </w:style>
  <w:style w:type="character" w:customStyle="1" w:styleId="234">
    <w:name w:val="正文缩进 Char"/>
    <w:autoRedefine/>
    <w:qFormat/>
    <w:uiPriority w:val="0"/>
    <w:rPr>
      <w:rFonts w:ascii="宋体" w:eastAsia="宋体"/>
      <w:kern w:val="2"/>
      <w:sz w:val="24"/>
      <w:szCs w:val="24"/>
      <w:lang w:val="en-US" w:eastAsia="zh-CN" w:bidi="ar-SA"/>
    </w:rPr>
  </w:style>
  <w:style w:type="character" w:customStyle="1" w:styleId="235">
    <w:name w:val="Char Char111"/>
    <w:autoRedefine/>
    <w:qFormat/>
    <w:uiPriority w:val="0"/>
    <w:rPr>
      <w:rFonts w:ascii="宋体" w:eastAsia="宋体"/>
      <w:b/>
      <w:sz w:val="24"/>
      <w:u w:val="single"/>
      <w:lang w:val="en-US" w:eastAsia="zh-CN" w:bidi="ar-SA"/>
    </w:rPr>
  </w:style>
  <w:style w:type="character" w:customStyle="1" w:styleId="236">
    <w:name w:val="正文文本缩进 Char"/>
    <w:autoRedefine/>
    <w:qFormat/>
    <w:uiPriority w:val="0"/>
    <w:rPr>
      <w:rFonts w:eastAsia="宋体"/>
      <w:kern w:val="2"/>
      <w:sz w:val="24"/>
      <w:szCs w:val="24"/>
      <w:lang w:val="en-US" w:eastAsia="zh-CN" w:bidi="ar-SA"/>
    </w:rPr>
  </w:style>
  <w:style w:type="character" w:customStyle="1" w:styleId="237">
    <w:name w:val="列出段落 Char"/>
    <w:autoRedefine/>
    <w:qFormat/>
    <w:uiPriority w:val="0"/>
    <w:rPr>
      <w:rFonts w:ascii="Calibri" w:hAnsi="Calibri" w:eastAsia="宋体"/>
      <w:kern w:val="2"/>
      <w:sz w:val="21"/>
      <w:szCs w:val="22"/>
      <w:lang w:val="en-US" w:eastAsia="zh-CN" w:bidi="ar-SA"/>
    </w:rPr>
  </w:style>
  <w:style w:type="character" w:customStyle="1" w:styleId="238">
    <w:name w:val="页眉 Char"/>
    <w:autoRedefine/>
    <w:qFormat/>
    <w:uiPriority w:val="0"/>
    <w:rPr>
      <w:rFonts w:eastAsia="宋体"/>
      <w:kern w:val="2"/>
      <w:sz w:val="18"/>
      <w:szCs w:val="18"/>
      <w:lang w:val="en-US" w:eastAsia="zh-CN" w:bidi="ar-SA"/>
    </w:rPr>
  </w:style>
  <w:style w:type="character" w:customStyle="1" w:styleId="239">
    <w:name w:val="标题 2 Char"/>
    <w:autoRedefine/>
    <w:qFormat/>
    <w:uiPriority w:val="99"/>
    <w:rPr>
      <w:rFonts w:ascii="Arial" w:hAnsi="Arial" w:eastAsia="黑体"/>
      <w:b/>
      <w:sz w:val="30"/>
      <w:lang w:val="en-US" w:eastAsia="zh-CN" w:bidi="ar-SA"/>
    </w:rPr>
  </w:style>
  <w:style w:type="paragraph" w:customStyle="1" w:styleId="240">
    <w:name w:val="字元 字元2"/>
    <w:basedOn w:val="1"/>
    <w:autoRedefine/>
    <w:qFormat/>
    <w:uiPriority w:val="99"/>
    <w:rPr>
      <w:rFonts w:ascii="Tahoma" w:hAnsi="Tahoma"/>
      <w:sz w:val="24"/>
      <w:szCs w:val="20"/>
    </w:rPr>
  </w:style>
  <w:style w:type="paragraph" w:customStyle="1" w:styleId="241">
    <w:name w:val="Char3 Char Char Char2"/>
    <w:basedOn w:val="1"/>
    <w:autoRedefine/>
    <w:qFormat/>
    <w:uiPriority w:val="99"/>
    <w:rPr>
      <w:rFonts w:ascii="Tahoma" w:hAnsi="Tahoma"/>
      <w:sz w:val="24"/>
      <w:szCs w:val="20"/>
    </w:rPr>
  </w:style>
  <w:style w:type="paragraph" w:customStyle="1" w:styleId="242">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3">
    <w:name w:val="Char3"/>
    <w:basedOn w:val="1"/>
    <w:autoRedefine/>
    <w:qFormat/>
    <w:uiPriority w:val="99"/>
    <w:pPr>
      <w:tabs>
        <w:tab w:val="left" w:pos="360"/>
      </w:tabs>
    </w:pPr>
    <w:rPr>
      <w:sz w:val="24"/>
    </w:rPr>
  </w:style>
  <w:style w:type="paragraph" w:customStyle="1" w:styleId="244">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5">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6">
    <w:name w:val="列出段落2"/>
    <w:basedOn w:val="1"/>
    <w:autoRedefine/>
    <w:qFormat/>
    <w:uiPriority w:val="99"/>
    <w:pPr>
      <w:ind w:firstLine="420" w:firstLineChars="200"/>
    </w:pPr>
    <w:rPr>
      <w:rFonts w:ascii="Calibri" w:hAnsi="Calibri"/>
      <w:szCs w:val="22"/>
    </w:rPr>
  </w:style>
  <w:style w:type="paragraph" w:customStyle="1" w:styleId="247">
    <w:name w:val="Char Char Char1 Char2"/>
    <w:basedOn w:val="1"/>
    <w:autoRedefine/>
    <w:qFormat/>
    <w:uiPriority w:val="99"/>
    <w:rPr>
      <w:rFonts w:ascii="Tahoma" w:hAnsi="Tahoma"/>
      <w:sz w:val="24"/>
      <w:szCs w:val="20"/>
    </w:rPr>
  </w:style>
  <w:style w:type="paragraph" w:customStyle="1" w:styleId="248">
    <w:name w:val="Char Char Char2"/>
    <w:basedOn w:val="1"/>
    <w:autoRedefine/>
    <w:qFormat/>
    <w:uiPriority w:val="99"/>
    <w:rPr>
      <w:rFonts w:ascii="Tahoma" w:hAnsi="Tahoma"/>
      <w:sz w:val="24"/>
      <w:szCs w:val="20"/>
    </w:rPr>
  </w:style>
  <w:style w:type="paragraph" w:customStyle="1" w:styleId="249">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50">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51">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2">
    <w:name w:val="Char22"/>
    <w:basedOn w:val="1"/>
    <w:autoRedefine/>
    <w:qFormat/>
    <w:uiPriority w:val="99"/>
    <w:rPr>
      <w:rFonts w:ascii="Tahoma" w:hAnsi="Tahoma"/>
      <w:sz w:val="24"/>
      <w:szCs w:val="20"/>
    </w:rPr>
  </w:style>
  <w:style w:type="paragraph" w:customStyle="1" w:styleId="253">
    <w:name w:val="Char Char Char Char Char Char Char Char Char Char2"/>
    <w:basedOn w:val="1"/>
    <w:autoRedefine/>
    <w:qFormat/>
    <w:uiPriority w:val="99"/>
    <w:rPr>
      <w:rFonts w:ascii="宋体" w:hAnsi="宋体" w:cs="Courier New"/>
      <w:sz w:val="32"/>
      <w:szCs w:val="32"/>
    </w:rPr>
  </w:style>
  <w:style w:type="paragraph" w:customStyle="1" w:styleId="254">
    <w:name w:val="Char2 Char Char Char Char Char Char1"/>
    <w:basedOn w:val="1"/>
    <w:autoRedefine/>
    <w:qFormat/>
    <w:uiPriority w:val="99"/>
    <w:pPr>
      <w:widowControl/>
      <w:spacing w:line="400" w:lineRule="exact"/>
      <w:jc w:val="center"/>
    </w:pPr>
  </w:style>
  <w:style w:type="character" w:customStyle="1" w:styleId="255">
    <w:name w:val="页脚 Char"/>
    <w:autoRedefine/>
    <w:qFormat/>
    <w:uiPriority w:val="0"/>
    <w:rPr>
      <w:rFonts w:ascii="宋体" w:eastAsia="宋体"/>
      <w:sz w:val="18"/>
      <w:lang w:val="en-US" w:eastAsia="zh-CN" w:bidi="ar-SA"/>
    </w:rPr>
  </w:style>
  <w:style w:type="paragraph" w:customStyle="1" w:styleId="256">
    <w:name w:val="Char Char41"/>
    <w:basedOn w:val="1"/>
    <w:autoRedefine/>
    <w:qFormat/>
    <w:uiPriority w:val="99"/>
    <w:pPr>
      <w:widowControl/>
      <w:spacing w:line="400" w:lineRule="exact"/>
      <w:jc w:val="center"/>
    </w:pPr>
  </w:style>
  <w:style w:type="character" w:customStyle="1" w:styleId="257">
    <w:name w:val="批注文字 Char"/>
    <w:autoRedefine/>
    <w:qFormat/>
    <w:uiPriority w:val="99"/>
    <w:rPr>
      <w:kern w:val="2"/>
      <w:sz w:val="21"/>
      <w:szCs w:val="24"/>
    </w:rPr>
  </w:style>
  <w:style w:type="character" w:customStyle="1" w:styleId="258">
    <w:name w:val="标题 Char"/>
    <w:autoRedefine/>
    <w:qFormat/>
    <w:uiPriority w:val="0"/>
    <w:rPr>
      <w:b/>
      <w:kern w:val="2"/>
      <w:sz w:val="32"/>
    </w:rPr>
  </w:style>
  <w:style w:type="paragraph" w:customStyle="1" w:styleId="259">
    <w:name w:val="图例"/>
    <w:basedOn w:val="1"/>
    <w:autoRedefine/>
    <w:qFormat/>
    <w:uiPriority w:val="99"/>
    <w:pPr>
      <w:spacing w:before="120" w:after="120" w:line="360" w:lineRule="auto"/>
      <w:jc w:val="center"/>
    </w:pPr>
    <w:rPr>
      <w:rFonts w:eastAsia="仿宋_GB2312"/>
      <w:b/>
      <w:sz w:val="24"/>
      <w:szCs w:val="20"/>
    </w:rPr>
  </w:style>
  <w:style w:type="table" w:customStyle="1" w:styleId="260">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61">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2">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3">
    <w:name w:val="批注文字 Char2"/>
    <w:autoRedefine/>
    <w:qFormat/>
    <w:locked/>
    <w:uiPriority w:val="0"/>
    <w:rPr>
      <w:szCs w:val="24"/>
    </w:rPr>
  </w:style>
  <w:style w:type="character" w:customStyle="1" w:styleId="264">
    <w:name w:val="cwhdiv-l"/>
    <w:basedOn w:val="58"/>
    <w:autoRedefine/>
    <w:qFormat/>
    <w:uiPriority w:val="0"/>
  </w:style>
  <w:style w:type="character" w:customStyle="1" w:styleId="265">
    <w:name w:val="cwhdiv-r"/>
    <w:basedOn w:val="58"/>
    <w:autoRedefine/>
    <w:qFormat/>
    <w:uiPriority w:val="0"/>
  </w:style>
  <w:style w:type="character" w:customStyle="1" w:styleId="266">
    <w:name w:val="普通(网站) 字符"/>
    <w:link w:val="49"/>
    <w:autoRedefine/>
    <w:qFormat/>
    <w:uiPriority w:val="99"/>
    <w:rPr>
      <w:rFonts w:ascii="宋体" w:hAnsi="宋体" w:cs="宋体"/>
      <w:sz w:val="24"/>
      <w:szCs w:val="24"/>
    </w:rPr>
  </w:style>
  <w:style w:type="paragraph" w:customStyle="1" w:styleId="267">
    <w:name w:val="表"/>
    <w:basedOn w:val="1"/>
    <w:link w:val="268"/>
    <w:autoRedefine/>
    <w:qFormat/>
    <w:uiPriority w:val="0"/>
    <w:pPr>
      <w:spacing w:line="360" w:lineRule="auto"/>
      <w:jc w:val="center"/>
    </w:pPr>
    <w:rPr>
      <w:rFonts w:ascii="宋体" w:hAnsi="宋体" w:cstheme="minorBidi"/>
      <w:sz w:val="24"/>
      <w:szCs w:val="22"/>
    </w:rPr>
  </w:style>
  <w:style w:type="character" w:customStyle="1" w:styleId="268">
    <w:name w:val="表 字符"/>
    <w:basedOn w:val="58"/>
    <w:link w:val="267"/>
    <w:autoRedefine/>
    <w:qFormat/>
    <w:uiPriority w:val="0"/>
    <w:rPr>
      <w:rFonts w:ascii="宋体" w:hAnsi="宋体" w:cstheme="minorBidi"/>
      <w:kern w:val="2"/>
      <w:sz w:val="24"/>
      <w:szCs w:val="22"/>
    </w:rPr>
  </w:style>
  <w:style w:type="character" w:customStyle="1" w:styleId="269">
    <w:name w:val="正文缩进 Char2"/>
    <w:autoRedefine/>
    <w:qFormat/>
    <w:locked/>
    <w:uiPriority w:val="0"/>
    <w:rPr>
      <w:lang w:val="zh-CN" w:eastAsia="zh-CN"/>
    </w:rPr>
  </w:style>
  <w:style w:type="character" w:customStyle="1" w:styleId="270">
    <w:name w:val="脚注文本 字符1"/>
    <w:basedOn w:val="58"/>
    <w:link w:val="40"/>
    <w:autoRedefine/>
    <w:qFormat/>
    <w:uiPriority w:val="99"/>
    <w:rPr>
      <w:sz w:val="18"/>
      <w:lang w:val="zh-CN" w:eastAsia="zh-CN"/>
    </w:rPr>
  </w:style>
  <w:style w:type="character" w:customStyle="1" w:styleId="271">
    <w:name w:val="正文文本 2 字符1"/>
    <w:basedOn w:val="58"/>
    <w:link w:val="47"/>
    <w:autoRedefine/>
    <w:qFormat/>
    <w:uiPriority w:val="99"/>
    <w:rPr>
      <w:rFonts w:ascii="宋体" w:hAnsi="宋体"/>
      <w:sz w:val="24"/>
      <w:szCs w:val="24"/>
      <w:u w:val="single"/>
      <w:lang w:val="zh-CN" w:eastAsia="zh-CN"/>
    </w:rPr>
  </w:style>
  <w:style w:type="character" w:customStyle="1" w:styleId="272">
    <w:name w:val="副标题 Char"/>
    <w:basedOn w:val="58"/>
    <w:autoRedefine/>
    <w:qFormat/>
    <w:uiPriority w:val="0"/>
    <w:rPr>
      <w:rFonts w:asciiTheme="majorHAnsi" w:hAnsiTheme="majorHAnsi" w:cstheme="majorBidi"/>
      <w:b/>
      <w:bCs/>
      <w:kern w:val="28"/>
      <w:sz w:val="32"/>
      <w:szCs w:val="32"/>
    </w:rPr>
  </w:style>
  <w:style w:type="character" w:customStyle="1" w:styleId="273">
    <w:name w:val="正文首行缩进 字符"/>
    <w:basedOn w:val="81"/>
    <w:link w:val="53"/>
    <w:autoRedefine/>
    <w:qFormat/>
    <w:uiPriority w:val="99"/>
    <w:rPr>
      <w:rFonts w:ascii="宋体" w:hAnsi="宋体"/>
      <w:kern w:val="2"/>
      <w:sz w:val="21"/>
      <w:szCs w:val="24"/>
    </w:rPr>
  </w:style>
  <w:style w:type="character" w:customStyle="1" w:styleId="274">
    <w:name w:val="正文加粗 Char"/>
    <w:link w:val="275"/>
    <w:autoRedefine/>
    <w:qFormat/>
    <w:locked/>
    <w:uiPriority w:val="0"/>
    <w:rPr>
      <w:b/>
      <w:sz w:val="24"/>
      <w:szCs w:val="24"/>
    </w:rPr>
  </w:style>
  <w:style w:type="paragraph" w:customStyle="1" w:styleId="275">
    <w:name w:val="正文加粗"/>
    <w:basedOn w:val="1"/>
    <w:next w:val="1"/>
    <w:link w:val="274"/>
    <w:autoRedefine/>
    <w:qFormat/>
    <w:uiPriority w:val="0"/>
    <w:pPr>
      <w:adjustRightInd w:val="0"/>
      <w:snapToGrid w:val="0"/>
      <w:spacing w:line="360" w:lineRule="auto"/>
      <w:ind w:right="240" w:firstLine="480" w:firstLineChars="200"/>
      <w:jc w:val="left"/>
    </w:pPr>
    <w:rPr>
      <w:b/>
      <w:kern w:val="0"/>
      <w:sz w:val="24"/>
    </w:rPr>
  </w:style>
  <w:style w:type="character" w:customStyle="1" w:styleId="276">
    <w:name w:val="xmfy Char Char"/>
    <w:link w:val="277"/>
    <w:autoRedefine/>
    <w:qFormat/>
    <w:locked/>
    <w:uiPriority w:val="0"/>
    <w:rPr>
      <w:rFonts w:ascii="宋体" w:hAnsi="宋体" w:cs="宋体"/>
      <w:sz w:val="28"/>
    </w:rPr>
  </w:style>
  <w:style w:type="paragraph" w:customStyle="1" w:styleId="277">
    <w:name w:val="xmfy"/>
    <w:basedOn w:val="7"/>
    <w:link w:val="276"/>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8">
    <w:name w:val="引用 Char"/>
    <w:link w:val="279"/>
    <w:autoRedefine/>
    <w:qFormat/>
    <w:locked/>
    <w:uiPriority w:val="0"/>
    <w:rPr>
      <w:i/>
      <w:iCs/>
      <w:color w:val="000000"/>
    </w:rPr>
  </w:style>
  <w:style w:type="paragraph" w:customStyle="1" w:styleId="279">
    <w:name w:val="引用1"/>
    <w:basedOn w:val="1"/>
    <w:next w:val="1"/>
    <w:link w:val="278"/>
    <w:autoRedefine/>
    <w:qFormat/>
    <w:uiPriority w:val="0"/>
    <w:rPr>
      <w:i/>
      <w:iCs/>
      <w:color w:val="000000"/>
      <w:kern w:val="0"/>
      <w:sz w:val="20"/>
      <w:szCs w:val="20"/>
    </w:rPr>
  </w:style>
  <w:style w:type="character" w:customStyle="1" w:styleId="280">
    <w:name w:val="标题4 Char Char"/>
    <w:link w:val="281"/>
    <w:autoRedefine/>
    <w:qFormat/>
    <w:locked/>
    <w:uiPriority w:val="0"/>
    <w:rPr>
      <w:rFonts w:ascii="Arial" w:hAnsi="Arial" w:cs="Arial"/>
      <w:b/>
      <w:bCs/>
      <w:sz w:val="24"/>
      <w:szCs w:val="32"/>
    </w:rPr>
  </w:style>
  <w:style w:type="paragraph" w:customStyle="1" w:styleId="281">
    <w:name w:val="标题4"/>
    <w:basedOn w:val="6"/>
    <w:next w:val="27"/>
    <w:link w:val="280"/>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2">
    <w:name w:val="明显引用 Char"/>
    <w:link w:val="283"/>
    <w:autoRedefine/>
    <w:qFormat/>
    <w:locked/>
    <w:uiPriority w:val="0"/>
    <w:rPr>
      <w:b/>
      <w:bCs/>
      <w:i/>
      <w:iCs/>
      <w:color w:val="4F81BD"/>
    </w:rPr>
  </w:style>
  <w:style w:type="paragraph" w:customStyle="1" w:styleId="283">
    <w:name w:val="明显引用1"/>
    <w:basedOn w:val="1"/>
    <w:next w:val="1"/>
    <w:link w:val="282"/>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4">
    <w:name w:val="标题5 Char Char"/>
    <w:link w:val="285"/>
    <w:autoRedefine/>
    <w:qFormat/>
    <w:locked/>
    <w:uiPriority w:val="0"/>
    <w:rPr>
      <w:rFonts w:ascii="Arial" w:hAnsi="Arial" w:cs="Arial"/>
      <w:b/>
      <w:bCs/>
      <w:sz w:val="24"/>
      <w:szCs w:val="32"/>
    </w:rPr>
  </w:style>
  <w:style w:type="paragraph" w:customStyle="1" w:styleId="285">
    <w:name w:val="标题5"/>
    <w:basedOn w:val="8"/>
    <w:link w:val="284"/>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6">
    <w:name w:val="my正文 Char"/>
    <w:link w:val="287"/>
    <w:autoRedefine/>
    <w:qFormat/>
    <w:locked/>
    <w:uiPriority w:val="0"/>
    <w:rPr>
      <w:rFonts w:ascii="宋体" w:hAnsi="宋体"/>
      <w:kern w:val="2"/>
      <w:sz w:val="24"/>
      <w:szCs w:val="22"/>
    </w:rPr>
  </w:style>
  <w:style w:type="paragraph" w:customStyle="1" w:styleId="287">
    <w:name w:val="my正文"/>
    <w:link w:val="286"/>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8">
    <w:name w:val="!BECC正文 Char"/>
    <w:link w:val="289"/>
    <w:autoRedefine/>
    <w:qFormat/>
    <w:locked/>
    <w:uiPriority w:val="0"/>
    <w:rPr>
      <w:sz w:val="24"/>
      <w:szCs w:val="24"/>
    </w:rPr>
  </w:style>
  <w:style w:type="paragraph" w:customStyle="1" w:styleId="289">
    <w:name w:val="!BECC正文"/>
    <w:basedOn w:val="1"/>
    <w:link w:val="288"/>
    <w:autoRedefine/>
    <w:qFormat/>
    <w:uiPriority w:val="0"/>
    <w:pPr>
      <w:tabs>
        <w:tab w:val="left" w:pos="0"/>
      </w:tabs>
      <w:spacing w:beforeLines="50" w:line="360" w:lineRule="auto"/>
      <w:ind w:firstLine="200" w:firstLineChars="200"/>
      <w:contextualSpacing/>
    </w:pPr>
    <w:rPr>
      <w:kern w:val="0"/>
      <w:sz w:val="24"/>
    </w:rPr>
  </w:style>
  <w:style w:type="paragraph" w:customStyle="1" w:styleId="290">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91">
    <w:name w:val="样式 标题 3 + (中文) 黑体 小四 非加粗 段前: 7.8 磅 段后: 0 磅 行距: 固定值 20 磅"/>
    <w:basedOn w:val="8"/>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2">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3">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4">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5">
    <w:name w:val="列出段落3"/>
    <w:basedOn w:val="1"/>
    <w:autoRedefine/>
    <w:qFormat/>
    <w:uiPriority w:val="34"/>
    <w:pPr>
      <w:ind w:firstLine="420" w:firstLineChars="200"/>
    </w:pPr>
    <w:rPr>
      <w:rFonts w:ascii="Calibri" w:hAnsi="Calibri"/>
      <w:szCs w:val="22"/>
    </w:rPr>
  </w:style>
  <w:style w:type="paragraph" w:customStyle="1" w:styleId="296">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7">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8">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图标题"/>
    <w:basedOn w:val="1"/>
    <w:autoRedefine/>
    <w:qFormat/>
    <w:uiPriority w:val="99"/>
    <w:pPr>
      <w:spacing w:line="360" w:lineRule="auto"/>
      <w:jc w:val="center"/>
    </w:pPr>
  </w:style>
  <w:style w:type="paragraph" w:customStyle="1" w:styleId="300">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1">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2">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无间隔1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4">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6">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7">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8">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9">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10">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11">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2">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4">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6">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7">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8">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9">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20">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1">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2">
    <w:name w:val="TOC 标题1"/>
    <w:basedOn w:val="5"/>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3">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4">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5">
    <w:name w:val="样式1"/>
    <w:basedOn w:val="1"/>
    <w:autoRedefine/>
    <w:qFormat/>
    <w:uiPriority w:val="99"/>
    <w:pPr>
      <w:spacing w:before="120" w:after="120" w:line="300" w:lineRule="auto"/>
    </w:pPr>
    <w:rPr>
      <w:rFonts w:ascii="宋体" w:hAnsi="宋体"/>
      <w:b/>
      <w:sz w:val="24"/>
      <w:szCs w:val="20"/>
    </w:rPr>
  </w:style>
  <w:style w:type="paragraph" w:customStyle="1" w:styleId="326">
    <w:name w:val="Style2"/>
    <w:basedOn w:val="1"/>
    <w:autoRedefine/>
    <w:qFormat/>
    <w:uiPriority w:val="99"/>
    <w:pPr>
      <w:adjustRightInd w:val="0"/>
      <w:spacing w:line="533" w:lineRule="exact"/>
      <w:jc w:val="left"/>
    </w:pPr>
    <w:rPr>
      <w:rFonts w:ascii="宋体" w:hAnsi="Calibri"/>
      <w:kern w:val="0"/>
      <w:sz w:val="24"/>
    </w:rPr>
  </w:style>
  <w:style w:type="paragraph" w:customStyle="1" w:styleId="327">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8">
    <w:name w:val="Char1 Char Char Char"/>
    <w:basedOn w:val="1"/>
    <w:autoRedefine/>
    <w:qFormat/>
    <w:uiPriority w:val="99"/>
    <w:rPr>
      <w:rFonts w:ascii="Tahoma" w:hAnsi="Tahoma"/>
      <w:sz w:val="24"/>
      <w:szCs w:val="20"/>
    </w:rPr>
  </w:style>
  <w:style w:type="paragraph" w:customStyle="1" w:styleId="329">
    <w:name w:val="目录"/>
    <w:basedOn w:val="1"/>
    <w:autoRedefine/>
    <w:qFormat/>
    <w:uiPriority w:val="99"/>
    <w:pPr>
      <w:widowControl/>
      <w:jc w:val="center"/>
    </w:pPr>
    <w:rPr>
      <w:rFonts w:ascii="宋体"/>
      <w:b/>
      <w:kern w:val="0"/>
      <w:sz w:val="36"/>
      <w:szCs w:val="20"/>
    </w:rPr>
  </w:style>
  <w:style w:type="paragraph" w:customStyle="1" w:styleId="330">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31">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2">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3">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4">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5">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6">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7">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8">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9">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40">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1">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2">
    <w:name w:val="Style4"/>
    <w:basedOn w:val="1"/>
    <w:autoRedefine/>
    <w:qFormat/>
    <w:uiPriority w:val="99"/>
    <w:pPr>
      <w:adjustRightInd w:val="0"/>
      <w:jc w:val="left"/>
    </w:pPr>
    <w:rPr>
      <w:rFonts w:ascii="宋体" w:hAnsi="Calibri"/>
      <w:kern w:val="0"/>
      <w:sz w:val="24"/>
    </w:rPr>
  </w:style>
  <w:style w:type="paragraph" w:customStyle="1" w:styleId="343">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4">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5">
    <w:name w:val="修订2"/>
    <w:autoRedefine/>
    <w:qFormat/>
    <w:uiPriority w:val="99"/>
    <w:rPr>
      <w:rFonts w:ascii="Calibri" w:hAnsi="Calibri" w:eastAsia="宋体" w:cs="Times New Roman"/>
      <w:kern w:val="2"/>
      <w:sz w:val="21"/>
      <w:szCs w:val="22"/>
      <w:lang w:val="en-US" w:eastAsia="zh-CN" w:bidi="ar-SA"/>
    </w:rPr>
  </w:style>
  <w:style w:type="paragraph" w:customStyle="1" w:styleId="346">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7">
    <w:name w:val="列出段落6"/>
    <w:basedOn w:val="1"/>
    <w:autoRedefine/>
    <w:qFormat/>
    <w:uiPriority w:val="99"/>
    <w:pPr>
      <w:ind w:firstLine="420" w:firstLineChars="200"/>
    </w:pPr>
    <w:rPr>
      <w:rFonts w:ascii="Calibri" w:hAnsi="Calibri"/>
      <w:szCs w:val="22"/>
    </w:rPr>
  </w:style>
  <w:style w:type="paragraph" w:customStyle="1" w:styleId="348">
    <w:name w:val="样式 标题 2 + Times New Roman 四号 非加粗 段前: 5 磅 段后: 0 磅 行距: 固定值 20..."/>
    <w:basedOn w:val="6"/>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9">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50">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1">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2">
    <w:name w:val="Style1"/>
    <w:basedOn w:val="1"/>
    <w:autoRedefine/>
    <w:qFormat/>
    <w:uiPriority w:val="99"/>
    <w:pPr>
      <w:adjustRightInd w:val="0"/>
      <w:jc w:val="left"/>
    </w:pPr>
    <w:rPr>
      <w:rFonts w:ascii="宋体" w:hAnsi="Calibri"/>
      <w:kern w:val="0"/>
      <w:sz w:val="24"/>
    </w:rPr>
  </w:style>
  <w:style w:type="paragraph" w:customStyle="1" w:styleId="353">
    <w:name w:val="列出段落31"/>
    <w:basedOn w:val="1"/>
    <w:autoRedefine/>
    <w:qFormat/>
    <w:uiPriority w:val="99"/>
    <w:pPr>
      <w:ind w:firstLine="420" w:firstLineChars="200"/>
    </w:pPr>
    <w:rPr>
      <w:szCs w:val="20"/>
    </w:rPr>
  </w:style>
  <w:style w:type="paragraph" w:customStyle="1" w:styleId="354">
    <w:name w:val="_Style 251"/>
    <w:basedOn w:val="1"/>
    <w:next w:val="17"/>
    <w:autoRedefine/>
    <w:qFormat/>
    <w:uiPriority w:val="1"/>
    <w:pPr>
      <w:ind w:firstLine="420" w:firstLineChars="200"/>
    </w:pPr>
    <w:rPr>
      <w:rFonts w:ascii="Calibri" w:hAnsi="Calibri"/>
      <w:szCs w:val="22"/>
    </w:rPr>
  </w:style>
  <w:style w:type="paragraph" w:customStyle="1" w:styleId="355">
    <w:name w:val="_Style 261"/>
    <w:basedOn w:val="1"/>
    <w:next w:val="17"/>
    <w:autoRedefine/>
    <w:qFormat/>
    <w:uiPriority w:val="1"/>
    <w:pPr>
      <w:ind w:firstLine="420" w:firstLineChars="200"/>
    </w:pPr>
    <w:rPr>
      <w:rFonts w:ascii="Calibri" w:hAnsi="Calibri"/>
      <w:szCs w:val="22"/>
    </w:rPr>
  </w:style>
  <w:style w:type="paragraph" w:customStyle="1" w:styleId="356">
    <w:name w:val="1.1.1"/>
    <w:basedOn w:val="353"/>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7">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8">
    <w:name w:val="正文（缩进）"/>
    <w:basedOn w:val="1"/>
    <w:autoRedefine/>
    <w:qFormat/>
    <w:uiPriority w:val="99"/>
    <w:pPr>
      <w:spacing w:beforeLines="50"/>
      <w:ind w:firstLine="480"/>
    </w:pPr>
    <w:rPr>
      <w:rFonts w:ascii="Calibri" w:hAnsi="Calibri"/>
      <w:sz w:val="24"/>
      <w:szCs w:val="22"/>
    </w:rPr>
  </w:style>
  <w:style w:type="paragraph" w:customStyle="1" w:styleId="359">
    <w:name w:val="2级小标题"/>
    <w:basedOn w:val="5"/>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60">
    <w:name w:val="1级大标题"/>
    <w:basedOn w:val="5"/>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61">
    <w:name w:val="3级小标题"/>
    <w:basedOn w:val="5"/>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2">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3">
    <w:name w:val="彩色列表 - 强调文字颜色 11"/>
    <w:basedOn w:val="1"/>
    <w:autoRedefine/>
    <w:qFormat/>
    <w:uiPriority w:val="99"/>
    <w:pPr>
      <w:ind w:firstLine="420" w:firstLineChars="200"/>
    </w:pPr>
  </w:style>
  <w:style w:type="character" w:customStyle="1" w:styleId="364">
    <w:name w:val="样式 Char"/>
    <w:link w:val="365"/>
    <w:autoRedefine/>
    <w:qFormat/>
    <w:locked/>
    <w:uiPriority w:val="0"/>
    <w:rPr>
      <w:rFonts w:ascii="宋体" w:hAnsi="宋体"/>
      <w:sz w:val="24"/>
      <w:szCs w:val="24"/>
    </w:rPr>
  </w:style>
  <w:style w:type="paragraph" w:customStyle="1" w:styleId="365">
    <w:name w:val="样式"/>
    <w:link w:val="364"/>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6">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7">
    <w:name w:val="Char Char Char Char Char Char1 Char"/>
    <w:basedOn w:val="1"/>
    <w:autoRedefine/>
    <w:qFormat/>
    <w:uiPriority w:val="99"/>
    <w:pPr>
      <w:widowControl/>
      <w:wordWrap w:val="0"/>
      <w:jc w:val="left"/>
    </w:pPr>
  </w:style>
  <w:style w:type="paragraph" w:customStyle="1" w:styleId="368">
    <w:name w:val="Char1 Char Char1 Char Char Char Char"/>
    <w:basedOn w:val="1"/>
    <w:autoRedefine/>
    <w:qFormat/>
    <w:uiPriority w:val="99"/>
    <w:rPr>
      <w:rFonts w:ascii="Tahoma" w:hAnsi="Tahoma"/>
      <w:sz w:val="24"/>
      <w:szCs w:val="20"/>
    </w:rPr>
  </w:style>
  <w:style w:type="paragraph" w:customStyle="1" w:styleId="369">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70">
    <w:name w:val="Char Char Char Char Char Char1 Char1"/>
    <w:basedOn w:val="1"/>
    <w:autoRedefine/>
    <w:qFormat/>
    <w:uiPriority w:val="99"/>
    <w:pPr>
      <w:widowControl/>
      <w:wordWrap w:val="0"/>
      <w:jc w:val="left"/>
    </w:pPr>
    <w:rPr>
      <w:rFonts w:ascii="Tahoma" w:hAnsi="Tahoma"/>
      <w:sz w:val="24"/>
      <w:szCs w:val="20"/>
    </w:rPr>
  </w:style>
  <w:style w:type="paragraph" w:customStyle="1" w:styleId="371">
    <w:name w:val="标题六"/>
    <w:basedOn w:val="8"/>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2">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4">
    <w:name w:val="样式 正文缩进 + 首行缩进:  2.06 字符"/>
    <w:basedOn w:val="7"/>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5">
    <w:name w:val="1."/>
    <w:basedOn w:val="1"/>
    <w:autoRedefine/>
    <w:qFormat/>
    <w:uiPriority w:val="99"/>
    <w:pPr>
      <w:spacing w:line="360" w:lineRule="auto"/>
    </w:pPr>
    <w:rPr>
      <w:sz w:val="24"/>
    </w:rPr>
  </w:style>
  <w:style w:type="paragraph" w:customStyle="1" w:styleId="376">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7">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8">
    <w:name w:val="Char Char Char Char Char Char Char Char Char Char Char Char Char"/>
    <w:basedOn w:val="1"/>
    <w:autoRedefine/>
    <w:qFormat/>
    <w:uiPriority w:val="99"/>
    <w:rPr>
      <w:rFonts w:ascii="Tahoma" w:hAnsi="Tahoma"/>
      <w:sz w:val="24"/>
      <w:szCs w:val="20"/>
    </w:rPr>
  </w:style>
  <w:style w:type="paragraph" w:customStyle="1" w:styleId="379">
    <w:name w:val="p0"/>
    <w:basedOn w:val="1"/>
    <w:autoRedefine/>
    <w:qFormat/>
    <w:uiPriority w:val="99"/>
    <w:pPr>
      <w:widowControl/>
      <w:jc w:val="left"/>
    </w:pPr>
    <w:rPr>
      <w:rFonts w:ascii="宋体" w:hAnsi="宋体" w:cs="宋体"/>
      <w:kern w:val="0"/>
      <w:sz w:val="24"/>
      <w:szCs w:val="21"/>
    </w:rPr>
  </w:style>
  <w:style w:type="paragraph" w:customStyle="1" w:styleId="380">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81">
    <w:name w:val="默认段落字体 Para Char Char Char Char Char Char Char"/>
    <w:basedOn w:val="19"/>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2">
    <w:name w:val="1)"/>
    <w:basedOn w:val="1"/>
    <w:autoRedefine/>
    <w:qFormat/>
    <w:uiPriority w:val="99"/>
    <w:pPr>
      <w:tabs>
        <w:tab w:val="left" w:pos="900"/>
        <w:tab w:val="left" w:pos="964"/>
      </w:tabs>
      <w:spacing w:line="360" w:lineRule="auto"/>
      <w:ind w:left="420" w:hanging="420"/>
    </w:pPr>
    <w:rPr>
      <w:sz w:val="24"/>
    </w:rPr>
  </w:style>
  <w:style w:type="paragraph" w:customStyle="1" w:styleId="383">
    <w:name w:val="Char Char1 Char Char Char Char Char Char Char"/>
    <w:basedOn w:val="1"/>
    <w:autoRedefine/>
    <w:qFormat/>
    <w:uiPriority w:val="99"/>
    <w:rPr>
      <w:rFonts w:ascii="Tahoma" w:hAnsi="Tahoma"/>
      <w:sz w:val="24"/>
      <w:szCs w:val="20"/>
    </w:rPr>
  </w:style>
  <w:style w:type="paragraph" w:customStyle="1" w:styleId="384">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5">
    <w:name w:val="p15"/>
    <w:basedOn w:val="1"/>
    <w:autoRedefine/>
    <w:qFormat/>
    <w:uiPriority w:val="99"/>
    <w:pPr>
      <w:widowControl/>
      <w:jc w:val="left"/>
    </w:pPr>
    <w:rPr>
      <w:rFonts w:ascii="Calibri" w:hAnsi="Calibri"/>
      <w:kern w:val="0"/>
      <w:sz w:val="24"/>
      <w:szCs w:val="22"/>
    </w:rPr>
  </w:style>
  <w:style w:type="paragraph" w:customStyle="1" w:styleId="386">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7">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8">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2">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3">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4">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5">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6">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7">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8">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400">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1">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2">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3">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4">
    <w:name w:val="修订21"/>
    <w:autoRedefine/>
    <w:qFormat/>
    <w:uiPriority w:val="99"/>
    <w:rPr>
      <w:rFonts w:ascii="Calibri" w:hAnsi="Calibri" w:eastAsia="宋体" w:cs="Times New Roman"/>
      <w:kern w:val="2"/>
      <w:sz w:val="21"/>
      <w:szCs w:val="22"/>
      <w:lang w:val="en-US" w:eastAsia="zh-CN" w:bidi="ar-SA"/>
    </w:rPr>
  </w:style>
  <w:style w:type="character" w:customStyle="1" w:styleId="405">
    <w:name w:val="占位符文本1"/>
    <w:autoRedefine/>
    <w:semiHidden/>
    <w:qFormat/>
    <w:uiPriority w:val="99"/>
    <w:rPr>
      <w:color w:val="808080"/>
    </w:rPr>
  </w:style>
  <w:style w:type="character" w:customStyle="1" w:styleId="406">
    <w:name w:val="标题 1 Char1"/>
    <w:autoRedefine/>
    <w:qFormat/>
    <w:locked/>
    <w:uiPriority w:val="0"/>
    <w:rPr>
      <w:rFonts w:ascii="黑体" w:cs="宋体"/>
      <w:b/>
      <w:sz w:val="28"/>
      <w:lang w:val="zh-CN"/>
    </w:rPr>
  </w:style>
  <w:style w:type="character" w:customStyle="1" w:styleId="407">
    <w:name w:val="标题 4 Char1"/>
    <w:autoRedefine/>
    <w:semiHidden/>
    <w:qFormat/>
    <w:locked/>
    <w:uiPriority w:val="0"/>
    <w:rPr>
      <w:rFonts w:ascii="Arial" w:hAnsi="Arial" w:eastAsia="仿宋_GB2312"/>
      <w:b/>
      <w:bCs/>
      <w:sz w:val="28"/>
      <w:szCs w:val="28"/>
      <w:lang w:val="zh-CN" w:eastAsia="zh-CN"/>
    </w:rPr>
  </w:style>
  <w:style w:type="character" w:customStyle="1" w:styleId="408">
    <w:name w:val="标题 5 Char1"/>
    <w:autoRedefine/>
    <w:semiHidden/>
    <w:qFormat/>
    <w:locked/>
    <w:uiPriority w:val="0"/>
    <w:rPr>
      <w:rFonts w:ascii="Calibri" w:hAnsi="Calibri"/>
      <w:b/>
      <w:bCs/>
      <w:sz w:val="28"/>
      <w:szCs w:val="28"/>
      <w:lang w:val="zh-CN" w:eastAsia="zh-CN"/>
    </w:rPr>
  </w:style>
  <w:style w:type="character" w:customStyle="1" w:styleId="409">
    <w:name w:val="标题 6 Char1"/>
    <w:autoRedefine/>
    <w:semiHidden/>
    <w:qFormat/>
    <w:locked/>
    <w:uiPriority w:val="0"/>
    <w:rPr>
      <w:rFonts w:ascii="Arial" w:hAnsi="Arial" w:eastAsia="黑体"/>
      <w:b/>
      <w:bCs/>
      <w:sz w:val="24"/>
      <w:szCs w:val="24"/>
      <w:lang w:val="zh-CN"/>
    </w:rPr>
  </w:style>
  <w:style w:type="character" w:customStyle="1" w:styleId="410">
    <w:name w:val="标题 7 Char2"/>
    <w:autoRedefine/>
    <w:semiHidden/>
    <w:qFormat/>
    <w:locked/>
    <w:uiPriority w:val="99"/>
    <w:rPr>
      <w:b/>
      <w:bCs/>
      <w:sz w:val="24"/>
      <w:szCs w:val="24"/>
      <w:lang w:val="zh-CN"/>
    </w:rPr>
  </w:style>
  <w:style w:type="character" w:customStyle="1" w:styleId="411">
    <w:name w:val="标题 8 Char1"/>
    <w:autoRedefine/>
    <w:semiHidden/>
    <w:qFormat/>
    <w:locked/>
    <w:uiPriority w:val="99"/>
    <w:rPr>
      <w:rFonts w:ascii="Arial" w:hAnsi="Arial" w:eastAsia="黑体"/>
      <w:sz w:val="24"/>
      <w:szCs w:val="24"/>
      <w:lang w:val="zh-CN"/>
    </w:rPr>
  </w:style>
  <w:style w:type="character" w:customStyle="1" w:styleId="412">
    <w:name w:val="标题 9 Char1"/>
    <w:autoRedefine/>
    <w:semiHidden/>
    <w:qFormat/>
    <w:locked/>
    <w:uiPriority w:val="99"/>
    <w:rPr>
      <w:rFonts w:ascii="Arial" w:hAnsi="Arial" w:eastAsia="黑体"/>
      <w:szCs w:val="21"/>
      <w:lang w:val="zh-CN"/>
    </w:rPr>
  </w:style>
  <w:style w:type="character" w:customStyle="1" w:styleId="413">
    <w:name w:val="文档结构图 Char2"/>
    <w:autoRedefine/>
    <w:semiHidden/>
    <w:qFormat/>
    <w:locked/>
    <w:uiPriority w:val="99"/>
    <w:rPr>
      <w:rFonts w:eastAsia="Times New Roman"/>
      <w:szCs w:val="24"/>
      <w:shd w:val="clear" w:color="auto" w:fill="000080"/>
      <w:lang w:val="zh-CN" w:eastAsia="zh-CN"/>
    </w:rPr>
  </w:style>
  <w:style w:type="character" w:customStyle="1" w:styleId="414">
    <w:name w:val="正文文本 3 Char1"/>
    <w:autoRedefine/>
    <w:semiHidden/>
    <w:qFormat/>
    <w:locked/>
    <w:uiPriority w:val="99"/>
    <w:rPr>
      <w:rFonts w:eastAsia="Times New Roman"/>
      <w:sz w:val="16"/>
      <w:szCs w:val="16"/>
      <w:lang w:val="zh-CN" w:eastAsia="zh-CN"/>
    </w:rPr>
  </w:style>
  <w:style w:type="character" w:customStyle="1" w:styleId="415">
    <w:name w:val="正文文本 Char2"/>
    <w:autoRedefine/>
    <w:semiHidden/>
    <w:qFormat/>
    <w:locked/>
    <w:uiPriority w:val="99"/>
    <w:rPr>
      <w:rFonts w:eastAsia="Times New Roman"/>
      <w:sz w:val="30"/>
      <w:lang w:val="zh-CN" w:eastAsia="zh-CN"/>
    </w:rPr>
  </w:style>
  <w:style w:type="character" w:customStyle="1" w:styleId="416">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7">
    <w:name w:val="批注框文本 Char2"/>
    <w:autoRedefine/>
    <w:semiHidden/>
    <w:qFormat/>
    <w:locked/>
    <w:uiPriority w:val="99"/>
    <w:rPr>
      <w:rFonts w:eastAsia="Times New Roman"/>
      <w:sz w:val="18"/>
      <w:szCs w:val="18"/>
      <w:lang w:val="zh-CN" w:eastAsia="zh-CN"/>
    </w:rPr>
  </w:style>
  <w:style w:type="character" w:customStyle="1" w:styleId="418">
    <w:name w:val="页脚 Char2"/>
    <w:autoRedefine/>
    <w:semiHidden/>
    <w:qFormat/>
    <w:locked/>
    <w:uiPriority w:val="99"/>
    <w:rPr>
      <w:rFonts w:eastAsia="Times New Roman"/>
      <w:sz w:val="18"/>
      <w:lang w:val="zh-CN" w:eastAsia="zh-CN"/>
    </w:rPr>
  </w:style>
  <w:style w:type="character" w:customStyle="1" w:styleId="419">
    <w:name w:val="副标题 字符1"/>
    <w:link w:val="39"/>
    <w:autoRedefine/>
    <w:qFormat/>
    <w:locked/>
    <w:uiPriority w:val="99"/>
    <w:rPr>
      <w:rFonts w:ascii="Cambria" w:hAnsi="Cambria" w:eastAsia="Times New Roman"/>
      <w:b/>
      <w:bCs/>
      <w:kern w:val="28"/>
      <w:sz w:val="32"/>
      <w:szCs w:val="32"/>
      <w:lang w:val="zh-CN" w:eastAsia="zh-CN"/>
    </w:rPr>
  </w:style>
  <w:style w:type="character" w:customStyle="1" w:styleId="420">
    <w:name w:val="HTML 预设格式 Char2"/>
    <w:autoRedefine/>
    <w:semiHidden/>
    <w:qFormat/>
    <w:locked/>
    <w:uiPriority w:val="0"/>
    <w:rPr>
      <w:rFonts w:ascii="宋体" w:hAnsi="宋体" w:eastAsia="仿宋_GB2312"/>
      <w:sz w:val="24"/>
      <w:szCs w:val="24"/>
      <w:lang w:val="zh-CN" w:eastAsia="zh-CN"/>
    </w:rPr>
  </w:style>
  <w:style w:type="character" w:customStyle="1" w:styleId="421">
    <w:name w:val="标题 Char2"/>
    <w:autoRedefine/>
    <w:qFormat/>
    <w:locked/>
    <w:uiPriority w:val="99"/>
    <w:rPr>
      <w:rFonts w:ascii="Cambria" w:hAnsi="Cambria" w:eastAsia="Times New Roman"/>
      <w:b/>
      <w:bCs/>
      <w:kern w:val="2"/>
      <w:sz w:val="44"/>
      <w:szCs w:val="32"/>
      <w:lang w:val="zh-CN" w:eastAsia="zh-CN"/>
    </w:rPr>
  </w:style>
  <w:style w:type="character" w:customStyle="1" w:styleId="422">
    <w:name w:val="批注主题 Char2"/>
    <w:autoRedefine/>
    <w:semiHidden/>
    <w:qFormat/>
    <w:locked/>
    <w:uiPriority w:val="99"/>
    <w:rPr>
      <w:rFonts w:eastAsia="Times New Roman"/>
      <w:b/>
      <w:bCs/>
      <w:szCs w:val="24"/>
      <w:lang w:val="zh-CN" w:eastAsia="zh-CN"/>
    </w:rPr>
  </w:style>
  <w:style w:type="character" w:customStyle="1" w:styleId="423">
    <w:name w:val="Font Style11"/>
    <w:autoRedefine/>
    <w:qFormat/>
    <w:uiPriority w:val="0"/>
    <w:rPr>
      <w:rFonts w:hint="eastAsia" w:ascii="宋体" w:hAnsi="宋体" w:eastAsia="宋体" w:cs="宋体"/>
      <w:sz w:val="22"/>
      <w:szCs w:val="22"/>
    </w:rPr>
  </w:style>
  <w:style w:type="character" w:customStyle="1" w:styleId="424">
    <w:name w:val="font61"/>
    <w:autoRedefine/>
    <w:qFormat/>
    <w:uiPriority w:val="0"/>
    <w:rPr>
      <w:rFonts w:hint="eastAsia" w:ascii="宋体" w:hAnsi="宋体" w:eastAsia="宋体" w:cs="宋体"/>
      <w:color w:val="000000"/>
      <w:sz w:val="22"/>
      <w:szCs w:val="22"/>
      <w:u w:val="none"/>
    </w:rPr>
  </w:style>
  <w:style w:type="character" w:customStyle="1" w:styleId="425">
    <w:name w:val="不明显强调1"/>
    <w:autoRedefine/>
    <w:qFormat/>
    <w:uiPriority w:val="19"/>
    <w:rPr>
      <w:i/>
      <w:iCs/>
      <w:color w:val="808080"/>
    </w:rPr>
  </w:style>
  <w:style w:type="character" w:customStyle="1" w:styleId="426">
    <w:name w:val="font21"/>
    <w:autoRedefine/>
    <w:qFormat/>
    <w:uiPriority w:val="0"/>
    <w:rPr>
      <w:rFonts w:hint="default" w:ascii="Arial" w:hAnsi="Arial" w:cs="Arial"/>
      <w:color w:val="000000"/>
      <w:sz w:val="20"/>
      <w:szCs w:val="20"/>
      <w:u w:val="none"/>
    </w:rPr>
  </w:style>
  <w:style w:type="character" w:customStyle="1" w:styleId="427">
    <w:name w:val="书籍标题1"/>
    <w:autoRedefine/>
    <w:qFormat/>
    <w:uiPriority w:val="33"/>
    <w:rPr>
      <w:b/>
      <w:bCs/>
      <w:smallCaps/>
      <w:spacing w:val="5"/>
    </w:rPr>
  </w:style>
  <w:style w:type="character" w:customStyle="1" w:styleId="428">
    <w:name w:val="正文文本 Char1"/>
    <w:autoRedefine/>
    <w:qFormat/>
    <w:uiPriority w:val="0"/>
    <w:rPr>
      <w:kern w:val="2"/>
      <w:sz w:val="21"/>
      <w:szCs w:val="22"/>
    </w:rPr>
  </w:style>
  <w:style w:type="character" w:customStyle="1" w:styleId="429">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30">
    <w:name w:val="Font Style13"/>
    <w:autoRedefine/>
    <w:qFormat/>
    <w:uiPriority w:val="0"/>
    <w:rPr>
      <w:rFonts w:hint="eastAsia" w:ascii="宋体" w:hAnsi="宋体" w:eastAsia="宋体" w:cs="宋体"/>
      <w:b/>
      <w:bCs/>
      <w:spacing w:val="500"/>
      <w:sz w:val="48"/>
      <w:szCs w:val="48"/>
    </w:rPr>
  </w:style>
  <w:style w:type="character" w:customStyle="1" w:styleId="431">
    <w:name w:val="text1"/>
    <w:autoRedefine/>
    <w:qFormat/>
    <w:uiPriority w:val="0"/>
    <w:rPr>
      <w:spacing w:val="280"/>
      <w:sz w:val="18"/>
      <w:szCs w:val="18"/>
    </w:rPr>
  </w:style>
  <w:style w:type="character" w:customStyle="1" w:styleId="432">
    <w:name w:val="fontstyle31"/>
    <w:autoRedefine/>
    <w:qFormat/>
    <w:uiPriority w:val="0"/>
    <w:rPr>
      <w:rFonts w:hint="default" w:ascii="ArialMT" w:hAnsi="ArialMT" w:eastAsia="ArialMT" w:cs="ArialMT"/>
      <w:color w:val="000000"/>
      <w:sz w:val="24"/>
      <w:szCs w:val="24"/>
    </w:rPr>
  </w:style>
  <w:style w:type="character" w:customStyle="1" w:styleId="433">
    <w:name w:val="Font Style15"/>
    <w:autoRedefine/>
    <w:qFormat/>
    <w:uiPriority w:val="0"/>
    <w:rPr>
      <w:rFonts w:hint="eastAsia" w:ascii="宋体" w:hAnsi="宋体" w:eastAsia="宋体" w:cs="宋体"/>
      <w:b/>
      <w:bCs/>
      <w:sz w:val="20"/>
      <w:szCs w:val="20"/>
    </w:rPr>
  </w:style>
  <w:style w:type="character" w:customStyle="1" w:styleId="434">
    <w:name w:val="fontstyle41"/>
    <w:autoRedefine/>
    <w:qFormat/>
    <w:uiPriority w:val="0"/>
    <w:rPr>
      <w:rFonts w:hint="default" w:ascii="ArialMT" w:hAnsi="ArialMT" w:eastAsia="ArialMT" w:cs="ArialMT"/>
      <w:color w:val="000000"/>
      <w:sz w:val="24"/>
      <w:szCs w:val="24"/>
    </w:rPr>
  </w:style>
  <w:style w:type="character" w:customStyle="1" w:styleId="435">
    <w:name w:val="font81"/>
    <w:autoRedefine/>
    <w:qFormat/>
    <w:uiPriority w:val="0"/>
    <w:rPr>
      <w:rFonts w:hint="default" w:ascii="Times New Roman" w:hAnsi="Times New Roman" w:cs="Times New Roman"/>
      <w:color w:val="000000"/>
      <w:sz w:val="21"/>
      <w:szCs w:val="21"/>
      <w:u w:val="none"/>
    </w:rPr>
  </w:style>
  <w:style w:type="character" w:customStyle="1" w:styleId="436">
    <w:name w:val="样式 正文 +"/>
    <w:autoRedefine/>
    <w:qFormat/>
    <w:uiPriority w:val="0"/>
    <w:rPr>
      <w:rFonts w:hint="default" w:ascii="Times New Roman" w:hAnsi="Times New Roman" w:eastAsia="Times New Roman" w:cs="Times New Roman"/>
      <w:kern w:val="0"/>
      <w:sz w:val="28"/>
    </w:rPr>
  </w:style>
  <w:style w:type="character" w:customStyle="1" w:styleId="437">
    <w:name w:val="日期 Char1"/>
    <w:autoRedefine/>
    <w:qFormat/>
    <w:uiPriority w:val="0"/>
    <w:rPr>
      <w:kern w:val="2"/>
      <w:sz w:val="21"/>
      <w:szCs w:val="22"/>
    </w:rPr>
  </w:style>
  <w:style w:type="character" w:customStyle="1" w:styleId="438">
    <w:name w:val="font71"/>
    <w:autoRedefine/>
    <w:qFormat/>
    <w:uiPriority w:val="0"/>
    <w:rPr>
      <w:rFonts w:hint="default" w:ascii="Times New Roman" w:hAnsi="Times New Roman" w:cs="Times New Roman"/>
      <w:color w:val="000000"/>
      <w:sz w:val="20"/>
      <w:szCs w:val="20"/>
      <w:u w:val="none"/>
    </w:rPr>
  </w:style>
  <w:style w:type="character" w:customStyle="1" w:styleId="439">
    <w:name w:val="明显参考1"/>
    <w:autoRedefine/>
    <w:qFormat/>
    <w:uiPriority w:val="32"/>
    <w:rPr>
      <w:b/>
      <w:bCs/>
      <w:smallCaps/>
      <w:color w:val="C0504D"/>
      <w:spacing w:val="5"/>
      <w:u w:val="single"/>
    </w:rPr>
  </w:style>
  <w:style w:type="character" w:customStyle="1" w:styleId="440">
    <w:name w:val="Font Style16"/>
    <w:autoRedefine/>
    <w:qFormat/>
    <w:uiPriority w:val="0"/>
    <w:rPr>
      <w:rFonts w:hint="default" w:ascii="Times New Roman" w:hAnsi="Times New Roman" w:cs="Times New Roman"/>
      <w:sz w:val="22"/>
      <w:szCs w:val="22"/>
    </w:rPr>
  </w:style>
  <w:style w:type="character" w:customStyle="1" w:styleId="441">
    <w:name w:val="HTML 预设格式 Char1"/>
    <w:autoRedefine/>
    <w:qFormat/>
    <w:uiPriority w:val="0"/>
    <w:rPr>
      <w:rFonts w:hint="default" w:ascii="Courier New" w:hAnsi="Courier New" w:cs="Courier New"/>
      <w:kern w:val="2"/>
    </w:rPr>
  </w:style>
  <w:style w:type="character" w:customStyle="1" w:styleId="442">
    <w:name w:val="不明显参考1"/>
    <w:autoRedefine/>
    <w:qFormat/>
    <w:uiPriority w:val="31"/>
    <w:rPr>
      <w:smallCaps/>
      <w:color w:val="C0504D"/>
      <w:u w:val="single"/>
    </w:rPr>
  </w:style>
  <w:style w:type="character" w:customStyle="1" w:styleId="443">
    <w:name w:val="批注文字 Char Char"/>
    <w:autoRedefine/>
    <w:qFormat/>
    <w:uiPriority w:val="0"/>
    <w:rPr>
      <w:rFonts w:hint="eastAsia" w:ascii="宋体" w:hAnsi="Times New Roman" w:eastAsia="宋体" w:cs="Times New Roman"/>
      <w:sz w:val="28"/>
      <w:szCs w:val="20"/>
    </w:rPr>
  </w:style>
  <w:style w:type="character" w:customStyle="1" w:styleId="444">
    <w:name w:val="批注主题 Char1"/>
    <w:autoRedefine/>
    <w:qFormat/>
    <w:uiPriority w:val="0"/>
    <w:rPr>
      <w:b/>
      <w:bCs/>
      <w:kern w:val="2"/>
      <w:sz w:val="21"/>
      <w:szCs w:val="22"/>
    </w:rPr>
  </w:style>
  <w:style w:type="character" w:customStyle="1" w:styleId="445">
    <w:name w:val="文档结构图 Char1"/>
    <w:autoRedefine/>
    <w:qFormat/>
    <w:uiPriority w:val="0"/>
    <w:rPr>
      <w:rFonts w:hint="eastAsia" w:ascii="宋体" w:hAnsi="宋体" w:eastAsia="宋体"/>
      <w:kern w:val="2"/>
      <w:sz w:val="18"/>
      <w:szCs w:val="18"/>
    </w:rPr>
  </w:style>
  <w:style w:type="character" w:customStyle="1" w:styleId="446">
    <w:name w:val="font141"/>
    <w:autoRedefine/>
    <w:qFormat/>
    <w:uiPriority w:val="0"/>
    <w:rPr>
      <w:rFonts w:hint="eastAsia" w:ascii="宋体" w:hAnsi="宋体" w:eastAsia="宋体" w:cs="宋体"/>
      <w:color w:val="000000"/>
      <w:sz w:val="22"/>
      <w:szCs w:val="22"/>
      <w:u w:val="none"/>
    </w:rPr>
  </w:style>
  <w:style w:type="character" w:customStyle="1" w:styleId="447">
    <w:name w:val="Font Style18"/>
    <w:autoRedefine/>
    <w:qFormat/>
    <w:uiPriority w:val="0"/>
    <w:rPr>
      <w:rFonts w:hint="default" w:ascii="Candara" w:hAnsi="Candara" w:cs="Candara"/>
      <w:spacing w:val="-20"/>
      <w:sz w:val="20"/>
      <w:szCs w:val="20"/>
    </w:rPr>
  </w:style>
  <w:style w:type="character" w:customStyle="1" w:styleId="448">
    <w:name w:val="明显引用 Char1"/>
    <w:autoRedefine/>
    <w:qFormat/>
    <w:uiPriority w:val="30"/>
    <w:rPr>
      <w:rFonts w:hint="default" w:ascii="Calibri" w:hAnsi="Calibri" w:eastAsia="宋体" w:cs="Times New Roman"/>
      <w:b/>
      <w:bCs/>
      <w:i/>
      <w:iCs/>
      <w:color w:val="4F81BD"/>
    </w:rPr>
  </w:style>
  <w:style w:type="character" w:customStyle="1" w:styleId="449">
    <w:name w:val="明显强调1"/>
    <w:autoRedefine/>
    <w:qFormat/>
    <w:uiPriority w:val="21"/>
    <w:rPr>
      <w:b/>
      <w:bCs/>
      <w:i/>
      <w:iCs/>
      <w:color w:val="4F81BD"/>
    </w:rPr>
  </w:style>
  <w:style w:type="character" w:customStyle="1" w:styleId="450">
    <w:name w:val="副标题 Char1"/>
    <w:autoRedefine/>
    <w:qFormat/>
    <w:uiPriority w:val="0"/>
    <w:rPr>
      <w:rFonts w:hint="default" w:ascii="Cambria" w:hAnsi="Cambria" w:cs="Times New Roman"/>
      <w:b/>
      <w:bCs/>
      <w:kern w:val="28"/>
      <w:sz w:val="32"/>
      <w:szCs w:val="32"/>
    </w:rPr>
  </w:style>
  <w:style w:type="character" w:customStyle="1" w:styleId="451">
    <w:name w:val="font41"/>
    <w:autoRedefine/>
    <w:qFormat/>
    <w:uiPriority w:val="0"/>
    <w:rPr>
      <w:rFonts w:hint="eastAsia" w:ascii="宋体" w:hAnsi="宋体" w:eastAsia="宋体" w:cs="宋体"/>
      <w:color w:val="000000"/>
      <w:sz w:val="21"/>
      <w:szCs w:val="21"/>
      <w:u w:val="none"/>
    </w:rPr>
  </w:style>
  <w:style w:type="character" w:customStyle="1" w:styleId="452">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3">
    <w:name w:val="文字加横线"/>
    <w:autoRedefine/>
    <w:qFormat/>
    <w:uiPriority w:val="0"/>
    <w:rPr>
      <w:u w:val="single"/>
    </w:rPr>
  </w:style>
  <w:style w:type="character" w:customStyle="1" w:styleId="454">
    <w:name w:val="fontstyle11"/>
    <w:autoRedefine/>
    <w:qFormat/>
    <w:uiPriority w:val="0"/>
    <w:rPr>
      <w:rFonts w:hint="eastAsia" w:ascii="宋体" w:hAnsi="宋体" w:eastAsia="宋体" w:cs="宋体"/>
      <w:color w:val="000000"/>
      <w:sz w:val="24"/>
      <w:szCs w:val="24"/>
    </w:rPr>
  </w:style>
  <w:style w:type="character" w:customStyle="1" w:styleId="455">
    <w:name w:val="textcontents"/>
    <w:autoRedefine/>
    <w:qFormat/>
    <w:uiPriority w:val="0"/>
    <w:rPr>
      <w:rFonts w:hint="default" w:ascii="Times New Roman" w:hAnsi="Times New Roman" w:cs="Times New Roman"/>
    </w:rPr>
  </w:style>
  <w:style w:type="character" w:customStyle="1" w:styleId="456">
    <w:name w:val="引用 Char1"/>
    <w:autoRedefine/>
    <w:qFormat/>
    <w:uiPriority w:val="29"/>
    <w:rPr>
      <w:rFonts w:hint="default" w:ascii="Calibri" w:hAnsi="Calibri" w:eastAsia="宋体" w:cs="Times New Roman"/>
      <w:i/>
      <w:iCs/>
      <w:color w:val="000000"/>
    </w:rPr>
  </w:style>
  <w:style w:type="character" w:customStyle="1" w:styleId="457">
    <w:name w:val="fontstyle21"/>
    <w:autoRedefine/>
    <w:qFormat/>
    <w:uiPriority w:val="0"/>
    <w:rPr>
      <w:rFonts w:hint="default" w:ascii="Arial-BoldMT" w:hAnsi="Arial-BoldMT" w:eastAsia="Arial-BoldMT" w:cs="Arial-BoldMT"/>
      <w:b/>
      <w:color w:val="000000"/>
      <w:sz w:val="24"/>
      <w:szCs w:val="24"/>
    </w:rPr>
  </w:style>
  <w:style w:type="character" w:customStyle="1" w:styleId="458">
    <w:name w:val="fontstyle01"/>
    <w:autoRedefine/>
    <w:qFormat/>
    <w:uiPriority w:val="0"/>
    <w:rPr>
      <w:rFonts w:hint="eastAsia" w:ascii="宋体" w:hAnsi="宋体" w:eastAsia="宋体" w:cs="宋体"/>
      <w:color w:val="000000"/>
      <w:sz w:val="32"/>
      <w:szCs w:val="32"/>
    </w:rPr>
  </w:style>
  <w:style w:type="character" w:customStyle="1" w:styleId="459">
    <w:name w:val="style11"/>
    <w:autoRedefine/>
    <w:qFormat/>
    <w:uiPriority w:val="0"/>
    <w:rPr>
      <w:color w:val="000000"/>
      <w:sz w:val="18"/>
      <w:szCs w:val="18"/>
    </w:rPr>
  </w:style>
  <w:style w:type="character" w:customStyle="1" w:styleId="460">
    <w:name w:val="font112"/>
    <w:autoRedefine/>
    <w:qFormat/>
    <w:uiPriority w:val="0"/>
    <w:rPr>
      <w:rFonts w:hint="eastAsia" w:ascii="宋体" w:hAnsi="宋体" w:eastAsia="宋体" w:cs="宋体"/>
      <w:color w:val="000000"/>
      <w:sz w:val="20"/>
      <w:szCs w:val="20"/>
      <w:u w:val="none"/>
    </w:rPr>
  </w:style>
  <w:style w:type="character" w:customStyle="1" w:styleId="461">
    <w:name w:val="Font Style14"/>
    <w:autoRedefine/>
    <w:qFormat/>
    <w:uiPriority w:val="0"/>
    <w:rPr>
      <w:rFonts w:hint="eastAsia" w:ascii="宋体" w:hAnsi="宋体" w:eastAsia="宋体" w:cs="宋体"/>
      <w:sz w:val="22"/>
      <w:szCs w:val="22"/>
    </w:rPr>
  </w:style>
  <w:style w:type="character" w:customStyle="1" w:styleId="462">
    <w:name w:val="批注框文本 Char1"/>
    <w:autoRedefine/>
    <w:qFormat/>
    <w:uiPriority w:val="0"/>
    <w:rPr>
      <w:kern w:val="2"/>
      <w:sz w:val="18"/>
      <w:szCs w:val="18"/>
    </w:rPr>
  </w:style>
  <w:style w:type="character" w:customStyle="1" w:styleId="463">
    <w:name w:val="15"/>
    <w:autoRedefine/>
    <w:qFormat/>
    <w:uiPriority w:val="0"/>
    <w:rPr>
      <w:rFonts w:hint="default" w:ascii="Times New Roman" w:hAnsi="Times New Roman" w:cs="Times New Roman"/>
      <w:sz w:val="21"/>
      <w:szCs w:val="21"/>
    </w:rPr>
  </w:style>
  <w:style w:type="character" w:customStyle="1" w:styleId="464">
    <w:name w:val="标题 3 字符1"/>
    <w:autoRedefine/>
    <w:qFormat/>
    <w:locked/>
    <w:uiPriority w:val="9"/>
    <w:rPr>
      <w:b/>
      <w:sz w:val="32"/>
      <w:lang w:val="zh-CN"/>
    </w:rPr>
  </w:style>
  <w:style w:type="character" w:customStyle="1" w:styleId="465">
    <w:name w:val="标题 1 字符"/>
    <w:autoRedefine/>
    <w:qFormat/>
    <w:locked/>
    <w:uiPriority w:val="0"/>
    <w:rPr>
      <w:rFonts w:hint="eastAsia" w:ascii="黑体" w:hAnsi="Times New Roman" w:eastAsia="宋体" w:cs="宋体"/>
      <w:b/>
      <w:sz w:val="28"/>
      <w:lang w:val="zh-CN" w:eastAsia="zh-CN"/>
    </w:rPr>
  </w:style>
  <w:style w:type="character" w:customStyle="1" w:styleId="466">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7">
    <w:name w:val="标题 4 字符"/>
    <w:autoRedefine/>
    <w:qFormat/>
    <w:locked/>
    <w:uiPriority w:val="0"/>
    <w:rPr>
      <w:rFonts w:hint="default" w:ascii="Arial" w:hAnsi="Arial" w:eastAsia="仿宋_GB2312" w:cs="Times New Roman"/>
      <w:b/>
      <w:bCs/>
      <w:sz w:val="28"/>
      <w:szCs w:val="28"/>
    </w:rPr>
  </w:style>
  <w:style w:type="character" w:customStyle="1" w:styleId="468">
    <w:name w:val="标题 5 字符"/>
    <w:autoRedefine/>
    <w:qFormat/>
    <w:locked/>
    <w:uiPriority w:val="0"/>
    <w:rPr>
      <w:rFonts w:hint="default" w:ascii="Calibri" w:hAnsi="Calibri" w:eastAsia="宋体" w:cs="宋体"/>
      <w:b/>
      <w:bCs/>
      <w:sz w:val="28"/>
      <w:szCs w:val="28"/>
    </w:rPr>
  </w:style>
  <w:style w:type="character" w:customStyle="1" w:styleId="469">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70">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71">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72">
    <w:name w:val="标题 9 字符"/>
    <w:autoRedefine/>
    <w:qFormat/>
    <w:locked/>
    <w:uiPriority w:val="99"/>
    <w:rPr>
      <w:rFonts w:hint="default" w:ascii="Arial" w:hAnsi="Arial" w:eastAsia="黑体" w:cs="Times New Roman"/>
      <w:kern w:val="0"/>
      <w:szCs w:val="21"/>
      <w:lang w:val="zh-CN" w:eastAsia="zh-CN"/>
    </w:rPr>
  </w:style>
  <w:style w:type="character" w:customStyle="1" w:styleId="473">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4">
    <w:name w:val="批注文字 字符1"/>
    <w:autoRedefine/>
    <w:qFormat/>
    <w:locked/>
    <w:uiPriority w:val="99"/>
    <w:rPr>
      <w:rFonts w:hint="default" w:ascii="Times New Roman" w:hAnsi="Times New Roman" w:eastAsia="宋体" w:cs="Times New Roman"/>
      <w:szCs w:val="24"/>
    </w:rPr>
  </w:style>
  <w:style w:type="character" w:customStyle="1" w:styleId="475">
    <w:name w:val="正文文本 3 字符"/>
    <w:autoRedefine/>
    <w:qFormat/>
    <w:locked/>
    <w:uiPriority w:val="99"/>
    <w:rPr>
      <w:rFonts w:hint="default" w:ascii="Times New Roman" w:hAnsi="Times New Roman" w:eastAsia="Times New Roman" w:cs="Times New Roman"/>
      <w:sz w:val="16"/>
      <w:szCs w:val="16"/>
    </w:rPr>
  </w:style>
  <w:style w:type="character" w:customStyle="1" w:styleId="476">
    <w:name w:val="正文文本 字符"/>
    <w:autoRedefine/>
    <w:qFormat/>
    <w:locked/>
    <w:uiPriority w:val="99"/>
    <w:rPr>
      <w:rFonts w:hint="default" w:ascii="Times New Roman" w:hAnsi="Times New Roman" w:eastAsia="Times New Roman" w:cs="Times New Roman"/>
      <w:sz w:val="30"/>
      <w:szCs w:val="20"/>
    </w:rPr>
  </w:style>
  <w:style w:type="character" w:customStyle="1" w:styleId="477">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8">
    <w:name w:val="日期 字符1"/>
    <w:autoRedefine/>
    <w:qFormat/>
    <w:uiPriority w:val="0"/>
    <w:rPr>
      <w:rFonts w:hint="default" w:ascii="Times New Roman" w:hAnsi="Times New Roman" w:eastAsia="宋体" w:cs="Times New Roman"/>
      <w:sz w:val="24"/>
      <w:szCs w:val="20"/>
    </w:rPr>
  </w:style>
  <w:style w:type="character" w:customStyle="1" w:styleId="479">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80">
    <w:name w:val="批注框文本 字符1"/>
    <w:autoRedefine/>
    <w:qFormat/>
    <w:locked/>
    <w:uiPriority w:val="0"/>
    <w:rPr>
      <w:rFonts w:hint="default" w:ascii="Times New Roman" w:hAnsi="Times New Roman" w:eastAsia="Times New Roman" w:cs="Times New Roman"/>
      <w:sz w:val="18"/>
      <w:szCs w:val="18"/>
    </w:rPr>
  </w:style>
  <w:style w:type="character" w:customStyle="1" w:styleId="481">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82">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3">
    <w:name w:val="副标题 字符"/>
    <w:autoRedefine/>
    <w:qFormat/>
    <w:locked/>
    <w:uiPriority w:val="0"/>
    <w:rPr>
      <w:rFonts w:hint="default" w:ascii="Cambria" w:hAnsi="Cambria" w:eastAsia="Times New Roman" w:cs="Times New Roman"/>
      <w:b/>
      <w:bCs/>
      <w:kern w:val="28"/>
      <w:sz w:val="32"/>
      <w:szCs w:val="32"/>
    </w:rPr>
  </w:style>
  <w:style w:type="character" w:customStyle="1" w:styleId="484">
    <w:name w:val="脚注文本 字符"/>
    <w:autoRedefine/>
    <w:qFormat/>
    <w:uiPriority w:val="0"/>
    <w:rPr>
      <w:rFonts w:hint="default" w:ascii="Times New Roman" w:hAnsi="Times New Roman" w:eastAsia="宋体" w:cs="Times New Roman"/>
      <w:kern w:val="0"/>
      <w:sz w:val="18"/>
      <w:szCs w:val="20"/>
    </w:rPr>
  </w:style>
  <w:style w:type="character" w:customStyle="1" w:styleId="485">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6">
    <w:name w:val="正文文本 2 字符"/>
    <w:autoRedefine/>
    <w:qFormat/>
    <w:uiPriority w:val="99"/>
    <w:rPr>
      <w:rFonts w:hint="eastAsia" w:ascii="宋体" w:hAnsi="宋体" w:eastAsia="宋体" w:cs="Times New Roman"/>
      <w:sz w:val="24"/>
      <w:szCs w:val="24"/>
      <w:u w:val="single"/>
    </w:rPr>
  </w:style>
  <w:style w:type="character" w:customStyle="1" w:styleId="487">
    <w:name w:val="HTML 预设格式 字符"/>
    <w:autoRedefine/>
    <w:qFormat/>
    <w:locked/>
    <w:uiPriority w:val="0"/>
    <w:rPr>
      <w:rFonts w:hint="eastAsia" w:ascii="宋体" w:hAnsi="宋体" w:eastAsia="仿宋_GB2312" w:cs="Times New Roman"/>
      <w:kern w:val="0"/>
      <w:sz w:val="24"/>
      <w:szCs w:val="24"/>
    </w:rPr>
  </w:style>
  <w:style w:type="character" w:customStyle="1" w:styleId="488">
    <w:name w:val="标题 字符"/>
    <w:autoRedefine/>
    <w:qFormat/>
    <w:locked/>
    <w:uiPriority w:val="99"/>
    <w:rPr>
      <w:rFonts w:hint="default" w:ascii="Cambria" w:hAnsi="Cambria" w:eastAsia="Times New Roman"/>
      <w:b/>
      <w:bCs/>
      <w:kern w:val="2"/>
      <w:sz w:val="44"/>
      <w:szCs w:val="32"/>
    </w:rPr>
  </w:style>
  <w:style w:type="character" w:customStyle="1" w:styleId="489">
    <w:name w:val="批注主题 字符1"/>
    <w:autoRedefine/>
    <w:qFormat/>
    <w:locked/>
    <w:uiPriority w:val="0"/>
    <w:rPr>
      <w:rFonts w:hint="default" w:ascii="Times New Roman" w:hAnsi="Times New Roman" w:eastAsia="Times New Roman" w:cs="Times New Roman"/>
      <w:b/>
      <w:bCs/>
      <w:szCs w:val="24"/>
    </w:rPr>
  </w:style>
  <w:style w:type="character" w:customStyle="1" w:styleId="490">
    <w:name w:val="页眉 字符"/>
    <w:autoRedefine/>
    <w:qFormat/>
    <w:uiPriority w:val="99"/>
    <w:rPr>
      <w:sz w:val="18"/>
      <w:szCs w:val="18"/>
    </w:rPr>
  </w:style>
  <w:style w:type="character" w:customStyle="1" w:styleId="491">
    <w:name w:val="页脚 字符"/>
    <w:autoRedefine/>
    <w:qFormat/>
    <w:uiPriority w:val="99"/>
    <w:rPr>
      <w:sz w:val="18"/>
      <w:szCs w:val="18"/>
    </w:rPr>
  </w:style>
  <w:style w:type="character" w:customStyle="1" w:styleId="492">
    <w:name w:val="标题 3 字符"/>
    <w:autoRedefine/>
    <w:qFormat/>
    <w:uiPriority w:val="0"/>
    <w:rPr>
      <w:rFonts w:hint="eastAsia" w:ascii="宋体" w:hAnsi="宋体" w:eastAsia="宋体"/>
      <w:bCs/>
      <w:sz w:val="21"/>
      <w:szCs w:val="21"/>
    </w:rPr>
  </w:style>
  <w:style w:type="character" w:customStyle="1" w:styleId="493">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4">
    <w:name w:val="日期 字符"/>
    <w:autoRedefine/>
    <w:qFormat/>
    <w:uiPriority w:val="99"/>
    <w:rPr>
      <w:sz w:val="21"/>
      <w:szCs w:val="22"/>
    </w:rPr>
  </w:style>
  <w:style w:type="character" w:customStyle="1" w:styleId="495">
    <w:name w:val="批注框文本 字符"/>
    <w:autoRedefine/>
    <w:qFormat/>
    <w:uiPriority w:val="99"/>
    <w:rPr>
      <w:sz w:val="18"/>
      <w:szCs w:val="18"/>
    </w:rPr>
  </w:style>
  <w:style w:type="character" w:customStyle="1" w:styleId="496">
    <w:name w:val="批注主题 字符"/>
    <w:autoRedefine/>
    <w:qFormat/>
    <w:uiPriority w:val="99"/>
    <w:rPr>
      <w:b/>
      <w:bCs/>
      <w:kern w:val="2"/>
      <w:sz w:val="21"/>
      <w:szCs w:val="22"/>
    </w:rPr>
  </w:style>
  <w:style w:type="character" w:customStyle="1" w:styleId="497">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8">
    <w:name w:val="批注文字 字符2"/>
    <w:autoRedefine/>
    <w:qFormat/>
    <w:locked/>
    <w:uiPriority w:val="0"/>
    <w:rPr>
      <w:rFonts w:hint="default" w:ascii="Times New Roman" w:hAnsi="Times New Roman" w:eastAsia="宋体" w:cs="Times New Roman"/>
      <w:szCs w:val="24"/>
    </w:rPr>
  </w:style>
  <w:style w:type="character" w:customStyle="1" w:styleId="499">
    <w:name w:val="正文缩进 字符2"/>
    <w:autoRedefine/>
    <w:qFormat/>
    <w:locked/>
    <w:uiPriority w:val="0"/>
    <w:rPr>
      <w:rFonts w:hint="default" w:ascii="Times New Roman" w:hAnsi="Times New Roman" w:eastAsia="宋体" w:cs="Times New Roman"/>
      <w:kern w:val="0"/>
      <w:sz w:val="20"/>
      <w:szCs w:val="20"/>
    </w:rPr>
  </w:style>
  <w:style w:type="character" w:customStyle="1" w:styleId="500">
    <w:name w:val="正文首行缩进 2 Char1"/>
    <w:basedOn w:val="236"/>
    <w:autoRedefine/>
    <w:semiHidden/>
    <w:qFormat/>
    <w:uiPriority w:val="99"/>
    <w:rPr>
      <w:rFonts w:hint="default" w:ascii="Calibri" w:hAnsi="Calibri" w:eastAsia="宋体" w:cs="Calibri"/>
      <w:kern w:val="2"/>
      <w:sz w:val="21"/>
      <w:szCs w:val="22"/>
      <w:lang w:val="en-US" w:eastAsia="zh-CN" w:bidi="ar-SA"/>
    </w:rPr>
  </w:style>
  <w:style w:type="character" w:customStyle="1" w:styleId="501">
    <w:name w:val="正文文本缩进 3 Char1"/>
    <w:autoRedefine/>
    <w:qFormat/>
    <w:uiPriority w:val="0"/>
    <w:rPr>
      <w:kern w:val="2"/>
      <w:sz w:val="16"/>
      <w:szCs w:val="16"/>
    </w:rPr>
  </w:style>
  <w:style w:type="character" w:customStyle="1" w:styleId="502">
    <w:name w:val="结束语 Char1"/>
    <w:autoRedefine/>
    <w:qFormat/>
    <w:uiPriority w:val="0"/>
    <w:rPr>
      <w:kern w:val="2"/>
      <w:sz w:val="21"/>
    </w:rPr>
  </w:style>
  <w:style w:type="character" w:customStyle="1" w:styleId="503">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4">
    <w:name w:val="msonormal"/>
    <w:autoRedefine/>
    <w:qFormat/>
    <w:uiPriority w:val="0"/>
    <w:rPr>
      <w:rFonts w:hint="default" w:ascii="Tahoma" w:hAnsi="Tahoma" w:eastAsia="仿宋_GB2312" w:cs="Tahoma"/>
      <w:kern w:val="2"/>
      <w:sz w:val="24"/>
      <w:lang w:val="en-US" w:eastAsia="ar-SA" w:bidi="ar-SA"/>
    </w:rPr>
  </w:style>
  <w:style w:type="character" w:customStyle="1" w:styleId="505">
    <w:name w:val="正文首行缩进 Char1"/>
    <w:autoRedefine/>
    <w:qFormat/>
    <w:uiPriority w:val="0"/>
    <w:rPr>
      <w:rFonts w:hint="eastAsia" w:ascii="宋体" w:hAnsi="宋体" w:eastAsia="宋体"/>
      <w:kern w:val="2"/>
      <w:sz w:val="21"/>
      <w:szCs w:val="24"/>
    </w:rPr>
  </w:style>
  <w:style w:type="character" w:customStyle="1" w:styleId="506">
    <w:name w:val="WW-默认段落字体"/>
    <w:autoRedefine/>
    <w:qFormat/>
    <w:uiPriority w:val="0"/>
  </w:style>
  <w:style w:type="character" w:customStyle="1" w:styleId="507">
    <w:name w:val="正文文本 3 Char2"/>
    <w:autoRedefine/>
    <w:qFormat/>
    <w:uiPriority w:val="0"/>
    <w:rPr>
      <w:rFonts w:hint="default" w:ascii="Calibri" w:hAnsi="Calibri" w:cs="Calibri"/>
      <w:kern w:val="2"/>
      <w:sz w:val="16"/>
      <w:szCs w:val="16"/>
    </w:rPr>
  </w:style>
  <w:style w:type="character" w:customStyle="1" w:styleId="508">
    <w:name w:val="正文文本缩进 3 Char2"/>
    <w:autoRedefine/>
    <w:qFormat/>
    <w:uiPriority w:val="0"/>
    <w:rPr>
      <w:rFonts w:hint="default" w:ascii="Calibri" w:hAnsi="Calibri" w:cs="Calibri"/>
      <w:kern w:val="2"/>
      <w:sz w:val="16"/>
      <w:szCs w:val="16"/>
    </w:rPr>
  </w:style>
  <w:style w:type="character" w:customStyle="1" w:styleId="509">
    <w:name w:val="正文文本缩进 2 Char2"/>
    <w:autoRedefine/>
    <w:qFormat/>
    <w:uiPriority w:val="0"/>
    <w:rPr>
      <w:rFonts w:hint="default" w:ascii="Calibri" w:hAnsi="Calibri" w:cs="Calibri"/>
      <w:kern w:val="2"/>
      <w:sz w:val="21"/>
      <w:szCs w:val="22"/>
    </w:rPr>
  </w:style>
  <w:style w:type="character" w:customStyle="1" w:styleId="510">
    <w:name w:val="vu61wz24xka"/>
    <w:autoRedefine/>
    <w:qFormat/>
    <w:uiPriority w:val="0"/>
  </w:style>
  <w:style w:type="character" w:customStyle="1" w:styleId="511">
    <w:name w:val="tjdpxq74904"/>
    <w:autoRedefine/>
    <w:qFormat/>
    <w:uiPriority w:val="0"/>
  </w:style>
  <w:style w:type="character" w:customStyle="1" w:styleId="512">
    <w:name w:val="gj6pbv7a4"/>
    <w:autoRedefine/>
    <w:qFormat/>
    <w:uiPriority w:val="0"/>
  </w:style>
  <w:style w:type="character" w:customStyle="1" w:styleId="513">
    <w:name w:val="vqd08s3i"/>
    <w:autoRedefine/>
    <w:qFormat/>
    <w:uiPriority w:val="0"/>
  </w:style>
  <w:style w:type="character" w:customStyle="1" w:styleId="514">
    <w:name w:val="i4dt25oa"/>
    <w:autoRedefine/>
    <w:qFormat/>
    <w:uiPriority w:val="0"/>
  </w:style>
  <w:style w:type="character" w:customStyle="1" w:styleId="515">
    <w:name w:val="bw21zv1o44"/>
    <w:autoRedefine/>
    <w:qFormat/>
    <w:uiPriority w:val="0"/>
  </w:style>
  <w:style w:type="character" w:customStyle="1" w:styleId="516">
    <w:name w:val="font131"/>
    <w:autoRedefine/>
    <w:qFormat/>
    <w:uiPriority w:val="0"/>
    <w:rPr>
      <w:rFonts w:hint="eastAsia" w:ascii="宋体" w:hAnsi="宋体" w:eastAsia="宋体" w:cs="宋体"/>
      <w:color w:val="000000"/>
      <w:sz w:val="24"/>
      <w:szCs w:val="24"/>
      <w:u w:val="none"/>
    </w:rPr>
  </w:style>
  <w:style w:type="paragraph" w:customStyle="1" w:styleId="517">
    <w:name w:val=".Listenabsatz"/>
    <w:basedOn w:val="1"/>
    <w:next w:val="17"/>
    <w:link w:val="518"/>
    <w:autoRedefine/>
    <w:qFormat/>
    <w:uiPriority w:val="34"/>
    <w:pPr>
      <w:ind w:firstLine="420" w:firstLineChars="200"/>
    </w:pPr>
    <w:rPr>
      <w:rFonts w:ascii="等线" w:hAnsi="等线" w:eastAsia="等线"/>
      <w:szCs w:val="22"/>
    </w:rPr>
  </w:style>
  <w:style w:type="character" w:customStyle="1" w:styleId="518">
    <w:name w:val="列表段落 字符"/>
    <w:link w:val="517"/>
    <w:autoRedefine/>
    <w:qFormat/>
    <w:uiPriority w:val="34"/>
    <w:rPr>
      <w:rFonts w:ascii="等线" w:hAnsi="等线" w:eastAsia="等线"/>
      <w:kern w:val="2"/>
      <w:sz w:val="21"/>
      <w:szCs w:val="22"/>
    </w:rPr>
  </w:style>
  <w:style w:type="character" w:customStyle="1" w:styleId="519">
    <w:name w:val="font51"/>
    <w:basedOn w:val="58"/>
    <w:autoRedefine/>
    <w:qFormat/>
    <w:uiPriority w:val="0"/>
    <w:rPr>
      <w:rFonts w:hint="eastAsia" w:ascii="宋体" w:hAnsi="宋体" w:eastAsia="宋体" w:cs="宋体"/>
      <w:color w:val="FF0000"/>
      <w:sz w:val="21"/>
      <w:szCs w:val="21"/>
      <w:u w:val="none"/>
    </w:rPr>
  </w:style>
  <w:style w:type="paragraph" w:customStyle="1" w:styleId="520">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21">
    <w:name w:val="普通(网站) Char1"/>
    <w:autoRedefine/>
    <w:qFormat/>
    <w:uiPriority w:val="99"/>
    <w:rPr>
      <w:rFonts w:ascii="宋体" w:hAnsi="宋体"/>
      <w:sz w:val="24"/>
      <w:szCs w:val="24"/>
    </w:rPr>
  </w:style>
  <w:style w:type="character" w:customStyle="1" w:styleId="522">
    <w:name w:val="text-tag"/>
    <w:autoRedefine/>
    <w:qFormat/>
    <w:uiPriority w:val="0"/>
  </w:style>
  <w:style w:type="paragraph" w:customStyle="1" w:styleId="523">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4">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5">
    <w:name w:val="网格型1"/>
    <w:basedOn w:val="5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6">
    <w:name w:val="中等深浅网格 1 - 着色 21"/>
    <w:basedOn w:val="55"/>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7">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8">
    <w:name w:val="宏文本 字符"/>
    <w:basedOn w:val="58"/>
    <w:link w:val="4"/>
    <w:autoRedefine/>
    <w:qFormat/>
    <w:uiPriority w:val="0"/>
    <w:rPr>
      <w:rFonts w:ascii="Arial Narrow" w:hAnsi="Arial Narrow"/>
    </w:rPr>
  </w:style>
  <w:style w:type="paragraph" w:customStyle="1" w:styleId="529">
    <w:name w:val="tc"/>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CE50DB-5BFC-45A8-AECA-5652C952F514}">
  <ds:schemaRefs/>
</ds:datastoreItem>
</file>

<file path=docProps/app.xml><?xml version="1.0" encoding="utf-8"?>
<Properties xmlns="http://schemas.openxmlformats.org/officeDocument/2006/extended-properties" xmlns:vt="http://schemas.openxmlformats.org/officeDocument/2006/docPropsVTypes">
  <Template>Normal</Template>
  <Pages>1</Pages>
  <Words>12494</Words>
  <Characters>71220</Characters>
  <Lines>593</Lines>
  <Paragraphs>167</Paragraphs>
  <TotalTime>0</TotalTime>
  <ScaleCrop>false</ScaleCrop>
  <LinksUpToDate>false</LinksUpToDate>
  <CharactersWithSpaces>83547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2026-05-09T04:45:00Z</dcterms:created>
  <dcterms:modified xsi:type="dcterms:W3CDTF">2026-05-12T03:16:26Z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A881C3CC6CD7482EB2AA5CF0929E92E1_12</vt:lpwstr>
  </property>
</Properties>
</file>