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both"/>
        <w:rPr>
          <w:rFonts w:ascii="宋体" w:hAnsi="宋体" w:cs="宋体"/>
          <w:b/>
          <w:bCs/>
          <w:color w:val="000000" w:themeColor="text1"/>
          <w:sz w:val="60"/>
          <w:szCs w:val="60"/>
          <w14:textFill>
            <w14:solidFill>
              <w14:schemeClr w14:val="tx1"/>
            </w14:solidFill>
          </w14:textFill>
        </w:rPr>
      </w:pPr>
    </w:p>
    <w:p>
      <w:pPr>
        <w:spacing w:before="253" w:line="360" w:lineRule="auto"/>
        <w:jc w:val="center"/>
        <w:rPr>
          <w:rFonts w:ascii="宋体" w:hAnsi="宋体" w:cs="宋体"/>
          <w:b/>
          <w:bCs/>
          <w:color w:val="000000" w:themeColor="text1"/>
          <w:sz w:val="60"/>
          <w:szCs w:val="60"/>
          <w14:textFill>
            <w14:solidFill>
              <w14:schemeClr w14:val="tx1"/>
            </w14:solidFill>
          </w14:textFill>
        </w:rPr>
      </w:pPr>
      <w:r>
        <w:rPr>
          <w:rFonts w:hint="eastAsia" w:ascii="宋体" w:hAnsi="宋体" w:cs="宋体"/>
          <w:b/>
          <w:bCs/>
          <w:color w:val="000000" w:themeColor="text1"/>
          <w:sz w:val="60"/>
          <w:szCs w:val="60"/>
          <w14:textFill>
            <w14:solidFill>
              <w14:schemeClr w14:val="tx1"/>
            </w14:solidFill>
          </w14:textFill>
        </w:rPr>
        <w:t>北京市政府采购项目</w:t>
      </w:r>
    </w:p>
    <w:p>
      <w:pPr>
        <w:spacing w:before="253" w:line="360" w:lineRule="auto"/>
        <w:jc w:val="center"/>
        <w:rPr>
          <w:rFonts w:ascii="宋体" w:hAnsi="宋体" w:cs="宋体"/>
          <w:b/>
          <w:bCs/>
          <w:color w:val="000000" w:themeColor="text1"/>
          <w:spacing w:val="11"/>
          <w:sz w:val="59"/>
          <w:szCs w:val="59"/>
          <w14:textFill>
            <w14:solidFill>
              <w14:schemeClr w14:val="tx1"/>
            </w14:solidFill>
          </w14:textFill>
        </w:rPr>
      </w:pPr>
      <w:r>
        <w:rPr>
          <w:rFonts w:hint="eastAsia" w:ascii="宋体" w:hAnsi="宋体" w:cs="宋体"/>
          <w:b/>
          <w:bCs/>
          <w:color w:val="000000" w:themeColor="text1"/>
          <w:spacing w:val="11"/>
          <w:sz w:val="59"/>
          <w:szCs w:val="59"/>
          <w14:textFill>
            <w14:solidFill>
              <w14:schemeClr w14:val="tx1"/>
            </w14:solidFill>
          </w14:textFill>
        </w:rPr>
        <w:t>公开招标文件</w:t>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6"/>
          <w:sz w:val="35"/>
          <w:szCs w:val="35"/>
          <w14:textFill>
            <w14:solidFill>
              <w14:schemeClr w14:val="tx1"/>
            </w14:solidFill>
          </w14:textFill>
        </w:rPr>
        <w:t>项目名称：2026年网络安全技术维护</w:t>
      </w:r>
    </w:p>
    <w:p>
      <w:pPr>
        <w:spacing w:before="150" w:line="360" w:lineRule="auto"/>
        <w:ind w:left="853"/>
        <w:rPr>
          <w:rFonts w:ascii="宋体" w:hAnsi="宋体" w:cs="宋体"/>
          <w:b/>
          <w:bCs/>
          <w:color w:val="000000" w:themeColor="text1"/>
          <w:spacing w:val="1"/>
          <w:sz w:val="35"/>
          <w:szCs w:val="35"/>
          <w:highlight w:val="none"/>
          <w14:textFill>
            <w14:solidFill>
              <w14:schemeClr w14:val="tx1"/>
            </w14:solidFill>
          </w14:textFill>
        </w:rPr>
      </w:pPr>
      <w:r>
        <w:rPr>
          <w:rFonts w:hint="eastAsia" w:ascii="宋体" w:hAnsi="宋体" w:cs="宋体"/>
          <w:b/>
          <w:bCs/>
          <w:spacing w:val="1"/>
          <w:sz w:val="35"/>
          <w:szCs w:val="35"/>
          <w:highlight w:val="none"/>
        </w:rPr>
        <w:t>项目编号/包号：11000026210200165917-XM002</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1"/>
          <w:sz w:val="35"/>
          <w:szCs w:val="35"/>
          <w14:textFill>
            <w14:solidFill>
              <w14:schemeClr w14:val="tx1"/>
            </w14:solidFill>
          </w14:textFill>
        </w:rPr>
        <w:t>采购人：北京市城市运行管理事务中心</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7"/>
          <w:sz w:val="35"/>
          <w:szCs w:val="35"/>
          <w14:textFill>
            <w14:solidFill>
              <w14:schemeClr w14:val="tx1"/>
            </w14:solidFill>
          </w14:textFill>
        </w:rPr>
        <w:t>采购代理机构：</w:t>
      </w:r>
      <w:r>
        <w:rPr>
          <w:rFonts w:hint="eastAsia" w:ascii="宋体" w:hAnsi="宋体" w:cs="宋体"/>
          <w:b/>
          <w:bCs/>
          <w:color w:val="000000" w:themeColor="text1"/>
          <w:sz w:val="35"/>
          <w:szCs w:val="35"/>
          <w14:textFill>
            <w14:solidFill>
              <w14:schemeClr w14:val="tx1"/>
            </w14:solidFill>
          </w14:textFill>
        </w:rPr>
        <w:t>北京市京发招标有限公司</w:t>
      </w:r>
    </w:p>
    <w:p>
      <w:pPr>
        <w:widowControl/>
        <w:jc w:val="left"/>
        <w:rPr>
          <w:rFonts w:ascii="宋体" w:hAnsi="宋体" w:cs="宋体"/>
          <w:b/>
          <w:color w:val="000000" w:themeColor="text1"/>
          <w:sz w:val="72"/>
          <w14:textFill>
            <w14:solidFill>
              <w14:schemeClr w14:val="tx1"/>
            </w14:solidFill>
          </w14:textFill>
        </w:rPr>
      </w:pPr>
    </w:p>
    <w:p>
      <w:pPr>
        <w:widowControl/>
        <w:jc w:val="left"/>
        <w:rPr>
          <w:rFonts w:ascii="宋体" w:hAnsi="宋体" w:cs="宋体"/>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7" w:h="16840"/>
          <w:pgMar w:top="1440" w:right="1800" w:bottom="1440" w:left="1800" w:header="851" w:footer="851" w:gutter="0"/>
          <w:cols w:space="720" w:num="1"/>
          <w:docGrid w:linePitch="462" w:charSpace="0"/>
        </w:sectPr>
      </w:pPr>
      <w:bookmarkStart w:id="0" w:name="_Toc99301418"/>
      <w:r>
        <w:rPr>
          <w:rFonts w:ascii="宋体" w:hAnsi="宋体" w:cs="宋体"/>
          <w:b/>
          <w:color w:val="000000" w:themeColor="text1"/>
          <w:sz w:val="36"/>
          <w:szCs w:val="36"/>
          <w14:textFill>
            <w14:solidFill>
              <w14:schemeClr w14:val="tx1"/>
            </w14:solidFill>
          </w14:textFill>
        </w:rPr>
        <w:br w:type="page"/>
      </w:r>
    </w:p>
    <w:p>
      <w:pPr>
        <w:widowControl/>
        <w:jc w:val="left"/>
        <w:rPr>
          <w:rFonts w:ascii="宋体" w:hAnsi="宋体" w:cs="宋体"/>
          <w:b/>
          <w:color w:val="000000" w:themeColor="text1"/>
          <w:sz w:val="36"/>
          <w:szCs w:val="36"/>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1" w:name="_Toc2665"/>
      <w:bookmarkStart w:id="2" w:name="_Toc218620565"/>
      <w:r>
        <w:rPr>
          <w:rFonts w:hint="eastAsia" w:ascii="宋体" w:hAnsi="宋体" w:cs="宋体"/>
          <w:b/>
          <w:color w:val="000000" w:themeColor="text1"/>
          <w:sz w:val="36"/>
          <w:szCs w:val="36"/>
          <w14:textFill>
            <w14:solidFill>
              <w14:schemeClr w14:val="tx1"/>
            </w14:solidFill>
          </w14:textFill>
        </w:rPr>
        <w:t>目      录</w:t>
      </w:r>
      <w:bookmarkEnd w:id="0"/>
      <w:bookmarkEnd w:id="1"/>
      <w:bookmarkEnd w:id="2"/>
    </w:p>
    <w:p>
      <w:pPr>
        <w:pStyle w:val="37"/>
        <w:rPr>
          <w:rFonts w:cstheme="minorBidi"/>
          <w:b w:val="0"/>
          <w:sz w:val="21"/>
          <w:szCs w:val="22"/>
        </w:rPr>
      </w:pPr>
      <w:r>
        <w:fldChar w:fldCharType="begin"/>
      </w:r>
      <w:r>
        <w:instrText xml:space="preserve">TOC \o "1-1" \h \u </w:instrText>
      </w:r>
      <w:r>
        <w:fldChar w:fldCharType="separate"/>
      </w:r>
    </w:p>
    <w:p>
      <w:pPr>
        <w:pStyle w:val="37"/>
        <w:rPr>
          <w:rFonts w:cstheme="minorBidi"/>
          <w:b w:val="0"/>
          <w:sz w:val="21"/>
          <w:szCs w:val="22"/>
        </w:rPr>
      </w:pPr>
      <w:r>
        <w:fldChar w:fldCharType="begin"/>
      </w:r>
      <w:r>
        <w:instrText xml:space="preserve"> HYPERLINK \l "_Toc218620566" </w:instrText>
      </w:r>
      <w:r>
        <w:fldChar w:fldCharType="separate"/>
      </w:r>
      <w:r>
        <w:rPr>
          <w:rStyle w:val="63"/>
          <w:rFonts w:cs="宋体"/>
        </w:rPr>
        <w:t>第一章   投标邀请</w:t>
      </w:r>
      <w:r>
        <w:tab/>
      </w:r>
      <w:r>
        <w:fldChar w:fldCharType="begin"/>
      </w:r>
      <w:r>
        <w:instrText xml:space="preserve"> PAGEREF _Toc218620566 \h </w:instrText>
      </w:r>
      <w:r>
        <w:fldChar w:fldCharType="separate"/>
      </w:r>
      <w:r>
        <w:t>2</w:t>
      </w:r>
      <w:r>
        <w:fldChar w:fldCharType="end"/>
      </w:r>
      <w:r>
        <w:fldChar w:fldCharType="end"/>
      </w:r>
    </w:p>
    <w:p>
      <w:pPr>
        <w:pStyle w:val="37"/>
        <w:rPr>
          <w:rFonts w:cstheme="minorBidi"/>
          <w:b w:val="0"/>
          <w:sz w:val="21"/>
          <w:szCs w:val="22"/>
        </w:rPr>
      </w:pPr>
      <w:r>
        <w:fldChar w:fldCharType="begin"/>
      </w:r>
      <w:r>
        <w:instrText xml:space="preserve"> HYPERLINK \l "_Toc218620567" </w:instrText>
      </w:r>
      <w:r>
        <w:fldChar w:fldCharType="separate"/>
      </w:r>
      <w:r>
        <w:rPr>
          <w:rStyle w:val="63"/>
          <w:rFonts w:cs="宋体"/>
        </w:rPr>
        <w:t>第二章   投标人须知</w:t>
      </w:r>
      <w:bookmarkStart w:id="1048" w:name="_GoBack"/>
      <w:bookmarkEnd w:id="1048"/>
      <w:r>
        <w:tab/>
      </w:r>
      <w:r>
        <w:fldChar w:fldCharType="begin"/>
      </w:r>
      <w:r>
        <w:instrText xml:space="preserve"> PAGEREF _Toc218620567 \h </w:instrText>
      </w:r>
      <w:r>
        <w:fldChar w:fldCharType="separate"/>
      </w:r>
      <w:r>
        <w:t>7</w:t>
      </w:r>
      <w:r>
        <w:fldChar w:fldCharType="end"/>
      </w:r>
      <w:r>
        <w:fldChar w:fldCharType="end"/>
      </w:r>
    </w:p>
    <w:p>
      <w:pPr>
        <w:pStyle w:val="37"/>
        <w:rPr>
          <w:rFonts w:cstheme="minorBidi"/>
          <w:b w:val="0"/>
          <w:sz w:val="21"/>
          <w:szCs w:val="22"/>
        </w:rPr>
      </w:pPr>
      <w:r>
        <w:fldChar w:fldCharType="begin"/>
      </w:r>
      <w:r>
        <w:instrText xml:space="preserve"> HYPERLINK \l "_Toc218620568" </w:instrText>
      </w:r>
      <w:r>
        <w:fldChar w:fldCharType="separate"/>
      </w:r>
      <w:r>
        <w:rPr>
          <w:rStyle w:val="63"/>
          <w:rFonts w:cs="宋体"/>
        </w:rPr>
        <w:t>第三章   资格审查</w:t>
      </w:r>
      <w:r>
        <w:tab/>
      </w:r>
      <w:r>
        <w:fldChar w:fldCharType="begin"/>
      </w:r>
      <w:r>
        <w:instrText xml:space="preserve"> PAGEREF _Toc218620568 \h </w:instrText>
      </w:r>
      <w:r>
        <w:fldChar w:fldCharType="separate"/>
      </w:r>
      <w:r>
        <w:t>26</w:t>
      </w:r>
      <w:r>
        <w:fldChar w:fldCharType="end"/>
      </w:r>
      <w:r>
        <w:fldChar w:fldCharType="end"/>
      </w:r>
    </w:p>
    <w:p>
      <w:pPr>
        <w:pStyle w:val="37"/>
        <w:rPr>
          <w:rFonts w:cstheme="minorBidi"/>
          <w:b w:val="0"/>
          <w:sz w:val="21"/>
          <w:szCs w:val="22"/>
        </w:rPr>
      </w:pPr>
      <w:r>
        <w:fldChar w:fldCharType="begin"/>
      </w:r>
      <w:r>
        <w:instrText xml:space="preserve"> HYPERLINK \l "_Toc218620569" </w:instrText>
      </w:r>
      <w:r>
        <w:fldChar w:fldCharType="separate"/>
      </w:r>
      <w:r>
        <w:rPr>
          <w:rStyle w:val="63"/>
          <w:rFonts w:cs="宋体"/>
        </w:rPr>
        <w:t>第四章   评标程序、评标方法和评标标准</w:t>
      </w:r>
      <w:r>
        <w:tab/>
      </w:r>
      <w:r>
        <w:fldChar w:fldCharType="begin"/>
      </w:r>
      <w:r>
        <w:instrText xml:space="preserve"> PAGEREF _Toc218620569 \h </w:instrText>
      </w:r>
      <w:r>
        <w:fldChar w:fldCharType="separate"/>
      </w:r>
      <w:r>
        <w:t>29</w:t>
      </w:r>
      <w:r>
        <w:fldChar w:fldCharType="end"/>
      </w:r>
      <w:r>
        <w:fldChar w:fldCharType="end"/>
      </w:r>
    </w:p>
    <w:p>
      <w:pPr>
        <w:pStyle w:val="37"/>
        <w:rPr>
          <w:rFonts w:cstheme="minorBidi"/>
          <w:b w:val="0"/>
          <w:sz w:val="21"/>
          <w:szCs w:val="22"/>
        </w:rPr>
      </w:pPr>
      <w:r>
        <w:fldChar w:fldCharType="begin"/>
      </w:r>
      <w:r>
        <w:instrText xml:space="preserve"> HYPERLINK \l "_Toc218620570" </w:instrText>
      </w:r>
      <w:r>
        <w:fldChar w:fldCharType="separate"/>
      </w:r>
      <w:r>
        <w:rPr>
          <w:rStyle w:val="63"/>
          <w:rFonts w:cs="宋体"/>
        </w:rPr>
        <w:t>第五章   采购需求</w:t>
      </w:r>
      <w:r>
        <w:tab/>
      </w:r>
      <w:r>
        <w:fldChar w:fldCharType="begin"/>
      </w:r>
      <w:r>
        <w:instrText xml:space="preserve"> PAGEREF _Toc218620570 \h </w:instrText>
      </w:r>
      <w:r>
        <w:fldChar w:fldCharType="separate"/>
      </w:r>
      <w:r>
        <w:t>37</w:t>
      </w:r>
      <w:r>
        <w:fldChar w:fldCharType="end"/>
      </w:r>
      <w:r>
        <w:fldChar w:fldCharType="end"/>
      </w:r>
    </w:p>
    <w:p>
      <w:pPr>
        <w:pStyle w:val="37"/>
        <w:rPr>
          <w:rFonts w:cstheme="minorBidi"/>
          <w:b w:val="0"/>
          <w:sz w:val="21"/>
          <w:szCs w:val="22"/>
        </w:rPr>
      </w:pPr>
      <w:r>
        <w:fldChar w:fldCharType="begin"/>
      </w:r>
      <w:r>
        <w:instrText xml:space="preserve"> HYPERLINK \l "_Toc218620574" </w:instrText>
      </w:r>
      <w:r>
        <w:fldChar w:fldCharType="separate"/>
      </w:r>
      <w:r>
        <w:rPr>
          <w:rStyle w:val="63"/>
          <w:rFonts w:cs="宋体"/>
        </w:rPr>
        <w:t>第六章   拟签订的合同文本</w:t>
      </w:r>
      <w:r>
        <w:tab/>
      </w:r>
      <w:r>
        <w:fldChar w:fldCharType="begin"/>
      </w:r>
      <w:r>
        <w:instrText xml:space="preserve"> PAGEREF _Toc218620574 \h </w:instrText>
      </w:r>
      <w:r>
        <w:fldChar w:fldCharType="separate"/>
      </w:r>
      <w:r>
        <w:t>47</w:t>
      </w:r>
      <w:r>
        <w:fldChar w:fldCharType="end"/>
      </w:r>
      <w:r>
        <w:fldChar w:fldCharType="end"/>
      </w:r>
    </w:p>
    <w:p>
      <w:pPr>
        <w:pStyle w:val="37"/>
        <w:rPr>
          <w:rFonts w:cstheme="minorBidi"/>
          <w:b w:val="0"/>
          <w:sz w:val="21"/>
          <w:szCs w:val="22"/>
        </w:rPr>
      </w:pPr>
      <w:r>
        <w:fldChar w:fldCharType="begin"/>
      </w:r>
      <w:r>
        <w:instrText xml:space="preserve"> HYPERLINK \l "_Toc218620575" </w:instrText>
      </w:r>
      <w:r>
        <w:fldChar w:fldCharType="separate"/>
      </w:r>
      <w:r>
        <w:rPr>
          <w:rStyle w:val="63"/>
          <w:rFonts w:cs="宋体"/>
        </w:rPr>
        <w:t>第七章   投标文件格式</w:t>
      </w:r>
      <w:r>
        <w:tab/>
      </w:r>
      <w:r>
        <w:fldChar w:fldCharType="begin"/>
      </w:r>
      <w:r>
        <w:instrText xml:space="preserve"> PAGEREF _Toc218620575 \h </w:instrText>
      </w:r>
      <w:r>
        <w:fldChar w:fldCharType="separate"/>
      </w:r>
      <w:r>
        <w:t>63</w:t>
      </w:r>
      <w:r>
        <w:fldChar w:fldCharType="end"/>
      </w:r>
      <w:r>
        <w:fldChar w:fldCharType="end"/>
      </w:r>
    </w:p>
    <w:p>
      <w:pPr>
        <w:spacing w:line="360" w:lineRule="auto"/>
        <w:rPr>
          <w:rFonts w:ascii="宋体" w:hAnsi="宋体"/>
          <w:sz w:val="24"/>
        </w:rPr>
        <w:sectPr>
          <w:footerReference r:id="rId7" w:type="default"/>
          <w:pgSz w:w="11907" w:h="16840"/>
          <w:pgMar w:top="1440" w:right="1800" w:bottom="1440" w:left="1800" w:header="851" w:footer="851" w:gutter="0"/>
          <w:pgNumType w:start="1"/>
          <w:cols w:space="720" w:num="1"/>
          <w:docGrid w:linePitch="462" w:charSpace="0"/>
        </w:sectPr>
      </w:pPr>
      <w:r>
        <w:rPr>
          <w:rFonts w:ascii="宋体" w:hAnsi="宋体"/>
          <w:sz w:val="24"/>
        </w:rPr>
        <w:fldChar w:fldCharType="end"/>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3" w:name="_Toc218620566"/>
      <w:bookmarkStart w:id="4" w:name="_Toc99301419"/>
      <w:r>
        <w:rPr>
          <w:rFonts w:hint="eastAsia" w:ascii="宋体" w:hAnsi="宋体" w:cs="宋体"/>
          <w:b/>
          <w:color w:val="000000" w:themeColor="text1"/>
          <w:sz w:val="36"/>
          <w:szCs w:val="36"/>
          <w14:textFill>
            <w14:solidFill>
              <w14:schemeClr w14:val="tx1"/>
            </w14:solidFill>
          </w14:textFill>
        </w:rPr>
        <w:t>第一章   投标邀请</w:t>
      </w:r>
      <w:bookmarkEnd w:id="3"/>
      <w:bookmarkEnd w:id="4"/>
    </w:p>
    <w:p>
      <w:pPr>
        <w:spacing w:line="360" w:lineRule="auto"/>
        <w:ind w:firstLine="640" w:firstLineChars="200"/>
        <w:rPr>
          <w:rFonts w:ascii="宋体" w:hAnsi="宋体" w:cs="宋体"/>
          <w:color w:val="000000" w:themeColor="text1"/>
          <w:sz w:val="32"/>
          <w:szCs w:val="32"/>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5" w:name="_Toc28359079"/>
      <w:bookmarkStart w:id="6" w:name="_Toc28359002"/>
      <w:bookmarkStart w:id="7" w:name="_Toc35393790"/>
      <w:bookmarkStart w:id="8" w:name="_Toc35393621"/>
      <w:bookmarkStart w:id="9" w:name="_Hlk24379207"/>
      <w:r>
        <w:rPr>
          <w:rFonts w:hint="eastAsia" w:ascii="宋体" w:hAnsi="宋体" w:cs="宋体"/>
          <w:b/>
          <w:color w:val="000000" w:themeColor="text1"/>
          <w:sz w:val="24"/>
          <w14:textFill>
            <w14:solidFill>
              <w14:schemeClr w14:val="tx1"/>
            </w14:solidFill>
          </w14:textFill>
        </w:rPr>
        <w:t>一、项目基本情况</w:t>
      </w:r>
      <w:bookmarkEnd w:id="5"/>
      <w:bookmarkEnd w:id="6"/>
      <w:bookmarkEnd w:id="7"/>
      <w:bookmarkEnd w:id="8"/>
    </w:p>
    <w:bookmarkEnd w:id="9"/>
    <w:p>
      <w:pPr>
        <w:pStyle w:val="22"/>
        <w:spacing w:before="38" w:line="360" w:lineRule="auto"/>
        <w:ind w:firstLine="480" w:firstLineChars="200"/>
        <w:rPr>
          <w:rFonts w:cs="宋体"/>
          <w:highlight w:val="none"/>
        </w:rPr>
      </w:pPr>
      <w:bookmarkStart w:id="10" w:name="OLE_LINK45"/>
      <w:r>
        <w:rPr>
          <w:rFonts w:hint="eastAsia" w:cs="宋体"/>
          <w:highlight w:val="none"/>
        </w:rPr>
        <w:t>1.项目编号：11000026210200165917-XM002</w:t>
      </w:r>
    </w:p>
    <w:p>
      <w:pPr>
        <w:pStyle w:val="22"/>
        <w:spacing w:before="38" w:line="360" w:lineRule="auto"/>
        <w:ind w:firstLine="480" w:firstLineChars="200"/>
        <w:rPr>
          <w:rFonts w:cs="宋体"/>
          <w:u w:val="single"/>
        </w:rPr>
      </w:pPr>
      <w:r>
        <w:rPr>
          <w:rFonts w:hint="eastAsia" w:cs="宋体"/>
        </w:rPr>
        <w:t>2.项目名称：</w:t>
      </w:r>
      <w:r>
        <w:rPr>
          <w:rFonts w:hint="eastAsia" w:cs="宋体"/>
          <w:u w:val="single"/>
        </w:rPr>
        <w:t>2026年网络安全技术维护</w:t>
      </w:r>
    </w:p>
    <w:p>
      <w:pPr>
        <w:pStyle w:val="22"/>
        <w:spacing w:before="38" w:line="360" w:lineRule="auto"/>
        <w:ind w:firstLine="480" w:firstLineChars="200"/>
        <w:rPr>
          <w:rFonts w:cs="宋体"/>
        </w:rPr>
      </w:pPr>
      <w:r>
        <w:rPr>
          <w:rFonts w:hint="eastAsia" w:cs="宋体"/>
        </w:rPr>
        <w:t>3.项目预算金额：</w:t>
      </w:r>
      <w:r>
        <w:rPr>
          <w:rFonts w:hint="eastAsia" w:cs="宋体"/>
          <w:u w:val="single"/>
        </w:rPr>
        <w:t>218.96</w:t>
      </w:r>
      <w:r>
        <w:rPr>
          <w:rFonts w:hint="eastAsia" w:cs="宋体"/>
        </w:rPr>
        <w:t>万元、项目最高限价（如有）：</w:t>
      </w:r>
      <w:r>
        <w:rPr>
          <w:rFonts w:hint="eastAsia" w:cs="宋体"/>
          <w:u w:val="single"/>
        </w:rPr>
        <w:t>218.96</w:t>
      </w:r>
      <w:r>
        <w:rPr>
          <w:rFonts w:hint="eastAsia" w:cs="宋体"/>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w:t>
      </w:r>
      <w:bookmarkStart w:id="11" w:name="OLE_LINK118"/>
      <w:r>
        <w:rPr>
          <w:rFonts w:hint="eastAsia" w:ascii="宋体" w:hAnsi="宋体" w:cs="宋体"/>
          <w:color w:val="000000" w:themeColor="text1"/>
          <w:sz w:val="24"/>
          <w14:textFill>
            <w14:solidFill>
              <w14:schemeClr w14:val="tx1"/>
            </w14:solidFill>
          </w14:textFill>
        </w:rPr>
        <w:t>该项目共分1个包，本招标文件作为整体项目的第</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包进行招标，要求投标人需对整包进行投标，中标后不得分包。</w:t>
      </w:r>
      <w:bookmarkEnd w:id="11"/>
    </w:p>
    <w:tbl>
      <w:tblPr>
        <w:tblStyle w:val="55"/>
        <w:tblW w:w="83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4"/>
        <w:gridCol w:w="817"/>
        <w:gridCol w:w="1035"/>
        <w:gridCol w:w="1065"/>
        <w:gridCol w:w="2874"/>
        <w:gridCol w:w="1233"/>
        <w:gridCol w:w="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614" w:type="dxa"/>
            <w:vAlign w:val="center"/>
          </w:tcPr>
          <w:p>
            <w:pPr>
              <w:autoSpaceDE w:val="0"/>
              <w:autoSpaceDN w:val="0"/>
              <w:spacing w:before="86" w:line="211" w:lineRule="auto"/>
              <w:ind w:firstLine="1"/>
              <w:jc w:val="center"/>
              <w:rPr>
                <w:rFonts w:ascii="宋体" w:hAnsi="宋体" w:cs="宋体"/>
                <w:sz w:val="24"/>
              </w:rPr>
            </w:pPr>
            <w:bookmarkStart w:id="12" w:name="OLE_LINK135"/>
            <w:bookmarkStart w:id="13" w:name="OLE_LINK134"/>
            <w:r>
              <w:rPr>
                <w:rFonts w:hint="eastAsia" w:ascii="宋体" w:hAnsi="宋体" w:cs="宋体"/>
                <w:sz w:val="24"/>
              </w:rPr>
              <w:t>包号</w:t>
            </w:r>
          </w:p>
        </w:tc>
        <w:tc>
          <w:tcPr>
            <w:tcW w:w="817"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1035"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1065"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2874"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233" w:type="dxa"/>
            <w:vAlign w:val="center"/>
          </w:tcPr>
          <w:p>
            <w:pPr>
              <w:autoSpaceDE w:val="0"/>
              <w:autoSpaceDN w:val="0"/>
              <w:spacing w:before="40" w:line="203" w:lineRule="auto"/>
              <w:ind w:right="-5"/>
              <w:jc w:val="center"/>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39"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614" w:type="dxa"/>
            <w:vAlign w:val="center"/>
          </w:tcPr>
          <w:p>
            <w:pPr>
              <w:autoSpaceDE w:val="0"/>
              <w:autoSpaceDN w:val="0"/>
              <w:spacing w:before="86" w:line="211" w:lineRule="auto"/>
              <w:ind w:firstLine="1"/>
              <w:jc w:val="center"/>
              <w:rPr>
                <w:rFonts w:ascii="宋体" w:hAnsi="宋体" w:cs="宋体"/>
                <w:spacing w:val="7"/>
                <w:sz w:val="24"/>
              </w:rPr>
            </w:pPr>
            <w:bookmarkStart w:id="14" w:name="_Hlk188519384"/>
            <w:r>
              <w:rPr>
                <w:rFonts w:ascii="宋体" w:hAnsi="宋体" w:cs="宋体"/>
                <w:spacing w:val="7"/>
                <w:sz w:val="24"/>
              </w:rPr>
              <w:t>1</w:t>
            </w:r>
          </w:p>
        </w:tc>
        <w:tc>
          <w:tcPr>
            <w:tcW w:w="817" w:type="dxa"/>
            <w:vAlign w:val="center"/>
          </w:tcPr>
          <w:p>
            <w:pPr>
              <w:autoSpaceDE w:val="0"/>
              <w:autoSpaceDN w:val="0"/>
              <w:spacing w:before="86" w:line="211" w:lineRule="auto"/>
              <w:ind w:firstLine="1"/>
              <w:jc w:val="center"/>
              <w:rPr>
                <w:rFonts w:ascii="宋体" w:hAnsi="宋体" w:cs="宋体"/>
                <w:spacing w:val="7"/>
                <w:sz w:val="24"/>
              </w:rPr>
            </w:pPr>
            <w:r>
              <w:rPr>
                <w:rFonts w:hint="eastAsia" w:ascii="宋体" w:hAnsi="宋体" w:cs="宋体"/>
                <w:spacing w:val="7"/>
                <w:sz w:val="24"/>
              </w:rPr>
              <w:t>2026年网络安全技术维护</w:t>
            </w:r>
          </w:p>
        </w:tc>
        <w:tc>
          <w:tcPr>
            <w:tcW w:w="1035" w:type="dxa"/>
            <w:vAlign w:val="center"/>
          </w:tcPr>
          <w:p>
            <w:pPr>
              <w:pStyle w:val="262"/>
              <w:jc w:val="center"/>
              <w:rPr>
                <w:rFonts w:ascii="宋体" w:hAnsi="宋体" w:eastAsia="宋体" w:cs="宋体"/>
                <w:color w:val="auto"/>
                <w:sz w:val="24"/>
                <w:szCs w:val="24"/>
                <w:lang w:eastAsia="zh-CN"/>
              </w:rPr>
            </w:pPr>
            <w:r>
              <w:rPr>
                <w:rFonts w:hint="eastAsia" w:ascii="宋体" w:hAnsi="宋体" w:eastAsia="宋体" w:cs="宋体"/>
                <w:spacing w:val="7"/>
                <w:sz w:val="24"/>
                <w:lang w:eastAsia="zh-CN"/>
              </w:rPr>
              <w:t>2026年网络安全技术维护</w:t>
            </w:r>
          </w:p>
        </w:tc>
        <w:tc>
          <w:tcPr>
            <w:tcW w:w="1065" w:type="dxa"/>
            <w:vAlign w:val="center"/>
          </w:tcPr>
          <w:p>
            <w:pPr>
              <w:pStyle w:val="262"/>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1</w:t>
            </w:r>
          </w:p>
        </w:tc>
        <w:tc>
          <w:tcPr>
            <w:tcW w:w="2874" w:type="dxa"/>
            <w:vAlign w:val="center"/>
          </w:tcPr>
          <w:p>
            <w:pPr>
              <w:pStyle w:val="262"/>
              <w:jc w:val="center"/>
              <w:rPr>
                <w:rFonts w:ascii="宋体" w:hAnsi="宋体" w:eastAsia="宋体" w:cs="宋体"/>
                <w:color w:val="auto"/>
                <w:sz w:val="24"/>
                <w:szCs w:val="24"/>
                <w:lang w:eastAsia="zh-CN"/>
              </w:rPr>
            </w:pPr>
            <w:r>
              <w:rPr>
                <w:rFonts w:hint="eastAsia" w:ascii="宋体" w:hAnsi="宋体" w:eastAsia="宋体" w:cs="宋体"/>
                <w:spacing w:val="7"/>
                <w:sz w:val="24"/>
                <w:lang w:val="en-US" w:eastAsia="zh-CN"/>
              </w:rPr>
              <w:t>为采购人所属信息系统提供在线监控、渗透测试、系统脆弱性检查、源代码检测、数据安全治理、等保与密评技术支持、安全应急响应、内部应急演练、特殊时期值守保障、驻场安全运维、攻防演练专项保障、网络安全检查支撑、安全咨询、安全培训等服务，确保网络和信息系统安全</w:t>
            </w:r>
            <w:r>
              <w:rPr>
                <w:rFonts w:hint="eastAsia" w:asciiTheme="minorEastAsia" w:hAnsiTheme="minorEastAsia" w:eastAsiaTheme="minorEastAsia" w:cstheme="minorEastAsia"/>
                <w:snapToGrid/>
                <w:kern w:val="2"/>
                <w:sz w:val="24"/>
                <w:szCs w:val="20"/>
                <w:lang w:val="en-US" w:eastAsia="zh-CN"/>
              </w:rPr>
              <w:t>。</w:t>
            </w:r>
          </w:p>
        </w:tc>
        <w:tc>
          <w:tcPr>
            <w:tcW w:w="1233" w:type="dxa"/>
            <w:vAlign w:val="center"/>
          </w:tcPr>
          <w:p>
            <w:pPr>
              <w:pStyle w:val="262"/>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218.96</w:t>
            </w:r>
          </w:p>
        </w:tc>
        <w:tc>
          <w:tcPr>
            <w:tcW w:w="739"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bookmarkEnd w:id="10"/>
      <w:bookmarkEnd w:id="12"/>
      <w:bookmarkEnd w:id="13"/>
      <w:bookmarkEnd w:id="14"/>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5.合同履行期限：自合同签订之日期1年。</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6.本项目是否接受联合体投标：</w:t>
      </w:r>
      <w:r>
        <w:rPr>
          <w:rFonts w:hint="eastAsia" w:ascii="宋体" w:hAnsi="宋体" w:cs="宋体"/>
          <w:color w:val="000000" w:themeColor="text1"/>
          <w:spacing w:val="6"/>
          <w:sz w:val="24"/>
          <w14:textFill>
            <w14:solidFill>
              <w14:schemeClr w14:val="tx1"/>
            </w14:solidFill>
          </w14:textFill>
        </w:rPr>
        <w:t xml:space="preserve">□是 </w:t>
      </w:r>
      <w:r>
        <w:rPr>
          <w:rFonts w:ascii="宋体" w:hAnsi="宋体" w:cs="宋体"/>
          <w:color w:val="000000" w:themeColor="text1"/>
          <w:spacing w:val="6"/>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6"/>
          <w:sz w:val="24"/>
          <w14:textFill>
            <w14:solidFill>
              <w14:schemeClr w14:val="tx1"/>
            </w14:solidFill>
          </w14:textFill>
        </w:rPr>
        <w:t>否</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15" w:name="_Toc35393791"/>
      <w:bookmarkStart w:id="16" w:name="_Toc35393622"/>
      <w:bookmarkStart w:id="17" w:name="_Toc28359003"/>
      <w:bookmarkStart w:id="18" w:name="_Toc28359080"/>
      <w:r>
        <w:rPr>
          <w:rFonts w:hint="eastAsia" w:ascii="宋体" w:hAnsi="宋体" w:cs="宋体"/>
          <w:b/>
          <w:color w:val="000000" w:themeColor="text1"/>
          <w:sz w:val="24"/>
          <w14:textFill>
            <w14:solidFill>
              <w14:schemeClr w14:val="tx1"/>
            </w14:solidFill>
          </w14:textFill>
        </w:rPr>
        <w:t>二、申请人的资格要求（须同时满足）</w:t>
      </w:r>
      <w:bookmarkEnd w:id="15"/>
      <w:bookmarkEnd w:id="16"/>
      <w:bookmarkEnd w:id="17"/>
      <w:bookmarkEnd w:id="18"/>
    </w:p>
    <w:p>
      <w:pPr>
        <w:pStyle w:val="22"/>
        <w:spacing w:before="185" w:line="200" w:lineRule="auto"/>
        <w:ind w:firstLine="480" w:firstLineChars="200"/>
        <w:rPr>
          <w:rFonts w:cs="宋体"/>
          <w:color w:val="000000" w:themeColor="text1"/>
          <w14:textFill>
            <w14:solidFill>
              <w14:schemeClr w14:val="tx1"/>
            </w14:solidFill>
          </w14:textFill>
        </w:rPr>
      </w:pPr>
      <w:bookmarkStart w:id="19" w:name="_Toc28359004"/>
      <w:bookmarkStart w:id="20" w:name="_Toc28359081"/>
      <w:r>
        <w:rPr>
          <w:rFonts w:hint="eastAsia" w:cs="宋体"/>
          <w:color w:val="000000" w:themeColor="text1"/>
          <w14:textFill>
            <w14:solidFill>
              <w14:schemeClr w14:val="tx1"/>
            </w14:solidFill>
          </w14:textFill>
        </w:rPr>
        <w:t xml:space="preserve">1.满足《中华人民共和国政府采购法》第二十二条规定； </w:t>
      </w:r>
    </w:p>
    <w:p>
      <w:pPr>
        <w:pStyle w:val="22"/>
        <w:spacing w:before="185" w:line="20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2.落实政府采购政策需满足的资格要求：</w:t>
      </w:r>
    </w:p>
    <w:p>
      <w:pPr>
        <w:pStyle w:val="22"/>
        <w:spacing w:before="178" w:line="360" w:lineRule="auto"/>
        <w:ind w:right="57"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2.1  中小企业政策</w:t>
      </w:r>
    </w:p>
    <w:p>
      <w:pPr>
        <w:pStyle w:val="22"/>
        <w:spacing w:before="0" w:line="360" w:lineRule="auto"/>
        <w:ind w:firstLine="480" w:firstLineChars="200"/>
        <w:rPr>
          <w:rFonts w:cs="宋体"/>
        </w:rPr>
      </w:pPr>
      <w:r>
        <w:rPr>
          <w:rFonts w:hint="eastAsia" w:cs="宋体"/>
        </w:rPr>
        <w:t>■本项目不专门面向中小企业预留采购份额。</w:t>
      </w:r>
    </w:p>
    <w:p>
      <w:pPr>
        <w:pStyle w:val="22"/>
        <w:spacing w:before="0" w:line="360" w:lineRule="auto"/>
        <w:ind w:firstLine="480" w:firstLineChars="200"/>
        <w:rPr>
          <w:rFonts w:cs="宋体"/>
        </w:rPr>
      </w:pPr>
      <w:r>
        <w:rPr>
          <w:rFonts w:hint="eastAsia" w:cs="宋体"/>
        </w:rPr>
        <w:t>□本项目专门面向   □中小  □小微企业  采购 。即：提供的货物全部由符合政策 要求的小微企业制造、服务全部由符合政策要求的小微企业承接。</w:t>
      </w:r>
    </w:p>
    <w:p>
      <w:pPr>
        <w:pStyle w:val="22"/>
        <w:spacing w:before="0" w:line="360" w:lineRule="auto"/>
        <w:ind w:firstLine="480" w:firstLineChars="200"/>
        <w:rPr>
          <w:rFonts w:cs="宋体"/>
          <w:color w:val="000000" w:themeColor="text1"/>
          <w14:textFill>
            <w14:solidFill>
              <w14:schemeClr w14:val="tx1"/>
            </w14:solidFill>
          </w14:textFill>
        </w:rPr>
      </w:pPr>
      <w:r>
        <w:rPr>
          <w:rFonts w:hint="eastAsia" w:cs="宋体"/>
        </w:rPr>
        <w:t>□本项目预留部分采购项目预算专门面向中小企业采购。对于预留份额，提供的货物由符合政策要求的中小企业制造、服务由符合政策要求的中小企业承接。预留份额通过以下措施进行：</w:t>
      </w:r>
      <w:r>
        <w:rPr>
          <w:rFonts w:hint="eastAsia" w:cs="宋体"/>
          <w:u w:val="single"/>
        </w:rPr>
        <w:t>/</w:t>
      </w:r>
      <w:r>
        <w:rPr>
          <w:rFonts w:hint="eastAsia" w:cs="宋体"/>
        </w:rPr>
        <w:t>。</w:t>
      </w:r>
    </w:p>
    <w:p>
      <w:pPr>
        <w:pStyle w:val="22"/>
        <w:spacing w:before="0" w:line="36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 其它落实政府采购政策的资格要求（如有）：</w:t>
      </w:r>
      <w:r>
        <w:rPr>
          <w:rFonts w:hint="eastAsia" w:cs="宋体"/>
          <w:color w:val="000000" w:themeColor="text1"/>
          <w:u w:val="single"/>
          <w14:textFill>
            <w14:solidFill>
              <w14:schemeClr w14:val="tx1"/>
            </w14:solidFill>
          </w14:textFill>
        </w:rPr>
        <w:t>/</w:t>
      </w:r>
      <w:r>
        <w:rPr>
          <w:rFonts w:hint="eastAsia" w:cs="宋体"/>
          <w:color w:val="000000" w:themeColor="text1"/>
          <w14:textFill>
            <w14:solidFill>
              <w14:schemeClr w14:val="tx1"/>
            </w14:solidFill>
          </w14:textFill>
        </w:rPr>
        <w:t>。</w:t>
      </w:r>
    </w:p>
    <w:p>
      <w:pPr>
        <w:pStyle w:val="22"/>
        <w:spacing w:before="0" w:line="36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3.本项目的特定资格要求：</w:t>
      </w:r>
    </w:p>
    <w:p>
      <w:pPr>
        <w:pStyle w:val="22"/>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3.1 本项目是否属于政府购买服务：</w:t>
      </w:r>
    </w:p>
    <w:p>
      <w:pPr>
        <w:pStyle w:val="22"/>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w:t>
      </w:r>
      <w:r>
        <w:rPr>
          <w:rFonts w:hint="eastAsia" w:cs="宋体"/>
          <w:color w:val="000000" w:themeColor="text1"/>
          <w:spacing w:val="30"/>
          <w14:textFill>
            <w14:solidFill>
              <w14:schemeClr w14:val="tx1"/>
            </w14:solidFill>
          </w14:textFill>
        </w:rPr>
        <w:t>否</w:t>
      </w:r>
    </w:p>
    <w:p>
      <w:pPr>
        <w:pStyle w:val="22"/>
        <w:spacing w:before="185" w:line="360" w:lineRule="auto"/>
        <w:ind w:firstLine="480" w:firstLineChars="200"/>
        <w:rPr>
          <w:rFonts w:cs="宋体"/>
          <w:color w:val="000000" w:themeColor="text1"/>
          <w:spacing w:val="-1"/>
          <w14:textFill>
            <w14:solidFill>
              <w14:schemeClr w14:val="tx1"/>
            </w14:solidFill>
          </w14:textFill>
        </w:rPr>
      </w:pPr>
      <w:r>
        <w:rPr>
          <w:rFonts w:hint="eastAsia" w:cs="宋体"/>
          <w:color w:val="000000" w:themeColor="text1"/>
          <w14:textFill>
            <w14:solidFill>
              <w14:schemeClr w14:val="tx1"/>
            </w14:solidFill>
          </w14:textFill>
        </w:rPr>
        <w:t>□是，公益一类事业单位、使用事业编制且由财政拨款保障</w:t>
      </w:r>
      <w:r>
        <w:rPr>
          <w:rFonts w:hint="eastAsia" w:cs="宋体"/>
          <w:color w:val="000000" w:themeColor="text1"/>
          <w:spacing w:val="-1"/>
          <w14:textFill>
            <w14:solidFill>
              <w14:schemeClr w14:val="tx1"/>
            </w14:solidFill>
          </w14:textFill>
        </w:rPr>
        <w:t>的群团组织，不得作为承接主体；</w:t>
      </w:r>
    </w:p>
    <w:p>
      <w:pPr>
        <w:pStyle w:val="22"/>
        <w:spacing w:before="176" w:line="240" w:lineRule="auto"/>
        <w:ind w:firstLine="488" w:firstLineChars="200"/>
        <w:rPr>
          <w:rFonts w:cs="宋体"/>
          <w:color w:val="000000" w:themeColor="text1"/>
          <w:spacing w:val="2"/>
          <w14:textFill>
            <w14:solidFill>
              <w14:schemeClr w14:val="tx1"/>
            </w14:solidFill>
          </w14:textFill>
        </w:rPr>
      </w:pPr>
      <w:r>
        <w:rPr>
          <w:rFonts w:hint="eastAsia" w:cs="宋体"/>
          <w:color w:val="000000" w:themeColor="text1"/>
          <w:spacing w:val="2"/>
          <w14:textFill>
            <w14:solidFill>
              <w14:schemeClr w14:val="tx1"/>
            </w14:solidFill>
          </w14:textFill>
        </w:rPr>
        <w:t>3.2 其他特定资格要求：</w:t>
      </w:r>
    </w:p>
    <w:p>
      <w:pPr>
        <w:pStyle w:val="22"/>
        <w:spacing w:before="176" w:line="240" w:lineRule="auto"/>
        <w:ind w:left="511"/>
        <w:rPr>
          <w:rFonts w:cs="宋体"/>
          <w:spacing w:val="2"/>
          <w:u w:val="single"/>
        </w:rPr>
      </w:pPr>
      <w:r>
        <w:rPr>
          <w:rFonts w:hint="eastAsia" w:cs="宋体"/>
          <w:spacing w:val="2"/>
          <w:u w:val="single"/>
        </w:rPr>
        <w:t>3.2.1单位负责人为同一人或者存在直接控股、管理关系的不同供应商，</w:t>
      </w:r>
    </w:p>
    <w:p>
      <w:pPr>
        <w:pStyle w:val="22"/>
        <w:spacing w:before="176" w:line="240" w:lineRule="auto"/>
        <w:rPr>
          <w:rFonts w:cs="宋体"/>
          <w:spacing w:val="2"/>
          <w:u w:val="single"/>
        </w:rPr>
      </w:pPr>
      <w:r>
        <w:rPr>
          <w:rFonts w:hint="eastAsia" w:cs="宋体"/>
          <w:spacing w:val="2"/>
          <w:u w:val="single"/>
        </w:rPr>
        <w:t>不得参加同一合同项下的政府采购活动；</w:t>
      </w:r>
    </w:p>
    <w:p>
      <w:pPr>
        <w:pStyle w:val="22"/>
        <w:spacing w:before="176" w:line="240" w:lineRule="auto"/>
        <w:ind w:left="511"/>
        <w:rPr>
          <w:rFonts w:cs="宋体"/>
          <w:spacing w:val="2"/>
          <w:u w:val="single"/>
        </w:rPr>
      </w:pPr>
      <w:r>
        <w:rPr>
          <w:rFonts w:hint="eastAsia" w:cs="宋体"/>
          <w:spacing w:val="2"/>
          <w:u w:val="single"/>
        </w:rPr>
        <w:t>3.2.2除单一来源采购项目外，为采购项目提供整体设计、规范编制或者</w:t>
      </w:r>
    </w:p>
    <w:p>
      <w:pPr>
        <w:pStyle w:val="22"/>
        <w:spacing w:before="176" w:line="240" w:lineRule="auto"/>
        <w:rPr>
          <w:rFonts w:cs="宋体"/>
          <w:spacing w:val="2"/>
          <w:u w:val="single"/>
        </w:rPr>
      </w:pPr>
      <w:r>
        <w:rPr>
          <w:rFonts w:hint="eastAsia" w:cs="宋体"/>
          <w:spacing w:val="2"/>
          <w:u w:val="single"/>
        </w:rPr>
        <w:t>项目管理、监理、检测等服务的供应商，不得再参加该采购项目的其他采购活</w:t>
      </w:r>
    </w:p>
    <w:p>
      <w:pPr>
        <w:pStyle w:val="22"/>
        <w:spacing w:before="176" w:line="240" w:lineRule="auto"/>
        <w:rPr>
          <w:rFonts w:cs="宋体"/>
          <w:spacing w:val="2"/>
          <w:u w:val="single"/>
        </w:rPr>
      </w:pPr>
      <w:r>
        <w:rPr>
          <w:rFonts w:hint="eastAsia" w:cs="宋体"/>
          <w:spacing w:val="2"/>
          <w:u w:val="single"/>
        </w:rPr>
        <w:t>动；</w:t>
      </w:r>
    </w:p>
    <w:p>
      <w:pPr>
        <w:pStyle w:val="22"/>
        <w:spacing w:before="176" w:line="240" w:lineRule="auto"/>
        <w:ind w:firstLine="488" w:firstLineChars="200"/>
        <w:rPr>
          <w:rFonts w:cs="宋体"/>
          <w:spacing w:val="2"/>
          <w:u w:val="single"/>
        </w:rPr>
      </w:pPr>
      <w:r>
        <w:rPr>
          <w:rFonts w:hint="eastAsia" w:cs="宋体"/>
          <w:spacing w:val="2"/>
          <w:u w:val="single"/>
        </w:rPr>
        <w:t>3.2.3供应商不能被列入“信用中国”网站（</w:t>
      </w:r>
      <w:r>
        <w:fldChar w:fldCharType="begin"/>
      </w:r>
      <w:r>
        <w:instrText xml:space="preserve"> HYPERLINK "http://www.creditchina.gov.cn" </w:instrText>
      </w:r>
      <w:r>
        <w:fldChar w:fldCharType="separate"/>
      </w:r>
      <w:r>
        <w:rPr>
          <w:rStyle w:val="63"/>
          <w:rFonts w:hint="eastAsia" w:cs="宋体"/>
          <w:spacing w:val="2"/>
        </w:rPr>
        <w:t>www.creditchina.gov.cn</w:t>
      </w:r>
      <w:r>
        <w:rPr>
          <w:rStyle w:val="63"/>
          <w:rFonts w:hint="eastAsia" w:cs="宋体"/>
          <w:spacing w:val="2"/>
        </w:rPr>
        <w:fldChar w:fldCharType="end"/>
      </w:r>
      <w:r>
        <w:rPr>
          <w:rFonts w:hint="eastAsia" w:cs="宋体"/>
          <w:spacing w:val="2"/>
          <w:u w:val="single"/>
        </w:rPr>
        <w:t>）失</w:t>
      </w:r>
    </w:p>
    <w:p>
      <w:pPr>
        <w:pStyle w:val="22"/>
        <w:spacing w:before="176" w:line="240" w:lineRule="auto"/>
        <w:rPr>
          <w:rFonts w:cs="宋体"/>
          <w:spacing w:val="2"/>
          <w:u w:val="single"/>
        </w:rPr>
      </w:pPr>
      <w:r>
        <w:rPr>
          <w:rFonts w:hint="eastAsia" w:cs="宋体"/>
          <w:spacing w:val="2"/>
          <w:u w:val="single"/>
        </w:rPr>
        <w:t>信被执行人、重大税收违法案件当事人名单”和中国政府采购网</w:t>
      </w:r>
    </w:p>
    <w:p>
      <w:pPr>
        <w:pStyle w:val="22"/>
        <w:spacing w:before="176" w:line="240" w:lineRule="auto"/>
        <w:rPr>
          <w:rFonts w:cs="宋体"/>
          <w:spacing w:val="2"/>
          <w:u w:val="single"/>
        </w:rPr>
      </w:pPr>
      <w:r>
        <w:rPr>
          <w:rFonts w:hint="eastAsia" w:cs="宋体"/>
          <w:spacing w:val="2"/>
          <w:u w:val="single"/>
        </w:rPr>
        <w:t>（</w:t>
      </w:r>
      <w:r>
        <w:fldChar w:fldCharType="begin"/>
      </w:r>
      <w:r>
        <w:instrText xml:space="preserve"> HYPERLINK "http://www.ccgp.gov.cn" </w:instrText>
      </w:r>
      <w:r>
        <w:fldChar w:fldCharType="separate"/>
      </w:r>
      <w:r>
        <w:rPr>
          <w:rStyle w:val="63"/>
          <w:rFonts w:hint="eastAsia" w:cs="宋体"/>
          <w:spacing w:val="2"/>
        </w:rPr>
        <w:t>www.ccgp.gov.cn</w:t>
      </w:r>
      <w:r>
        <w:rPr>
          <w:rStyle w:val="63"/>
          <w:rFonts w:hint="eastAsia" w:cs="宋体"/>
          <w:spacing w:val="2"/>
        </w:rPr>
        <w:fldChar w:fldCharType="end"/>
      </w:r>
      <w:r>
        <w:rPr>
          <w:rFonts w:hint="eastAsia" w:cs="宋体"/>
          <w:spacing w:val="2"/>
          <w:u w:val="single"/>
        </w:rPr>
        <w:t>）政府采购严重违法失信行为记录名单。否则其投标将被拒</w:t>
      </w:r>
    </w:p>
    <w:p>
      <w:pPr>
        <w:pStyle w:val="22"/>
        <w:spacing w:before="176" w:line="240" w:lineRule="auto"/>
        <w:rPr>
          <w:rFonts w:cs="宋体"/>
          <w:spacing w:val="2"/>
          <w:u w:val="single"/>
        </w:rPr>
      </w:pPr>
      <w:r>
        <w:rPr>
          <w:rFonts w:hint="eastAsia" w:cs="宋体"/>
          <w:spacing w:val="2"/>
          <w:u w:val="single"/>
        </w:rPr>
        <w:t>绝。</w:t>
      </w:r>
    </w:p>
    <w:bookmarkEnd w:id="19"/>
    <w:bookmarkEnd w:id="20"/>
    <w:p>
      <w:pPr>
        <w:widowControl/>
        <w:spacing w:line="360" w:lineRule="auto"/>
        <w:jc w:val="left"/>
        <w:rPr>
          <w:rFonts w:ascii="宋体" w:hAnsi="宋体" w:cs="宋体"/>
          <w:b/>
          <w:color w:val="000000" w:themeColor="text1"/>
          <w:sz w:val="24"/>
          <w14:textFill>
            <w14:solidFill>
              <w14:schemeClr w14:val="tx1"/>
            </w14:solidFill>
          </w14:textFill>
        </w:rPr>
      </w:pPr>
      <w:bookmarkStart w:id="21" w:name="_Toc35393792"/>
      <w:bookmarkStart w:id="22" w:name="_Toc35393623"/>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三、获取招标文件</w:t>
      </w:r>
      <w:bookmarkEnd w:id="21"/>
      <w:bookmarkEnd w:id="22"/>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5</w:t>
      </w:r>
      <w:r>
        <w:rPr>
          <w:rFonts w:hint="eastAsia" w:ascii="宋体" w:hAnsi="宋体" w:cs="宋体"/>
          <w:sz w:val="24"/>
          <w:lang w:bidi="ar"/>
        </w:rPr>
        <w:t>月</w:t>
      </w:r>
      <w:r>
        <w:rPr>
          <w:rFonts w:hint="eastAsia" w:ascii="宋体" w:hAnsi="宋体" w:cs="宋体"/>
          <w:sz w:val="24"/>
          <w:u w:val="single"/>
          <w:lang w:val="en-US" w:eastAsia="zh-CN" w:bidi="ar"/>
        </w:rPr>
        <w:t>13</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5</w:t>
      </w:r>
      <w:r>
        <w:rPr>
          <w:rFonts w:hint="eastAsia" w:ascii="宋体" w:hAnsi="宋体" w:cs="宋体"/>
          <w:sz w:val="24"/>
          <w:lang w:bidi="ar"/>
        </w:rPr>
        <w:t>月</w:t>
      </w:r>
      <w:r>
        <w:rPr>
          <w:rFonts w:hint="eastAsia" w:ascii="宋体" w:hAnsi="宋体" w:cs="宋体"/>
          <w:sz w:val="24"/>
          <w:u w:val="single"/>
          <w:lang w:val="en-US" w:eastAsia="zh-CN" w:bidi="ar"/>
        </w:rPr>
        <w:t>19</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ascii="宋体" w:hAnsi="宋体" w:cs="宋体"/>
          <w:color w:val="000000" w:themeColor="text1"/>
          <w:sz w:val="24"/>
          <w14:textFill>
            <w14:solidFill>
              <w14:schemeClr w14:val="tx1"/>
            </w14:solidFill>
          </w14:textFill>
        </w:rPr>
      </w:pPr>
    </w:p>
    <w:p>
      <w:pPr>
        <w:widowControl/>
        <w:spacing w:line="360" w:lineRule="auto"/>
        <w:jc w:val="left"/>
        <w:rPr>
          <w:rFonts w:ascii="宋体" w:hAnsi="宋体" w:cs="宋体"/>
          <w:b/>
          <w:color w:val="000000" w:themeColor="text1"/>
          <w:sz w:val="24"/>
          <w14:textFill>
            <w14:solidFill>
              <w14:schemeClr w14:val="tx1"/>
            </w14:solidFill>
          </w14:textFill>
        </w:rPr>
      </w:pPr>
      <w:bookmarkStart w:id="23" w:name="_Toc28359005"/>
      <w:bookmarkStart w:id="24" w:name="_Toc28359082"/>
      <w:bookmarkStart w:id="25" w:name="_Toc35393793"/>
      <w:bookmarkStart w:id="26" w:name="_Toc35393624"/>
      <w:r>
        <w:rPr>
          <w:rFonts w:hint="eastAsia" w:ascii="宋体" w:hAnsi="宋体" w:cs="宋体"/>
          <w:b/>
          <w:color w:val="000000" w:themeColor="text1"/>
          <w:sz w:val="24"/>
          <w14:textFill>
            <w14:solidFill>
              <w14:schemeClr w14:val="tx1"/>
            </w14:solidFill>
          </w14:textFill>
        </w:rPr>
        <w:t>四、提交投标文件</w:t>
      </w:r>
      <w:bookmarkEnd w:id="23"/>
      <w:bookmarkEnd w:id="24"/>
      <w:r>
        <w:rPr>
          <w:rFonts w:hint="eastAsia" w:ascii="宋体" w:hAnsi="宋体" w:cs="宋体"/>
          <w:b/>
          <w:color w:val="000000" w:themeColor="text1"/>
          <w:sz w:val="24"/>
          <w14:textFill>
            <w14:solidFill>
              <w14:schemeClr w14:val="tx1"/>
            </w14:solidFill>
          </w14:textFill>
        </w:rPr>
        <w:t>截止时间、开标时间和地点</w:t>
      </w:r>
      <w:bookmarkEnd w:id="25"/>
      <w:bookmarkEnd w:id="26"/>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6</w:t>
      </w:r>
      <w:r>
        <w:rPr>
          <w:rFonts w:hint="eastAsia" w:ascii="宋体" w:hAnsi="宋体" w:cs="宋体"/>
          <w:sz w:val="24"/>
          <w:lang w:bidi="ar"/>
        </w:rPr>
        <w:t>月</w:t>
      </w:r>
      <w:r>
        <w:rPr>
          <w:rFonts w:hint="eastAsia" w:ascii="宋体" w:hAnsi="宋体" w:cs="宋体"/>
          <w:sz w:val="24"/>
          <w:u w:val="single"/>
          <w:lang w:val="en-US" w:eastAsia="zh-CN" w:bidi="ar"/>
        </w:rPr>
        <w:t>3</w:t>
      </w:r>
      <w:r>
        <w:rPr>
          <w:rFonts w:hint="eastAsia" w:ascii="宋体" w:hAnsi="宋体" w:cs="宋体"/>
          <w:sz w:val="24"/>
          <w:lang w:bidi="ar"/>
        </w:rPr>
        <w:t>日</w:t>
      </w:r>
      <w:r>
        <w:rPr>
          <w:rFonts w:hint="eastAsia" w:ascii="宋体" w:hAnsi="宋体" w:cs="宋体"/>
          <w:sz w:val="24"/>
          <w:u w:val="single"/>
          <w:lang w:bidi="ar"/>
        </w:rPr>
        <w:t>9</w:t>
      </w:r>
      <w:r>
        <w:rPr>
          <w:rFonts w:hint="eastAsia" w:ascii="宋体" w:hAnsi="宋体" w:cs="宋体"/>
          <w:sz w:val="24"/>
          <w:lang w:bidi="ar"/>
        </w:rPr>
        <w:t>点</w:t>
      </w:r>
      <w:r>
        <w:rPr>
          <w:rFonts w:hint="eastAsia" w:ascii="宋体" w:hAnsi="宋体" w:cs="宋体"/>
          <w:sz w:val="24"/>
          <w:u w:val="single"/>
          <w:lang w:bidi="ar"/>
        </w:rPr>
        <w:t>30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lang w:val="zh-TW"/>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27" w:name="_Toc35393625"/>
      <w:bookmarkStart w:id="28" w:name="_Toc28359084"/>
      <w:bookmarkStart w:id="29" w:name="_Toc28359007"/>
      <w:bookmarkStart w:id="30" w:name="_Toc35393794"/>
      <w:r>
        <w:rPr>
          <w:rFonts w:hint="eastAsia" w:ascii="宋体" w:hAnsi="宋体" w:cs="宋体"/>
          <w:b/>
          <w:color w:val="000000" w:themeColor="text1"/>
          <w:sz w:val="24"/>
          <w14:textFill>
            <w14:solidFill>
              <w14:schemeClr w14:val="tx1"/>
            </w14:solidFill>
          </w14:textFill>
        </w:rPr>
        <w:t>五、公告期限</w:t>
      </w:r>
      <w:bookmarkEnd w:id="27"/>
      <w:bookmarkEnd w:id="28"/>
      <w:bookmarkEnd w:id="29"/>
      <w:bookmarkEnd w:id="30"/>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spacing w:line="360" w:lineRule="auto"/>
        <w:ind w:firstLine="480" w:firstLineChars="200"/>
        <w:rPr>
          <w:rFonts w:ascii="宋体" w:hAnsi="宋体" w:cs="宋体"/>
          <w:color w:val="000000" w:themeColor="text1"/>
          <w:kern w:val="0"/>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31" w:name="_Toc35393626"/>
      <w:bookmarkStart w:id="32" w:name="_Toc35393795"/>
      <w:r>
        <w:rPr>
          <w:rFonts w:hint="eastAsia" w:ascii="宋体" w:hAnsi="宋体" w:cs="宋体"/>
          <w:b/>
          <w:color w:val="000000" w:themeColor="text1"/>
          <w:sz w:val="24"/>
          <w14:textFill>
            <w14:solidFill>
              <w14:schemeClr w14:val="tx1"/>
            </w14:solidFill>
          </w14:textFill>
        </w:rPr>
        <w:t>六、其他补充事宜</w:t>
      </w:r>
      <w:bookmarkEnd w:id="31"/>
      <w:bookmarkEnd w:id="32"/>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1.本项目需要落实的政府采购政策：</w:t>
      </w:r>
    </w:p>
    <w:p>
      <w:pPr>
        <w:spacing w:line="360" w:lineRule="auto"/>
        <w:ind w:firstLine="460" w:firstLineChars="192"/>
        <w:rPr>
          <w:rFonts w:ascii="宋体" w:hAnsi="宋体" w:cs="宋体"/>
          <w:sz w:val="24"/>
        </w:rPr>
      </w:pPr>
      <w:bookmarkStart w:id="33" w:name="OLE_LINK176"/>
      <w:bookmarkStart w:id="34" w:name="OLE_LINK17"/>
      <w:bookmarkStart w:id="35" w:name="OLE_LINK132"/>
      <w:bookmarkStart w:id="36" w:name="OLE_LINK14"/>
      <w:r>
        <w:rPr>
          <w:rFonts w:hint="eastAsia" w:ascii="宋体" w:hAnsi="宋体" w:cs="宋体"/>
          <w:sz w:val="24"/>
        </w:rPr>
        <w:t>（1）执行</w:t>
      </w:r>
      <w:bookmarkStart w:id="37" w:name="OLE_LINK173"/>
      <w:bookmarkStart w:id="38" w:name="OLE_LINK172"/>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39" w:name="OLE_LINK151"/>
      <w:bookmarkStart w:id="40" w:name="OLE_LINK167"/>
      <w:r>
        <w:rPr>
          <w:rFonts w:hint="eastAsia" w:ascii="宋体" w:hAnsi="宋体" w:cs="宋体"/>
          <w:sz w:val="24"/>
        </w:rPr>
        <w:t>《关于印发节能产品政府采购品目清单的通知》</w:t>
      </w:r>
      <w:bookmarkEnd w:id="39"/>
      <w:bookmarkEnd w:id="40"/>
      <w:r>
        <w:rPr>
          <w:rFonts w:hint="eastAsia" w:ascii="宋体" w:hAnsi="宋体" w:cs="宋体"/>
          <w:sz w:val="24"/>
        </w:rPr>
        <w:t>（财库〔2019〕19号）</w:t>
      </w:r>
      <w:r>
        <w:rPr>
          <w:rFonts w:hint="eastAsia" w:ascii="宋体" w:hAnsi="宋体" w:cs="宋体"/>
          <w:sz w:val="24"/>
        </w:rPr>
        <w:fldChar w:fldCharType="end"/>
      </w:r>
      <w:bookmarkEnd w:id="37"/>
      <w:bookmarkEnd w:id="38"/>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ascii="宋体" w:hAnsi="宋体" w:cs="宋体"/>
          <w:sz w:val="24"/>
        </w:rPr>
      </w:pPr>
      <w:r>
        <w:rPr>
          <w:rFonts w:hint="eastAsia" w:ascii="宋体" w:hAnsi="宋体" w:cs="宋体"/>
          <w:sz w:val="24"/>
        </w:rPr>
        <w:t>（4）执行《财政部、司法部关于政府采购支持监狱企业发展有关问题的通知》</w:t>
      </w:r>
      <w:bookmarkStart w:id="41" w:name="OLE_LINK171"/>
      <w:r>
        <w:rPr>
          <w:rFonts w:hint="eastAsia" w:ascii="宋体" w:hAnsi="宋体" w:cs="宋体"/>
          <w:sz w:val="24"/>
        </w:rPr>
        <w:t>（财库[2014]68号）</w:t>
      </w:r>
      <w:bookmarkEnd w:id="41"/>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ascii="宋体" w:hAnsi="宋体" w:cs="宋体"/>
          <w:sz w:val="24"/>
        </w:rPr>
      </w:pPr>
      <w:r>
        <w:rPr>
          <w:rFonts w:hint="eastAsia" w:ascii="宋体" w:hAnsi="宋体" w:cs="宋体"/>
          <w:sz w:val="24"/>
        </w:rPr>
        <w:t>（6）执行《</w:t>
      </w:r>
      <w:bookmarkStart w:id="42" w:name="OLE_LINK166"/>
      <w:r>
        <w:rPr>
          <w:rFonts w:hint="eastAsia" w:ascii="宋体" w:hAnsi="宋体" w:cs="宋体"/>
          <w:sz w:val="24"/>
        </w:rPr>
        <w:t>财政部关于在政府采购活动中查询及使用信用记录有关问题的通知</w:t>
      </w:r>
      <w:bookmarkEnd w:id="42"/>
      <w:r>
        <w:rPr>
          <w:rFonts w:hint="eastAsia" w:ascii="宋体" w:hAnsi="宋体" w:cs="宋体"/>
          <w:sz w:val="24"/>
        </w:rPr>
        <w:t>》（财库[2016]125号）；</w:t>
      </w:r>
    </w:p>
    <w:p>
      <w:pPr>
        <w:spacing w:line="360" w:lineRule="auto"/>
        <w:ind w:firstLine="480" w:firstLineChars="200"/>
        <w:rPr>
          <w:rFonts w:ascii="宋体" w:hAnsi="宋体" w:cs="宋体"/>
          <w:sz w:val="24"/>
          <w:lang w:bidi="ar"/>
        </w:rPr>
      </w:pPr>
      <w:r>
        <w:rPr>
          <w:rFonts w:hint="eastAsia" w:ascii="宋体" w:hAnsi="宋体" w:cs="宋体"/>
          <w:sz w:val="24"/>
        </w:rPr>
        <w:t>（7）执</w:t>
      </w:r>
      <w:bookmarkEnd w:id="33"/>
      <w:r>
        <w:rPr>
          <w:rFonts w:hint="eastAsia" w:ascii="宋体" w:hAnsi="宋体" w:cs="宋体"/>
          <w:sz w:val="24"/>
        </w:rPr>
        <w:t>行《关于进一步加大政府采购支持中小企业力度的通知》（财库〔2022〕19号）；</w:t>
      </w:r>
    </w:p>
    <w:bookmarkEnd w:id="34"/>
    <w:p>
      <w:pPr>
        <w:spacing w:line="360" w:lineRule="auto"/>
        <w:ind w:firstLine="460" w:firstLineChars="192"/>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关于印发《商品包装政府采购需求标准（试行）》、《快递包装政府采购需求标准（试行）》的通知（财办库〔2020〕123号）</w:t>
      </w:r>
      <w:r>
        <w:rPr>
          <w:rFonts w:hint="eastAsia" w:ascii="宋体" w:hAnsi="宋体" w:cs="宋体"/>
          <w:sz w:val="24"/>
        </w:rPr>
        <w:t>。</w:t>
      </w:r>
      <w:bookmarkEnd w:id="35"/>
    </w:p>
    <w:p>
      <w:pPr>
        <w:spacing w:line="360" w:lineRule="auto"/>
        <w:ind w:firstLine="460" w:firstLineChars="192"/>
        <w:rPr>
          <w:rFonts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6"/>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CA数字证书服务热线010-58511086</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电子营业执照服务热线400-699-7000</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技术支持服务热线010-86483801</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.1办理CA数字证书或电子营业执照</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.2注册</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.3驱动、客户端下载</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供应商登录北京市政府采购电子交易平台“用户指南”—“工具下载”—“投标文件编制工具”下载相关客户端。</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.4获取电子招标文件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供应商使用CA数字证书或电子营业执照登录北京市政府采购电子交易平台获取电子招标文件。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.5编制电子投标文件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.6提交电子投标文件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.7电子开标</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供应商在开标地点使用CA数字证书或电子营业执照登录北京市政府采购电子交易平台进行电子开标。</w:t>
      </w:r>
    </w:p>
    <w:p>
      <w:pPr>
        <w:spacing w:line="360" w:lineRule="auto"/>
        <w:ind w:firstLine="460" w:firstLineChars="192"/>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43" w:name="_Toc28359085"/>
      <w:bookmarkStart w:id="44" w:name="_Toc28359008"/>
      <w:bookmarkStart w:id="45" w:name="_Toc35393627"/>
      <w:bookmarkStart w:id="46" w:name="_Toc35393796"/>
      <w:r>
        <w:rPr>
          <w:rFonts w:hint="eastAsia" w:ascii="宋体" w:hAnsi="宋体" w:cs="宋体"/>
          <w:b/>
          <w:color w:val="000000" w:themeColor="text1"/>
          <w:sz w:val="24"/>
          <w14:textFill>
            <w14:solidFill>
              <w14:schemeClr w14:val="tx1"/>
            </w14:solidFill>
          </w14:textFill>
        </w:rPr>
        <w:t>七、对本次招标提出询问，请按以下方式联系。</w:t>
      </w:r>
      <w:bookmarkEnd w:id="43"/>
      <w:bookmarkEnd w:id="44"/>
      <w:bookmarkEnd w:id="45"/>
      <w:bookmarkEnd w:id="46"/>
    </w:p>
    <w:p>
      <w:pPr>
        <w:widowControl/>
        <w:spacing w:line="360" w:lineRule="auto"/>
        <w:jc w:val="left"/>
        <w:rPr>
          <w:rFonts w:ascii="宋体" w:hAnsi="宋体" w:cs="宋体"/>
          <w:b/>
          <w:sz w:val="24"/>
        </w:rPr>
      </w:pPr>
      <w:r>
        <w:rPr>
          <w:rFonts w:hint="eastAsia" w:ascii="宋体" w:hAnsi="宋体" w:cs="宋体"/>
          <w:color w:val="000000" w:themeColor="text1"/>
          <w:sz w:val="24"/>
          <w14:textFill>
            <w14:solidFill>
              <w14:schemeClr w14:val="tx1"/>
            </w14:solidFill>
          </w14:textFill>
        </w:rPr>
        <w:t>　　</w:t>
      </w:r>
      <w:r>
        <w:rPr>
          <w:rFonts w:hint="eastAsia" w:ascii="宋体" w:hAnsi="宋体" w:cs="宋体"/>
          <w:b/>
          <w:sz w:val="24"/>
        </w:rPr>
        <w:t>1.采购人信息</w:t>
      </w:r>
    </w:p>
    <w:p>
      <w:pPr>
        <w:spacing w:line="360" w:lineRule="auto"/>
        <w:ind w:left="1079" w:leftChars="371" w:hanging="300" w:hangingChars="125"/>
        <w:jc w:val="left"/>
        <w:rPr>
          <w:rFonts w:ascii="宋体" w:hAnsi="宋体" w:cs="宋体"/>
          <w:sz w:val="24"/>
          <w:u w:val="single"/>
        </w:rPr>
      </w:pPr>
      <w:bookmarkStart w:id="47" w:name="_Toc28359009"/>
      <w:bookmarkStart w:id="48" w:name="_Toc28359086"/>
      <w:r>
        <w:rPr>
          <w:rFonts w:hint="eastAsia" w:ascii="宋体" w:hAnsi="宋体" w:cs="宋体"/>
          <w:sz w:val="24"/>
        </w:rPr>
        <w:t>名    称：</w:t>
      </w:r>
      <w:r>
        <w:rPr>
          <w:rFonts w:hint="eastAsia" w:ascii="宋体" w:hAnsi="宋体" w:cs="宋体"/>
          <w:color w:val="000000"/>
          <w:sz w:val="24"/>
          <w:u w:val="single"/>
        </w:rPr>
        <w:t>北京市城市运行管理事务中心</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北京市西城区广安门内大街317号</w:t>
      </w:r>
    </w:p>
    <w:p>
      <w:pPr>
        <w:spacing w:line="360" w:lineRule="auto"/>
        <w:ind w:left="1079" w:leftChars="371" w:hanging="300" w:hangingChars="125"/>
        <w:jc w:val="left"/>
        <w:rPr>
          <w:rFonts w:hint="default" w:ascii="宋体" w:hAnsi="宋体" w:eastAsia="宋体" w:cs="宋体"/>
          <w:sz w:val="24"/>
          <w:highlight w:val="none"/>
          <w:u w:val="single"/>
          <w:lang w:val="en-US" w:eastAsia="zh-CN"/>
        </w:rPr>
      </w:pPr>
      <w:r>
        <w:rPr>
          <w:rFonts w:hint="eastAsia" w:ascii="宋体" w:hAnsi="宋体" w:cs="宋体"/>
          <w:sz w:val="24"/>
          <w:highlight w:val="none"/>
        </w:rPr>
        <w:t>联系方式：</w:t>
      </w:r>
      <w:r>
        <w:rPr>
          <w:rFonts w:hint="eastAsia" w:ascii="宋体" w:hAnsi="宋体" w:cs="宋体"/>
          <w:sz w:val="24"/>
          <w:highlight w:val="none"/>
          <w:u w:val="single"/>
          <w:lang w:val="en-US" w:eastAsia="zh-CN"/>
        </w:rPr>
        <w:t>张</w:t>
      </w:r>
      <w:r>
        <w:rPr>
          <w:rFonts w:hint="eastAsia" w:ascii="宋体" w:hAnsi="宋体" w:cs="宋体"/>
          <w:sz w:val="24"/>
          <w:highlight w:val="none"/>
          <w:u w:val="single"/>
        </w:rPr>
        <w:t>老师，010-</w:t>
      </w:r>
      <w:r>
        <w:rPr>
          <w:rFonts w:hint="eastAsia" w:ascii="宋体" w:hAnsi="宋体" w:cs="宋体"/>
          <w:sz w:val="24"/>
          <w:highlight w:val="none"/>
          <w:u w:val="single"/>
          <w:lang w:val="en-US" w:eastAsia="zh-CN"/>
        </w:rPr>
        <w:t>55570908</w:t>
      </w:r>
    </w:p>
    <w:p>
      <w:pPr>
        <w:spacing w:line="360" w:lineRule="auto"/>
        <w:ind w:left="1080" w:leftChars="371" w:hanging="301" w:hangingChars="125"/>
        <w:jc w:val="left"/>
        <w:rPr>
          <w:rFonts w:ascii="宋体" w:hAnsi="宋体" w:cs="宋体"/>
          <w:b/>
          <w:sz w:val="24"/>
        </w:rPr>
      </w:pPr>
      <w:r>
        <w:rPr>
          <w:rFonts w:hint="eastAsia" w:ascii="宋体" w:hAnsi="宋体" w:cs="宋体"/>
          <w:b/>
          <w:sz w:val="24"/>
        </w:rPr>
        <w:t>2.采购代理机构信息</w:t>
      </w:r>
      <w:bookmarkEnd w:id="47"/>
      <w:bookmarkEnd w:id="48"/>
    </w:p>
    <w:p>
      <w:pPr>
        <w:spacing w:line="360" w:lineRule="auto"/>
        <w:ind w:left="1079" w:leftChars="371" w:hanging="300" w:hangingChars="125"/>
        <w:jc w:val="left"/>
        <w:rPr>
          <w:rFonts w:ascii="宋体" w:hAnsi="宋体" w:cs="宋体"/>
          <w:sz w:val="24"/>
          <w:u w:val="single"/>
        </w:rPr>
      </w:pPr>
      <w:bookmarkStart w:id="49" w:name="_Toc28359010"/>
      <w:bookmarkStart w:id="50" w:name="_Toc28359087"/>
      <w:r>
        <w:rPr>
          <w:rFonts w:hint="eastAsia" w:ascii="宋体" w:hAnsi="宋体" w:cs="宋体"/>
          <w:sz w:val="24"/>
        </w:rPr>
        <w:t>名    称：</w:t>
      </w:r>
      <w:r>
        <w:rPr>
          <w:rFonts w:hint="eastAsia" w:ascii="宋体" w:hAnsi="宋体" w:cs="宋体"/>
          <w:color w:val="000000"/>
          <w:sz w:val="24"/>
          <w:u w:val="single"/>
        </w:rPr>
        <w:t>北京市京发招标有限公司</w:t>
      </w:r>
    </w:p>
    <w:p>
      <w:pPr>
        <w:spacing w:line="360" w:lineRule="auto"/>
        <w:ind w:left="1079" w:leftChars="371" w:hanging="300" w:hangingChars="125"/>
        <w:jc w:val="left"/>
        <w:rPr>
          <w:rFonts w:ascii="宋体" w:hAnsi="宋体" w:cs="宋体"/>
          <w:sz w:val="24"/>
        </w:rPr>
      </w:pPr>
      <w:r>
        <w:rPr>
          <w:rFonts w:hint="eastAsia" w:ascii="宋体" w:hAnsi="宋体" w:cs="宋体"/>
          <w:sz w:val="24"/>
        </w:rPr>
        <w:t>地    址：</w:t>
      </w:r>
      <w:r>
        <w:rPr>
          <w:rFonts w:hint="eastAsia" w:ascii="宋体" w:hAnsi="宋体" w:cs="宋体"/>
          <w:color w:val="000000"/>
          <w:sz w:val="24"/>
          <w:u w:val="single"/>
        </w:rPr>
        <w:t>北京市东城区崇文门外大街90号</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r>
        <w:rPr>
          <w:rFonts w:hint="eastAsia" w:ascii="宋体" w:hAnsi="宋体" w:cs="宋体"/>
          <w:color w:val="000000"/>
          <w:sz w:val="24"/>
          <w:u w:val="single"/>
        </w:rPr>
        <w:t>张超、李丁、马若莎010-67169727</w:t>
      </w:r>
    </w:p>
    <w:p>
      <w:pPr>
        <w:spacing w:line="360" w:lineRule="auto"/>
        <w:ind w:firstLine="723" w:firstLineChars="300"/>
        <w:rPr>
          <w:rFonts w:ascii="宋体" w:hAnsi="宋体" w:cs="宋体"/>
          <w:b/>
          <w:sz w:val="24"/>
          <w:u w:val="single"/>
        </w:rPr>
      </w:pPr>
      <w:r>
        <w:rPr>
          <w:rFonts w:hint="eastAsia" w:ascii="宋体" w:hAnsi="宋体" w:cs="宋体"/>
          <w:b/>
          <w:sz w:val="24"/>
        </w:rPr>
        <w:t>3.项目联系方式</w:t>
      </w:r>
      <w:bookmarkEnd w:id="49"/>
      <w:bookmarkEnd w:id="50"/>
    </w:p>
    <w:p>
      <w:pPr>
        <w:pStyle w:val="30"/>
        <w:spacing w:line="360" w:lineRule="auto"/>
        <w:ind w:firstLine="720" w:firstLineChars="300"/>
        <w:rPr>
          <w:rFonts w:hint="default" w:hAnsi="宋体" w:cs="宋体"/>
          <w:sz w:val="24"/>
          <w:szCs w:val="24"/>
          <w:u w:val="single"/>
        </w:rPr>
      </w:pPr>
      <w:r>
        <w:rPr>
          <w:rFonts w:hAnsi="宋体" w:cs="宋体"/>
          <w:sz w:val="24"/>
          <w:szCs w:val="24"/>
        </w:rPr>
        <w:t>项目联系人：</w:t>
      </w:r>
      <w:r>
        <w:rPr>
          <w:rFonts w:hAnsi="宋体" w:cs="宋体"/>
          <w:color w:val="000000"/>
          <w:sz w:val="24"/>
          <w:u w:val="single"/>
        </w:rPr>
        <w:t>张超、李丁、马若莎</w:t>
      </w:r>
    </w:p>
    <w:p>
      <w:pPr>
        <w:pStyle w:val="30"/>
        <w:spacing w:line="360" w:lineRule="auto"/>
        <w:ind w:firstLine="720" w:firstLineChars="300"/>
        <w:rPr>
          <w:rFonts w:hint="default" w:hAnsi="宋体" w:cs="宋体"/>
          <w:color w:val="000000" w:themeColor="text1"/>
          <w:sz w:val="24"/>
          <w14:textFill>
            <w14:solidFill>
              <w14:schemeClr w14:val="tx1"/>
            </w14:solidFill>
          </w14:textFill>
        </w:rPr>
      </w:pPr>
      <w:r>
        <w:rPr>
          <w:rFonts w:hAnsi="宋体" w:cs="宋体"/>
          <w:sz w:val="24"/>
        </w:rPr>
        <w:t>电      话：</w:t>
      </w:r>
      <w:r>
        <w:rPr>
          <w:rFonts w:hAnsi="宋体" w:cs="宋体"/>
          <w:color w:val="000000"/>
          <w:sz w:val="24"/>
          <w:szCs w:val="24"/>
          <w:u w:val="single"/>
        </w:rPr>
        <w:t>67169727</w:t>
      </w:r>
    </w:p>
    <w:p>
      <w:pPr>
        <w:widowControl/>
        <w:jc w:val="left"/>
        <w:rPr>
          <w:rFonts w:ascii="宋体" w:hAnsi="宋体" w:cs="宋体"/>
          <w:b/>
          <w:color w:val="000000" w:themeColor="text1"/>
          <w:sz w:val="36"/>
          <w:szCs w:val="36"/>
          <w14:textFill>
            <w14:solidFill>
              <w14:schemeClr w14:val="tx1"/>
            </w14:solidFill>
          </w14:textFill>
        </w:rPr>
      </w:pPr>
      <w:bookmarkStart w:id="51" w:name="_Toc305158854"/>
      <w:bookmarkStart w:id="52" w:name="_Toc195842950"/>
      <w:bookmarkStart w:id="53" w:name="_Toc353825548"/>
      <w:bookmarkStart w:id="54" w:name="_Toc353873938"/>
      <w:bookmarkStart w:id="55" w:name="_Toc305158928"/>
      <w:bookmarkStart w:id="56" w:name="_Toc150774783"/>
      <w:bookmarkStart w:id="57" w:name="_Toc127161488"/>
      <w:bookmarkStart w:id="58" w:name="_Toc512937850"/>
      <w:bookmarkStart w:id="59" w:name="_Toc265228423"/>
      <w:bookmarkStart w:id="60" w:name="_Toc127151777"/>
      <w:bookmarkStart w:id="61" w:name="_Toc226965856"/>
      <w:bookmarkStart w:id="62" w:name="_Toc264969275"/>
      <w:bookmarkStart w:id="63" w:name="_Toc99301420"/>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2"/>
          <w:szCs w:val="32"/>
          <w14:textFill>
            <w14:solidFill>
              <w14:schemeClr w14:val="tx1"/>
            </w14:solidFill>
          </w14:textFill>
        </w:rPr>
      </w:pPr>
      <w:bookmarkStart w:id="64" w:name="_Toc218620567"/>
      <w:r>
        <w:rPr>
          <w:rFonts w:hint="eastAsia" w:ascii="宋体" w:hAnsi="宋体" w:cs="宋体"/>
          <w:b/>
          <w:color w:val="000000" w:themeColor="text1"/>
          <w:sz w:val="36"/>
          <w:szCs w:val="36"/>
          <w14:textFill>
            <w14:solidFill>
              <w14:schemeClr w14:val="tx1"/>
            </w14:solidFill>
          </w14:textFill>
        </w:rPr>
        <w:t>第二章   投标人须知</w:t>
      </w:r>
      <w:bookmarkEnd w:id="51"/>
      <w:bookmarkEnd w:id="52"/>
      <w:bookmarkEnd w:id="53"/>
      <w:bookmarkEnd w:id="54"/>
      <w:bookmarkEnd w:id="55"/>
      <w:bookmarkEnd w:id="56"/>
      <w:bookmarkEnd w:id="57"/>
      <w:bookmarkEnd w:id="58"/>
      <w:bookmarkEnd w:id="59"/>
      <w:bookmarkEnd w:id="60"/>
      <w:bookmarkEnd w:id="61"/>
      <w:bookmarkEnd w:id="62"/>
      <w:bookmarkEnd w:id="63"/>
      <w:bookmarkEnd w:id="64"/>
    </w:p>
    <w:p>
      <w:pPr>
        <w:tabs>
          <w:tab w:val="center" w:pos="4592"/>
          <w:tab w:val="left" w:pos="7860"/>
        </w:tabs>
        <w:spacing w:line="360" w:lineRule="auto"/>
        <w:jc w:val="center"/>
        <w:rPr>
          <w:rFonts w:ascii="宋体" w:hAnsi="宋体" w:cs="宋体"/>
          <w:color w:val="000000" w:themeColor="text1"/>
          <w:sz w:val="28"/>
          <w14:textFill>
            <w14:solidFill>
              <w14:schemeClr w14:val="tx1"/>
            </w14:solidFill>
          </w14:textFill>
        </w:rPr>
      </w:pPr>
      <w:bookmarkStart w:id="65" w:name="_Toc149720812"/>
      <w:bookmarkStart w:id="66" w:name="_Toc164608788"/>
      <w:bookmarkStart w:id="67" w:name="_Toc150509270"/>
      <w:bookmarkStart w:id="68" w:name="_Toc195842884"/>
      <w:bookmarkStart w:id="69" w:name="_Toc151190146"/>
      <w:bookmarkStart w:id="70" w:name="_Toc151193689"/>
      <w:bookmarkStart w:id="71" w:name="_Toc151193761"/>
      <w:bookmarkStart w:id="72" w:name="_Toc127151720"/>
      <w:bookmarkStart w:id="73" w:name="_Toc164351613"/>
      <w:bookmarkStart w:id="74" w:name="_Toc226337215"/>
      <w:bookmarkStart w:id="75" w:name="_Toc142311021"/>
      <w:bookmarkStart w:id="76" w:name="_Toc520356144"/>
      <w:bookmarkStart w:id="77" w:name="_Toc226309763"/>
      <w:bookmarkStart w:id="78" w:name="_Toc226965709"/>
      <w:bookmarkStart w:id="79" w:name="_Toc164608633"/>
      <w:bookmarkStart w:id="80" w:name="_Toc127151519"/>
      <w:bookmarkStart w:id="81" w:name="_Toc127161433"/>
      <w:bookmarkStart w:id="82" w:name="_Toc151193617"/>
      <w:bookmarkStart w:id="83" w:name="_Toc150774724"/>
      <w:bookmarkStart w:id="84" w:name="_Toc150480757"/>
      <w:bookmarkStart w:id="85" w:name="_Toc164229214"/>
      <w:bookmarkStart w:id="86" w:name="_Toc164229360"/>
      <w:bookmarkStart w:id="87" w:name="_Toc150774619"/>
      <w:bookmarkStart w:id="88" w:name="_Toc151193907"/>
      <w:bookmarkStart w:id="89" w:name="_Toc226965792"/>
      <w:bookmarkStart w:id="90" w:name="_Toc151193833"/>
      <w:r>
        <w:rPr>
          <w:rFonts w:hint="eastAsia" w:ascii="宋体" w:hAnsi="宋体" w:cs="宋体"/>
          <w:color w:val="000000" w:themeColor="text1"/>
          <w:sz w:val="28"/>
          <w14:textFill>
            <w14:solidFill>
              <w14:schemeClr w14:val="tx1"/>
            </w14:solidFill>
          </w14:textFill>
        </w:rPr>
        <w:t>投标人须知资料表</w:t>
      </w:r>
    </w:p>
    <w:p>
      <w:pPr>
        <w:jc w:val="center"/>
        <w:rPr>
          <w:rFonts w:ascii="宋体" w:hAnsi="宋体" w:cs="宋体"/>
          <w:b/>
          <w:color w:val="000000" w:themeColor="text1"/>
          <w:sz w:val="28"/>
          <w:szCs w:val="28"/>
          <w14:textFill>
            <w14:solidFill>
              <w14:schemeClr w14:val="tx1"/>
            </w14:solidFill>
          </w14:textFill>
        </w:rPr>
      </w:pPr>
    </w:p>
    <w:p>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本表是对投标人须知的具体补充和修改，如有矛盾，均以本资料表为准。</w:t>
      </w:r>
    </w:p>
    <w:tbl>
      <w:tblPr>
        <w:tblStyle w:val="55"/>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tcPr>
          <w:p>
            <w:pPr>
              <w:autoSpaceDE w:val="0"/>
              <w:autoSpaceDN w:val="0"/>
              <w:spacing w:before="167" w:line="200" w:lineRule="auto"/>
              <w:ind w:left="138"/>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2"/>
                <w:sz w:val="24"/>
                <w14:textFill>
                  <w14:solidFill>
                    <w14:schemeClr w14:val="tx1"/>
                  </w14:solidFill>
                </w14:textFill>
              </w:rPr>
              <w:t>条款号</w:t>
            </w:r>
          </w:p>
        </w:tc>
        <w:tc>
          <w:tcPr>
            <w:tcW w:w="1700" w:type="dxa"/>
          </w:tcPr>
          <w:p>
            <w:pPr>
              <w:autoSpaceDE w:val="0"/>
              <w:autoSpaceDN w:val="0"/>
              <w:spacing w:before="166" w:line="202" w:lineRule="auto"/>
              <w:ind w:left="61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3"/>
                <w:sz w:val="24"/>
                <w14:textFill>
                  <w14:solidFill>
                    <w14:schemeClr w14:val="tx1"/>
                  </w14:solidFill>
                </w14:textFill>
              </w:rPr>
              <w:t>条目</w:t>
            </w:r>
          </w:p>
        </w:tc>
        <w:tc>
          <w:tcPr>
            <w:tcW w:w="6381" w:type="dxa"/>
          </w:tcPr>
          <w:p>
            <w:pPr>
              <w:autoSpaceDE w:val="0"/>
              <w:autoSpaceDN w:val="0"/>
              <w:spacing w:before="166" w:line="201" w:lineRule="auto"/>
              <w:ind w:left="3557"/>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15"/>
                <w:sz w:val="24"/>
                <w14:textFill>
                  <w14:solidFill>
                    <w14:schemeClr w14:val="tx1"/>
                  </w14:solidFill>
                </w14:textFill>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科研仪器设备</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是否属于科研仪器设备采购项目：</w:t>
            </w:r>
          </w:p>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2.4</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核心产品</w:t>
            </w:r>
          </w:p>
        </w:tc>
        <w:tc>
          <w:tcPr>
            <w:tcW w:w="6381" w:type="dxa"/>
          </w:tcPr>
          <w:p>
            <w:pPr>
              <w:autoSpaceDE w:val="0"/>
              <w:autoSpaceDN w:val="0"/>
              <w:spacing w:before="103"/>
              <w:ind w:left="2"/>
              <w:rPr>
                <w:rFonts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包不适用。</w:t>
            </w:r>
          </w:p>
          <w:p>
            <w:pPr>
              <w:autoSpaceDE w:val="0"/>
              <w:autoSpaceDN w:val="0"/>
              <w:spacing w:before="103"/>
              <w:ind w:left="2"/>
              <w:rPr>
                <w:rFonts w:ascii="宋体" w:hAnsi="宋体" w:cs="宋体"/>
                <w:sz w:val="24"/>
              </w:rPr>
            </w:pP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包为单一产品采购项目。</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w:t>
            </w: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包为非单一产品采购项目 ，核心产品为：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3.1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现场考察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不组织</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□组织，考察时间：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62"/>
              <w:ind w:left="1"/>
              <w:jc w:val="center"/>
              <w:rPr>
                <w:rFonts w:ascii="宋体" w:hAnsi="宋体" w:eastAsia="宋体" w:cs="宋体"/>
                <w:color w:val="000000" w:themeColor="text1"/>
                <w:sz w:val="22"/>
                <w14:textFill>
                  <w14:solidFill>
                    <w14:schemeClr w14:val="tx1"/>
                  </w14:solidFill>
                </w14:textFill>
              </w:rPr>
            </w:pP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开标前答疑会</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不召开</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 ，召开时间：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199"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4.1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样品</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投标样品递交：</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□需要，具体要求如下：</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（1）样品制作的标准和要求：</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（2）是否需要随样品提交相关检测报告：</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（3）样品递交要求：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（4）未中标人样品退还：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（5）中标人样品保管、封存及退还：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（6）其他要求（如有）：</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2"/>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5.2.5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标的所属行业</w:t>
            </w:r>
          </w:p>
        </w:tc>
        <w:tc>
          <w:tcPr>
            <w:tcW w:w="6381" w:type="dxa"/>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5"/>
              <w:tblW w:w="6130"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ascii="宋体" w:hAnsi="宋体" w:cs="宋体"/>
                      <w:sz w:val="24"/>
                    </w:rPr>
                  </w:pPr>
                  <w:r>
                    <w:rPr>
                      <w:rFonts w:hint="eastAsia" w:ascii="宋体" w:hAnsi="宋体" w:cs="宋体"/>
                      <w:spacing w:val="-2"/>
                      <w:sz w:val="24"/>
                    </w:rPr>
                    <w:t>序号</w:t>
                  </w:r>
                </w:p>
              </w:tc>
              <w:tc>
                <w:tcPr>
                  <w:tcW w:w="3236" w:type="dxa"/>
                  <w:vAlign w:val="center"/>
                </w:tcPr>
                <w:p>
                  <w:pPr>
                    <w:autoSpaceDE w:val="0"/>
                    <w:autoSpaceDN w:val="0"/>
                    <w:spacing w:before="97"/>
                    <w:jc w:val="center"/>
                    <w:rPr>
                      <w:rFonts w:ascii="宋体" w:hAnsi="宋体" w:cs="宋体"/>
                      <w:sz w:val="24"/>
                    </w:rPr>
                  </w:pPr>
                  <w:r>
                    <w:rPr>
                      <w:rFonts w:hint="eastAsia" w:ascii="宋体" w:hAnsi="宋体" w:cs="宋体"/>
                      <w:spacing w:val="-1"/>
                      <w:sz w:val="24"/>
                    </w:rPr>
                    <w:t>标的名称</w:t>
                  </w:r>
                </w:p>
              </w:tc>
              <w:tc>
                <w:tcPr>
                  <w:tcW w:w="2127" w:type="dxa"/>
                  <w:vAlign w:val="center"/>
                </w:tcPr>
                <w:p>
                  <w:pPr>
                    <w:autoSpaceDE w:val="0"/>
                    <w:autoSpaceDN w:val="0"/>
                    <w:spacing w:before="97"/>
                    <w:jc w:val="center"/>
                    <w:rPr>
                      <w:rFonts w:ascii="宋体" w:hAnsi="宋体" w:cs="宋体"/>
                      <w:sz w:val="24"/>
                    </w:rPr>
                  </w:pPr>
                  <w:r>
                    <w:rPr>
                      <w:rFonts w:hint="eastAsia" w:ascii="宋体" w:hAnsi="宋体" w:cs="宋体"/>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spacing w:before="86"/>
                    <w:ind w:firstLine="1"/>
                    <w:jc w:val="center"/>
                    <w:rPr>
                      <w:rFonts w:ascii="宋体" w:hAnsi="宋体" w:cs="宋体"/>
                      <w:spacing w:val="7"/>
                      <w:sz w:val="24"/>
                    </w:rPr>
                  </w:pPr>
                  <w:r>
                    <w:rPr>
                      <w:rFonts w:hint="eastAsia" w:ascii="宋体" w:hAnsi="宋体" w:cs="宋体"/>
                      <w:spacing w:val="7"/>
                      <w:sz w:val="24"/>
                    </w:rPr>
                    <w:t>1</w:t>
                  </w:r>
                </w:p>
              </w:tc>
              <w:tc>
                <w:tcPr>
                  <w:tcW w:w="3236" w:type="dxa"/>
                  <w:vAlign w:val="center"/>
                </w:tcPr>
                <w:p>
                  <w:pPr>
                    <w:autoSpaceDE w:val="0"/>
                    <w:autoSpaceDN w:val="0"/>
                    <w:spacing w:before="86"/>
                    <w:ind w:firstLine="127"/>
                    <w:jc w:val="center"/>
                    <w:rPr>
                      <w:rFonts w:ascii="宋体" w:hAnsi="宋体" w:cs="宋体"/>
                      <w:spacing w:val="7"/>
                      <w:sz w:val="24"/>
                    </w:rPr>
                  </w:pPr>
                  <w:r>
                    <w:rPr>
                      <w:rFonts w:hint="eastAsia" w:ascii="宋体" w:hAnsi="宋体" w:cs="宋体"/>
                      <w:spacing w:val="7"/>
                      <w:sz w:val="24"/>
                    </w:rPr>
                    <w:t>2026年网络安全技术维护</w:t>
                  </w:r>
                </w:p>
              </w:tc>
              <w:tc>
                <w:tcPr>
                  <w:tcW w:w="2127" w:type="dxa"/>
                  <w:vAlign w:val="center"/>
                </w:tcPr>
                <w:p>
                  <w:pPr>
                    <w:pStyle w:val="262"/>
                    <w:jc w:val="center"/>
                    <w:rPr>
                      <w:rFonts w:ascii="宋体" w:hAnsi="宋体" w:eastAsia="宋体" w:cs="宋体"/>
                      <w:sz w:val="22"/>
                      <w:lang w:eastAsia="zh-CN"/>
                    </w:rPr>
                  </w:pPr>
                  <w:r>
                    <w:rPr>
                      <w:rFonts w:hint="eastAsia" w:ascii="宋体" w:hAnsi="宋体" w:eastAsia="宋体" w:cs="宋体"/>
                      <w:snapToGrid/>
                      <w:color w:val="auto"/>
                      <w:spacing w:val="7"/>
                      <w:kern w:val="2"/>
                      <w:sz w:val="24"/>
                      <w:szCs w:val="24"/>
                      <w:lang w:eastAsia="zh-CN"/>
                    </w:rPr>
                    <w:t>软件和信息技术服务业</w:t>
                  </w:r>
                </w:p>
              </w:tc>
            </w:tr>
          </w:tbl>
          <w:p>
            <w:pPr>
              <w:pStyle w:val="262"/>
              <w:rPr>
                <w:rFonts w:ascii="宋体" w:hAnsi="宋体" w:eastAsia="宋体" w:cs="宋体"/>
                <w:color w:val="000000" w:themeColor="text1"/>
                <w:sz w:val="22"/>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11.2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投标报价</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投标报价的特殊规定：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12.1</w:t>
            </w:r>
          </w:p>
        </w:tc>
        <w:tc>
          <w:tcPr>
            <w:tcW w:w="1700" w:type="dxa"/>
            <w:vMerge w:val="restart"/>
            <w:tcBorders>
              <w:bottom w:val="nil"/>
            </w:tcBorders>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投标保证金</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投标保证金金额：</w:t>
            </w:r>
            <w:r>
              <w:rPr>
                <w:rFonts w:hint="eastAsia" w:ascii="宋体" w:hAnsi="宋体" w:cs="宋体"/>
                <w:sz w:val="24"/>
                <w:u w:val="single"/>
              </w:rPr>
              <w:t>25000</w:t>
            </w:r>
            <w:r>
              <w:rPr>
                <w:rFonts w:hint="eastAsia" w:ascii="宋体" w:hAnsi="宋体" w:cs="宋体"/>
                <w:color w:val="000000" w:themeColor="text1"/>
                <w:sz w:val="24"/>
                <w:u w:val="single"/>
                <w14:textFill>
                  <w14:solidFill>
                    <w14:schemeClr w14:val="tx1"/>
                  </w14:solidFill>
                </w14:textFill>
              </w:rPr>
              <w:t>元</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投标保证金收受人信息：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开户名（全称）：北京市京发招标有限公司；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开户银行：招商银行北京分行崇文门支行；</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62"/>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12.8.2</w:t>
            </w:r>
          </w:p>
        </w:tc>
        <w:tc>
          <w:tcPr>
            <w:tcW w:w="1700" w:type="dxa"/>
            <w:vMerge w:val="continue"/>
            <w:tcBorders>
              <w:top w:val="nil"/>
            </w:tcBorders>
            <w:vAlign w:val="center"/>
          </w:tcPr>
          <w:p>
            <w:pPr>
              <w:pStyle w:val="262"/>
              <w:jc w:val="center"/>
              <w:rPr>
                <w:rFonts w:ascii="宋体" w:hAnsi="宋体" w:eastAsia="宋体" w:cs="宋体"/>
                <w:color w:val="000000" w:themeColor="text1"/>
                <w:sz w:val="22"/>
                <w14:textFill>
                  <w14:solidFill>
                    <w14:schemeClr w14:val="tx1"/>
                  </w14:solidFill>
                </w14:textFill>
              </w:rPr>
            </w:pP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投标保证金可以不予退还的其他情形：</w:t>
            </w:r>
          </w:p>
          <w:p>
            <w:pPr>
              <w:autoSpaceDE w:val="0"/>
              <w:autoSpaceDN w:val="0"/>
              <w:spacing w:before="103"/>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■有，具体情形：</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（1）投标人在投标有效期内撤销投标文件的；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（2）投标人在投标文件中提供虚假材料的；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（3）除因不可抗力或招标文件认可的情形以外，中标人不与</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采购人签订合同的；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（4）投标人与采购人、其他投标人或者采购代理机构恶意串</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通的；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（5）招标文件规定应由中标人缴纳招标服务费而中标人未缴</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纳的</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（6）中标人未在规定期限内根据招标文件规定提交履约保证</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金（如有）；</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（7）法律、法规规定的其它不予退还的情形</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2"/>
              <w:spacing w:before="75"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13.1</w:t>
            </w:r>
          </w:p>
        </w:tc>
        <w:tc>
          <w:tcPr>
            <w:tcW w:w="1700" w:type="dxa"/>
            <w:vAlign w:val="center"/>
          </w:tcPr>
          <w:p>
            <w:pPr>
              <w:autoSpaceDE w:val="0"/>
              <w:autoSpaceDN w:val="0"/>
              <w:spacing w:before="42" w:line="175"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投标有效期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自提交投标文件的截止之日起算</w:t>
            </w:r>
            <w:r>
              <w:rPr>
                <w:rFonts w:hint="eastAsia" w:ascii="宋体" w:hAnsi="宋体" w:cs="宋体"/>
                <w:color w:val="000000" w:themeColor="text1"/>
                <w:sz w:val="24"/>
                <w:u w:val="single"/>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2"/>
              <w:spacing w:before="73"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18.2</w:t>
            </w:r>
          </w:p>
        </w:tc>
        <w:tc>
          <w:tcPr>
            <w:tcW w:w="1700" w:type="dxa"/>
          </w:tcPr>
          <w:p>
            <w:pPr>
              <w:autoSpaceDE w:val="0"/>
              <w:autoSpaceDN w:val="0"/>
              <w:spacing w:before="103" w:line="201" w:lineRule="auto"/>
              <w:ind w:left="2"/>
              <w:jc w:val="center"/>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p>
        </w:tc>
        <w:tc>
          <w:tcPr>
            <w:tcW w:w="6381" w:type="dxa"/>
          </w:tcPr>
          <w:p>
            <w:pPr>
              <w:autoSpaceDE w:val="0"/>
              <w:autoSpaceDN w:val="0"/>
              <w:spacing w:before="103" w:line="201" w:lineRule="auto"/>
              <w:ind w:left="2"/>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r>
              <w:rPr>
                <w:rFonts w:ascii="宋体" w:hAnsi="宋体" w:cs="宋体"/>
                <w:color w:val="000000" w:themeColor="text1"/>
                <w:spacing w:val="-2"/>
                <w:sz w:val="24"/>
                <w:u w:val="single"/>
                <w14:textFill>
                  <w14:solidFill>
                    <w14:schemeClr w14:val="tx1"/>
                  </w14:solidFill>
                </w14:textFill>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22.1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确定中标人</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中标候选人并列的，采购人是否委托评标委员会确定中标人：</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■否</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中标候选人并列的，按照以下方式确定中标人：</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■得分且投标报价均相同的，以</w:t>
            </w:r>
            <w:r>
              <w:rPr>
                <w:rFonts w:hint="eastAsia" w:ascii="宋体" w:hAnsi="宋体" w:eastAsia="宋体" w:cs="宋体"/>
                <w:color w:val="000000" w:themeColor="text1"/>
                <w:sz w:val="24"/>
                <w:szCs w:val="24"/>
                <w:u w:val="single"/>
                <w:lang w:eastAsia="zh-CN"/>
                <w14:textFill>
                  <w14:solidFill>
                    <w14:schemeClr w14:val="tx1"/>
                  </w14:solidFill>
                </w14:textFill>
              </w:rPr>
              <w:t>技术部分</w:t>
            </w:r>
            <w:r>
              <w:rPr>
                <w:rFonts w:hint="eastAsia" w:ascii="宋体" w:hAnsi="宋体" w:eastAsia="宋体" w:cs="宋体"/>
                <w:color w:val="000000" w:themeColor="text1"/>
                <w:sz w:val="24"/>
                <w:szCs w:val="24"/>
                <w:lang w:eastAsia="zh-CN"/>
                <w14:textFill>
                  <w14:solidFill>
                    <w14:schemeClr w14:val="tx1"/>
                  </w14:solidFill>
                </w14:textFill>
              </w:rPr>
              <w:t>得分高者为中标人</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vAlign w:val="center"/>
          </w:tcPr>
          <w:p>
            <w:pPr>
              <w:pStyle w:val="262"/>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分包</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本项目的非主体、非关键性工作是否允许分包：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□允许，具体要求：</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（1）可以分包履行的具体内容：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（2）允许分包的金额或者比例：</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（3）其他要求：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62"/>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25.6</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政采贷</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2"/>
              <w:spacing w:before="76"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26.1.1</w:t>
            </w:r>
          </w:p>
        </w:tc>
        <w:tc>
          <w:tcPr>
            <w:tcW w:w="1700" w:type="dxa"/>
            <w:vAlign w:val="center"/>
          </w:tcPr>
          <w:p>
            <w:pPr>
              <w:autoSpaceDE w:val="0"/>
              <w:autoSpaceDN w:val="0"/>
              <w:spacing w:before="44" w:line="174"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询问</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询问提出形式：</w:t>
            </w:r>
            <w:r>
              <w:rPr>
                <w:rFonts w:hint="eastAsia" w:ascii="宋体" w:hAnsi="宋体" w:eastAsia="宋体" w:cs="宋体"/>
                <w:color w:val="000000" w:themeColor="text1"/>
                <w:sz w:val="24"/>
                <w:szCs w:val="24"/>
                <w:u w:val="single"/>
                <w:lang w:eastAsia="zh-CN"/>
                <w14:textFill>
                  <w14:solidFill>
                    <w14:schemeClr w14:val="tx1"/>
                  </w14:solidFill>
                </w14:textFill>
              </w:rPr>
              <w:t>以书面或邮件（扫描原件）</w:t>
            </w:r>
            <w:r>
              <w:fldChar w:fldCharType="begin"/>
            </w:r>
            <w:r>
              <w:instrText xml:space="preserve"> HYPERLINK "mailto:发送至maruosha@126.com" </w:instrText>
            </w:r>
            <w:r>
              <w:fldChar w:fldCharType="separate"/>
            </w:r>
            <w:r>
              <w:rPr>
                <w:rFonts w:hint="eastAsia" w:ascii="宋体" w:hAnsi="宋体" w:eastAsia="宋体" w:cs="宋体"/>
                <w:color w:val="000000" w:themeColor="text1"/>
                <w:sz w:val="24"/>
                <w:szCs w:val="24"/>
                <w:u w:val="single"/>
                <w:lang w:eastAsia="zh-CN"/>
                <w14:textFill>
                  <w14:solidFill>
                    <w14:schemeClr w14:val="tx1"/>
                  </w14:solidFill>
                </w14:textFill>
              </w:rPr>
              <w:t>发送至</w:t>
            </w:r>
            <w:bookmarkStart w:id="91" w:name="_Hlt188370710"/>
            <w:bookmarkEnd w:id="91"/>
            <w:bookmarkStart w:id="92" w:name="_Hlt188370709"/>
            <w:bookmarkEnd w:id="92"/>
            <w:bookmarkStart w:id="93" w:name="_Hlt188370718"/>
            <w:bookmarkEnd w:id="93"/>
            <w:r>
              <w:rPr>
                <w:rFonts w:hint="eastAsia" w:ascii="宋体" w:hAnsi="宋体" w:eastAsia="宋体" w:cs="宋体"/>
                <w:color w:val="000000" w:themeColor="text1"/>
                <w:sz w:val="24"/>
                <w:szCs w:val="24"/>
                <w:u w:val="single"/>
                <w:lang w:eastAsia="zh-CN"/>
                <w14:textFill>
                  <w14:solidFill>
                    <w14:schemeClr w14:val="tx1"/>
                  </w14:solidFill>
                </w14:textFill>
              </w:rPr>
              <w:t>7</w:t>
            </w:r>
            <w:r>
              <w:rPr>
                <w:rFonts w:hint="eastAsia" w:ascii="宋体" w:hAnsi="宋体" w:eastAsia="宋体" w:cs="宋体"/>
                <w:color w:val="000000" w:themeColor="text1"/>
                <w:sz w:val="24"/>
                <w:szCs w:val="24"/>
                <w:u w:val="single"/>
                <w:lang w:eastAsia="zh-CN"/>
                <w14:textFill>
                  <w14:solidFill>
                    <w14:schemeClr w14:val="tx1"/>
                  </w14:solidFill>
                </w14:textFill>
              </w:rPr>
              <w:fldChar w:fldCharType="end"/>
            </w:r>
            <w:r>
              <w:rPr>
                <w:rFonts w:hint="eastAsia" w:ascii="宋体" w:hAnsi="宋体" w:eastAsia="宋体" w:cs="宋体"/>
                <w:color w:val="000000" w:themeColor="text1"/>
                <w:sz w:val="24"/>
                <w:szCs w:val="24"/>
                <w:u w:val="single"/>
                <w:lang w:eastAsia="zh-CN"/>
                <w14:textFill>
                  <w14:solidFill>
                    <w14:schemeClr w14:val="tx1"/>
                  </w14:solidFill>
                </w14:textFill>
              </w:rPr>
              <w:t>10080222@qq.com且与代理机构确认已收到。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联系方式</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接收询问和质疑的联系方式</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联系部门：</w:t>
            </w:r>
            <w:r>
              <w:rPr>
                <w:rFonts w:hint="eastAsia" w:ascii="宋体" w:hAnsi="宋体" w:eastAsia="宋体" w:cs="宋体"/>
                <w:color w:val="000000" w:themeColor="text1"/>
                <w:sz w:val="24"/>
                <w:szCs w:val="24"/>
                <w:u w:val="single"/>
                <w:lang w:eastAsia="zh-CN"/>
                <w14:textFill>
                  <w14:solidFill>
                    <w14:schemeClr w14:val="tx1"/>
                  </w14:solidFill>
                </w14:textFill>
              </w:rPr>
              <w:t>业务七部</w:t>
            </w:r>
            <w:r>
              <w:rPr>
                <w:rFonts w:hint="eastAsia" w:ascii="宋体" w:hAnsi="宋体" w:eastAsia="宋体" w:cs="宋体"/>
                <w:color w:val="000000" w:themeColor="text1"/>
                <w:sz w:val="24"/>
                <w:szCs w:val="24"/>
                <w:lang w:eastAsia="zh-CN"/>
                <w14:textFill>
                  <w14:solidFill>
                    <w14:schemeClr w14:val="tx1"/>
                  </w14:solidFill>
                </w14:textFill>
              </w:rPr>
              <w:t>；</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u w:val="single"/>
                <w:lang w:eastAsia="zh-CN"/>
                <w14:textFill>
                  <w14:solidFill>
                    <w14:schemeClr w14:val="tx1"/>
                  </w14:solidFill>
                </w14:textFill>
              </w:rPr>
              <w:t>010-67169727</w:t>
            </w:r>
            <w:r>
              <w:rPr>
                <w:rFonts w:hint="eastAsia" w:ascii="宋体" w:hAnsi="宋体" w:eastAsia="宋体" w:cs="宋体"/>
                <w:color w:val="000000" w:themeColor="text1"/>
                <w:sz w:val="24"/>
                <w:szCs w:val="24"/>
                <w:lang w:eastAsia="zh-CN"/>
                <w14:textFill>
                  <w14:solidFill>
                    <w14:schemeClr w14:val="tx1"/>
                  </w14:solidFill>
                </w14:textFill>
              </w:rPr>
              <w:t>；</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通讯地址：</w:t>
            </w:r>
            <w:r>
              <w:rPr>
                <w:rFonts w:hint="eastAsia" w:ascii="宋体" w:hAnsi="宋体" w:eastAsia="宋体" w:cs="宋体"/>
                <w:color w:val="000000" w:themeColor="text1"/>
                <w:sz w:val="24"/>
                <w:szCs w:val="24"/>
                <w:u w:val="single"/>
                <w:lang w:eastAsia="zh-CN"/>
                <w14:textFill>
                  <w14:solidFill>
                    <w14:schemeClr w14:val="tx1"/>
                  </w14:solidFill>
                </w14:textFill>
              </w:rPr>
              <w:t>北京市京发招标有限公司705室</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62"/>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27</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代理费</w:t>
            </w:r>
          </w:p>
        </w:tc>
        <w:tc>
          <w:tcPr>
            <w:tcW w:w="6381" w:type="dxa"/>
          </w:tcPr>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收费对象： </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□采购人    </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■中标人</w:t>
            </w:r>
          </w:p>
          <w:p>
            <w:pPr>
              <w:pStyle w:val="262"/>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收费标准：</w:t>
            </w:r>
            <w:r>
              <w:rPr>
                <w:rFonts w:hint="eastAsia" w:ascii="宋体" w:hAnsi="宋体" w:eastAsia="宋体" w:cs="宋体"/>
                <w:color w:val="000000" w:themeColor="text1"/>
                <w:sz w:val="24"/>
                <w:szCs w:val="24"/>
                <w:u w:val="single"/>
                <w:lang w:eastAsia="zh-CN"/>
                <w14:textFill>
                  <w14:solidFill>
                    <w14:schemeClr w14:val="tx1"/>
                  </w14:solidFill>
                </w14:textFill>
              </w:rPr>
              <w:t>参照国家发展计划委员会颁发的《招标代理服务收费管理暂行办法》（计价格[2002]1980号）和《国家发展改革委办公厅关于采购代理服务收费有关问题的通知》（发改办价格[2003]857号）执行。以最终中标金额为基数计算为准</w:t>
            </w:r>
            <w:r>
              <w:rPr>
                <w:rFonts w:hint="eastAsia" w:ascii="宋体" w:hAnsi="宋体" w:eastAsia="宋体" w:cs="宋体"/>
                <w:color w:val="000000" w:themeColor="text1"/>
                <w:sz w:val="24"/>
                <w:szCs w:val="24"/>
                <w:lang w:eastAsia="zh-CN"/>
                <w14:textFill>
                  <w14:solidFill>
                    <w14:schemeClr w14:val="tx1"/>
                  </w14:solidFill>
                </w14:textFill>
              </w:rPr>
              <w:t>。</w:t>
            </w:r>
          </w:p>
          <w:p>
            <w:pPr>
              <w:pStyle w:val="262"/>
              <w:spacing w:before="103"/>
              <w:ind w:left="2"/>
              <w:rPr>
                <w:rFonts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缴纳时间：</w:t>
            </w:r>
            <w:r>
              <w:rPr>
                <w:rFonts w:hint="eastAsia" w:ascii="宋体" w:hAnsi="宋体" w:eastAsia="宋体" w:cs="宋体"/>
                <w:color w:val="000000" w:themeColor="text1"/>
                <w:sz w:val="24"/>
                <w:szCs w:val="24"/>
                <w:u w:val="single"/>
                <w:lang w:eastAsia="zh-CN"/>
                <w14:textFill>
                  <w14:solidFill>
                    <w14:schemeClr w14:val="tx1"/>
                  </w14:solidFill>
                </w14:textFill>
              </w:rPr>
              <w:t>中标人在中标通知书发出之日起5个工作日内向采</w:t>
            </w:r>
          </w:p>
          <w:p>
            <w:pPr>
              <w:pStyle w:val="262"/>
              <w:spacing w:before="103"/>
              <w:ind w:left="2"/>
              <w:rPr>
                <w:rFonts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u w:val="single"/>
                <w:lang w:eastAsia="zh-CN"/>
                <w14:textFill>
                  <w14:solidFill>
                    <w14:schemeClr w14:val="tx1"/>
                  </w14:solidFill>
                </w14:textFill>
              </w:rPr>
              <w:t>购代理机构缴付中标服务费</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ascii="宋体" w:hAnsi="宋体" w:cs="宋体"/>
          <w:color w:val="000000" w:themeColor="text1"/>
          <w14:textFill>
            <w14:solidFill>
              <w14:schemeClr w14:val="tx1"/>
            </w14:solidFill>
          </w14:textFill>
        </w:rPr>
      </w:pPr>
    </w:p>
    <w:p>
      <w:pPr>
        <w:widowControl/>
        <w:jc w:val="left"/>
        <w:rPr>
          <w:rFonts w:ascii="宋体" w:hAnsi="宋体" w:cs="宋体"/>
          <w:b/>
          <w:color w:val="000000" w:themeColor="text1"/>
          <w:sz w:val="28"/>
          <w:szCs w:val="28"/>
          <w14:textFill>
            <w14:solidFill>
              <w14:schemeClr w14:val="tx1"/>
            </w14:solidFill>
          </w14:textFill>
        </w:rPr>
      </w:pPr>
      <w:bookmarkStart w:id="94" w:name="_Toc264969207"/>
      <w:bookmarkStart w:id="95" w:name="_Toc142311019"/>
      <w:bookmarkStart w:id="96" w:name="_Toc353825542"/>
      <w:bookmarkStart w:id="97" w:name="_Toc150774722"/>
      <w:bookmarkStart w:id="98" w:name="_Toc353873662"/>
      <w:bookmarkStart w:id="99" w:name="_Toc226337213"/>
      <w:bookmarkStart w:id="100" w:name="_Toc265228355"/>
      <w:bookmarkStart w:id="101" w:name="_Toc305158859"/>
      <w:bookmarkStart w:id="102" w:name="_Toc150480755"/>
      <w:bookmarkStart w:id="103" w:name="_Toc127151517"/>
      <w:bookmarkStart w:id="104" w:name="_Toc195842882"/>
      <w:bookmarkStart w:id="105" w:name="_Toc353873932"/>
      <w:bookmarkStart w:id="106" w:name="_Toc226965790"/>
      <w:bookmarkStart w:id="107" w:name="_Toc305158785"/>
      <w:r>
        <w:rPr>
          <w:rFonts w:ascii="宋体" w:hAnsi="宋体" w:cs="宋体"/>
          <w:b/>
          <w:color w:val="000000" w:themeColor="text1"/>
          <w:sz w:val="28"/>
          <w:szCs w:val="28"/>
          <w14:textFill>
            <w14:solidFill>
              <w14:schemeClr w14:val="tx1"/>
            </w14:solidFill>
          </w14:textFill>
        </w:rPr>
        <w:br w:type="page"/>
      </w:r>
    </w:p>
    <w:p>
      <w:pPr>
        <w:spacing w:before="240" w:beforeLines="100" w:after="240" w:afterLines="10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投标人须知</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pStyle w:val="6"/>
        <w:rPr>
          <w:rStyle w:val="465"/>
          <w:rFonts w:hint="default" w:ascii="宋体" w:hAnsi="宋体"/>
          <w:b/>
          <w:szCs w:val="28"/>
        </w:rPr>
      </w:pPr>
      <w:bookmarkStart w:id="108" w:name="_Toc226965708"/>
      <w:bookmarkStart w:id="109" w:name="_Toc305158786"/>
      <w:bookmarkStart w:id="110" w:name="_Toc150509269"/>
      <w:bookmarkStart w:id="111" w:name="_Toc520356143"/>
      <w:bookmarkStart w:id="112" w:name="_Toc226309762"/>
      <w:bookmarkStart w:id="113" w:name="_Toc151193616"/>
      <w:bookmarkStart w:id="114" w:name="_Toc226337214"/>
      <w:bookmarkStart w:id="115" w:name="_Toc151190145"/>
      <w:bookmarkStart w:id="116" w:name="_Toc305158860"/>
      <w:bookmarkStart w:id="117" w:name="_Toc151193688"/>
      <w:bookmarkStart w:id="118" w:name="_Toc142311020"/>
      <w:bookmarkStart w:id="119" w:name="_Toc127151518"/>
      <w:bookmarkStart w:id="120" w:name="_Toc265228356"/>
      <w:bookmarkStart w:id="121" w:name="_Toc195842883"/>
      <w:bookmarkStart w:id="122" w:name="_Toc226965791"/>
      <w:bookmarkStart w:id="123" w:name="_Toc150774618"/>
      <w:bookmarkStart w:id="124" w:name="_Toc264969208"/>
      <w:bookmarkStart w:id="125" w:name="_Toc150480756"/>
      <w:bookmarkStart w:id="126" w:name="_Toc151193760"/>
      <w:bookmarkStart w:id="127" w:name="_Toc151193906"/>
      <w:bookmarkStart w:id="128" w:name="_Toc151193832"/>
      <w:bookmarkStart w:id="129" w:name="_Toc150774723"/>
      <w:r>
        <w:rPr>
          <w:rStyle w:val="465"/>
          <w:rFonts w:hint="default" w:ascii="宋体" w:hAnsi="宋体"/>
          <w:b/>
          <w:szCs w:val="28"/>
        </w:rPr>
        <w:t>一   说  明</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0" w:name="_Toc265228357"/>
      <w:bookmarkStart w:id="131" w:name="_Toc305158787"/>
      <w:bookmarkStart w:id="132" w:name="_Toc305158861"/>
      <w:bookmarkStart w:id="133" w:name="_Toc264969209"/>
      <w:r>
        <w:rPr>
          <w:rFonts w:hint="eastAsia" w:ascii="宋体" w:hAnsi="宋体" w:cs="宋体"/>
          <w:color w:val="000000" w:themeColor="text1"/>
          <w:sz w:val="24"/>
          <w14:textFill>
            <w14:solidFill>
              <w14:schemeClr w14:val="tx1"/>
            </w14:solidFill>
          </w14:textFill>
        </w:rPr>
        <w:t>采购人、采购代理机构、投标人</w:t>
      </w:r>
      <w:bookmarkEnd w:id="130"/>
      <w:bookmarkEnd w:id="131"/>
      <w:bookmarkEnd w:id="132"/>
      <w:bookmarkEnd w:id="133"/>
      <w:r>
        <w:rPr>
          <w:rFonts w:hint="eastAsia" w:ascii="宋体" w:hAnsi="宋体" w:cs="宋体"/>
          <w:color w:val="000000" w:themeColor="text1"/>
          <w:sz w:val="24"/>
          <w14:textFill>
            <w14:solidFill>
              <w14:schemeClr w14:val="tx1"/>
            </w14:solidFill>
          </w14:textFill>
        </w:rPr>
        <w:t>、联合体</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4" w:name="_Toc305158862"/>
      <w:bookmarkStart w:id="135" w:name="_Toc151193908"/>
      <w:bookmarkStart w:id="136" w:name="_Toc164351614"/>
      <w:bookmarkStart w:id="137" w:name="_Toc127151520"/>
      <w:bookmarkStart w:id="138" w:name="_Toc151193690"/>
      <w:bookmarkStart w:id="139" w:name="_Toc264969210"/>
      <w:bookmarkStart w:id="140" w:name="_Toc195842885"/>
      <w:bookmarkStart w:id="141" w:name="_Toc226965793"/>
      <w:bookmarkStart w:id="142" w:name="_Toc151193618"/>
      <w:bookmarkStart w:id="143" w:name="_Toc265228358"/>
      <w:bookmarkStart w:id="144" w:name="_Toc164229361"/>
      <w:bookmarkStart w:id="145" w:name="_Toc150509271"/>
      <w:bookmarkStart w:id="146" w:name="_Toc226309764"/>
      <w:bookmarkStart w:id="147" w:name="_Toc150480758"/>
      <w:bookmarkStart w:id="148" w:name="_Toc142311022"/>
      <w:bookmarkStart w:id="149" w:name="_Toc151190147"/>
      <w:bookmarkStart w:id="150" w:name="_Toc127151721"/>
      <w:bookmarkStart w:id="151" w:name="_Toc149720813"/>
      <w:bookmarkStart w:id="152" w:name="_Toc150774620"/>
      <w:bookmarkStart w:id="153" w:name="_Toc305158788"/>
      <w:bookmarkStart w:id="154" w:name="_Toc226337216"/>
      <w:bookmarkStart w:id="155" w:name="_Toc150774725"/>
      <w:bookmarkStart w:id="156" w:name="_Toc226965710"/>
      <w:bookmarkStart w:id="157" w:name="_Toc164608789"/>
      <w:bookmarkStart w:id="158" w:name="_Toc151193834"/>
      <w:bookmarkStart w:id="159" w:name="_Toc127161434"/>
      <w:bookmarkStart w:id="160" w:name="_Toc164229215"/>
      <w:bookmarkStart w:id="161" w:name="_Toc151193762"/>
      <w:bookmarkStart w:id="162" w:name="_Toc164608634"/>
      <w:r>
        <w:rPr>
          <w:rFonts w:hint="eastAsia" w:ascii="宋体" w:hAnsi="宋体" w:cs="宋体"/>
          <w:color w:val="000000" w:themeColor="text1"/>
          <w:sz w:val="24"/>
          <w14:textFill>
            <w14:solidFill>
              <w14:schemeClr w14:val="tx1"/>
            </w14:solidFill>
          </w14:textFill>
        </w:rPr>
        <w:t>资金来源</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Pr>
          <w:rFonts w:hint="eastAsia" w:ascii="宋体" w:hAnsi="宋体" w:cs="宋体"/>
          <w:color w:val="000000" w:themeColor="text1"/>
          <w:sz w:val="24"/>
          <w14:textFill>
            <w14:solidFill>
              <w14:schemeClr w14:val="tx1"/>
            </w14:solidFill>
          </w14:textFill>
        </w:rPr>
        <w:t>、项目属性、科研仪器设备采购、核心产品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项目属性见《投标人须知资料表》。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核心产品见《投标人须知资料表》。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现场考察、开标前答疑会</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若《投标人须知资料表》中规定了组织现场考察、召开开标前答疑会，则投标人应按要求在规定的时间和地点参加。</w:t>
      </w:r>
      <w:bookmarkStart w:id="163" w:name="_Toc305158864"/>
      <w:bookmarkStart w:id="164" w:name="_Toc142311024"/>
      <w:bookmarkStart w:id="165" w:name="_Toc226965795"/>
      <w:bookmarkStart w:id="166" w:name="_Toc265228360"/>
      <w:bookmarkStart w:id="167" w:name="_Toc226309766"/>
      <w:bookmarkStart w:id="168" w:name="_Toc151190149"/>
      <w:bookmarkStart w:id="169" w:name="_Toc150480760"/>
      <w:bookmarkStart w:id="170" w:name="_Toc264969212"/>
      <w:bookmarkStart w:id="171" w:name="_Toc150774727"/>
      <w:bookmarkStart w:id="172" w:name="_Toc226965712"/>
      <w:bookmarkStart w:id="173" w:name="_Toc151193910"/>
      <w:bookmarkStart w:id="174" w:name="_Toc150774622"/>
      <w:bookmarkStart w:id="175" w:name="_Toc151193620"/>
      <w:bookmarkStart w:id="176" w:name="_Toc151193764"/>
      <w:bookmarkStart w:id="177" w:name="_Toc305158790"/>
      <w:bookmarkStart w:id="178" w:name="_Toc151193836"/>
      <w:bookmarkStart w:id="179" w:name="_Toc226337218"/>
      <w:bookmarkStart w:id="180" w:name="_Toc127151522"/>
      <w:bookmarkStart w:id="181" w:name="_Toc195842887"/>
      <w:bookmarkStart w:id="182" w:name="_Toc151193692"/>
      <w:bookmarkStart w:id="183" w:name="_Toc150509273"/>
      <w:bookmarkStart w:id="184" w:name="_Toc520356146"/>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政府采购政策（包括但不限于下列具体政策要求）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采购本国货物、工程和服务</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政府采购应当采购本国货物、工程和服务。但有</w:t>
      </w:r>
      <w:r>
        <w:rPr>
          <w:rFonts w:hint="eastAsia" w:ascii="宋体" w:hAnsi="宋体" w:cs="宋体"/>
          <w:b/>
          <w:color w:val="000000" w:themeColor="text1"/>
          <w:sz w:val="24"/>
          <w14:textFill>
            <w14:solidFill>
              <w14:schemeClr w14:val="tx1"/>
            </w14:solidFill>
          </w14:textFill>
        </w:rPr>
        <w:t>《中华人民共和国政府采购法》</w:t>
      </w:r>
      <w:r>
        <w:rPr>
          <w:rFonts w:hint="eastAsia" w:ascii="宋体" w:hAnsi="宋体" w:cs="宋体"/>
          <w:color w:val="000000" w:themeColor="text1"/>
          <w:sz w:val="24"/>
          <w14:textFill>
            <w14:solidFill>
              <w14:schemeClr w14:val="tx1"/>
            </w14:solidFill>
          </w14:textFill>
        </w:rPr>
        <w:t>第十条规定情形的除外。</w:t>
      </w:r>
    </w:p>
    <w:p>
      <w:pPr>
        <w:pStyle w:val="17"/>
        <w:numPr>
          <w:ilvl w:val="2"/>
          <w:numId w:val="9"/>
        </w:numPr>
        <w:spacing w:line="360" w:lineRule="auto"/>
        <w:ind w:firstLineChars="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本国产品应当符合以下条件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（一）在中国境内生产</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属性改变是指经过制造、加工或者组装等工序，产生完全不同于原材料、组件的新产品，并具有新的名称和特征（用途）。属性改变不包括以下细微操作：</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为确保产品在运输或者储存期间保持某种状态而进行的操作；</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为产品运输或者销售进行的包装或者展示；</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在产品或者其包装上粘贴或者印刷品牌、标志、标识以及其他用于区别的标记；</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简单的上漆、磨光和分装；</w:t>
      </w:r>
    </w:p>
    <w:p>
      <w:pPr>
        <w:pStyle w:val="17"/>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其他不属于属性改变的情形。</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产品在中国境内生产的组件成本占比应当达到规定比例，计算公式为：</w:t>
      </w:r>
      <w:r>
        <w:rPr>
          <w:rFonts w:ascii="宋体" w:hAnsi="宋体" w:cs="宋体"/>
          <w:color w:val="000000" w:themeColor="text1"/>
          <w:sz w:val="24"/>
          <w14:textFill>
            <w14:solidFill>
              <w14:schemeClr w14:val="tx1"/>
            </w14:solidFill>
          </w14:textFill>
        </w:rPr>
        <w:drawing>
          <wp:inline distT="0" distB="0" distL="0" distR="0">
            <wp:extent cx="2731135" cy="391795"/>
            <wp:effectExtent l="0" t="0" r="0"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（三）特定产品的关键组件、关键工序符合相关要求</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ascii="宋体" w:hAnsi="宋体"/>
          <w:sz w:val="24"/>
        </w:rPr>
      </w:pPr>
      <w:r>
        <w:rPr>
          <w:rFonts w:hint="eastAsia" w:ascii="宋体" w:hAnsi="宋体" w:cs="宋体"/>
          <w:color w:val="000000" w:themeColor="text1"/>
          <w:sz w:val="24"/>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（四）需要对成本核算规则予以进一步明确的其他有关事项，由财政部会同有关部门另行规定。</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中小企业、监狱企业及残疾人福利性单位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中小企业定义：</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中小企业是指在中华人民共和国境内依法设立，依</w:t>
      </w:r>
    </w:p>
    <w:p>
      <w:pPr>
        <w:tabs>
          <w:tab w:val="left" w:pos="1980"/>
          <w:tab w:val="left" w:pos="2035"/>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供应商提供的货物、工程或者服务符合下列情形的，</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享受中小企业扶持政策：</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（2）在工程采购项目中，工程由中小企业承建，即工程施工单位为中小企业；</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在货物采购项目中，供应商提供的货物既有中小企</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以联合体形式参加政府采购活动，联合体各方均为</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中小企业的，联合体视同中小企业。其中，联合体各方均为小微企业的，联合体视同小微企业。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本项目是否专门面向中小企业预留采购份额见第一章《投标邀请》。</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采购标的对应的中小企业划分标准所属行业见《投标人须知资料表》。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正版软件</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各级政府部门在购置计算机办公设</w:t>
      </w:r>
      <w:bookmarkStart w:id="185" w:name="OLE_LINK25"/>
      <w:bookmarkStart w:id="186" w:name="OLE_LINK24"/>
      <w:r>
        <w:rPr>
          <w:rFonts w:hint="eastAsia" w:ascii="宋体" w:hAnsi="宋体" w:cs="宋体"/>
          <w:color w:val="000000" w:themeColor="text1"/>
          <w:sz w:val="24"/>
          <w14:textFill>
            <w14:solidFill>
              <w14:schemeClr w14:val="tx1"/>
            </w14:solidFill>
          </w14:textFill>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85"/>
      <w:bookmarkEnd w:id="186"/>
      <w:r>
        <w:rPr>
          <w:rFonts w:hint="eastAsia" w:ascii="宋体" w:hAnsi="宋体" w:cs="宋体"/>
          <w:color w:val="000000" w:themeColor="text1"/>
          <w:sz w:val="24"/>
          <w14:textFill>
            <w14:solidFill>
              <w14:schemeClr w14:val="tx1"/>
            </w14:solidFill>
          </w14:textFill>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网络安全专用产品</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87" w:name="OLE_LINK28"/>
      <w:bookmarkStart w:id="188" w:name="OLE_LINK29"/>
      <w:r>
        <w:rPr>
          <w:rFonts w:hint="eastAsia" w:ascii="宋体" w:hAnsi="宋体" w:cs="宋体"/>
          <w:color w:val="000000" w:themeColor="text1"/>
          <w:sz w:val="24"/>
          <w14:textFill>
            <w14:solidFill>
              <w14:schemeClr w14:val="tx1"/>
            </w14:solidFill>
          </w14:textFill>
        </w:rPr>
        <w:t>根据</w:t>
      </w:r>
      <w:bookmarkStart w:id="189" w:name="OLE_LINK26"/>
      <w:bookmarkStart w:id="190" w:name="OLE_LINK32"/>
      <w:bookmarkStart w:id="191" w:name="OLE_LINK33"/>
      <w:r>
        <w:rPr>
          <w:rFonts w:hint="eastAsia" w:ascii="宋体" w:hAnsi="宋体" w:cs="宋体"/>
          <w:color w:val="000000" w:themeColor="text1"/>
          <w:sz w:val="24"/>
          <w14:textFill>
            <w14:solidFill>
              <w14:schemeClr w14:val="tx1"/>
            </w14:solidFill>
          </w14:textFill>
        </w:rPr>
        <w:t>《关于调整网络安全专用产品安全管理有关事项的公告》</w:t>
      </w:r>
      <w:bookmarkEnd w:id="189"/>
      <w:r>
        <w:rPr>
          <w:rFonts w:hint="eastAsia" w:ascii="宋体" w:hAnsi="宋体" w:cs="宋体"/>
          <w:color w:val="000000" w:themeColor="text1"/>
          <w:sz w:val="24"/>
          <w14:textFill>
            <w14:solidFill>
              <w14:schemeClr w14:val="tx1"/>
            </w14:solidFill>
          </w14:textFill>
        </w:rPr>
        <w:t>（2023年第1号）</w:t>
      </w:r>
      <w:bookmarkEnd w:id="190"/>
      <w:bookmarkEnd w:id="191"/>
      <w:r>
        <w:rPr>
          <w:rFonts w:hint="eastAsia" w:ascii="宋体" w:hAnsi="宋体" w:cs="宋体"/>
          <w:color w:val="000000" w:themeColor="text1"/>
          <w:sz w:val="24"/>
          <w14:textFill>
            <w14:solidFill>
              <w14:schemeClr w14:val="tx1"/>
            </w14:solidFill>
          </w14:textFill>
        </w:rPr>
        <w:t>，所提供产品属于列入</w:t>
      </w:r>
      <w:bookmarkStart w:id="192" w:name="OLE_LINK27"/>
      <w:r>
        <w:rPr>
          <w:rFonts w:hint="eastAsia" w:ascii="宋体" w:hAnsi="宋体" w:cs="宋体"/>
          <w:color w:val="000000" w:themeColor="text1"/>
          <w:sz w:val="24"/>
          <w14:textFill>
            <w14:solidFill>
              <w14:schemeClr w14:val="tx1"/>
            </w14:solidFill>
          </w14:textFill>
        </w:rPr>
        <w:t>《网络关键设备和网络安全专用产品目录》</w:t>
      </w:r>
      <w:bookmarkEnd w:id="192"/>
      <w:r>
        <w:rPr>
          <w:rFonts w:hint="eastAsia" w:ascii="宋体" w:hAnsi="宋体" w:cs="宋体"/>
          <w:color w:val="000000" w:themeColor="text1"/>
          <w:sz w:val="24"/>
          <w14:textFill>
            <w14:solidFill>
              <w14:schemeClr w14:val="tx1"/>
            </w14:solidFill>
          </w14:textFill>
        </w:rPr>
        <w:t>的网络安全专用产品时，应当按照《信息安全技术网络安全专用产品安全技术要求》等相关国家标准的强制性要求，由具备资格 的机构安全认证合格或者安全检测符合要求。</w:t>
      </w:r>
      <w:bookmarkEnd w:id="187"/>
      <w:bookmarkEnd w:id="188"/>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推广使用低挥发性有机化合物（VOCs）</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采购需求标准</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3" w:name="OLE_LINK62"/>
      <w:bookmarkStart w:id="194" w:name="OLE_LINK61"/>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3"/>
    <w:bookmarkEnd w:id="194"/>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其他政府采购需求标准</w:t>
      </w:r>
    </w:p>
    <w:p>
      <w:pPr>
        <w:tabs>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投标费用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color w:val="000000" w:themeColor="text1"/>
          <w:sz w:val="28"/>
          <w14:textFill>
            <w14:solidFill>
              <w14:schemeClr w14:val="tx1"/>
            </w14:solidFill>
          </w14:textFill>
        </w:rPr>
      </w:pPr>
      <w:bookmarkStart w:id="195" w:name="_1.8_计量单位"/>
      <w:bookmarkEnd w:id="195"/>
    </w:p>
    <w:p>
      <w:pPr>
        <w:pStyle w:val="6"/>
        <w:rPr>
          <w:rStyle w:val="465"/>
          <w:rFonts w:hint="default" w:ascii="宋体" w:hAnsi="宋体"/>
          <w:b/>
        </w:rPr>
      </w:pPr>
      <w:r>
        <w:rPr>
          <w:rStyle w:val="465"/>
          <w:rFonts w:hint="default" w:ascii="宋体" w:hAnsi="宋体"/>
          <w:b/>
        </w:rPr>
        <w:t>二   招标文件</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96" w:name="_Toc164608792"/>
      <w:bookmarkStart w:id="197" w:name="_Toc305158791"/>
      <w:bookmarkStart w:id="198" w:name="_Toc226309767"/>
      <w:bookmarkStart w:id="199" w:name="_Toc265228361"/>
      <w:bookmarkStart w:id="200" w:name="_Toc151193837"/>
      <w:bookmarkStart w:id="201" w:name="_Toc164229218"/>
      <w:bookmarkStart w:id="202" w:name="_Toc520356147"/>
      <w:bookmarkStart w:id="203" w:name="_Toc150774623"/>
      <w:bookmarkStart w:id="204" w:name="_Toc151193765"/>
      <w:bookmarkStart w:id="205" w:name="_Toc151193693"/>
      <w:bookmarkStart w:id="206" w:name="_Toc142311025"/>
      <w:bookmarkStart w:id="207" w:name="_Toc164608637"/>
      <w:bookmarkStart w:id="208" w:name="_Toc164351617"/>
      <w:bookmarkStart w:id="209" w:name="_Toc149720816"/>
      <w:bookmarkStart w:id="210" w:name="_Toc151190150"/>
      <w:bookmarkStart w:id="211" w:name="_Toc127151724"/>
      <w:bookmarkStart w:id="212" w:name="_Toc127151523"/>
      <w:bookmarkStart w:id="213" w:name="_Toc226337219"/>
      <w:bookmarkStart w:id="214" w:name="_Toc305158865"/>
      <w:bookmarkStart w:id="215" w:name="_Toc150480761"/>
      <w:bookmarkStart w:id="216" w:name="_Toc150774728"/>
      <w:bookmarkStart w:id="217" w:name="_Toc151193911"/>
      <w:bookmarkStart w:id="218" w:name="_Toc226965796"/>
      <w:bookmarkStart w:id="219" w:name="_Toc150509274"/>
      <w:bookmarkStart w:id="220" w:name="_Toc226965713"/>
      <w:bookmarkStart w:id="221" w:name="_Toc127161437"/>
      <w:bookmarkStart w:id="222" w:name="_Toc195842888"/>
      <w:bookmarkStart w:id="223" w:name="_Toc264969213"/>
      <w:bookmarkStart w:id="224" w:name="_Toc151193621"/>
      <w:bookmarkStart w:id="225" w:name="_Toc164229364"/>
      <w:r>
        <w:rPr>
          <w:rFonts w:hint="eastAsia" w:ascii="宋体" w:hAnsi="宋体" w:cs="宋体"/>
          <w:color w:val="000000" w:themeColor="text1"/>
          <w:sz w:val="24"/>
          <w14:textFill>
            <w14:solidFill>
              <w14:schemeClr w14:val="tx1"/>
            </w14:solidFill>
          </w14:textFill>
        </w:rPr>
        <w:t>招标文件构</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Pr>
          <w:rFonts w:hint="eastAsia" w:ascii="宋体" w:hAnsi="宋体" w:cs="宋体"/>
          <w:color w:val="000000" w:themeColor="text1"/>
          <w:sz w:val="24"/>
          <w14:textFill>
            <w14:solidFill>
              <w14:schemeClr w14:val="tx1"/>
            </w14:solidFill>
          </w14:textFill>
        </w:rPr>
        <w:t>成</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招标文件包括以下部分：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投标邀请</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采购需求</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拟签订的合同文本</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投标文件格式</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1080"/>
          <w:tab w:val="left" w:pos="2014"/>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对招标文件的澄清或修改</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color w:val="000000" w:themeColor="text1"/>
          <w:sz w:val="28"/>
          <w14:textFill>
            <w14:solidFill>
              <w14:schemeClr w14:val="tx1"/>
            </w14:solidFill>
          </w14:textFill>
        </w:rPr>
      </w:pPr>
      <w:bookmarkStart w:id="226" w:name="_Toc516367020"/>
      <w:bookmarkStart w:id="227" w:name="_Toc264969216"/>
      <w:bookmarkStart w:id="228" w:name="_Toc151193624"/>
      <w:bookmarkStart w:id="229" w:name="_Toc150774731"/>
      <w:bookmarkStart w:id="230" w:name="_Toc150509277"/>
      <w:bookmarkStart w:id="231" w:name="_Toc226337222"/>
      <w:bookmarkStart w:id="232" w:name="_Toc150480764"/>
      <w:bookmarkStart w:id="233" w:name="_Toc151193696"/>
      <w:bookmarkStart w:id="234" w:name="_Toc226965716"/>
      <w:bookmarkStart w:id="235" w:name="_Toc305158868"/>
      <w:bookmarkStart w:id="236" w:name="_Toc142311028"/>
      <w:bookmarkStart w:id="237" w:name="_Toc305158794"/>
      <w:bookmarkStart w:id="238" w:name="_Toc226309770"/>
      <w:bookmarkStart w:id="239" w:name="_Toc151193914"/>
      <w:bookmarkStart w:id="240" w:name="_Toc265228364"/>
      <w:bookmarkStart w:id="241" w:name="_Toc520356150"/>
      <w:bookmarkStart w:id="242" w:name="_Toc127151526"/>
      <w:bookmarkStart w:id="243" w:name="_Toc151193840"/>
      <w:bookmarkStart w:id="244" w:name="_Toc226965799"/>
      <w:bookmarkStart w:id="245" w:name="_Toc150774626"/>
      <w:bookmarkStart w:id="246" w:name="_Toc151193768"/>
      <w:bookmarkStart w:id="247" w:name="_Toc195842891"/>
      <w:bookmarkStart w:id="248" w:name="_Toc151190153"/>
    </w:p>
    <w:p>
      <w:pPr>
        <w:pStyle w:val="6"/>
        <w:rPr>
          <w:rStyle w:val="465"/>
          <w:rFonts w:hint="default" w:ascii="宋体" w:hAnsi="宋体"/>
          <w:b/>
        </w:rPr>
      </w:pPr>
      <w:r>
        <w:rPr>
          <w:rStyle w:val="465"/>
          <w:rFonts w:hint="default" w:ascii="宋体" w:hAnsi="宋体"/>
          <w:b/>
        </w:rPr>
        <w:t>三   投标文件</w:t>
      </w:r>
      <w:bookmarkEnd w:id="226"/>
      <w:r>
        <w:rPr>
          <w:rStyle w:val="465"/>
          <w:rFonts w:hint="default" w:ascii="宋体" w:hAnsi="宋体"/>
          <w:b/>
        </w:rPr>
        <w:t>的编制</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49" w:name="_Toc164608796"/>
      <w:bookmarkStart w:id="250" w:name="_Toc150774732"/>
      <w:bookmarkStart w:id="251" w:name="_Toc164229368"/>
      <w:bookmarkStart w:id="252" w:name="_Toc164229222"/>
      <w:bookmarkStart w:id="253" w:name="_Toc226337223"/>
      <w:bookmarkStart w:id="254" w:name="_Toc150509278"/>
      <w:bookmarkStart w:id="255" w:name="_Toc264969217"/>
      <w:bookmarkStart w:id="256" w:name="_Toc150480765"/>
      <w:bookmarkStart w:id="257" w:name="_Toc151193841"/>
      <w:bookmarkStart w:id="258" w:name="_Toc150774627"/>
      <w:bookmarkStart w:id="259" w:name="_Toc151190154"/>
      <w:bookmarkStart w:id="260" w:name="_Toc265228365"/>
      <w:bookmarkStart w:id="261" w:name="_Toc226965717"/>
      <w:bookmarkStart w:id="262" w:name="_Toc226965800"/>
      <w:bookmarkStart w:id="263" w:name="_Toc151193915"/>
      <w:bookmarkStart w:id="264" w:name="_Toc226309771"/>
      <w:bookmarkStart w:id="265" w:name="_Toc142311029"/>
      <w:bookmarkStart w:id="266" w:name="_Toc151193697"/>
      <w:bookmarkStart w:id="267" w:name="_Toc127151728"/>
      <w:bookmarkStart w:id="268" w:name="_Toc195842892"/>
      <w:bookmarkStart w:id="269" w:name="_Toc305158869"/>
      <w:bookmarkStart w:id="270" w:name="_Toc520356151"/>
      <w:bookmarkStart w:id="271" w:name="_Toc164608641"/>
      <w:bookmarkStart w:id="272" w:name="_Toc516367021"/>
      <w:bookmarkStart w:id="273" w:name="_Toc151193625"/>
      <w:bookmarkStart w:id="274" w:name="_Toc127161441"/>
      <w:bookmarkStart w:id="275" w:name="_Toc127151527"/>
      <w:bookmarkStart w:id="276" w:name="_Toc151193769"/>
      <w:bookmarkStart w:id="277" w:name="_Toc164351621"/>
      <w:bookmarkStart w:id="278" w:name="_Toc149720820"/>
      <w:bookmarkStart w:id="279" w:name="_Toc305158795"/>
      <w:r>
        <w:rPr>
          <w:rFonts w:hint="eastAsia" w:ascii="宋体" w:hAnsi="宋体" w:cs="宋体"/>
          <w:color w:val="000000" w:themeColor="text1"/>
          <w:sz w:val="24"/>
          <w14:textFill>
            <w14:solidFill>
              <w14:schemeClr w14:val="tx1"/>
            </w14:solidFill>
          </w14:textFill>
        </w:rPr>
        <w:t>投标范围、投标文件中计量单位的使用</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rFonts w:hint="eastAsia" w:ascii="宋体" w:hAnsi="宋体" w:cs="宋体"/>
          <w:color w:val="000000" w:themeColor="text1"/>
          <w:sz w:val="24"/>
          <w14:textFill>
            <w14:solidFill>
              <w14:schemeClr w14:val="tx1"/>
            </w14:solidFill>
          </w14:textFill>
        </w:rPr>
        <w:t>及投标语言</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000000" w:themeColor="text1"/>
          <w:sz w:val="24"/>
          <w14:textFill>
            <w14:solidFill>
              <w14:schemeClr w14:val="tx1"/>
            </w14:solidFill>
          </w14:textFill>
        </w:rPr>
        <w:t>无效投标</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80" w:name="_Ref467306195"/>
      <w:bookmarkStart w:id="281" w:name="_Ref467306676"/>
      <w:bookmarkStart w:id="282" w:name="_Toc516367022"/>
      <w:bookmarkStart w:id="283" w:name="_Toc164608642"/>
      <w:bookmarkStart w:id="284" w:name="_Toc150774628"/>
      <w:bookmarkStart w:id="285" w:name="_Toc151190155"/>
      <w:bookmarkStart w:id="286" w:name="_Toc151193770"/>
      <w:bookmarkStart w:id="287" w:name="_Toc127161442"/>
      <w:bookmarkStart w:id="288" w:name="_Toc164608797"/>
      <w:bookmarkStart w:id="289" w:name="_Toc226965718"/>
      <w:bookmarkStart w:id="290" w:name="_Toc226965801"/>
      <w:bookmarkStart w:id="291" w:name="_Toc151193626"/>
      <w:bookmarkStart w:id="292" w:name="_Toc305158796"/>
      <w:bookmarkStart w:id="293" w:name="_Toc149720821"/>
      <w:bookmarkStart w:id="294" w:name="_Toc151193698"/>
      <w:bookmarkStart w:id="295" w:name="_Toc150509279"/>
      <w:bookmarkStart w:id="296" w:name="_Toc226309772"/>
      <w:bookmarkStart w:id="297" w:name="_Toc127151729"/>
      <w:bookmarkStart w:id="298" w:name="_Toc520356152"/>
      <w:bookmarkStart w:id="299" w:name="_Toc265228366"/>
      <w:bookmarkStart w:id="300" w:name="_Toc150774733"/>
      <w:bookmarkStart w:id="301" w:name="_Toc150480766"/>
      <w:bookmarkStart w:id="302" w:name="_Toc164229223"/>
      <w:bookmarkStart w:id="303" w:name="_Toc164229369"/>
      <w:bookmarkStart w:id="304" w:name="_Toc226337224"/>
      <w:bookmarkStart w:id="305" w:name="_Toc151193842"/>
      <w:bookmarkStart w:id="306" w:name="_Toc142311030"/>
      <w:bookmarkStart w:id="307" w:name="_Toc195842893"/>
      <w:bookmarkStart w:id="308" w:name="_Toc305158870"/>
      <w:bookmarkStart w:id="309" w:name="_Toc164351622"/>
      <w:bookmarkStart w:id="310" w:name="_Toc151193916"/>
      <w:bookmarkStart w:id="311" w:name="_Toc264969218"/>
      <w:bookmarkStart w:id="312" w:name="_Toc127151528"/>
      <w:r>
        <w:rPr>
          <w:rFonts w:hint="eastAsia" w:ascii="宋体" w:hAnsi="宋体" w:cs="宋体"/>
          <w:color w:val="000000" w:themeColor="text1"/>
          <w:sz w:val="24"/>
          <w14:textFill>
            <w14:solidFill>
              <w14:schemeClr w14:val="tx1"/>
            </w14:solidFill>
          </w14:textFill>
        </w:rPr>
        <w:t>投标文件</w:t>
      </w:r>
      <w:bookmarkEnd w:id="280"/>
      <w:bookmarkEnd w:id="281"/>
      <w:bookmarkEnd w:id="282"/>
      <w:r>
        <w:rPr>
          <w:rFonts w:hint="eastAsia" w:ascii="宋体" w:hAnsi="宋体" w:cs="宋体"/>
          <w:color w:val="000000" w:themeColor="text1"/>
          <w:sz w:val="24"/>
          <w14:textFill>
            <w14:solidFill>
              <w14:schemeClr w14:val="tx1"/>
            </w14:solidFill>
          </w14:textFill>
        </w:rPr>
        <w:t>构成</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13" w:name="_Ref467052588"/>
      <w:r>
        <w:rPr>
          <w:rFonts w:hint="eastAsia" w:ascii="宋体" w:hAnsi="宋体" w:cs="宋体"/>
          <w:color w:val="000000" w:themeColor="text1"/>
          <w:sz w:val="24"/>
          <w:u w:val="single"/>
          <w14:textFill>
            <w14:solidFill>
              <w14:schemeClr w14:val="tx1"/>
            </w14:solidFill>
          </w14:textFill>
        </w:rPr>
        <w:t>投标人应当按照招标文件的要求编制投标文件。投标文件应由《资格证明文件》、《商务技术文件》两部分构成</w:t>
      </w:r>
      <w:r>
        <w:rPr>
          <w:rFonts w:hint="eastAsia" w:ascii="宋体" w:hAnsi="宋体" w:cs="宋体"/>
          <w:color w:val="000000" w:themeColor="text1"/>
          <w:sz w:val="24"/>
          <w14:textFill>
            <w14:solidFill>
              <w14:schemeClr w14:val="tx1"/>
            </w14:solidFill>
          </w14:textFill>
        </w:rPr>
        <w:t>。投标文件的部分格式要求，见第七章《投标文件格式》。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投标人认为应附的其他材料。</w:t>
      </w:r>
      <w:bookmarkEnd w:id="313"/>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14" w:name="_Toc142311032"/>
      <w:bookmarkStart w:id="315" w:name="_Toc164608799"/>
      <w:bookmarkStart w:id="316" w:name="_Toc151193700"/>
      <w:bookmarkStart w:id="317" w:name="_Toc127151530"/>
      <w:bookmarkStart w:id="318" w:name="_Toc150774630"/>
      <w:bookmarkStart w:id="319" w:name="_Toc164351624"/>
      <w:bookmarkStart w:id="320" w:name="_Toc164229225"/>
      <w:bookmarkStart w:id="321" w:name="_Toc164608644"/>
      <w:bookmarkStart w:id="322" w:name="_Toc164229371"/>
      <w:bookmarkStart w:id="323" w:name="_Toc151190157"/>
      <w:bookmarkStart w:id="324" w:name="_Toc127161444"/>
      <w:bookmarkStart w:id="325" w:name="_Toc127151731"/>
      <w:bookmarkStart w:id="326" w:name="_Toc149720823"/>
      <w:bookmarkStart w:id="327" w:name="_Toc520356155"/>
      <w:bookmarkStart w:id="328" w:name="_Toc151193918"/>
      <w:bookmarkStart w:id="329" w:name="_Toc151193844"/>
      <w:bookmarkStart w:id="330" w:name="_Toc150480768"/>
      <w:bookmarkStart w:id="331" w:name="_Toc150509281"/>
      <w:bookmarkStart w:id="332" w:name="_Toc195842895"/>
      <w:bookmarkStart w:id="333" w:name="_Toc151193628"/>
      <w:bookmarkStart w:id="334" w:name="_Toc150774735"/>
      <w:bookmarkStart w:id="335" w:name="_Toc151193772"/>
      <w:r>
        <w:rPr>
          <w:rFonts w:hint="eastAsia" w:ascii="宋体" w:hAnsi="宋体" w:cs="宋体"/>
          <w:color w:val="000000" w:themeColor="text1"/>
          <w:sz w:val="24"/>
          <w14:textFill>
            <w14:solidFill>
              <w14:schemeClr w14:val="tx1"/>
            </w14:solidFill>
          </w14:textFill>
        </w:rPr>
        <w:t>投标报价</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所有投标均以人民币为计价货币。</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投标人不能提供任何有选择性或可调整的报价（招标文件另有规定的除外），否则其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36" w:name="_Ref467306513"/>
      <w:bookmarkStart w:id="337" w:name="_Toc164608645"/>
      <w:bookmarkStart w:id="338" w:name="_Toc264969221"/>
      <w:bookmarkStart w:id="339" w:name="_Toc195842896"/>
      <w:bookmarkStart w:id="340" w:name="_Toc151193701"/>
      <w:bookmarkStart w:id="341" w:name="_Toc151193773"/>
      <w:bookmarkStart w:id="342" w:name="_Toc127151732"/>
      <w:bookmarkStart w:id="343" w:name="_Toc164229372"/>
      <w:bookmarkStart w:id="344" w:name="_Toc520356156"/>
      <w:bookmarkStart w:id="345" w:name="_Toc150774736"/>
      <w:bookmarkStart w:id="346" w:name="_Toc164351625"/>
      <w:bookmarkStart w:id="347" w:name="_Toc226309775"/>
      <w:bookmarkStart w:id="348" w:name="_Toc149720824"/>
      <w:bookmarkStart w:id="349" w:name="_Toc226965721"/>
      <w:bookmarkStart w:id="350" w:name="_Toc151193919"/>
      <w:bookmarkStart w:id="351" w:name="_Toc127151531"/>
      <w:bookmarkStart w:id="352" w:name="_Toc150509282"/>
      <w:bookmarkStart w:id="353" w:name="_Toc305158799"/>
      <w:bookmarkStart w:id="354" w:name="_Toc226337227"/>
      <w:bookmarkStart w:id="355" w:name="_Toc127161445"/>
      <w:bookmarkStart w:id="356" w:name="_Toc164229226"/>
      <w:bookmarkStart w:id="357" w:name="_Toc150774631"/>
      <w:bookmarkStart w:id="358" w:name="_Toc305158873"/>
      <w:bookmarkStart w:id="359" w:name="_Toc151190158"/>
      <w:bookmarkStart w:id="360" w:name="_Toc226965804"/>
      <w:bookmarkStart w:id="361" w:name="_Toc142311033"/>
      <w:bookmarkStart w:id="362" w:name="_Toc164608800"/>
      <w:bookmarkStart w:id="363" w:name="_Toc151193629"/>
      <w:bookmarkStart w:id="364" w:name="_Toc150480769"/>
      <w:bookmarkStart w:id="365" w:name="_Toc151193845"/>
      <w:bookmarkStart w:id="366" w:name="_Toc265228369"/>
      <w:r>
        <w:rPr>
          <w:rFonts w:hint="eastAsia" w:ascii="宋体" w:hAnsi="宋体" w:cs="宋体"/>
          <w:color w:val="000000" w:themeColor="text1"/>
          <w:sz w:val="24"/>
          <w14:textFill>
            <w14:solidFill>
              <w14:schemeClr w14:val="tx1"/>
            </w14:solidFill>
          </w14:textFill>
        </w:rPr>
        <w:t>投标保证金</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67" w:name="_Ref467306302"/>
      <w:r>
        <w:rPr>
          <w:rFonts w:hint="eastAsia" w:ascii="宋体" w:hAnsi="宋体" w:cs="宋体"/>
          <w:color w:val="000000" w:themeColor="text1"/>
          <w:sz w:val="24"/>
          <w14:textFill>
            <w14:solidFill>
              <w14:schemeClr w14:val="tx1"/>
            </w14:solidFill>
          </w14:textFill>
        </w:rPr>
        <w:t>投标人应按《投标人须知资料表》中规定的金额及要求交纳投标保证金</w:t>
      </w:r>
      <w:bookmarkEnd w:id="367"/>
      <w:r>
        <w:rPr>
          <w:rFonts w:hint="eastAsia" w:ascii="宋体" w:hAnsi="宋体" w:cs="宋体"/>
          <w:color w:val="000000" w:themeColor="text1"/>
          <w:sz w:val="24"/>
          <w14:textFill>
            <w14:solidFill>
              <w14:schemeClr w14:val="tx1"/>
            </w14:solidFill>
          </w14:textFill>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投标保证金有效期同投标有效期。</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中标人的投标保证金，自采购合同签订之日起5个工作日内退还中标人；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未中标投标人的投标保证金，自中标通知书发出之日起5个工作日内退还未中标人；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有下列情形之一的，采购人或采购代理机构可以不予退还投标保证金：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投标有效期内投标人撤销投标文件的；</w:t>
      </w:r>
    </w:p>
    <w:p>
      <w:pPr>
        <w:numPr>
          <w:ilvl w:val="2"/>
          <w:numId w:val="9"/>
        </w:numPr>
        <w:tabs>
          <w:tab w:val="left" w:pos="900"/>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《投标人须知资料表》中规定的其他情形。</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68" w:name="_Toc151193702"/>
      <w:bookmarkStart w:id="369" w:name="_Toc520356157"/>
      <w:bookmarkStart w:id="370" w:name="_Toc305158874"/>
      <w:bookmarkStart w:id="371" w:name="_Toc164351626"/>
      <w:bookmarkStart w:id="372" w:name="_Toc149720825"/>
      <w:bookmarkStart w:id="373" w:name="_Toc127151532"/>
      <w:bookmarkStart w:id="374" w:name="_Toc226965722"/>
      <w:bookmarkStart w:id="375" w:name="_Toc164608801"/>
      <w:bookmarkStart w:id="376" w:name="_Toc226965805"/>
      <w:bookmarkStart w:id="377" w:name="_Toc150509283"/>
      <w:bookmarkStart w:id="378" w:name="_Toc150480770"/>
      <w:bookmarkStart w:id="379" w:name="_Toc151193920"/>
      <w:bookmarkStart w:id="380" w:name="_Toc264969222"/>
      <w:bookmarkStart w:id="381" w:name="_Toc150774737"/>
      <w:bookmarkStart w:id="382" w:name="_Toc151193630"/>
      <w:bookmarkStart w:id="383" w:name="_Toc127161446"/>
      <w:bookmarkStart w:id="384" w:name="_Toc151190159"/>
      <w:bookmarkStart w:id="385" w:name="_Toc265228370"/>
      <w:bookmarkStart w:id="386" w:name="_Toc226309776"/>
      <w:bookmarkStart w:id="387" w:name="_Toc164229227"/>
      <w:bookmarkStart w:id="388" w:name="_Toc226337228"/>
      <w:bookmarkStart w:id="389" w:name="_Toc127151733"/>
      <w:bookmarkStart w:id="390" w:name="_Toc151193846"/>
      <w:bookmarkStart w:id="391" w:name="_Toc150774632"/>
      <w:bookmarkStart w:id="392" w:name="_Toc164608646"/>
      <w:bookmarkStart w:id="393" w:name="_Toc142311034"/>
      <w:bookmarkStart w:id="394" w:name="_Toc151193774"/>
      <w:bookmarkStart w:id="395" w:name="_Toc164229373"/>
      <w:bookmarkStart w:id="396" w:name="_Toc195842897"/>
      <w:bookmarkStart w:id="397" w:name="_Toc305158800"/>
      <w:r>
        <w:rPr>
          <w:rFonts w:hint="eastAsia" w:ascii="宋体" w:hAnsi="宋体" w:cs="宋体"/>
          <w:color w:val="000000" w:themeColor="text1"/>
          <w:sz w:val="24"/>
          <w14:textFill>
            <w14:solidFill>
              <w14:schemeClr w14:val="tx1"/>
            </w14:solidFill>
          </w14:textFill>
        </w:rPr>
        <w:t>投标有效期</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投标文件应在本招标文件《投标人须知资料表》中规定的投标有效期内保持有效，投标有效期少于招标文件规定期限的，其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98" w:name="_Toc195842898"/>
      <w:bookmarkStart w:id="399" w:name="_Toc150774738"/>
      <w:bookmarkStart w:id="400" w:name="_Toc164229374"/>
      <w:bookmarkStart w:id="401" w:name="_Toc127151734"/>
      <w:bookmarkStart w:id="402" w:name="_Toc305158801"/>
      <w:bookmarkStart w:id="403" w:name="_Toc151193921"/>
      <w:bookmarkStart w:id="404" w:name="_Toc305158875"/>
      <w:bookmarkStart w:id="405" w:name="_Toc150774633"/>
      <w:bookmarkStart w:id="406" w:name="_Toc151193703"/>
      <w:bookmarkStart w:id="407" w:name="_Toc151193631"/>
      <w:bookmarkStart w:id="408" w:name="_Toc226337229"/>
      <w:bookmarkStart w:id="409" w:name="_Toc164608802"/>
      <w:bookmarkStart w:id="410" w:name="_Toc164351627"/>
      <w:bookmarkStart w:id="411" w:name="_Toc226965723"/>
      <w:bookmarkStart w:id="412" w:name="_Toc265228371"/>
      <w:bookmarkStart w:id="413" w:name="_Toc520356158"/>
      <w:bookmarkStart w:id="414" w:name="_Toc151193847"/>
      <w:bookmarkStart w:id="415" w:name="_Toc164608647"/>
      <w:bookmarkStart w:id="416" w:name="_Toc142311035"/>
      <w:bookmarkStart w:id="417" w:name="_Toc150509284"/>
      <w:bookmarkStart w:id="418" w:name="_Toc151190160"/>
      <w:bookmarkStart w:id="419" w:name="_Toc164229228"/>
      <w:bookmarkStart w:id="420" w:name="_Toc226965806"/>
      <w:bookmarkStart w:id="421" w:name="_Toc127161447"/>
      <w:bookmarkStart w:id="422" w:name="_Toc264969223"/>
      <w:bookmarkStart w:id="423" w:name="_Toc226309777"/>
      <w:bookmarkStart w:id="424" w:name="_Toc127151533"/>
      <w:bookmarkStart w:id="425" w:name="_Toc151193775"/>
      <w:bookmarkStart w:id="426" w:name="_Toc150480771"/>
      <w:bookmarkStart w:id="427" w:name="_Toc149720826"/>
      <w:r>
        <w:rPr>
          <w:rFonts w:hint="eastAsia" w:ascii="宋体" w:hAnsi="宋体" w:cs="宋体"/>
          <w:color w:val="000000" w:themeColor="text1"/>
          <w:sz w:val="24"/>
          <w14:textFill>
            <w14:solidFill>
              <w14:schemeClr w14:val="tx1"/>
            </w14:solidFill>
          </w14:textFill>
        </w:rPr>
        <w:t>投标文件的签署</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Pr>
          <w:rFonts w:hint="eastAsia" w:ascii="宋体" w:hAnsi="宋体" w:cs="宋体"/>
          <w:color w:val="000000" w:themeColor="text1"/>
          <w:sz w:val="24"/>
          <w14:textFill>
            <w14:solidFill>
              <w14:schemeClr w14:val="tx1"/>
            </w14:solidFill>
          </w14:textFill>
        </w:rPr>
        <w:t>、盖章</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bookmarkStart w:id="428" w:name="_Toc151193848"/>
      <w:bookmarkStart w:id="429" w:name="_Toc150774634"/>
      <w:bookmarkStart w:id="430" w:name="_Toc264969224"/>
      <w:bookmarkStart w:id="431" w:name="_Toc265228372"/>
      <w:bookmarkStart w:id="432" w:name="_Toc151193632"/>
      <w:bookmarkStart w:id="433" w:name="_Toc520356159"/>
      <w:bookmarkStart w:id="434" w:name="_Toc150509285"/>
      <w:bookmarkStart w:id="435" w:name="_Toc226965724"/>
      <w:bookmarkStart w:id="436" w:name="_Toc195842899"/>
      <w:bookmarkStart w:id="437" w:name="_Toc305158876"/>
      <w:bookmarkStart w:id="438" w:name="_Toc151193704"/>
      <w:bookmarkStart w:id="439" w:name="_Toc305158802"/>
      <w:bookmarkStart w:id="440" w:name="_Toc150774739"/>
      <w:bookmarkStart w:id="441" w:name="_Toc151193776"/>
      <w:bookmarkStart w:id="442" w:name="_Toc151193922"/>
      <w:bookmarkStart w:id="443" w:name="_Toc226337230"/>
      <w:bookmarkStart w:id="444" w:name="_Toc226309778"/>
      <w:bookmarkStart w:id="445" w:name="_Toc150480772"/>
      <w:bookmarkStart w:id="446" w:name="_Toc151190161"/>
      <w:bookmarkStart w:id="447" w:name="_Toc127151534"/>
      <w:bookmarkStart w:id="448" w:name="_Toc142311036"/>
      <w:bookmarkStart w:id="449" w:name="_Toc226965807"/>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ascii="宋体" w:hAnsi="宋体" w:cs="宋体"/>
          <w:color w:val="000000" w:themeColor="text1"/>
          <w14:textFill>
            <w14:solidFill>
              <w14:schemeClr w14:val="tx1"/>
            </w14:solidFill>
          </w14:textFill>
        </w:rPr>
      </w:pPr>
    </w:p>
    <w:p>
      <w:pPr>
        <w:pStyle w:val="6"/>
        <w:rPr>
          <w:rStyle w:val="465"/>
          <w:rFonts w:hint="default" w:ascii="宋体" w:hAnsi="宋体"/>
          <w:b/>
        </w:rPr>
      </w:pPr>
      <w:r>
        <w:rPr>
          <w:rStyle w:val="465"/>
          <w:rFonts w:hint="default" w:ascii="宋体" w:hAnsi="宋体"/>
          <w:b/>
        </w:rPr>
        <w:t>四   投标文件的提交</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50" w:name="_Toc164608804"/>
      <w:bookmarkStart w:id="451" w:name="_Toc520356160"/>
      <w:bookmarkStart w:id="452" w:name="_Toc151193923"/>
      <w:bookmarkStart w:id="453" w:name="_Toc226965725"/>
      <w:bookmarkStart w:id="454" w:name="_Toc305158803"/>
      <w:bookmarkStart w:id="455" w:name="_Toc164608649"/>
      <w:bookmarkStart w:id="456" w:name="_Toc150509286"/>
      <w:bookmarkStart w:id="457" w:name="_Toc127161449"/>
      <w:bookmarkStart w:id="458" w:name="_Toc151190162"/>
      <w:bookmarkStart w:id="459" w:name="_Toc164229230"/>
      <w:bookmarkStart w:id="460" w:name="_Toc226337231"/>
      <w:bookmarkStart w:id="461" w:name="_Toc151193633"/>
      <w:bookmarkStart w:id="462" w:name="_Toc226309779"/>
      <w:bookmarkStart w:id="463" w:name="_Toc226965808"/>
      <w:bookmarkStart w:id="464" w:name="_Toc142311037"/>
      <w:bookmarkStart w:id="465" w:name="_Toc164351629"/>
      <w:bookmarkStart w:id="466" w:name="_Toc151193849"/>
      <w:bookmarkStart w:id="467" w:name="_Toc149720828"/>
      <w:bookmarkStart w:id="468" w:name="_Toc127151535"/>
      <w:bookmarkStart w:id="469" w:name="_Toc151193705"/>
      <w:bookmarkStart w:id="470" w:name="_Toc164229376"/>
      <w:bookmarkStart w:id="471" w:name="_Toc151193777"/>
      <w:bookmarkStart w:id="472" w:name="_Toc150774635"/>
      <w:bookmarkStart w:id="473" w:name="_Toc195842900"/>
      <w:bookmarkStart w:id="474" w:name="_Toc265228373"/>
      <w:bookmarkStart w:id="475" w:name="_Toc150774740"/>
      <w:bookmarkStart w:id="476" w:name="_Toc150480773"/>
      <w:bookmarkStart w:id="477" w:name="_Toc264969225"/>
      <w:bookmarkStart w:id="478" w:name="_Toc127151736"/>
      <w:bookmarkStart w:id="479" w:name="_Toc305158877"/>
      <w:r>
        <w:rPr>
          <w:rFonts w:hint="eastAsia" w:ascii="宋体" w:hAnsi="宋体" w:cs="宋体"/>
          <w:color w:val="000000" w:themeColor="text1"/>
          <w:sz w:val="24"/>
          <w14:textFill>
            <w14:solidFill>
              <w14:schemeClr w14:val="tx1"/>
            </w14:solidFill>
          </w14:textFill>
        </w:rPr>
        <w:t>投标文件的</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Pr>
          <w:rFonts w:hint="eastAsia" w:ascii="宋体" w:hAnsi="宋体" w:cs="宋体"/>
          <w:color w:val="000000" w:themeColor="text1"/>
          <w:sz w:val="24"/>
          <w14:textFill>
            <w14:solidFill>
              <w14:schemeClr w14:val="tx1"/>
            </w14:solidFill>
          </w14:textFill>
        </w:rPr>
        <w:t>提交</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80" w:name="_Toc127151536"/>
      <w:bookmarkStart w:id="481" w:name="_Toc164229377"/>
      <w:bookmarkStart w:id="482" w:name="_Toc151190163"/>
      <w:bookmarkStart w:id="483" w:name="_Toc264969226"/>
      <w:bookmarkStart w:id="484" w:name="_Toc226965809"/>
      <w:bookmarkStart w:id="485" w:name="_Toc151193706"/>
      <w:bookmarkStart w:id="486" w:name="_Toc151193924"/>
      <w:bookmarkStart w:id="487" w:name="_Toc305158878"/>
      <w:bookmarkStart w:id="488" w:name="_Toc151193850"/>
      <w:bookmarkStart w:id="489" w:name="_Toc226965726"/>
      <w:bookmarkStart w:id="490" w:name="_Toc265228374"/>
      <w:bookmarkStart w:id="491" w:name="_Toc305158804"/>
      <w:bookmarkStart w:id="492" w:name="_Toc226309780"/>
      <w:bookmarkStart w:id="493" w:name="_Toc164608805"/>
      <w:bookmarkStart w:id="494" w:name="_Toc150774741"/>
      <w:bookmarkStart w:id="495" w:name="_Toc226337232"/>
      <w:bookmarkStart w:id="496" w:name="_Toc149720829"/>
      <w:bookmarkStart w:id="497" w:name="_Toc151193634"/>
      <w:bookmarkStart w:id="498" w:name="_Toc164229231"/>
      <w:bookmarkStart w:id="499" w:name="_Toc520356161"/>
      <w:bookmarkStart w:id="500" w:name="_Toc142311038"/>
      <w:bookmarkStart w:id="501" w:name="_Toc150774636"/>
      <w:bookmarkStart w:id="502" w:name="_Toc151193778"/>
      <w:bookmarkStart w:id="503" w:name="_Toc164608650"/>
      <w:bookmarkStart w:id="504" w:name="_Toc127151737"/>
      <w:bookmarkStart w:id="505" w:name="_Toc164351630"/>
      <w:bookmarkStart w:id="506" w:name="_Toc150480774"/>
      <w:bookmarkStart w:id="507" w:name="_Toc195842901"/>
      <w:bookmarkStart w:id="508" w:name="_Toc150509287"/>
      <w:bookmarkStart w:id="509" w:name="_Toc127161450"/>
      <w:r>
        <w:rPr>
          <w:rFonts w:hint="eastAsia" w:ascii="宋体" w:hAnsi="宋体" w:cs="宋体"/>
          <w:color w:val="000000" w:themeColor="text1"/>
          <w:sz w:val="24"/>
          <w14:textFill>
            <w14:solidFill>
              <w14:schemeClr w14:val="tx1"/>
            </w14:solidFill>
          </w14:textFill>
        </w:rPr>
        <w:t>投标截止</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Pr>
          <w:rFonts w:hint="eastAsia" w:ascii="宋体" w:hAnsi="宋体" w:cs="宋体"/>
          <w:color w:val="000000" w:themeColor="text1"/>
          <w:sz w:val="24"/>
          <w14:textFill>
            <w14:solidFill>
              <w14:schemeClr w14:val="tx1"/>
            </w14:solidFill>
          </w14:textFill>
        </w:rPr>
        <w:t>时间</w:t>
      </w:r>
    </w:p>
    <w:p>
      <w:pPr>
        <w:numPr>
          <w:ilvl w:val="1"/>
          <w:numId w:val="9"/>
        </w:numPr>
        <w:tabs>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投标人应在招标文件要求提交投标文件截止时间前，将电子投标文件</w:t>
      </w:r>
    </w:p>
    <w:p>
      <w:pPr>
        <w:tabs>
          <w:tab w:val="left" w:pos="1080"/>
          <w:tab w:val="left" w:pos="1589"/>
          <w:tab w:val="left" w:pos="2014"/>
        </w:tabs>
        <w:snapToGrid w:val="0"/>
        <w:spacing w:line="360" w:lineRule="auto"/>
        <w:ind w:left="10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提交至电子交易平台。</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10" w:name="_Toc150774742"/>
      <w:bookmarkStart w:id="511" w:name="_Toc150509288"/>
      <w:bookmarkStart w:id="512" w:name="_Toc127151537"/>
      <w:bookmarkStart w:id="513" w:name="_Toc164608651"/>
      <w:bookmarkStart w:id="514" w:name="_Toc265228375"/>
      <w:bookmarkStart w:id="515" w:name="_Toc164229378"/>
      <w:bookmarkStart w:id="516" w:name="_Toc226309781"/>
      <w:bookmarkStart w:id="517" w:name="_Toc164608806"/>
      <w:bookmarkStart w:id="518" w:name="_Toc226337233"/>
      <w:bookmarkStart w:id="519" w:name="_Toc150480775"/>
      <w:bookmarkStart w:id="520" w:name="_Toc127151738"/>
      <w:bookmarkStart w:id="521" w:name="_Toc305158805"/>
      <w:bookmarkStart w:id="522" w:name="_Toc164229232"/>
      <w:bookmarkStart w:id="523" w:name="_Toc127161451"/>
      <w:bookmarkStart w:id="524" w:name="_Toc149720830"/>
      <w:bookmarkStart w:id="525" w:name="_Toc264969227"/>
      <w:bookmarkStart w:id="526" w:name="_Toc150774637"/>
      <w:bookmarkStart w:id="527" w:name="_Toc226965727"/>
      <w:bookmarkStart w:id="528" w:name="_Toc520356162"/>
      <w:bookmarkStart w:id="529" w:name="_Toc151193925"/>
      <w:bookmarkStart w:id="530" w:name="_Toc151193707"/>
      <w:bookmarkStart w:id="531" w:name="_Toc195842902"/>
      <w:bookmarkStart w:id="532" w:name="_Toc226965810"/>
      <w:bookmarkStart w:id="533" w:name="_Toc164351631"/>
      <w:bookmarkStart w:id="534" w:name="_Toc142311039"/>
      <w:bookmarkStart w:id="535" w:name="_Toc305158879"/>
      <w:bookmarkStart w:id="536" w:name="_Toc151190164"/>
      <w:bookmarkStart w:id="537" w:name="_Toc151193851"/>
      <w:bookmarkStart w:id="538" w:name="_Toc151193779"/>
      <w:bookmarkStart w:id="539" w:name="_Toc151193635"/>
      <w:r>
        <w:rPr>
          <w:rFonts w:hint="eastAsia" w:ascii="宋体" w:hAnsi="宋体" w:cs="宋体"/>
          <w:color w:val="000000" w:themeColor="text1"/>
          <w:sz w:val="24"/>
          <w14:textFill>
            <w14:solidFill>
              <w14:schemeClr w14:val="tx1"/>
            </w14:solidFill>
          </w14:textFill>
        </w:rPr>
        <w:t>投标文件的修改与撤回</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投标人对投标文件的补充、修改的内容应当按照招标文件要求签署、盖章，作为投标文件的组成部分。</w:t>
      </w:r>
    </w:p>
    <w:p>
      <w:pPr>
        <w:spacing w:line="360" w:lineRule="auto"/>
        <w:rPr>
          <w:rFonts w:ascii="宋体" w:hAnsi="宋体" w:cs="宋体"/>
          <w:color w:val="000000" w:themeColor="text1"/>
          <w:sz w:val="24"/>
          <w14:textFill>
            <w14:solidFill>
              <w14:schemeClr w14:val="tx1"/>
            </w14:solidFill>
          </w14:textFill>
        </w:rPr>
      </w:pPr>
    </w:p>
    <w:p>
      <w:pPr>
        <w:pStyle w:val="6"/>
        <w:rPr>
          <w:rStyle w:val="465"/>
          <w:rFonts w:hint="default" w:ascii="宋体" w:hAnsi="宋体"/>
          <w:b/>
        </w:rPr>
      </w:pPr>
      <w:bookmarkStart w:id="540" w:name="_Toc151193926"/>
      <w:bookmarkStart w:id="541" w:name="_Toc150509289"/>
      <w:bookmarkStart w:id="542" w:name="_Toc264969228"/>
      <w:bookmarkStart w:id="543" w:name="_Toc151193780"/>
      <w:bookmarkStart w:id="544" w:name="_Toc226965728"/>
      <w:bookmarkStart w:id="545" w:name="_Toc151190165"/>
      <w:bookmarkStart w:id="546" w:name="_Toc151193636"/>
      <w:bookmarkStart w:id="547" w:name="_Toc151193708"/>
      <w:bookmarkStart w:id="548" w:name="_Toc305158880"/>
      <w:bookmarkStart w:id="549" w:name="_Toc150774638"/>
      <w:bookmarkStart w:id="550" w:name="_Toc226309782"/>
      <w:bookmarkStart w:id="551" w:name="_Toc150774743"/>
      <w:bookmarkStart w:id="552" w:name="_Toc127151538"/>
      <w:bookmarkStart w:id="553" w:name="_Toc305158806"/>
      <w:bookmarkStart w:id="554" w:name="_Toc195842903"/>
      <w:bookmarkStart w:id="555" w:name="_Toc151193852"/>
      <w:bookmarkStart w:id="556" w:name="_Toc226337234"/>
      <w:bookmarkStart w:id="557" w:name="_Toc265228376"/>
      <w:bookmarkStart w:id="558" w:name="_Toc226965811"/>
      <w:bookmarkStart w:id="559" w:name="_Toc142311040"/>
      <w:bookmarkStart w:id="560" w:name="_Toc520356163"/>
      <w:bookmarkStart w:id="561" w:name="_Toc150480776"/>
      <w:r>
        <w:rPr>
          <w:rStyle w:val="465"/>
          <w:rFonts w:hint="default" w:ascii="宋体" w:hAnsi="宋体"/>
          <w:b/>
        </w:rPr>
        <w:t>五   开标、资格审查及评标</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62" w:name="_Toc127151539"/>
      <w:bookmarkStart w:id="563" w:name="_Toc226965812"/>
      <w:bookmarkStart w:id="564" w:name="_Toc150480777"/>
      <w:bookmarkStart w:id="565" w:name="_Toc226337235"/>
      <w:bookmarkStart w:id="566" w:name="_Toc151193853"/>
      <w:bookmarkStart w:id="567" w:name="_Toc164229380"/>
      <w:bookmarkStart w:id="568" w:name="_Toc264969229"/>
      <w:bookmarkStart w:id="569" w:name="_Toc164229234"/>
      <w:bookmarkStart w:id="570" w:name="_Toc164608653"/>
      <w:bookmarkStart w:id="571" w:name="_Toc142311041"/>
      <w:bookmarkStart w:id="572" w:name="_Toc226309783"/>
      <w:bookmarkStart w:id="573" w:name="_Toc149720832"/>
      <w:bookmarkStart w:id="574" w:name="_Toc150774744"/>
      <w:bookmarkStart w:id="575" w:name="_Toc226965729"/>
      <w:bookmarkStart w:id="576" w:name="_Toc151193637"/>
      <w:bookmarkStart w:id="577" w:name="_Toc151190166"/>
      <w:bookmarkStart w:id="578" w:name="_Toc127161453"/>
      <w:bookmarkStart w:id="579" w:name="_Toc305158881"/>
      <w:bookmarkStart w:id="580" w:name="_Toc520356164"/>
      <w:bookmarkStart w:id="581" w:name="_Toc127151740"/>
      <w:bookmarkStart w:id="582" w:name="_Toc164351633"/>
      <w:bookmarkStart w:id="583" w:name="_Toc164608808"/>
      <w:bookmarkStart w:id="584" w:name="_Toc151193709"/>
      <w:bookmarkStart w:id="585" w:name="_Toc151193927"/>
      <w:bookmarkStart w:id="586" w:name="_Toc151193781"/>
      <w:bookmarkStart w:id="587" w:name="_Toc150509290"/>
      <w:bookmarkStart w:id="588" w:name="_Toc305158807"/>
      <w:bookmarkStart w:id="589" w:name="_Toc195842904"/>
      <w:bookmarkStart w:id="590" w:name="_Toc150774639"/>
      <w:bookmarkStart w:id="591" w:name="_Toc265228377"/>
      <w:r>
        <w:rPr>
          <w:rFonts w:hint="eastAsia" w:ascii="宋体" w:hAnsi="宋体" w:cs="宋体"/>
          <w:color w:val="000000" w:themeColor="text1"/>
          <w:sz w:val="24"/>
          <w14:textFill>
            <w14:solidFill>
              <w14:schemeClr w14:val="tx1"/>
            </w14:solidFill>
          </w14:textFill>
        </w:rPr>
        <w:t>开标</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592"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投标人不足3家的，不予开标。</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见第三章《资格审查》。</w:t>
      </w:r>
    </w:p>
    <w:bookmarkEnd w:id="592"/>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93" w:name="_Toc151193710"/>
      <w:bookmarkStart w:id="594" w:name="_Toc127151741"/>
      <w:bookmarkStart w:id="595" w:name="_Toc151193782"/>
      <w:bookmarkStart w:id="596" w:name="_Toc127151540"/>
      <w:bookmarkStart w:id="597" w:name="_Toc150509291"/>
      <w:bookmarkStart w:id="598" w:name="_Toc226965813"/>
      <w:bookmarkStart w:id="599" w:name="_Toc150774745"/>
      <w:bookmarkStart w:id="600" w:name="_Toc164229381"/>
      <w:bookmarkStart w:id="601" w:name="_Toc151193854"/>
      <w:bookmarkStart w:id="602" w:name="_Toc164229235"/>
      <w:bookmarkStart w:id="603" w:name="_Toc226965730"/>
      <w:bookmarkStart w:id="604" w:name="_Toc149720833"/>
      <w:bookmarkStart w:id="605" w:name="_Toc265228378"/>
      <w:bookmarkStart w:id="606" w:name="_Toc127161454"/>
      <w:bookmarkStart w:id="607" w:name="_Toc305158882"/>
      <w:bookmarkStart w:id="608" w:name="_Toc142311042"/>
      <w:bookmarkStart w:id="609" w:name="_Toc164608654"/>
      <w:bookmarkStart w:id="610" w:name="_Toc195842905"/>
      <w:bookmarkStart w:id="611" w:name="_Toc164608809"/>
      <w:bookmarkStart w:id="612" w:name="_Toc150480778"/>
      <w:bookmarkStart w:id="613" w:name="_Toc151190167"/>
      <w:bookmarkStart w:id="614" w:name="_Toc264969230"/>
      <w:bookmarkStart w:id="615" w:name="_Toc226309784"/>
      <w:bookmarkStart w:id="616" w:name="_Toc151193928"/>
      <w:bookmarkStart w:id="617" w:name="_Toc226337236"/>
      <w:bookmarkStart w:id="618" w:name="_Toc151193638"/>
      <w:bookmarkStart w:id="619" w:name="_Toc150774640"/>
      <w:bookmarkStart w:id="620" w:name="_Toc305158808"/>
      <w:bookmarkStart w:id="621" w:name="_Toc164351634"/>
      <w:r>
        <w:rPr>
          <w:rFonts w:hint="eastAsia" w:ascii="宋体" w:hAnsi="宋体" w:cs="宋体"/>
          <w:color w:val="000000" w:themeColor="text1"/>
          <w:sz w:val="24"/>
          <w14:textFill>
            <w14:solidFill>
              <w14:schemeClr w14:val="tx1"/>
            </w14:solidFill>
          </w14:textFill>
        </w:rPr>
        <w:t>评标委员会</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评标委员会根据政府采购有关规定和本次采购项目的特点进行组建，并负责具体评标事务，独立履行职责。</w:t>
      </w:r>
      <w:bookmarkStart w:id="622" w:name="_Toc5203561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2"/>
      <w:bookmarkStart w:id="623" w:name="_Toc52035616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见第四章《评标程序、评标方法和评标标准》。</w:t>
      </w:r>
    </w:p>
    <w:p>
      <w:pPr>
        <w:tabs>
          <w:tab w:val="left" w:pos="360"/>
          <w:tab w:val="left" w:pos="1080"/>
        </w:tabs>
        <w:snapToGrid w:val="0"/>
        <w:spacing w:line="360" w:lineRule="auto"/>
        <w:ind w:left="1080"/>
        <w:rPr>
          <w:rFonts w:ascii="宋体" w:hAnsi="宋体" w:cs="宋体"/>
          <w:color w:val="000000" w:themeColor="text1"/>
          <w:sz w:val="24"/>
          <w14:textFill>
            <w14:solidFill>
              <w14:schemeClr w14:val="tx1"/>
            </w14:solidFill>
          </w14:textFill>
        </w:rPr>
      </w:pPr>
    </w:p>
    <w:p>
      <w:pPr>
        <w:pStyle w:val="6"/>
        <w:rPr>
          <w:rStyle w:val="465"/>
          <w:rFonts w:hint="default" w:ascii="宋体" w:hAnsi="宋体"/>
          <w:b/>
        </w:rPr>
      </w:pPr>
      <w:bookmarkStart w:id="624" w:name="_Toc127151545"/>
      <w:bookmarkStart w:id="625" w:name="_Toc150480783"/>
      <w:bookmarkStart w:id="626" w:name="_Toc151193643"/>
      <w:bookmarkStart w:id="627" w:name="_Toc150509296"/>
      <w:bookmarkStart w:id="628" w:name="_Toc226965735"/>
      <w:bookmarkStart w:id="629" w:name="_Toc264969235"/>
      <w:bookmarkStart w:id="630" w:name="_Toc195842910"/>
      <w:bookmarkStart w:id="631" w:name="_Toc150774645"/>
      <w:bookmarkStart w:id="632" w:name="_Toc226337241"/>
      <w:bookmarkStart w:id="633" w:name="_Toc142311047"/>
      <w:bookmarkStart w:id="634" w:name="_Toc226965818"/>
      <w:bookmarkStart w:id="635" w:name="_Toc151190172"/>
      <w:bookmarkStart w:id="636" w:name="_Toc151193933"/>
      <w:bookmarkStart w:id="637" w:name="_Toc151193715"/>
      <w:bookmarkStart w:id="638" w:name="_Toc265228383"/>
      <w:bookmarkStart w:id="639" w:name="_Toc151193787"/>
      <w:bookmarkStart w:id="640" w:name="_Toc150774750"/>
      <w:bookmarkStart w:id="641" w:name="_Toc305158887"/>
      <w:bookmarkStart w:id="642" w:name="_Toc226309789"/>
      <w:bookmarkStart w:id="643" w:name="_Toc151193859"/>
      <w:bookmarkStart w:id="644" w:name="_Toc305158813"/>
      <w:r>
        <w:rPr>
          <w:rStyle w:val="465"/>
          <w:rFonts w:hint="default" w:ascii="宋体" w:hAnsi="宋体"/>
          <w:b/>
        </w:rPr>
        <w:t xml:space="preserve">六   </w:t>
      </w:r>
      <w:bookmarkEnd w:id="623"/>
      <w:r>
        <w:rPr>
          <w:rStyle w:val="465"/>
          <w:rFonts w:hint="default" w:ascii="宋体" w:hAnsi="宋体"/>
          <w:b/>
        </w:rPr>
        <w:t>确定中标</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Start w:id="645" w:name="_Toc226309791"/>
      <w:bookmarkStart w:id="646" w:name="_Toc164229242"/>
      <w:bookmarkStart w:id="647" w:name="_Toc264969237"/>
      <w:bookmarkStart w:id="648" w:name="_Toc151193645"/>
      <w:bookmarkStart w:id="649" w:name="_Toc226337243"/>
      <w:bookmarkStart w:id="650" w:name="_Toc164608816"/>
      <w:bookmarkStart w:id="651" w:name="_Toc305158889"/>
      <w:bookmarkStart w:id="652" w:name="_Toc127161461"/>
      <w:bookmarkStart w:id="653" w:name="_Toc151190174"/>
      <w:bookmarkStart w:id="654" w:name="_Toc151193789"/>
      <w:bookmarkStart w:id="655" w:name="_Toc164351641"/>
      <w:bookmarkStart w:id="656" w:name="_Toc195842912"/>
      <w:bookmarkStart w:id="657" w:name="_Toc151193935"/>
      <w:bookmarkStart w:id="658" w:name="_Toc127151748"/>
      <w:bookmarkStart w:id="659" w:name="_Toc150774647"/>
      <w:bookmarkStart w:id="660" w:name="_Toc151193717"/>
      <w:bookmarkStart w:id="661" w:name="_Toc164229388"/>
      <w:bookmarkStart w:id="662" w:name="_Toc226965737"/>
      <w:bookmarkStart w:id="663" w:name="_Toc151193861"/>
      <w:bookmarkStart w:id="664" w:name="_Toc150480785"/>
      <w:bookmarkStart w:id="665" w:name="_Toc305158815"/>
      <w:bookmarkStart w:id="666" w:name="_Toc150774752"/>
      <w:bookmarkStart w:id="667" w:name="_Toc142311049"/>
      <w:bookmarkStart w:id="668" w:name="_Toc127151547"/>
      <w:bookmarkStart w:id="669" w:name="_Toc164608661"/>
      <w:bookmarkStart w:id="670" w:name="_Toc265228385"/>
      <w:bookmarkStart w:id="671" w:name="_Toc226965820"/>
      <w:bookmarkStart w:id="672" w:name="_Toc149720840"/>
      <w:bookmarkStart w:id="673" w:name="_Toc150509298"/>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确定中标人</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674" w:name="_Toc305158817"/>
      <w:bookmarkStart w:id="675" w:name="_Toc305158891"/>
      <w:bookmarkStart w:id="676" w:name="_Toc164608818"/>
      <w:bookmarkStart w:id="677" w:name="_Toc164229390"/>
      <w:bookmarkStart w:id="678" w:name="_Toc164351643"/>
      <w:bookmarkStart w:id="679" w:name="_Toc142311051"/>
      <w:bookmarkStart w:id="680" w:name="_Toc264969239"/>
      <w:bookmarkStart w:id="681" w:name="_Toc150774754"/>
      <w:bookmarkStart w:id="682" w:name="_Toc226965739"/>
      <w:bookmarkStart w:id="683" w:name="_Toc226309793"/>
      <w:bookmarkStart w:id="684" w:name="_Toc151190176"/>
      <w:bookmarkStart w:id="685" w:name="_Toc226337245"/>
      <w:bookmarkStart w:id="686" w:name="_Toc151193863"/>
      <w:bookmarkStart w:id="687" w:name="_Toc151193937"/>
      <w:bookmarkStart w:id="688" w:name="_Toc127151549"/>
      <w:bookmarkStart w:id="689" w:name="_Toc151193719"/>
      <w:bookmarkStart w:id="690" w:name="_Toc127151750"/>
      <w:bookmarkStart w:id="691" w:name="_Toc195842914"/>
      <w:bookmarkStart w:id="692" w:name="_Toc150774649"/>
      <w:bookmarkStart w:id="693" w:name="_Toc164608663"/>
      <w:bookmarkStart w:id="694" w:name="_Toc150480787"/>
      <w:bookmarkStart w:id="695" w:name="_Toc150509300"/>
      <w:bookmarkStart w:id="696" w:name="_Toc164229244"/>
      <w:bookmarkStart w:id="697" w:name="_Toc151193647"/>
      <w:bookmarkStart w:id="698" w:name="_Toc226965822"/>
      <w:bookmarkStart w:id="699" w:name="_Toc151193791"/>
      <w:bookmarkStart w:id="700" w:name="_Toc127161463"/>
      <w:bookmarkStart w:id="701" w:name="_Toc149720842"/>
      <w:bookmarkStart w:id="702" w:name="_Toc265228387"/>
      <w:bookmarkStart w:id="703" w:name="_Ref467307090"/>
      <w:bookmarkStart w:id="704" w:name="_Toc520356176"/>
      <w:bookmarkStart w:id="705" w:name="_Ref467306425"/>
      <w:r>
        <w:rPr>
          <w:rFonts w:hint="eastAsia" w:ascii="宋体" w:hAnsi="宋体" w:cs="宋体"/>
          <w:color w:val="000000" w:themeColor="text1"/>
          <w:sz w:val="24"/>
          <w14:textFill>
            <w14:solidFill>
              <w14:schemeClr w14:val="tx1"/>
            </w14:solidFill>
          </w14:textFill>
        </w:rPr>
        <w:t>中标公告与中标通知书</w:t>
      </w:r>
      <w:bookmarkEnd w:id="674"/>
      <w:bookmarkEnd w:id="67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采购人或采购代理机构自中标人确定之日起2个工作日内，</w:t>
      </w:r>
      <w:r>
        <w:rPr>
          <w:rFonts w:hint="eastAsia" w:ascii="宋体" w:hAnsi="宋体" w:cs="宋体"/>
          <w:color w:val="000000" w:themeColor="text1"/>
          <w:kern w:val="0"/>
          <w:sz w:val="24"/>
          <w14:textFill>
            <w14:solidFill>
              <w14:schemeClr w14:val="tx1"/>
            </w14:solidFill>
          </w14:textFill>
        </w:rPr>
        <w:t>在北京市政府采购网公告中标结果</w:t>
      </w:r>
      <w:r>
        <w:rPr>
          <w:rFonts w:hint="eastAsia" w:ascii="宋体" w:hAnsi="宋体" w:cs="宋体"/>
          <w:color w:val="000000" w:themeColor="text1"/>
          <w:sz w:val="24"/>
          <w14:textFill>
            <w14:solidFill>
              <w14:schemeClr w14:val="tx1"/>
            </w14:solidFill>
          </w14:textFill>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在招标采购中，出现下列情形之一的，应予废标：</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符合专业条件的供应商或者对招标文件作实质响应的供应商不足三家的；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出现影响采购公正的违法、违规行为的；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投标人的报价均超过了采购预算，采购人不能支付的；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因重大变故，采购任务取消的。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废标后，采购人将废标理由书面通知所有投标人。</w:t>
      </w:r>
    </w:p>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706" w:name="_Toc305158892"/>
      <w:bookmarkStart w:id="707" w:name="_Toc164608819"/>
      <w:bookmarkStart w:id="708" w:name="_Toc151193648"/>
      <w:bookmarkStart w:id="709" w:name="_Toc151193938"/>
      <w:bookmarkStart w:id="710" w:name="_Toc150480788"/>
      <w:bookmarkStart w:id="711" w:name="_Toc226309794"/>
      <w:bookmarkStart w:id="712" w:name="_Toc265228388"/>
      <w:bookmarkStart w:id="713" w:name="_Toc150774755"/>
      <w:bookmarkStart w:id="714" w:name="_Toc520356175"/>
      <w:bookmarkStart w:id="715" w:name="_Ref467307204"/>
      <w:bookmarkStart w:id="716" w:name="_Toc150774650"/>
      <w:bookmarkStart w:id="717" w:name="_Toc149720843"/>
      <w:bookmarkStart w:id="718" w:name="_Toc142311052"/>
      <w:bookmarkStart w:id="719" w:name="_Toc151193864"/>
      <w:bookmarkStart w:id="720" w:name="_Ref467307062"/>
      <w:bookmarkStart w:id="721" w:name="_Ref467306978"/>
      <w:bookmarkStart w:id="722" w:name="_Toc226337246"/>
      <w:bookmarkStart w:id="723" w:name="_Toc195842915"/>
      <w:bookmarkStart w:id="724" w:name="_Toc226965740"/>
      <w:bookmarkStart w:id="725" w:name="_Toc164351644"/>
      <w:bookmarkStart w:id="726" w:name="_Toc226965823"/>
      <w:bookmarkStart w:id="727" w:name="_Toc264969240"/>
      <w:bookmarkStart w:id="728" w:name="_Toc127161464"/>
      <w:bookmarkStart w:id="729" w:name="_Toc150509301"/>
      <w:bookmarkStart w:id="730" w:name="_Toc164608664"/>
      <w:bookmarkStart w:id="731" w:name="_Ref467306377"/>
      <w:bookmarkStart w:id="732" w:name="_Toc127151751"/>
      <w:bookmarkStart w:id="733" w:name="_Toc127151550"/>
      <w:bookmarkStart w:id="734" w:name="_Toc151190177"/>
      <w:bookmarkStart w:id="735" w:name="_Toc305158818"/>
      <w:bookmarkStart w:id="736" w:name="_Toc164229245"/>
      <w:bookmarkStart w:id="737" w:name="_Toc151193720"/>
      <w:bookmarkStart w:id="738" w:name="_Toc151193792"/>
      <w:bookmarkStart w:id="739" w:name="_Toc164229391"/>
      <w:r>
        <w:rPr>
          <w:rFonts w:hint="eastAsia" w:ascii="宋体" w:hAnsi="宋体" w:cs="宋体"/>
          <w:color w:val="000000" w:themeColor="text1"/>
          <w:sz w:val="24"/>
          <w14:textFill>
            <w14:solidFill>
              <w14:schemeClr w14:val="tx1"/>
            </w14:solidFill>
          </w14:textFill>
        </w:rPr>
        <w:t>签订合同</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政府采购合同不能转包。</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“政采贷”融资指引：详见《投标人须知资料表》。</w:t>
      </w:r>
    </w:p>
    <w:bookmarkEnd w:id="703"/>
    <w:bookmarkEnd w:id="704"/>
    <w:bookmarkEnd w:id="705"/>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询问与质疑</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投标人对政府采购活动事项有疑问的，</w:t>
      </w:r>
      <w:r>
        <w:rPr>
          <w:rFonts w:hint="eastAsia" w:ascii="宋体" w:hAnsi="宋体" w:cs="宋体"/>
          <w:color w:val="000000" w:themeColor="text1"/>
          <w:spacing w:val="3"/>
          <w:sz w:val="24"/>
          <w14:textFill>
            <w14:solidFill>
              <w14:schemeClr w14:val="tx1"/>
            </w14:solidFill>
          </w14:textFill>
        </w:rPr>
        <w:t>可依法向采购人或采购代理机构提出询问</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3"/>
          <w:sz w:val="24"/>
          <w14:textFill>
            <w14:solidFill>
              <w14:schemeClr w14:val="tx1"/>
            </w14:solidFill>
          </w14:textFill>
        </w:rPr>
        <w:t>提出形式见《投标人须知资料表》。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接收询问和质疑的联系部门、联系电话和通讯地址见《投标人须知资料表》。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收费对象、收费标准及缴纳时间见《投标人须知资料表》。由中标人支付的，中标人须一次性向采购代理机构缴纳代理费，投标报价应包含代理费用。</w:t>
      </w:r>
    </w:p>
    <w:p>
      <w:pPr>
        <w:tabs>
          <w:tab w:val="left" w:pos="900"/>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p>
    <w:p>
      <w:pPr>
        <w:tabs>
          <w:tab w:val="left" w:pos="360"/>
          <w:tab w:val="left" w:pos="1080"/>
        </w:tabs>
        <w:snapToGrid w:val="0"/>
        <w:spacing w:line="360" w:lineRule="auto"/>
        <w:ind w:left="360"/>
        <w:rPr>
          <w:rFonts w:ascii="宋体" w:hAnsi="宋体" w:cs="宋体"/>
          <w:color w:val="000000" w:themeColor="text1"/>
          <w:sz w:val="24"/>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40" w:name="_Toc226337250"/>
      <w:bookmarkStart w:id="741" w:name="_Toc264969244"/>
      <w:bookmarkStart w:id="742" w:name="_Toc150774759"/>
      <w:bookmarkStart w:id="743" w:name="_Toc305158822"/>
      <w:bookmarkStart w:id="744" w:name="_Toc142311056"/>
      <w:bookmarkStart w:id="745" w:name="_Toc353873934"/>
      <w:bookmarkStart w:id="746" w:name="_Toc305158896"/>
      <w:bookmarkStart w:id="747" w:name="_Toc265228392"/>
      <w:bookmarkStart w:id="748" w:name="_Toc353873664"/>
      <w:bookmarkStart w:id="749" w:name="_Toc127151554"/>
      <w:bookmarkStart w:id="750" w:name="_Toc150480792"/>
      <w:bookmarkStart w:id="751" w:name="_Toc353825544"/>
      <w:bookmarkStart w:id="752" w:name="_Toc226965827"/>
      <w:r>
        <w:rPr>
          <w:rFonts w:hint="eastAsia" w:ascii="宋体" w:hAnsi="宋体" w:cs="宋体"/>
          <w:color w:val="000000" w:themeColor="text1"/>
          <w:sz w:val="24"/>
          <w14:textFill>
            <w14:solidFill>
              <w14:schemeClr w14:val="tx1"/>
            </w14:solidFill>
          </w14:textFill>
        </w:rPr>
        <w:br w:type="page"/>
      </w:r>
      <w:bookmarkStart w:id="753" w:name="_Toc218620568"/>
      <w:bookmarkStart w:id="754" w:name="_Toc99301421"/>
      <w:r>
        <w:rPr>
          <w:rFonts w:hint="eastAsia" w:ascii="宋体" w:hAnsi="宋体" w:cs="宋体"/>
          <w:b/>
          <w:color w:val="000000" w:themeColor="text1"/>
          <w:sz w:val="36"/>
          <w:szCs w:val="36"/>
          <w14:textFill>
            <w14:solidFill>
              <w14:schemeClr w14:val="tx1"/>
            </w14:solidFill>
          </w14:textFill>
        </w:rPr>
        <w:t xml:space="preserve">第三章   </w:t>
      </w:r>
      <w:bookmarkEnd w:id="740"/>
      <w:bookmarkEnd w:id="741"/>
      <w:bookmarkEnd w:id="742"/>
      <w:bookmarkEnd w:id="743"/>
      <w:bookmarkEnd w:id="744"/>
      <w:bookmarkEnd w:id="745"/>
      <w:bookmarkEnd w:id="746"/>
      <w:bookmarkEnd w:id="747"/>
      <w:bookmarkEnd w:id="748"/>
      <w:bookmarkEnd w:id="749"/>
      <w:bookmarkEnd w:id="750"/>
      <w:bookmarkEnd w:id="751"/>
      <w:bookmarkEnd w:id="752"/>
      <w:r>
        <w:rPr>
          <w:rFonts w:hint="eastAsia" w:ascii="宋体" w:hAnsi="宋体" w:cs="宋体"/>
          <w:b/>
          <w:color w:val="000000" w:themeColor="text1"/>
          <w:sz w:val="36"/>
          <w:szCs w:val="36"/>
          <w14:textFill>
            <w14:solidFill>
              <w14:schemeClr w14:val="tx1"/>
            </w14:solidFill>
          </w14:textFill>
        </w:rPr>
        <w:t>资格审查</w:t>
      </w:r>
      <w:bookmarkEnd w:id="753"/>
      <w:bookmarkEnd w:id="754"/>
      <w:bookmarkStart w:id="755" w:name="_Toc487900382"/>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bookmarkStart w:id="756" w:name="_Toc99301422"/>
      <w:r>
        <w:rPr>
          <w:rFonts w:hint="eastAsia" w:ascii="宋体" w:hAnsi="宋体" w:cs="宋体"/>
          <w:b/>
          <w:color w:val="000000" w:themeColor="text1"/>
          <w:sz w:val="24"/>
          <w14:textFill>
            <w14:solidFill>
              <w14:schemeClr w14:val="tx1"/>
            </w14:solidFill>
          </w14:textFill>
        </w:rPr>
        <w:t>一、资格审查程序</w:t>
      </w:r>
      <w:bookmarkEnd w:id="756"/>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开标结束后，采购人或采购代理机构将根据《资格审查要求》中的规定，对投标人进行资格审查，并形成资格审查结果。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投标人《资格证明文件》有任何一项不符合《资格审查要求》的，资格审查不合格，其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资格审查合格的投标人不足3家的，不进行评标。</w:t>
      </w:r>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二、资格审查要求</w:t>
      </w:r>
    </w:p>
    <w:tbl>
      <w:tblPr>
        <w:tblStyle w:val="55"/>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15"/>
        <w:gridCol w:w="5232"/>
        <w:gridCol w:w="1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bookmarkStart w:id="757" w:name="_Hlt487972895"/>
            <w:bookmarkEnd w:id="757"/>
            <w:r>
              <w:rPr>
                <w:rFonts w:hint="eastAsia" w:ascii="宋体" w:hAnsi="宋体" w:cs="宋体"/>
                <w:b/>
                <w:color w:val="000000" w:themeColor="text1"/>
                <w:sz w:val="24"/>
                <w14:textFill>
                  <w14:solidFill>
                    <w14:schemeClr w14:val="tx1"/>
                  </w14:solidFill>
                </w14:textFill>
              </w:rPr>
              <w:t>序号</w:t>
            </w:r>
          </w:p>
        </w:tc>
        <w:tc>
          <w:tcPr>
            <w:tcW w:w="171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审查因素</w:t>
            </w:r>
          </w:p>
        </w:tc>
        <w:tc>
          <w:tcPr>
            <w:tcW w:w="5232"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审查内容</w:t>
            </w:r>
          </w:p>
        </w:tc>
        <w:tc>
          <w:tcPr>
            <w:tcW w:w="149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715" w:type="dxa"/>
            <w:vAlign w:val="center"/>
          </w:tcPr>
          <w:p>
            <w:pPr>
              <w:tabs>
                <w:tab w:val="left" w:pos="1080"/>
              </w:tabs>
              <w:snapToGrid w:val="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w:t>
            </w:r>
            <w:r>
              <w:rPr>
                <w:rFonts w:hint="eastAsia" w:ascii="宋体" w:hAnsi="宋体" w:cs="宋体"/>
                <w:color w:val="000000" w:themeColor="text1"/>
                <w:spacing w:val="11"/>
                <w:sz w:val="24"/>
                <w14:textFill>
                  <w14:solidFill>
                    <w14:schemeClr w14:val="tx1"/>
                  </w14:solidFill>
                </w14:textFill>
              </w:rPr>
              <w:t>《中华人民共和国政府采购</w:t>
            </w:r>
            <w:r>
              <w:rPr>
                <w:rFonts w:hint="eastAsia" w:ascii="宋体" w:hAnsi="宋体" w:cs="宋体"/>
                <w:color w:val="000000" w:themeColor="text1"/>
                <w:spacing w:val="7"/>
                <w:sz w:val="24"/>
                <w14:textFill>
                  <w14:solidFill>
                    <w14:schemeClr w14:val="tx1"/>
                  </w14:solidFill>
                </w14:textFill>
              </w:rPr>
              <w:t>法》第二十二条</w:t>
            </w:r>
            <w:r>
              <w:rPr>
                <w:rFonts w:hint="eastAsia" w:ascii="宋体" w:hAnsi="宋体" w:cs="宋体"/>
                <w:color w:val="000000" w:themeColor="text1"/>
                <w:spacing w:val="-2"/>
                <w:sz w:val="24"/>
                <w14:textFill>
                  <w14:solidFill>
                    <w14:schemeClr w14:val="tx1"/>
                  </w14:solidFill>
                </w14:textFill>
              </w:rPr>
              <w:t>规定</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具体规定见第一章《投标邀请》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营业执照等证明文件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投标人为企业（包括合伙企业）的，应提供有效的“营业执照”；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投标人为事业单位的，应提供有效的“事业单位法人证书”；</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投标人是非企业机构的，应提供有效的“执业许可证”、“登记证书”等证明文件；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投标人是个体工商户的，应提供有效的“个体工商户营业执照”；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投标人是自然人的，应提供有效的自然人身份证明。</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themeColor="text1"/>
                <w:sz w:val="24"/>
                <w14:textFill>
                  <w14:solidFill>
                    <w14:schemeClr w14:val="tx1"/>
                  </w14:solidFill>
                </w14:textFill>
              </w:rPr>
              <w:t>。</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投标人资格声明书</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提供了符合招标文件要求的《投标人资格声明书》。</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投标人信用记录</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查询渠道：信用中国网站和中国政府采购网（</w:t>
            </w:r>
            <w:r>
              <w:rPr>
                <w:rFonts w:hint="eastAsia" w:ascii="宋体" w:hAnsi="宋体" w:cs="宋体"/>
                <w:color w:val="000000" w:themeColor="text1"/>
                <w14:textFill>
                  <w14:solidFill>
                    <w14:schemeClr w14:val="tx1"/>
                  </w14:solidFill>
                </w14:textFill>
              </w:rPr>
              <w:t>www.creditchina.gov.cn</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14:textFill>
                  <w14:solidFill>
                    <w14:schemeClr w14:val="tx1"/>
                  </w14:solidFill>
                </w14:textFill>
              </w:rPr>
              <w:t>www.ccgp.gov.cn</w:t>
            </w:r>
            <w:r>
              <w:rPr>
                <w:rFonts w:hint="eastAsia" w:ascii="宋体" w:hAnsi="宋体" w:cs="宋体"/>
                <w:color w:val="000000" w:themeColor="text1"/>
                <w:sz w:val="24"/>
                <w14:textFill>
                  <w14:solidFill>
                    <w14:schemeClr w14:val="tx1"/>
                  </w14:solidFill>
                </w14:textFill>
              </w:rPr>
              <w:t>）；</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截止时点：投标截止时间以后、资格审查阶段采购人或采购代理机构的实际查询时间；</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信用信息查询记录和证据留存具体方式：查询结果网页打印页作为查询记录和证据，与其他采购文件一并保存；</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信用信息的使用原则：经认定的被列入失信被执行人、重大税收违法失信主体名单、政府采购严重违法失信行为记录名单的投标人，其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。联合体形式投标的，联合体成员存在不良信用记录，视同联合体存在不良信用记录。</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1-4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法律、行政法规</w:t>
            </w:r>
            <w:r>
              <w:rPr>
                <w:rFonts w:hint="eastAsia" w:ascii="宋体" w:hAnsi="宋体" w:cs="宋体"/>
                <w:color w:val="000000" w:themeColor="text1"/>
                <w:spacing w:val="-1"/>
                <w:sz w:val="24"/>
                <w14:textFill>
                  <w14:solidFill>
                    <w14:schemeClr w14:val="tx1"/>
                  </w14:solidFill>
                </w14:textFill>
              </w:rPr>
              <w:t>规定的其他条件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法律、行政法规规定的其他条件</w:t>
            </w:r>
          </w:p>
        </w:tc>
        <w:tc>
          <w:tcPr>
            <w:tcW w:w="1495"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落实政府采购政策需满足的资格要求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r>
              <w:rPr>
                <w:rFonts w:hint="eastAsia" w:ascii="宋体" w:hAnsi="宋体" w:cs="宋体"/>
                <w:sz w:val="24"/>
              </w:rPr>
              <w:t>（包号1不适用）</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当本项目（包）涉及预留份额专门面向中小企业采购，此时建议在《资格证明文件》中提供。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color w:val="000000" w:themeColor="text1"/>
                <w:spacing w:val="2"/>
                <w:sz w:val="24"/>
                <w14:textFill>
                  <w14:solidFill>
                    <w14:schemeClr w14:val="tx1"/>
                  </w14:solidFill>
                </w14:textFill>
              </w:rPr>
              <w:t>（含新疆生产建设兵团）出具的属于监狱企业的证明文件中如实填报，且满足招标文件</w:t>
            </w:r>
            <w:r>
              <w:rPr>
                <w:rFonts w:hint="eastAsia" w:ascii="宋体" w:hAnsi="宋体" w:cs="宋体"/>
                <w:color w:val="000000" w:themeColor="text1"/>
                <w:spacing w:val="-1"/>
                <w:sz w:val="24"/>
                <w14:textFill>
                  <w14:solidFill>
                    <w14:schemeClr w14:val="tx1"/>
                  </w14:solidFill>
                </w14:textFill>
              </w:rPr>
              <w:t>关于预留份额的要求。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拟分包情况说明及分包意向协议</w:t>
            </w:r>
            <w:bookmarkStart w:id="758" w:name="OLE_LINK122"/>
            <w:bookmarkStart w:id="759" w:name="OLE_LINK123"/>
            <w:r>
              <w:rPr>
                <w:rFonts w:hint="eastAsia" w:ascii="宋体" w:hAnsi="宋体" w:cs="宋体"/>
                <w:color w:val="000000" w:themeColor="text1"/>
                <w:sz w:val="24"/>
                <w14:textFill>
                  <w14:solidFill>
                    <w14:schemeClr w14:val="tx1"/>
                  </w14:solidFill>
                </w14:textFill>
              </w:rPr>
              <w:t>（本项目不适用）</w:t>
            </w:r>
            <w:bookmarkEnd w:id="758"/>
            <w:bookmarkEnd w:id="759"/>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如本项目（包）要求通过分包措施预留部分 采购份额面向中小企业采购、且投标人因落 实政府采购政策拟进行分包的，必须提供； 否则无须提供。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对于预留份额专门面向中小企业采购的项目 （包），组成联合体或者接受分包合同的中小 企业与联合体内其他企业、分包企业之间不 得存在直接控股、管理关系。</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其它落实政府采购政策的资格要求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是否接受联合体投标（本项目不适用）</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1、如本项目接受联合体投标，且投标人为联 合体时必须提供《联合协议》，明确各方拟担的工作和责任，并指定联合体牵头人，授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2、联合体各成员单位均须提供本表中序号 1-1、1-2的证明文件。联合体各成员单位均 应满足本表3-2项规定。</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3、本表序号3-3项规定的其他特定资格要求中的每一小项要求，联合体各方中至少应当有一方符合本表中其他资格要求并提供证 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4、联合体中有同类资质的供应商按照联合体 分工承担相同工作的，应当按照资质等级较 低的供应商确定资质等级。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color w:val="000000" w:themeColor="text1"/>
                <w:spacing w:val="-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6、若联合体中任一成员单位中途退出，则该</w:t>
            </w:r>
            <w:r>
              <w:rPr>
                <w:rFonts w:hint="eastAsia" w:ascii="宋体" w:hAnsi="宋体" w:cs="宋体"/>
                <w:color w:val="000000" w:themeColor="text1"/>
                <w:spacing w:val="-1"/>
                <w:sz w:val="24"/>
                <w14:textFill>
                  <w14:solidFill>
                    <w14:schemeClr w14:val="tx1"/>
                  </w14:solidFill>
                </w14:textFill>
              </w:rPr>
              <w:t>联合体的</w:t>
            </w:r>
            <w:r>
              <w:rPr>
                <w:rFonts w:hint="eastAsia" w:ascii="宋体" w:hAnsi="宋体" w:cs="宋体"/>
                <w:b/>
                <w:bCs/>
                <w:color w:val="000000" w:themeColor="text1"/>
                <w:spacing w:val="-1"/>
                <w:sz w:val="24"/>
                <w14:textFill>
                  <w14:solidFill>
                    <w14:schemeClr w14:val="tx1"/>
                  </w14:solidFill>
                </w14:textFill>
              </w:rPr>
              <w:t>投标无效。</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7、本项目不接受联合体投标时，投标人不得</w:t>
            </w:r>
            <w:r>
              <w:rPr>
                <w:rFonts w:hint="eastAsia" w:ascii="宋体" w:hAnsi="宋体" w:cs="宋体"/>
                <w:color w:val="000000" w:themeColor="text1"/>
                <w:spacing w:val="-3"/>
                <w:sz w:val="24"/>
                <w14:textFill>
                  <w14:solidFill>
                    <w14:schemeClr w14:val="tx1"/>
                  </w14:solidFill>
                </w14:textFill>
              </w:rPr>
              <w:t>为联合体。</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提供《联合协议》原件的电子件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政府购买服务承接主体的要求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如本项目属于政府购买服务，投标人不属于 公益一类事业单位、使用事业编制且由财政 拨款保障的群团组织。</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：如联合体中有同类资质的供应商按照联合体分工承担相同工作的，均应当提供资质证书电子件或电子证照。</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按照招标文件的规定提交投标保证金。</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bookmarkStart w:id="760" w:name="_Hlt487900425"/>
        <w:bookmarkStart w:id="761" w:name="_Hlt522424701"/>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获取招标文件</w:t>
            </w:r>
          </w:p>
        </w:tc>
        <w:tc>
          <w:tcPr>
            <w:tcW w:w="5232" w:type="dxa"/>
            <w:vAlign w:val="center"/>
          </w:tcPr>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在规定期限内通过北京市政府采购电子交易平台获取所参与包的招标文件。</w:t>
            </w:r>
          </w:p>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注：如本项目接受联合体，且供应商为联合体时，联合体中任一成员获取文件即视为满足要求。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755"/>
      <w:bookmarkEnd w:id="760"/>
      <w:bookmarkEnd w:id="761"/>
    </w:tbl>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62" w:name="_Toc226965858"/>
      <w:bookmarkStart w:id="763" w:name="_Toc353873940"/>
      <w:bookmarkStart w:id="764" w:name="_Toc127161490"/>
      <w:bookmarkStart w:id="765" w:name="_Toc353825550"/>
      <w:bookmarkStart w:id="766" w:name="_Toc127151779"/>
      <w:bookmarkStart w:id="767" w:name="_Toc99301423"/>
      <w:r>
        <w:rPr>
          <w:rFonts w:hint="eastAsia" w:ascii="宋体" w:hAnsi="宋体" w:cs="宋体"/>
          <w:b/>
          <w:color w:val="000000" w:themeColor="text1"/>
          <w:sz w:val="36"/>
          <w:szCs w:val="36"/>
          <w14:textFill>
            <w14:solidFill>
              <w14:schemeClr w14:val="tx1"/>
            </w14:solidFill>
          </w14:textFill>
        </w:rPr>
        <w:br w:type="page"/>
      </w:r>
      <w:bookmarkStart w:id="768" w:name="_Toc218620569"/>
      <w:r>
        <w:rPr>
          <w:rFonts w:hint="eastAsia" w:ascii="宋体" w:hAnsi="宋体" w:cs="宋体"/>
          <w:b/>
          <w:color w:val="000000" w:themeColor="text1"/>
          <w:sz w:val="36"/>
          <w:szCs w:val="36"/>
          <w14:textFill>
            <w14:solidFill>
              <w14:schemeClr w14:val="tx1"/>
            </w14:solidFill>
          </w14:textFill>
        </w:rPr>
        <w:t xml:space="preserve">第四章   </w:t>
      </w:r>
      <w:bookmarkEnd w:id="762"/>
      <w:bookmarkEnd w:id="763"/>
      <w:bookmarkEnd w:id="764"/>
      <w:bookmarkEnd w:id="765"/>
      <w:bookmarkEnd w:id="766"/>
      <w:bookmarkStart w:id="769" w:name="_Hlt164229061"/>
      <w:bookmarkEnd w:id="769"/>
      <w:r>
        <w:rPr>
          <w:rFonts w:hint="eastAsia" w:ascii="宋体" w:hAnsi="宋体" w:cs="宋体"/>
          <w:b/>
          <w:color w:val="000000" w:themeColor="text1"/>
          <w:sz w:val="36"/>
          <w:szCs w:val="36"/>
          <w14:textFill>
            <w14:solidFill>
              <w14:schemeClr w14:val="tx1"/>
            </w14:solidFill>
          </w14:textFill>
        </w:rPr>
        <w:t>评标程序、评标方法和评标标准</w:t>
      </w:r>
      <w:bookmarkEnd w:id="767"/>
      <w:bookmarkEnd w:id="768"/>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一、评标方法</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bookmarkStart w:id="770" w:name="_Toc151193783"/>
      <w:bookmarkStart w:id="771" w:name="_Toc151193855"/>
      <w:bookmarkStart w:id="772" w:name="_Toc305158883"/>
      <w:bookmarkStart w:id="773" w:name="_Toc164351635"/>
      <w:bookmarkStart w:id="774" w:name="_Toc127151742"/>
      <w:bookmarkStart w:id="775" w:name="_Toc150509292"/>
      <w:bookmarkStart w:id="776" w:name="_Toc151193711"/>
      <w:bookmarkStart w:id="777" w:name="_Toc142311043"/>
      <w:bookmarkStart w:id="778" w:name="_Toc164608810"/>
      <w:bookmarkStart w:id="779" w:name="_Toc226965814"/>
      <w:bookmarkStart w:id="780" w:name="_Toc265228379"/>
      <w:bookmarkStart w:id="781" w:name="_Toc151193929"/>
      <w:bookmarkStart w:id="782" w:name="_Toc264969231"/>
      <w:bookmarkStart w:id="783" w:name="_Toc151193639"/>
      <w:bookmarkStart w:id="784" w:name="_Toc164608655"/>
      <w:bookmarkStart w:id="785" w:name="_Toc305158809"/>
      <w:bookmarkStart w:id="786" w:name="_Toc150480779"/>
      <w:bookmarkStart w:id="787" w:name="_Toc164229382"/>
      <w:bookmarkStart w:id="788" w:name="_Toc150774746"/>
      <w:bookmarkStart w:id="789" w:name="_Toc195842906"/>
      <w:bookmarkStart w:id="790" w:name="_Toc149720834"/>
      <w:bookmarkStart w:id="791" w:name="_Toc127161455"/>
      <w:bookmarkStart w:id="792" w:name="_Toc226965731"/>
      <w:bookmarkStart w:id="793" w:name="_Toc226309785"/>
      <w:bookmarkStart w:id="794" w:name="_Toc151190168"/>
      <w:bookmarkStart w:id="795" w:name="_Toc164229236"/>
      <w:bookmarkStart w:id="796" w:name="_Toc226337237"/>
      <w:bookmarkStart w:id="797" w:name="_Toc150774641"/>
      <w:bookmarkStart w:id="798" w:name="_Toc127151541"/>
      <w:bookmarkStart w:id="799" w:name="_Toc353873941"/>
      <w:bookmarkStart w:id="800" w:name="_Toc353825551"/>
      <w:bookmarkStart w:id="801" w:name="_Toc142311057"/>
      <w:bookmarkStart w:id="802" w:name="_Toc265228393"/>
      <w:bookmarkStart w:id="803" w:name="_Toc150480793"/>
      <w:bookmarkStart w:id="804" w:name="_Toc353825545"/>
      <w:bookmarkStart w:id="805" w:name="_Toc195842920"/>
      <w:bookmarkStart w:id="806" w:name="_Toc264969245"/>
      <w:bookmarkStart w:id="807" w:name="_Toc305158823"/>
      <w:bookmarkStart w:id="808" w:name="_Toc127151555"/>
      <w:bookmarkStart w:id="809" w:name="_Toc226965828"/>
      <w:bookmarkStart w:id="810" w:name="_Toc226337251"/>
      <w:bookmarkStart w:id="811" w:name="_Toc150774760"/>
      <w:bookmarkStart w:id="812" w:name="_Toc305158897"/>
      <w:bookmarkStart w:id="813" w:name="_Toc353873935"/>
      <w:bookmarkStart w:id="814" w:name="_Toc353873665"/>
      <w:r>
        <w:rPr>
          <w:rFonts w:hint="eastAsia" w:ascii="宋体" w:hAnsi="宋体" w:cs="宋体"/>
          <w:color w:val="000000" w:themeColor="text1"/>
          <w:sz w:val="24"/>
          <w14:textFill>
            <w14:solidFill>
              <w14:schemeClr w14:val="tx1"/>
            </w14:solidFill>
          </w14:textFill>
        </w:rPr>
        <w:t>投标文件的符合性审查</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评标委员会对资格审查合格的投标人的投标文件进行符合性审查，以确定其是否满足招标文件的实质性要求。</w:t>
      </w:r>
      <w:bookmarkStart w:id="815" w:name="_Toc520356167"/>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15"/>
      <w:r>
        <w:rPr>
          <w:rFonts w:hint="eastAsia" w:ascii="宋体" w:hAnsi="宋体" w:cs="宋体"/>
          <w:color w:val="000000" w:themeColor="text1"/>
          <w:sz w:val="24"/>
          <w14:textFill>
            <w14:solidFill>
              <w14:schemeClr w14:val="tx1"/>
            </w14:solidFill>
          </w14:textFill>
        </w:rPr>
        <w:t>要求的，</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900"/>
          <w:tab w:val="left" w:pos="1080"/>
          <w:tab w:val="left" w:pos="1589"/>
        </w:tabs>
        <w:snapToGrid w:val="0"/>
        <w:spacing w:line="360" w:lineRule="auto"/>
        <w:ind w:leftChars="-170" w:hanging="357" w:hangingChars="148"/>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符合性审查要求</w:t>
      </w:r>
    </w:p>
    <w:tbl>
      <w:tblPr>
        <w:tblStyle w:val="55"/>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663"/>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85" w:type="dxa"/>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1663" w:type="dxa"/>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审查因素</w:t>
            </w:r>
          </w:p>
        </w:tc>
        <w:tc>
          <w:tcPr>
            <w:tcW w:w="6175" w:type="dxa"/>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授权委托书</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投标完整性</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投标报价</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报价唯一性</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投标有效期</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实质性格式</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★号条款响应（如有）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拟分包情况说</w:t>
            </w:r>
            <w:r>
              <w:rPr>
                <w:rFonts w:hint="eastAsia" w:ascii="宋体" w:hAnsi="宋体" w:cs="宋体"/>
                <w:color w:val="000000" w:themeColor="text1"/>
                <w:spacing w:val="-3"/>
                <w:sz w:val="24"/>
                <w14:textFill>
                  <w14:solidFill>
                    <w14:schemeClr w14:val="tx1"/>
                  </w14:solidFill>
                </w14:textFill>
              </w:rPr>
              <w:t>明（如有）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分包其他要求</w:t>
            </w:r>
            <w:r>
              <w:rPr>
                <w:rFonts w:hint="eastAsia" w:ascii="宋体" w:hAnsi="宋体" w:cs="宋体"/>
                <w:color w:val="000000" w:themeColor="text1"/>
                <w:spacing w:val="3"/>
                <w:sz w:val="24"/>
                <w14:textFill>
                  <w14:solidFill>
                    <w14:schemeClr w14:val="tx1"/>
                  </w14:solidFill>
                </w14:textFill>
              </w:rPr>
              <w:t>（如有）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分包履行的内容、金额或者比例未超出《投标人须知资料表》中的规定；</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报价的修正（如有）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报价合理性</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进口产品</w:t>
            </w:r>
          </w:p>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国家有关部门对投标人的投标产品有强制性规定或要求的（如有）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国家有关部门对投标人的投标产品有强制性规定或要求的（如相应技术、安全、节能和环保等），投标人的投标产品应符合相应规定或要求，并提供证明文件电子件：</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公平竞争</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串通投标</w:t>
            </w:r>
          </w:p>
        </w:tc>
        <w:tc>
          <w:tcPr>
            <w:tcW w:w="6175" w:type="dxa"/>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附加条件</w:t>
            </w:r>
          </w:p>
        </w:tc>
        <w:tc>
          <w:tcPr>
            <w:tcW w:w="6175"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85" w:type="dxa"/>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17</w:t>
            </w:r>
          </w:p>
        </w:tc>
        <w:tc>
          <w:tcPr>
            <w:tcW w:w="1663"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其他无效情形</w:t>
            </w:r>
          </w:p>
        </w:tc>
        <w:tc>
          <w:tcPr>
            <w:tcW w:w="6175" w:type="dxa"/>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投标人、投标文件不存在不符合法律、法规和招标文件规定的其他无效情形。</w:t>
            </w:r>
          </w:p>
        </w:tc>
      </w:tr>
    </w:tbl>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投标文件有关事项的澄清或者说明</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color w:val="000000" w:themeColor="text1"/>
          <w:sz w:val="24"/>
          <w14:textFill>
            <w14:solidFill>
              <w14:schemeClr w14:val="tx1"/>
            </w14:solidFill>
          </w14:textFill>
        </w:rPr>
        <w:t>无效投标处理</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color w:val="000000" w:themeColor="text1"/>
          <w:sz w:val="24"/>
          <w14:textFill>
            <w14:solidFill>
              <w14:schemeClr w14:val="tx1"/>
            </w14:solidFill>
          </w14:textFill>
        </w:rPr>
        <w:t>无效投标（响应）处理。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□有，具体规定为：______________</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■无，按下述2.4.2-2.4.8项规定修正。</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修正后的报价经投标人书面确认后产生约束力，投标人不确认的，其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对于未预留份额专门面向中小企业采购的采购项目，以及预留份额项目中的非预留部分采购包，对小微企业报价给予</w:t>
      </w:r>
      <w:r>
        <w:rPr>
          <w:rFonts w:hint="eastAsia" w:ascii="宋体" w:hAnsi="宋体" w:cs="宋体"/>
          <w:color w:val="000000" w:themeColor="text1"/>
          <w:sz w:val="24"/>
          <w:u w:val="single"/>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中小企业参加政府采购活动，</w:t>
      </w:r>
      <w:bookmarkStart w:id="816" w:name="OLE_LINK4"/>
      <w:bookmarkStart w:id="817" w:name="OLE_LINK3"/>
      <w:r>
        <w:rPr>
          <w:rFonts w:hint="eastAsia" w:ascii="宋体" w:hAnsi="宋体" w:cs="宋体"/>
          <w:color w:val="000000" w:themeColor="text1"/>
          <w:sz w:val="24"/>
          <w14:textFill>
            <w14:solidFill>
              <w14:schemeClr w14:val="tx1"/>
            </w14:solidFill>
          </w14:textFill>
        </w:rPr>
        <w:t>应当按照招标文件给定的格式出具</w:t>
      </w:r>
      <w:bookmarkEnd w:id="816"/>
      <w:bookmarkEnd w:id="817"/>
      <w:r>
        <w:rPr>
          <w:rFonts w:hint="eastAsia" w:ascii="宋体" w:hAnsi="宋体" w:cs="宋体"/>
          <w:color w:val="000000" w:themeColor="text1"/>
          <w:sz w:val="24"/>
          <w14:textFill>
            <w14:solidFill>
              <w14:schemeClr w14:val="tx1"/>
            </w14:solidFill>
          </w14:textFill>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监狱企业提供了由省级以上监狱</w:t>
      </w:r>
      <w:r>
        <w:rPr>
          <w:rFonts w:hint="eastAsia" w:ascii="宋体" w:hAnsi="宋体" w:cs="宋体"/>
          <w:color w:val="000000" w:themeColor="text1"/>
          <w:spacing w:val="-1"/>
          <w:sz w:val="24"/>
          <w14:textFill>
            <w14:solidFill>
              <w14:schemeClr w14:val="tx1"/>
            </w14:solidFill>
          </w14:textFill>
        </w:rPr>
        <w:t>管理局、戒毒管理局</w:t>
      </w:r>
      <w:r>
        <w:rPr>
          <w:rFonts w:hint="eastAsia" w:ascii="宋体" w:hAnsi="宋体" w:cs="宋体"/>
          <w:color w:val="000000" w:themeColor="text1"/>
          <w:sz w:val="24"/>
          <w14:textFill>
            <w14:solidFill>
              <w14:schemeClr w14:val="tx1"/>
            </w14:solidFill>
          </w14:textFill>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sz w:val="24"/>
        </w:rPr>
        <w:t>支持本国产品政府采购政策</w:t>
      </w:r>
      <w:r>
        <w:rPr>
          <w:rFonts w:ascii="宋体" w:hAnsi="宋体"/>
          <w:sz w:val="24"/>
        </w:rPr>
        <w:t>的价格调整</w:t>
      </w:r>
      <w:r>
        <w:rPr>
          <w:rFonts w:hint="eastAsia" w:ascii="宋体" w:hAnsi="宋体" w:cs="宋体"/>
          <w:color w:val="000000" w:themeColor="text1"/>
          <w:sz w:val="24"/>
          <w14:textFill>
            <w14:solidFill>
              <w14:schemeClr w14:val="tx1"/>
            </w14:solidFill>
          </w14:textFill>
        </w:rPr>
        <w:t>：只有符合第二章《投标人须知》5.</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w:t>
      </w:r>
      <w:r>
        <w:rPr>
          <w:rFonts w:hint="eastAsia" w:ascii="宋体" w:hAnsi="宋体"/>
          <w:sz w:val="24"/>
        </w:rPr>
        <w:t>提供本国产品参加政府采购活动的，</w:t>
      </w:r>
      <w:r>
        <w:rPr>
          <w:rFonts w:hint="eastAsia" w:ascii="宋体" w:hAnsi="宋体" w:cs="宋体"/>
          <w:color w:val="000000" w:themeColor="text1"/>
          <w:sz w:val="24"/>
          <w14:textFill>
            <w14:solidFill>
              <w14:schemeClr w14:val="tx1"/>
            </w14:solidFill>
          </w14:textFill>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color w:val="000000" w:themeColor="text1"/>
          <w:sz w:val="24"/>
          <w14:textFill>
            <w14:solidFill>
              <w14:schemeClr w14:val="tx1"/>
            </w14:solidFill>
          </w14:textFill>
        </w:rPr>
        <w:t>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ascii="宋体" w:hAnsi="宋体"/>
          <w:sz w:val="24"/>
        </w:rPr>
      </w:pPr>
      <w:bookmarkStart w:id="818"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18"/>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投标文件的比较和评价</w:t>
      </w:r>
      <w:bookmarkEnd w:id="799"/>
      <w:bookmarkEnd w:id="800"/>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评标方法和评标标准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本项目采用的评标方法为：</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□随机抽取</w:t>
      </w:r>
    </w:p>
    <w:p>
      <w:pPr>
        <w:tabs>
          <w:tab w:val="left" w:pos="1080"/>
          <w:tab w:val="left" w:pos="1589"/>
          <w:tab w:val="left" w:pos="2035"/>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□其他方式，具体要求：_____</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非政府强制采购的节能产品或环境标志产品，依据品目清单和认证证书实施政府优先采购。优先采购的具体规定（如涉及）</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w:t>
      </w:r>
      <w:bookmarkStart w:id="819" w:name="_Toc142311048"/>
      <w:bookmarkStart w:id="820" w:name="_Toc150774646"/>
      <w:bookmarkStart w:id="821" w:name="_Toc127151747"/>
      <w:bookmarkStart w:id="822" w:name="_Toc164608815"/>
      <w:bookmarkStart w:id="823" w:name="_Toc164351640"/>
      <w:bookmarkStart w:id="824" w:name="_Ref467307010"/>
      <w:bookmarkStart w:id="825" w:name="_Toc226337242"/>
      <w:bookmarkStart w:id="826" w:name="_Toc305158888"/>
      <w:bookmarkStart w:id="827" w:name="_Toc150774751"/>
      <w:bookmarkStart w:id="828" w:name="_Toc164229387"/>
      <w:bookmarkStart w:id="829" w:name="_Toc127161460"/>
      <w:bookmarkStart w:id="830" w:name="_Toc150480784"/>
      <w:bookmarkStart w:id="831" w:name="_Toc164608660"/>
      <w:bookmarkStart w:id="832" w:name="_Toc127151546"/>
      <w:bookmarkStart w:id="833" w:name="_Toc226965819"/>
      <w:bookmarkStart w:id="834" w:name="_Toc265228384"/>
      <w:bookmarkStart w:id="835" w:name="_Toc150509297"/>
      <w:bookmarkStart w:id="836" w:name="_Toc226309790"/>
      <w:bookmarkStart w:id="837" w:name="_Toc151193934"/>
      <w:bookmarkStart w:id="838" w:name="_Toc151190173"/>
      <w:bookmarkStart w:id="839" w:name="_Toc195842911"/>
      <w:bookmarkStart w:id="840" w:name="_Toc226965736"/>
      <w:bookmarkStart w:id="841" w:name="_Toc149720839"/>
      <w:bookmarkStart w:id="842" w:name="_Toc151193788"/>
      <w:bookmarkStart w:id="843" w:name="_Toc151193644"/>
      <w:bookmarkStart w:id="844" w:name="_Toc151193860"/>
      <w:bookmarkStart w:id="845" w:name="_Toc305158814"/>
      <w:bookmarkStart w:id="846" w:name="_Toc520356170"/>
      <w:bookmarkStart w:id="847" w:name="_Toc264969236"/>
      <w:bookmarkStart w:id="848" w:name="_Toc151193716"/>
      <w:bookmarkStart w:id="849" w:name="_Toc164229241"/>
      <w:r>
        <w:rPr>
          <w:rFonts w:hint="eastAsia" w:ascii="宋体" w:hAnsi="宋体" w:cs="宋体"/>
          <w:color w:val="000000" w:themeColor="text1"/>
          <w:sz w:val="24"/>
          <w14:textFill>
            <w14:solidFill>
              <w14:schemeClr w14:val="tx1"/>
            </w14:solidFill>
          </w14:textFill>
        </w:rPr>
        <w:t>中标候选人名单</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30"/>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t>□随机抽取</w:t>
      </w:r>
    </w:p>
    <w:p>
      <w:pPr>
        <w:pStyle w:val="30"/>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14:textFill>
            <w14:solidFill>
              <w14:schemeClr w14:val="tx1"/>
            </w14:solidFill>
          </w14:textFill>
        </w:rPr>
        <w:t>■</w:t>
      </w:r>
      <w:r>
        <w:rPr>
          <w:rFonts w:hAnsi="宋体" w:cs="宋体"/>
          <w:color w:val="000000" w:themeColor="text1"/>
          <w:sz w:val="24"/>
          <w:szCs w:val="24"/>
          <w14:textFill>
            <w14:solidFill>
              <w14:schemeClr w14:val="tx1"/>
            </w14:solidFill>
          </w14:textFill>
        </w:rPr>
        <w:t>其他方式，具体要求：</w:t>
      </w:r>
      <w:r>
        <w:rPr>
          <w:rFonts w:hAnsi="宋体" w:cs="宋体"/>
          <w:color w:val="000000" w:themeColor="text1"/>
          <w:sz w:val="24"/>
          <w:szCs w:val="24"/>
          <w:u w:val="single"/>
          <w14:textFill>
            <w14:solidFill>
              <w14:schemeClr w14:val="tx1"/>
            </w14:solidFill>
          </w14:textFill>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评标委员会将根据各投标人的评标排序，依次推荐本项目（各采购包）的中标候选人，起草并签署评标报告。本项目（各采购包）评标委员会共（各）推荐</w:t>
      </w:r>
      <w:r>
        <w:rPr>
          <w:rFonts w:hint="eastAsia" w:ascii="宋体" w:hAnsi="宋体" w:cs="宋体"/>
          <w:color w:val="000000" w:themeColor="text1"/>
          <w:sz w:val="24"/>
          <w:u w:val="single"/>
          <w14:textFill>
            <w14:solidFill>
              <w14:schemeClr w14:val="tx1"/>
            </w14:solidFill>
          </w14:textFill>
        </w:rPr>
        <w:t xml:space="preserve">  3 </w:t>
      </w:r>
      <w:r>
        <w:rPr>
          <w:rFonts w:hint="eastAsia" w:ascii="宋体" w:hAnsi="宋体" w:cs="宋体"/>
          <w:color w:val="000000" w:themeColor="text1"/>
          <w:sz w:val="24"/>
          <w14:textFill>
            <w14:solidFill>
              <w14:schemeClr w14:val="tx1"/>
            </w14:solidFill>
          </w14:textFill>
        </w:rPr>
        <w:t>名中标候选人。</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报告违法行为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评标委员会在评标过程中发现投标人有行贿、提供虚假材料或者串通等违法行为时，</w:t>
      </w:r>
      <w:r>
        <w:rPr>
          <w:rFonts w:hint="eastAsia" w:ascii="宋体" w:hAnsi="宋体" w:cs="宋体"/>
          <w:color w:val="000000" w:themeColor="text1"/>
          <w:spacing w:val="-1"/>
          <w:sz w:val="24"/>
          <w14:textFill>
            <w14:solidFill>
              <w14:schemeClr w14:val="tx1"/>
            </w14:solidFill>
          </w14:textFill>
        </w:rPr>
        <w:t>应当及时向财政部门报告</w:t>
      </w:r>
      <w:r>
        <w:rPr>
          <w:rFonts w:hint="eastAsia" w:ascii="宋体" w:hAnsi="宋体" w:cs="宋体"/>
          <w:color w:val="000000" w:themeColor="text1"/>
          <w:sz w:val="24"/>
          <w14:textFill>
            <w14:solidFill>
              <w14:schemeClr w14:val="tx1"/>
            </w14:solidFill>
          </w14:textFill>
        </w:rPr>
        <w:t>。</w:t>
      </w: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二、评标标准</w:t>
      </w:r>
    </w:p>
    <w:tbl>
      <w:tblPr>
        <w:tblStyle w:val="55"/>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433"/>
        <w:gridCol w:w="620"/>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Align w:val="center"/>
          </w:tcPr>
          <w:p>
            <w:pPr>
              <w:ind w:firstLine="28"/>
              <w:jc w:val="center"/>
              <w:rPr>
                <w:rFonts w:asciiTheme="minorEastAsia" w:hAnsiTheme="minorEastAsia" w:eastAsiaTheme="minorEastAsia" w:cstheme="minorEastAsia"/>
                <w:b/>
              </w:rPr>
            </w:pPr>
            <w:bookmarkStart w:id="850" w:name="_Toc209958496"/>
            <w:bookmarkStart w:id="851" w:name="_Toc218620570"/>
            <w:bookmarkStart w:id="852" w:name="_Toc99301425"/>
            <w:r>
              <w:rPr>
                <w:rFonts w:hint="eastAsia" w:asciiTheme="minorEastAsia" w:hAnsiTheme="minorEastAsia" w:eastAsiaTheme="minorEastAsia" w:cstheme="minorEastAsia"/>
                <w:b/>
              </w:rPr>
              <w:t>评标分项</w:t>
            </w:r>
          </w:p>
        </w:tc>
        <w:tc>
          <w:tcPr>
            <w:tcW w:w="1433" w:type="dxa"/>
            <w:vAlign w:val="center"/>
          </w:tcPr>
          <w:p>
            <w:pPr>
              <w:ind w:firstLine="28"/>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评分因素分项</w:t>
            </w:r>
          </w:p>
        </w:tc>
        <w:tc>
          <w:tcPr>
            <w:tcW w:w="620" w:type="dxa"/>
            <w:vAlign w:val="center"/>
          </w:tcPr>
          <w:p>
            <w:pPr>
              <w:ind w:firstLine="28"/>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分值</w:t>
            </w:r>
          </w:p>
        </w:tc>
        <w:tc>
          <w:tcPr>
            <w:tcW w:w="6192" w:type="dxa"/>
            <w:vAlign w:val="center"/>
          </w:tcPr>
          <w:p>
            <w:pPr>
              <w:ind w:firstLine="28"/>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Align w:val="center"/>
          </w:tcPr>
          <w:p>
            <w:pPr>
              <w:ind w:firstLine="28"/>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投标报价</w:t>
            </w:r>
          </w:p>
          <w:p>
            <w:pPr>
              <w:ind w:firstLine="28"/>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（10分）</w:t>
            </w:r>
          </w:p>
        </w:tc>
        <w:tc>
          <w:tcPr>
            <w:tcW w:w="1433"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评标价格</w:t>
            </w:r>
          </w:p>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（10分）</w:t>
            </w: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10</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价格分采用低价优先法计算，即满足招标文件要求且投标价格最低的投标报价为评标基准价，其价格分为满分。其他投标人的价格分统一按照下列公式计算：</w:t>
            </w:r>
          </w:p>
          <w:p>
            <w:pPr>
              <w:rPr>
                <w:rFonts w:asciiTheme="minorEastAsia" w:hAnsiTheme="minorEastAsia" w:eastAsiaTheme="minorEastAsia" w:cstheme="minorEastAsia"/>
              </w:rPr>
            </w:pPr>
            <w:r>
              <w:rPr>
                <w:rFonts w:hint="eastAsia" w:asciiTheme="minorEastAsia" w:hAnsiTheme="minorEastAsia" w:eastAsiaTheme="minorEastAsia" w:cstheme="minorEastAsia"/>
              </w:rPr>
              <w:t>投标报价得分＝（评标基准价/投标报价）×10%×100（保留小数点后两位）</w:t>
            </w:r>
          </w:p>
          <w:p>
            <w:pPr>
              <w:rPr>
                <w:rFonts w:asciiTheme="minorEastAsia" w:hAnsiTheme="minorEastAsia" w:eastAsiaTheme="minorEastAsia" w:cstheme="minorEastAsia"/>
              </w:rPr>
            </w:pPr>
            <w:r>
              <w:rPr>
                <w:rFonts w:hint="eastAsia" w:asciiTheme="minorEastAsia" w:hAnsiTheme="minorEastAsia" w:eastAsiaTheme="minorEastAsia" w:cstheme="minorEastAsia"/>
              </w:rPr>
              <w:t>注：此处投标报价指经过报价修正，及因落实政府采购政策进行价格调整后的报价，详见第四章《评标程序、评标方法和评标标准》2.4及2.5。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9" w:type="dxa"/>
            <w:vMerge w:val="restart"/>
            <w:vAlign w:val="center"/>
          </w:tcPr>
          <w:p>
            <w:pPr>
              <w:ind w:firstLine="28"/>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商务部分</w:t>
            </w:r>
          </w:p>
          <w:p>
            <w:pPr>
              <w:ind w:firstLine="28"/>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（2</w:t>
            </w:r>
            <w:r>
              <w:rPr>
                <w:rFonts w:hint="eastAsia" w:asciiTheme="minorEastAsia" w:hAnsiTheme="minorEastAsia" w:eastAsiaTheme="minorEastAsia" w:cstheme="minorEastAsia"/>
                <w:b/>
                <w:lang w:val="en-US" w:eastAsia="zh-CN"/>
              </w:rPr>
              <w:t>6</w:t>
            </w:r>
            <w:r>
              <w:rPr>
                <w:rFonts w:hint="eastAsia" w:asciiTheme="minorEastAsia" w:hAnsiTheme="minorEastAsia" w:eastAsiaTheme="minorEastAsia" w:cstheme="minorEastAsia"/>
                <w:b/>
              </w:rPr>
              <w:t>分）</w:t>
            </w:r>
          </w:p>
        </w:tc>
        <w:tc>
          <w:tcPr>
            <w:tcW w:w="1433" w:type="dxa"/>
            <w:vMerge w:val="restart"/>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资质认证</w:t>
            </w:r>
          </w:p>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分）</w:t>
            </w:r>
          </w:p>
        </w:tc>
        <w:tc>
          <w:tcPr>
            <w:tcW w:w="620" w:type="dxa"/>
            <w:vAlign w:val="center"/>
          </w:tcPr>
          <w:p>
            <w:pPr>
              <w:pStyle w:val="259"/>
              <w:spacing w:line="240" w:lineRule="auto"/>
              <w:rPr>
                <w:rFonts w:hint="eastAsia" w:asciiTheme="minorEastAsia" w:hAnsiTheme="minorEastAsia" w:eastAsiaTheme="minorEastAsia" w:cstheme="minorEastAsia"/>
                <w:b w:val="0"/>
                <w:sz w:val="21"/>
                <w:szCs w:val="21"/>
                <w:lang w:eastAsia="zh-CN"/>
              </w:rPr>
            </w:pPr>
            <w:r>
              <w:rPr>
                <w:rFonts w:hint="eastAsia" w:asciiTheme="minorEastAsia" w:hAnsiTheme="minorEastAsia" w:eastAsiaTheme="minorEastAsia" w:cstheme="minorEastAsia"/>
                <w:b w:val="0"/>
                <w:sz w:val="21"/>
                <w:szCs w:val="21"/>
                <w:lang w:val="en-US" w:eastAsia="zh-CN"/>
              </w:rPr>
              <w:t>3</w:t>
            </w:r>
          </w:p>
        </w:tc>
        <w:tc>
          <w:tcPr>
            <w:tcW w:w="6192"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具有ISO9001质量管理体系认证证书，得</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注：提供有效的证明材料加盖投标人公章，否则不得分。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Merge w:val="continue"/>
            <w:vAlign w:val="center"/>
          </w:tcPr>
          <w:p>
            <w:pPr>
              <w:ind w:firstLine="28"/>
              <w:jc w:val="center"/>
              <w:rPr>
                <w:rFonts w:asciiTheme="minorEastAsia" w:hAnsiTheme="minorEastAsia" w:eastAsiaTheme="minorEastAsia" w:cstheme="minorEastAsia"/>
              </w:rPr>
            </w:pPr>
          </w:p>
        </w:tc>
        <w:tc>
          <w:tcPr>
            <w:tcW w:w="620" w:type="dxa"/>
            <w:vAlign w:val="center"/>
          </w:tcPr>
          <w:p>
            <w:pPr>
              <w:ind w:firstLine="28"/>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3</w:t>
            </w:r>
          </w:p>
        </w:tc>
        <w:tc>
          <w:tcPr>
            <w:tcW w:w="6192"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具有ISO27001信息安全管理体系认证，得</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注：提供有效的证明材料加盖投标人公章，否则不得分。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Merge w:val="continue"/>
            <w:vAlign w:val="center"/>
          </w:tcPr>
          <w:p>
            <w:pPr>
              <w:ind w:firstLine="28"/>
              <w:jc w:val="center"/>
              <w:rPr>
                <w:rFonts w:asciiTheme="minorEastAsia" w:hAnsiTheme="minorEastAsia" w:eastAsiaTheme="minorEastAsia" w:cstheme="minorEastAsia"/>
              </w:rPr>
            </w:pP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3</w:t>
            </w:r>
          </w:p>
        </w:tc>
        <w:tc>
          <w:tcPr>
            <w:tcW w:w="6192" w:type="dxa"/>
          </w:tcPr>
          <w:p>
            <w:pPr>
              <w:shd w:val="clear" w:color="auto" w:fill="FFFFFF"/>
              <w:rPr>
                <w:rFonts w:asciiTheme="minorEastAsia" w:hAnsiTheme="minorEastAsia" w:eastAsiaTheme="minorEastAsia" w:cstheme="minorEastAsia"/>
              </w:rPr>
            </w:pPr>
            <w:r>
              <w:rPr>
                <w:rFonts w:hint="eastAsia" w:asciiTheme="minorEastAsia" w:hAnsiTheme="minorEastAsia" w:eastAsiaTheme="minorEastAsia" w:cstheme="minorEastAsia"/>
              </w:rPr>
              <w:t>提供有效期内国家计算机网络应急技术处理协调中心网络安全应急服务支撑单位证书，甲级得3分，乙级得2分。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注：提供有效的证明材料加盖投标人公章，否则不得分。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Merge w:val="continue"/>
            <w:vAlign w:val="center"/>
          </w:tcPr>
          <w:p>
            <w:pPr>
              <w:ind w:firstLine="28"/>
              <w:jc w:val="center"/>
              <w:rPr>
                <w:rFonts w:asciiTheme="minorEastAsia" w:hAnsiTheme="minorEastAsia" w:eastAsiaTheme="minorEastAsia" w:cstheme="minorEastAsia"/>
              </w:rPr>
            </w:pP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3</w:t>
            </w:r>
          </w:p>
        </w:tc>
        <w:tc>
          <w:tcPr>
            <w:tcW w:w="6192"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具有中国网络安全审查技术与认证中心颁发的信息安全风险评估一级服务资质，得3分，二级得2分，三级得1分，没有不得分。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注：需提供有效复印件并加盖投标人公章，否则不得分。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Merge w:val="continue"/>
            <w:vAlign w:val="center"/>
          </w:tcPr>
          <w:p>
            <w:pPr>
              <w:ind w:firstLine="28"/>
              <w:jc w:val="center"/>
              <w:rPr>
                <w:rFonts w:asciiTheme="minorEastAsia" w:hAnsiTheme="minorEastAsia" w:eastAsiaTheme="minorEastAsia" w:cstheme="minorEastAsia"/>
              </w:rPr>
            </w:pP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3</w:t>
            </w:r>
          </w:p>
        </w:tc>
        <w:tc>
          <w:tcPr>
            <w:tcW w:w="6192"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提供有效期内中国信息安全测评中心颁发的《国家信息安全漏洞库（CNNVD）技术支撑单位等级证书》，一级得 3 分，二级得 2 分，三级得 1 分。</w:t>
            </w:r>
          </w:p>
          <w:p>
            <w:pPr>
              <w:pStyle w:val="2"/>
              <w:ind w:firstLine="0"/>
              <w:rPr>
                <w:rFonts w:asciiTheme="minorEastAsia" w:hAnsiTheme="minorEastAsia" w:cstheme="minorEastAsia"/>
              </w:rPr>
            </w:pPr>
            <w:r>
              <w:rPr>
                <w:rFonts w:hint="eastAsia" w:asciiTheme="minorEastAsia" w:hAnsiTheme="minorEastAsia" w:cstheme="minorEastAsia"/>
              </w:rPr>
              <w:t>注：需提供有效复印件并加盖投标人公章，否则不得分。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Merge w:val="restart"/>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项目业绩</w:t>
            </w:r>
          </w:p>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11</w:t>
            </w:r>
            <w:r>
              <w:rPr>
                <w:rFonts w:hint="eastAsia" w:asciiTheme="minorEastAsia" w:hAnsiTheme="minorEastAsia" w:eastAsiaTheme="minorEastAsia" w:cstheme="minorEastAsia"/>
              </w:rPr>
              <w:t>分）</w:t>
            </w:r>
          </w:p>
        </w:tc>
        <w:tc>
          <w:tcPr>
            <w:tcW w:w="620" w:type="dxa"/>
            <w:vAlign w:val="center"/>
          </w:tcPr>
          <w:p>
            <w:pPr>
              <w:ind w:firstLine="28"/>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5</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提供2023年1月1日至</w:t>
            </w:r>
            <w:r>
              <w:rPr>
                <w:rFonts w:hint="eastAsia" w:asciiTheme="minorEastAsia" w:hAnsiTheme="minorEastAsia" w:eastAsiaTheme="minorEastAsia" w:cstheme="minorEastAsia"/>
                <w:lang w:val="en-US" w:eastAsia="zh-CN"/>
              </w:rPr>
              <w:t>2026年3月31日</w:t>
            </w:r>
            <w:r>
              <w:rPr>
                <w:rFonts w:hint="eastAsia" w:asciiTheme="minorEastAsia" w:hAnsiTheme="minorEastAsia" w:eastAsiaTheme="minorEastAsia" w:cstheme="minorEastAsia"/>
              </w:rPr>
              <w:t>网络安全运维类项目业绩</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以合同签订日期为准</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，每提供一个得1分，最多得</w:t>
            </w:r>
            <w:r>
              <w:rPr>
                <w:rFonts w:hint="eastAsia" w:asciiTheme="minorEastAsia" w:hAnsiTheme="minorEastAsia" w:eastAsiaTheme="minorEastAsia" w:cstheme="minorEastAsia"/>
                <w:lang w:val="en-US" w:eastAsia="zh-CN"/>
              </w:rPr>
              <w:t>5</w:t>
            </w:r>
            <w:r>
              <w:rPr>
                <w:rFonts w:hint="eastAsia" w:asciiTheme="minorEastAsia" w:hAnsiTheme="minorEastAsia" w:eastAsiaTheme="minorEastAsia" w:cstheme="minorEastAsia"/>
              </w:rPr>
              <w:t>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注：须提供业绩有效证明材料（至少包括首页、类似业绩内容页、金额页和双方盖章页等合同关键页复印件并加盖投标人公章），否则不得分。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Merge w:val="continue"/>
            <w:vAlign w:val="center"/>
          </w:tcPr>
          <w:p>
            <w:pPr>
              <w:ind w:firstLine="28"/>
              <w:jc w:val="center"/>
              <w:rPr>
                <w:rFonts w:asciiTheme="minorEastAsia" w:hAnsiTheme="minorEastAsia" w:eastAsiaTheme="minorEastAsia" w:cstheme="minorEastAsia"/>
              </w:rPr>
            </w:pP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6</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 xml:space="preserve">自2024年1月1日起至2025年12月31日，国家信息安全漏洞共享平台CNVD 高危漏洞提交数≥25个，提供相关漏洞证书得6分； </w:t>
            </w:r>
          </w:p>
          <w:p>
            <w:pPr>
              <w:rPr>
                <w:rFonts w:asciiTheme="minorEastAsia" w:hAnsiTheme="minorEastAsia" w:eastAsiaTheme="minorEastAsia" w:cstheme="minorEastAsia"/>
              </w:rPr>
            </w:pPr>
            <w:r>
              <w:rPr>
                <w:rFonts w:hint="eastAsia" w:asciiTheme="minorEastAsia" w:hAnsiTheme="minorEastAsia" w:eastAsiaTheme="minorEastAsia" w:cstheme="minorEastAsia"/>
              </w:rPr>
              <w:t xml:space="preserve">CNVD高危漏洞提交数≥15且＜25个，提供相关漏洞证书得4分； </w:t>
            </w:r>
          </w:p>
          <w:p>
            <w:pPr>
              <w:rPr>
                <w:rFonts w:asciiTheme="minorEastAsia" w:hAnsiTheme="minorEastAsia" w:eastAsiaTheme="minorEastAsia" w:cstheme="minorEastAsia"/>
              </w:rPr>
            </w:pPr>
            <w:r>
              <w:rPr>
                <w:rFonts w:hint="eastAsia" w:asciiTheme="minorEastAsia" w:hAnsiTheme="minorEastAsia" w:eastAsiaTheme="minorEastAsia" w:cstheme="minorEastAsia"/>
              </w:rPr>
              <w:t>CNVD高危漏洞提交数≥5且＜15个，提供相关漏洞证书得2分；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CNVD高危漏洞提交数&gt;0且＜5个，提供相关漏洞证书得1分；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其它情况不得分。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注：需提供有效复印件并加盖投标人公章，否则不得分。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restart"/>
            <w:vAlign w:val="center"/>
          </w:tcPr>
          <w:p>
            <w:pPr>
              <w:ind w:firstLine="28"/>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技术部分</w:t>
            </w:r>
          </w:p>
          <w:p>
            <w:pPr>
              <w:ind w:firstLine="28"/>
              <w:jc w:val="center"/>
              <w:rPr>
                <w:rFonts w:asciiTheme="minorEastAsia" w:hAnsiTheme="minorEastAsia" w:eastAsiaTheme="minorEastAsia" w:cstheme="minorEastAsia"/>
                <w:b/>
              </w:rPr>
            </w:pPr>
            <w:r>
              <w:rPr>
                <w:rFonts w:hint="eastAsia" w:asciiTheme="minorEastAsia" w:hAnsiTheme="minorEastAsia" w:eastAsiaTheme="minorEastAsia" w:cstheme="minorEastAsia"/>
                <w:b/>
              </w:rPr>
              <w:t>(6</w:t>
            </w:r>
            <w:r>
              <w:rPr>
                <w:rFonts w:hint="eastAsia" w:asciiTheme="minorEastAsia" w:hAnsiTheme="minorEastAsia" w:eastAsiaTheme="minorEastAsia" w:cstheme="minorEastAsia"/>
                <w:b/>
                <w:lang w:val="en-US" w:eastAsia="zh-CN"/>
              </w:rPr>
              <w:t>4</w:t>
            </w:r>
            <w:r>
              <w:rPr>
                <w:rFonts w:hint="eastAsia" w:asciiTheme="minorEastAsia" w:hAnsiTheme="minorEastAsia" w:eastAsiaTheme="minorEastAsia" w:cstheme="minorEastAsia"/>
                <w:b/>
              </w:rPr>
              <w:t>分)</w:t>
            </w:r>
          </w:p>
        </w:tc>
        <w:tc>
          <w:tcPr>
            <w:tcW w:w="1433"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项目整体需求理解程度（5分）</w:t>
            </w: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对招标项目整体目标理解、分析、需求应答内容进行打分：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方案内容全面详细，维护措施合理妥当，维护范围全面有深度，专门针对本项目完全满足采购需求的，</w:t>
            </w:r>
            <w:r>
              <w:rPr>
                <w:rFonts w:hint="eastAsia" w:asciiTheme="minorEastAsia" w:hAnsiTheme="minorEastAsia" w:eastAsiaTheme="minorEastAsia" w:cstheme="minorEastAsia"/>
                <w:lang w:val="en-US" w:eastAsia="zh-CN"/>
              </w:rPr>
              <w:t>得</w:t>
            </w:r>
            <w:r>
              <w:rPr>
                <w:rFonts w:hint="eastAsia" w:asciiTheme="minorEastAsia" w:hAnsiTheme="minorEastAsia" w:eastAsiaTheme="minorEastAsia" w:cstheme="minorEastAsia"/>
              </w:rPr>
              <w:t xml:space="preserve">5分； </w:t>
            </w:r>
          </w:p>
          <w:p>
            <w:pPr>
              <w:rPr>
                <w:rFonts w:asciiTheme="minorEastAsia" w:hAnsiTheme="minorEastAsia" w:eastAsiaTheme="minorEastAsia" w:cstheme="minorEastAsia"/>
              </w:rPr>
            </w:pPr>
            <w:r>
              <w:rPr>
                <w:rFonts w:hint="eastAsia" w:asciiTheme="minorEastAsia" w:hAnsiTheme="minorEastAsia" w:eastAsiaTheme="minorEastAsia" w:cstheme="minorEastAsia"/>
              </w:rPr>
              <w:t xml:space="preserve">方案内容有欠缺，维护措施不明确或维护范围模糊不清，专门针对本项目部分满足采购需求的，得3分； </w:t>
            </w:r>
          </w:p>
          <w:p>
            <w:pPr>
              <w:rPr>
                <w:rFonts w:asciiTheme="minorEastAsia" w:hAnsiTheme="minorEastAsia" w:eastAsiaTheme="minorEastAsia" w:cstheme="minorEastAsia"/>
              </w:rPr>
            </w:pPr>
            <w:r>
              <w:rPr>
                <w:rFonts w:hint="eastAsia" w:asciiTheme="minorEastAsia" w:hAnsiTheme="minorEastAsia" w:eastAsiaTheme="minorEastAsia" w:cstheme="minorEastAsia"/>
              </w:rPr>
              <w:t xml:space="preserve">方案内容属于通用类，非专门针对本项目或仅对采购需求进行简单复制的，得1分； </w:t>
            </w:r>
          </w:p>
          <w:p>
            <w:r>
              <w:rPr>
                <w:rFonts w:hint="eastAsia" w:asciiTheme="minorEastAsia" w:hAnsiTheme="minorEastAsia" w:eastAsiaTheme="minorEastAsia" w:cstheme="minorEastAsia"/>
              </w:rPr>
              <w:t>无相关内容0分。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Align w:val="center"/>
          </w:tcPr>
          <w:p>
            <w:pPr>
              <w:ind w:firstLine="28"/>
              <w:jc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 xml:space="preserve">技术方案-安全监测及检测类 </w:t>
            </w:r>
          </w:p>
          <w:p>
            <w:pPr>
              <w:ind w:firstLine="28"/>
              <w:jc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（12分）</w:t>
            </w: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12</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范围涵盖信息系统在线监控方案、渗透测试方案、系统脆弱性检查方案、源代码检测方案四类，每类方案单独依据其响应内容与招标文件要求的符合程度进行独立打分：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单个方案内容全面详细，维护措施合理妥当，维护范围全面有深度，专门针对本项目完全满足采购需求，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lang w:val="en-US" w:eastAsia="zh-CN"/>
              </w:rPr>
              <w:t>3</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12</w:t>
            </w:r>
            <w:r>
              <w:rPr>
                <w:rFonts w:asciiTheme="minorEastAsia" w:hAnsiTheme="minorEastAsia" w:eastAsiaTheme="minorEastAsia" w:cstheme="minorEastAsia"/>
              </w:rPr>
              <w:t>分</w:t>
            </w:r>
            <w:r>
              <w:rPr>
                <w:rFonts w:hint="eastAsia" w:asciiTheme="minorEastAsia" w:hAnsiTheme="minorEastAsia" w:eastAsiaTheme="minorEastAsia" w:cstheme="minorEastAsia"/>
              </w:rPr>
              <w:t xml:space="preserve">； </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单个方案内容有欠缺，维护措施不明确或维护范围模糊不清，专门针对本项目部分满足采购需求，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lang w:val="en-US" w:eastAsia="zh-CN"/>
              </w:rPr>
              <w:t>2</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8</w:t>
            </w:r>
            <w:r>
              <w:rPr>
                <w:rFonts w:asciiTheme="minorEastAsia" w:hAnsiTheme="minorEastAsia" w:eastAsiaTheme="minorEastAsia" w:cstheme="minorEastAsia"/>
              </w:rPr>
              <w:t>分</w:t>
            </w:r>
            <w:r>
              <w:rPr>
                <w:rFonts w:hint="eastAsia" w:asciiTheme="minorEastAsia" w:hAnsiTheme="minorEastAsia" w:eastAsiaTheme="minorEastAsia" w:cstheme="minorEastAsia"/>
              </w:rPr>
              <w:t xml:space="preserve">； </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单个方案内容属于通用类，非专门针对本项目或仅对采购需求进行简单复制，</w:t>
            </w:r>
            <w:r>
              <w:rPr>
                <w:rFonts w:asciiTheme="minorEastAsia" w:hAnsiTheme="minorEastAsia" w:eastAsiaTheme="minorEastAsia" w:cstheme="minorEastAsia"/>
              </w:rPr>
              <w:t>可得</w:t>
            </w:r>
            <w:r>
              <w:rPr>
                <w:rFonts w:hint="eastAsia" w:asciiTheme="minorEastAsia" w:hAnsiTheme="minorEastAsia" w:eastAsiaTheme="minorEastAsia" w:cstheme="minorEastAsia"/>
                <w:lang w:val="en-US" w:eastAsia="zh-CN"/>
              </w:rPr>
              <w:t>1</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4</w:t>
            </w:r>
            <w:r>
              <w:rPr>
                <w:rFonts w:asciiTheme="minorEastAsia" w:hAnsiTheme="minorEastAsia" w:eastAsiaTheme="minorEastAsia" w:cstheme="minorEastAsia"/>
              </w:rPr>
              <w:t>分</w:t>
            </w:r>
            <w:r>
              <w:rPr>
                <w:rFonts w:hint="eastAsia" w:asciiTheme="minorEastAsia" w:hAnsiTheme="minorEastAsia" w:eastAsiaTheme="minorEastAsia" w:cstheme="minorEastAsia"/>
              </w:rPr>
              <w:t>；</w:t>
            </w:r>
          </w:p>
          <w:p>
            <w:pPr>
              <w:rPr>
                <w:rFonts w:asciiTheme="minorEastAsia" w:hAnsiTheme="minorEastAsia" w:eastAsiaTheme="minorEastAsia" w:cstheme="minorEastAsia"/>
              </w:rPr>
            </w:pPr>
            <w:r>
              <w:rPr>
                <w:rFonts w:hint="eastAsia" w:asciiTheme="minorEastAsia" w:hAnsiTheme="minorEastAsia" w:eastAsiaTheme="minorEastAsia" w:cstheme="minorEastAsia"/>
              </w:rPr>
              <w:t>无相关内容0分。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技术方案-运维保障类</w:t>
            </w:r>
          </w:p>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（12分）</w:t>
            </w: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12</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范围涵盖驻场安全运维方案、特殊时期值守保障方案、内部应急演练方案、安全应急响应方案四类，每类方案单独依据其响应内容与招标文件要求的符合程度进行独立打分：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单个方案内容全面详细，维护措施合理妥当，维护范围全面有深度，专门针对本项目完全满足采购需求，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rPr>
              <w:t>3</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12</w:t>
            </w:r>
            <w:r>
              <w:rPr>
                <w:rFonts w:asciiTheme="minorEastAsia" w:hAnsiTheme="minorEastAsia" w:eastAsiaTheme="minorEastAsia" w:cstheme="minorEastAsia"/>
              </w:rPr>
              <w:t>分</w:t>
            </w:r>
            <w:r>
              <w:rPr>
                <w:rFonts w:hint="eastAsia" w:asciiTheme="minorEastAsia" w:hAnsiTheme="minorEastAsia" w:eastAsiaTheme="minorEastAsia" w:cstheme="minorEastAsia"/>
              </w:rPr>
              <w:t xml:space="preserve">； </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单个方案内容有欠缺，维护措施不明确或维护范围模糊不清，专门针对本项目部分满足采购需求，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rPr>
              <w:t>2</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8</w:t>
            </w:r>
            <w:r>
              <w:rPr>
                <w:rFonts w:asciiTheme="minorEastAsia" w:hAnsiTheme="minorEastAsia" w:eastAsiaTheme="minorEastAsia" w:cstheme="minorEastAsia"/>
              </w:rPr>
              <w:t>分</w:t>
            </w:r>
            <w:r>
              <w:rPr>
                <w:rFonts w:hint="eastAsia" w:asciiTheme="minorEastAsia" w:hAnsiTheme="minorEastAsia" w:eastAsiaTheme="minorEastAsia" w:cstheme="minorEastAsia"/>
              </w:rPr>
              <w:t xml:space="preserve">； </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单个方案内容属于通用类，非专门针对本项目或仅对采购需求进行简单复制，</w:t>
            </w:r>
            <w:r>
              <w:rPr>
                <w:rFonts w:asciiTheme="minorEastAsia" w:hAnsiTheme="minorEastAsia" w:eastAsiaTheme="minorEastAsia" w:cstheme="minorEastAsia"/>
              </w:rPr>
              <w:t>可得</w:t>
            </w:r>
            <w:r>
              <w:rPr>
                <w:rFonts w:hint="eastAsia" w:asciiTheme="minorEastAsia" w:hAnsiTheme="minorEastAsia" w:eastAsiaTheme="minorEastAsia" w:cstheme="minorEastAsia"/>
              </w:rPr>
              <w:t>1</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4</w:t>
            </w:r>
            <w:r>
              <w:rPr>
                <w:rFonts w:asciiTheme="minorEastAsia" w:hAnsiTheme="minorEastAsia" w:eastAsiaTheme="minorEastAsia" w:cstheme="minorEastAsia"/>
              </w:rPr>
              <w:t>分</w:t>
            </w:r>
            <w:r>
              <w:rPr>
                <w:rFonts w:hint="eastAsia" w:asciiTheme="minorEastAsia" w:hAnsiTheme="minorEastAsia" w:eastAsiaTheme="minorEastAsia" w:cstheme="minorEastAsia"/>
              </w:rPr>
              <w:t>；</w:t>
            </w:r>
          </w:p>
          <w:p>
            <w:pPr>
              <w:rPr>
                <w:rFonts w:asciiTheme="minorEastAsia" w:hAnsiTheme="minorEastAsia" w:eastAsiaTheme="minorEastAsia" w:cstheme="minorEastAsia"/>
              </w:rPr>
            </w:pPr>
            <w:r>
              <w:rPr>
                <w:rFonts w:hint="eastAsia" w:asciiTheme="minorEastAsia" w:hAnsiTheme="minorEastAsia" w:eastAsiaTheme="minorEastAsia" w:cstheme="minorEastAsia"/>
              </w:rPr>
              <w:t>无相关内容0分。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技术方案-攻防演练保障与网络安全检查支撑</w:t>
            </w:r>
            <w:r>
              <w:rPr>
                <w:rFonts w:hint="eastAsia" w:asciiTheme="minorEastAsia" w:hAnsiTheme="minorEastAsia" w:eastAsiaTheme="minorEastAsia" w:cstheme="minorEastAsia"/>
                <w:lang w:val="en-US" w:eastAsia="zh-CN"/>
              </w:rPr>
              <w:t>类</w:t>
            </w:r>
            <w:r>
              <w:rPr>
                <w:rFonts w:hint="eastAsia" w:asciiTheme="minorEastAsia" w:hAnsiTheme="minorEastAsia" w:eastAsiaTheme="minorEastAsia" w:cstheme="minorEastAsia"/>
              </w:rPr>
              <w:t>（6分）</w:t>
            </w: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6</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范围涵盖安全攻防演专项保障方案和网络安全检查支撑方案两类，每类方案单独依据其响应内容与招标文件要求的符合程度进行独立打分：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单个方案内容全面详细，维护措施合理妥当，维护范围全面有深度，专门针对本项目完全满足采购需求，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rPr>
              <w:t>3</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6</w:t>
            </w:r>
            <w:r>
              <w:rPr>
                <w:rFonts w:asciiTheme="minorEastAsia" w:hAnsiTheme="minorEastAsia" w:eastAsiaTheme="minorEastAsia" w:cstheme="minorEastAsia"/>
              </w:rPr>
              <w:t>分</w:t>
            </w:r>
            <w:r>
              <w:rPr>
                <w:rFonts w:hint="eastAsia" w:asciiTheme="minorEastAsia" w:hAnsiTheme="minorEastAsia" w:eastAsiaTheme="minorEastAsia" w:cstheme="minorEastAsia"/>
              </w:rPr>
              <w:t xml:space="preserve">； </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单个方案内容有欠缺，维护措施不明确或维护范围模糊不清，专门针对本项目部分满足采购需求，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rPr>
              <w:t>2</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4</w:t>
            </w:r>
            <w:r>
              <w:rPr>
                <w:rFonts w:asciiTheme="minorEastAsia" w:hAnsiTheme="minorEastAsia" w:eastAsiaTheme="minorEastAsia" w:cstheme="minorEastAsia"/>
              </w:rPr>
              <w:t>分</w:t>
            </w:r>
            <w:r>
              <w:rPr>
                <w:rFonts w:hint="eastAsia" w:asciiTheme="minorEastAsia" w:hAnsiTheme="minorEastAsia" w:eastAsiaTheme="minorEastAsia" w:cstheme="minorEastAsia"/>
              </w:rPr>
              <w:t xml:space="preserve">；  </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单个方案内容属于通用类，非专门针对本项目或仅对采购需求进行简单复制，</w:t>
            </w:r>
            <w:r>
              <w:rPr>
                <w:rFonts w:asciiTheme="minorEastAsia" w:hAnsiTheme="minorEastAsia" w:eastAsiaTheme="minorEastAsia" w:cstheme="minorEastAsia"/>
              </w:rPr>
              <w:t>可得</w:t>
            </w:r>
            <w:r>
              <w:rPr>
                <w:rFonts w:hint="eastAsia" w:asciiTheme="minorEastAsia" w:hAnsiTheme="minorEastAsia" w:eastAsiaTheme="minorEastAsia" w:cstheme="minorEastAsia"/>
              </w:rPr>
              <w:t>1</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2</w:t>
            </w:r>
            <w:r>
              <w:rPr>
                <w:rFonts w:asciiTheme="minorEastAsia" w:hAnsiTheme="minorEastAsia" w:eastAsiaTheme="minorEastAsia" w:cstheme="minorEastAsia"/>
              </w:rPr>
              <w:t>分</w:t>
            </w:r>
            <w:r>
              <w:rPr>
                <w:rFonts w:hint="eastAsia" w:asciiTheme="minorEastAsia" w:hAnsiTheme="minorEastAsia" w:eastAsiaTheme="minorEastAsia" w:cstheme="minorEastAsia"/>
              </w:rPr>
              <w:t xml:space="preserve">； </w:t>
            </w:r>
          </w:p>
          <w:p>
            <w:pPr>
              <w:rPr>
                <w:rFonts w:asciiTheme="minorEastAsia" w:hAnsiTheme="minorEastAsia" w:eastAsiaTheme="minorEastAsia" w:cstheme="minorEastAsia"/>
              </w:rPr>
            </w:pPr>
            <w:r>
              <w:rPr>
                <w:rFonts w:hint="eastAsia" w:asciiTheme="minorEastAsia" w:hAnsiTheme="minorEastAsia" w:eastAsiaTheme="minorEastAsia" w:cstheme="minorEastAsia"/>
              </w:rPr>
              <w:t>无相关内容0分。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themeColor="text1"/>
                <w14:textFill>
                  <w14:solidFill>
                    <w14:schemeClr w14:val="tx1"/>
                  </w14:solidFill>
                </w14:textFill>
              </w:rPr>
              <w:t>技术方案-其他专项类（</w:t>
            </w:r>
            <w:r>
              <w:rPr>
                <w:rFonts w:hint="eastAsia" w:asciiTheme="minorEastAsia" w:hAnsiTheme="minorEastAsia" w:eastAsiaTheme="minorEastAsia" w:cstheme="minorEastAsia"/>
                <w:color w:val="000000" w:themeColor="text1"/>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14:textFill>
                  <w14:solidFill>
                    <w14:schemeClr w14:val="tx1"/>
                  </w14:solidFill>
                </w14:textFill>
              </w:rPr>
              <w:t>分）</w:t>
            </w:r>
          </w:p>
        </w:tc>
        <w:tc>
          <w:tcPr>
            <w:tcW w:w="620" w:type="dxa"/>
            <w:vAlign w:val="center"/>
          </w:tcPr>
          <w:p>
            <w:pPr>
              <w:ind w:firstLine="28"/>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6</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范围涵盖数据安全治理方案、等保差距分析和密评支持方案</w:t>
            </w:r>
            <w:r>
              <w:rPr>
                <w:rFonts w:hint="eastAsia" w:asciiTheme="minorEastAsia" w:hAnsiTheme="minorEastAsia" w:eastAsiaTheme="minorEastAsia" w:cstheme="minorEastAsia"/>
                <w:lang w:val="en-US" w:eastAsia="zh-CN"/>
              </w:rPr>
              <w:t>两类</w:t>
            </w:r>
            <w:r>
              <w:rPr>
                <w:rFonts w:hint="eastAsia" w:asciiTheme="minorEastAsia" w:hAnsiTheme="minorEastAsia" w:eastAsiaTheme="minorEastAsia" w:cstheme="minorEastAsia"/>
              </w:rPr>
              <w:t>类，每类方案单独依据其响应内容与招标文件要求的符合程度进行独立打分：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单个方案内容全面详细，维护措施合理妥当，维护范围全面有深度，专门针对本项目完全满足采购需求，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rPr>
              <w:t>3</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lang w:val="en-US" w:eastAsia="zh-CN"/>
              </w:rPr>
              <w:t>6</w:t>
            </w:r>
            <w:r>
              <w:rPr>
                <w:rFonts w:asciiTheme="minorEastAsia" w:hAnsiTheme="minorEastAsia" w:eastAsiaTheme="minorEastAsia" w:cstheme="minorEastAsia"/>
              </w:rPr>
              <w:t>分</w:t>
            </w:r>
            <w:r>
              <w:rPr>
                <w:rFonts w:hint="eastAsia" w:asciiTheme="minorEastAsia" w:hAnsiTheme="minorEastAsia" w:eastAsiaTheme="minorEastAsia" w:cstheme="minorEastAsia"/>
              </w:rPr>
              <w:t>；</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单个方案内容有欠缺，维护措施不明确或维护范围模糊不清，专门针对本项目部分满足采购需求，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rPr>
              <w:t>2</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lang w:val="en-US" w:eastAsia="zh-CN"/>
              </w:rPr>
              <w:t>4</w:t>
            </w:r>
            <w:r>
              <w:rPr>
                <w:rFonts w:asciiTheme="minorEastAsia" w:hAnsiTheme="minorEastAsia" w:eastAsiaTheme="minorEastAsia" w:cstheme="minorEastAsia"/>
              </w:rPr>
              <w:t>分</w:t>
            </w:r>
            <w:r>
              <w:rPr>
                <w:rFonts w:hint="eastAsia" w:asciiTheme="minorEastAsia" w:hAnsiTheme="minorEastAsia" w:eastAsiaTheme="minorEastAsia" w:cstheme="minorEastAsia"/>
              </w:rPr>
              <w:t>；</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单个方案内容属于通用类，非专门针对本项目或仅对采购需求进行简单复制，</w:t>
            </w:r>
            <w:r>
              <w:rPr>
                <w:rFonts w:asciiTheme="minorEastAsia" w:hAnsiTheme="minorEastAsia" w:eastAsiaTheme="minorEastAsia" w:cstheme="minorEastAsia"/>
              </w:rPr>
              <w:t>可得</w:t>
            </w:r>
            <w:r>
              <w:rPr>
                <w:rFonts w:hint="eastAsia" w:asciiTheme="minorEastAsia" w:hAnsiTheme="minorEastAsia" w:eastAsiaTheme="minorEastAsia" w:cstheme="minorEastAsia"/>
              </w:rPr>
              <w:t>1</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lang w:val="en-US" w:eastAsia="zh-CN"/>
              </w:rPr>
              <w:t>2</w:t>
            </w:r>
            <w:r>
              <w:rPr>
                <w:rFonts w:asciiTheme="minorEastAsia" w:hAnsiTheme="minorEastAsia" w:eastAsiaTheme="minorEastAsia" w:cstheme="minorEastAsia"/>
              </w:rPr>
              <w:t>分</w:t>
            </w:r>
            <w:r>
              <w:rPr>
                <w:rFonts w:hint="eastAsia" w:asciiTheme="minorEastAsia" w:hAnsiTheme="minorEastAsia" w:eastAsiaTheme="minorEastAsia" w:cstheme="minorEastAsia"/>
              </w:rPr>
              <w:t>；</w:t>
            </w:r>
          </w:p>
          <w:p>
            <w:pPr>
              <w:rPr>
                <w:rFonts w:asciiTheme="minorEastAsia" w:hAnsiTheme="minorEastAsia" w:eastAsiaTheme="minorEastAsia" w:cstheme="minorEastAsia"/>
              </w:rPr>
            </w:pPr>
            <w:r>
              <w:rPr>
                <w:rFonts w:hint="eastAsia" w:asciiTheme="minorEastAsia" w:hAnsiTheme="minorEastAsia" w:eastAsiaTheme="minorEastAsia" w:cstheme="minorEastAsia"/>
              </w:rPr>
              <w:t>无相关内容0分。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Align w:val="center"/>
          </w:tcPr>
          <w:p>
            <w:pPr>
              <w:ind w:firstLine="28"/>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rPr>
              <w:t>技术方案-安全培训与咨询类（6分）</w:t>
            </w: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6</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范围涵盖安全咨询方案、安全培训方案两类，每类方案单独依据其响应内容与招标文件要求的符合程度进行独立打分：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单个方案内容全面详细，专门针对本项目完全满足采购需求，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rPr>
              <w:t>3</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6</w:t>
            </w:r>
            <w:r>
              <w:rPr>
                <w:rFonts w:asciiTheme="minorEastAsia" w:hAnsiTheme="minorEastAsia" w:eastAsiaTheme="minorEastAsia" w:cstheme="minorEastAsia"/>
              </w:rPr>
              <w:t>分</w:t>
            </w:r>
            <w:r>
              <w:rPr>
                <w:rFonts w:hint="eastAsia" w:asciiTheme="minorEastAsia" w:hAnsiTheme="minorEastAsia" w:eastAsiaTheme="minorEastAsia" w:cstheme="minorEastAsia"/>
              </w:rPr>
              <w:t>；</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单个方案内容有欠缺，专门针对本项目部分满足采购需求，</w:t>
            </w:r>
            <w:r>
              <w:rPr>
                <w:rFonts w:asciiTheme="minorEastAsia" w:hAnsiTheme="minorEastAsia" w:eastAsiaTheme="minorEastAsia" w:cstheme="minorEastAsia"/>
              </w:rPr>
              <w:t>可得</w:t>
            </w:r>
            <w:r>
              <w:rPr>
                <w:rFonts w:hint="eastAsia" w:asciiTheme="minorEastAsia" w:hAnsiTheme="minorEastAsia" w:eastAsiaTheme="minorEastAsia" w:cstheme="minorEastAsia"/>
              </w:rPr>
              <w:t>2</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4</w:t>
            </w:r>
            <w:r>
              <w:rPr>
                <w:rFonts w:asciiTheme="minorEastAsia" w:hAnsiTheme="minorEastAsia" w:eastAsiaTheme="minorEastAsia" w:cstheme="minorEastAsia"/>
              </w:rPr>
              <w:t>分</w:t>
            </w:r>
            <w:r>
              <w:rPr>
                <w:rFonts w:hint="eastAsia" w:asciiTheme="minorEastAsia" w:hAnsiTheme="minorEastAsia" w:eastAsiaTheme="minorEastAsia" w:cstheme="minorEastAsia"/>
              </w:rPr>
              <w:t>；</w:t>
            </w:r>
          </w:p>
          <w:p>
            <w:pPr>
              <w:rPr>
                <w:rFonts w:asciiTheme="minorEastAsia" w:hAnsiTheme="minorEastAsia" w:eastAsiaTheme="minorEastAsia" w:cstheme="minorEastAsia"/>
              </w:rPr>
            </w:pPr>
            <w:r>
              <w:rPr>
                <w:rFonts w:hint="eastAsia" w:asciiTheme="minorEastAsia" w:hAnsiTheme="minorEastAsia" w:eastAsiaTheme="minorEastAsia" w:cstheme="minorEastAsia"/>
              </w:rPr>
              <w:t>单个方案内容属于通用类，非专门针对本项目或仅对采购需求进行简单复制，</w:t>
            </w:r>
            <w:r>
              <w:rPr>
                <w:rFonts w:asciiTheme="minorEastAsia" w:hAnsiTheme="minorEastAsia" w:eastAsiaTheme="minorEastAsia" w:cstheme="minorEastAsia"/>
              </w:rPr>
              <w:t>可得</w:t>
            </w:r>
            <w:r>
              <w:rPr>
                <w:rFonts w:hint="eastAsia" w:asciiTheme="minorEastAsia" w:hAnsiTheme="minorEastAsia" w:eastAsiaTheme="minorEastAsia" w:cstheme="minorEastAsia"/>
              </w:rPr>
              <w:t>1</w:t>
            </w:r>
            <w:r>
              <w:rPr>
                <w:rFonts w:asciiTheme="minorEastAsia" w:hAnsiTheme="minorEastAsia" w:eastAsiaTheme="minorEastAsia" w:cstheme="minorEastAsia"/>
              </w:rPr>
              <w:t>分，本项最高得</w:t>
            </w:r>
            <w:r>
              <w:rPr>
                <w:rFonts w:hint="eastAsia" w:asciiTheme="minorEastAsia" w:hAnsiTheme="minorEastAsia" w:eastAsiaTheme="minorEastAsia" w:cstheme="minorEastAsia"/>
              </w:rPr>
              <w:t>2</w:t>
            </w:r>
            <w:r>
              <w:rPr>
                <w:rFonts w:asciiTheme="minorEastAsia" w:hAnsiTheme="minorEastAsia" w:eastAsiaTheme="minorEastAsia" w:cstheme="minorEastAsia"/>
              </w:rPr>
              <w:t>分</w:t>
            </w:r>
            <w:r>
              <w:rPr>
                <w:rFonts w:hint="eastAsia" w:asciiTheme="minorEastAsia" w:hAnsiTheme="minorEastAsia" w:eastAsiaTheme="minorEastAsia" w:cstheme="minorEastAsia"/>
              </w:rPr>
              <w:t>；</w:t>
            </w:r>
          </w:p>
          <w:p>
            <w:pPr>
              <w:rPr>
                <w:rFonts w:asciiTheme="minorEastAsia" w:hAnsiTheme="minorEastAsia" w:eastAsiaTheme="minorEastAsia" w:cstheme="minorEastAsia"/>
              </w:rPr>
            </w:pPr>
            <w:r>
              <w:rPr>
                <w:rFonts w:hint="eastAsia" w:asciiTheme="minorEastAsia" w:hAnsiTheme="minorEastAsia" w:eastAsiaTheme="minorEastAsia" w:cstheme="minorEastAsia"/>
              </w:rPr>
              <w:t>无相关内容0分。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项目组织与管理</w:t>
            </w:r>
          </w:p>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（5分）</w:t>
            </w:r>
          </w:p>
          <w:p>
            <w:pPr>
              <w:pStyle w:val="54"/>
              <w:spacing w:line="240" w:lineRule="auto"/>
              <w:rPr>
                <w:rFonts w:asciiTheme="minorEastAsia" w:hAnsiTheme="minorEastAsia" w:eastAsiaTheme="minorEastAsia" w:cstheme="minorEastAsia"/>
                <w:sz w:val="21"/>
                <w:szCs w:val="21"/>
              </w:rPr>
            </w:pP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5</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项目管理组织结构岗位职责符合项目实施需要和管理要求：</w:t>
            </w:r>
          </w:p>
          <w:p>
            <w:pPr>
              <w:rPr>
                <w:rFonts w:asciiTheme="minorEastAsia" w:hAnsiTheme="minorEastAsia" w:eastAsiaTheme="minorEastAsia" w:cstheme="minorEastAsia"/>
              </w:rPr>
            </w:pPr>
            <w:r>
              <w:rPr>
                <w:rFonts w:hint="eastAsia" w:asciiTheme="minorEastAsia" w:hAnsiTheme="minorEastAsia" w:eastAsiaTheme="minorEastAsia" w:cstheme="minorEastAsia"/>
              </w:rPr>
              <w:t>项目管理组织结构合理、岗位明确、职责清楚，完全符合项目实施需要和管理要求，得5分；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项目管理组织结构不够合理或岗位不够明确或职责不够清楚或不完全符合项目实施需要和管理要求，得3分；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项目管理组织结构非常不合理并且岗位职责不明确，不符合项目实施需要和管理要求，得1分；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无相关内容则得0分。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Merge w:val="restart"/>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项目运维团队能力（1</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分）</w:t>
            </w:r>
          </w:p>
        </w:tc>
        <w:tc>
          <w:tcPr>
            <w:tcW w:w="620" w:type="dxa"/>
            <w:vAlign w:val="center"/>
          </w:tcPr>
          <w:p>
            <w:pPr>
              <w:ind w:firstLine="28"/>
              <w:jc w:val="center"/>
              <w:rPr>
                <w:rFonts w:asciiTheme="minorEastAsia" w:hAnsiTheme="minorEastAsia" w:eastAsiaTheme="minorEastAsia" w:cstheme="minorEastAsia"/>
              </w:rPr>
            </w:pPr>
            <w:r>
              <w:rPr>
                <w:rFonts w:hint="eastAsia" w:asciiTheme="minorEastAsia" w:hAnsiTheme="minorEastAsia" w:eastAsiaTheme="minorEastAsia" w:cstheme="minorEastAsia"/>
              </w:rPr>
              <w:t>4</w:t>
            </w:r>
          </w:p>
        </w:tc>
        <w:tc>
          <w:tcPr>
            <w:tcW w:w="6192"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rPr>
              <w:t>项目经理资质：</w:t>
            </w:r>
          </w:p>
          <w:p>
            <w:pPr>
              <w:rPr>
                <w:rFonts w:asciiTheme="minorEastAsia" w:hAnsiTheme="minorEastAsia" w:eastAsiaTheme="minorEastAsia" w:cstheme="minorEastAsia"/>
              </w:rPr>
            </w:pPr>
            <w:r>
              <w:rPr>
                <w:rFonts w:hint="eastAsia" w:asciiTheme="minorEastAsia" w:hAnsiTheme="minorEastAsia" w:eastAsiaTheme="minorEastAsia" w:cstheme="minorEastAsia"/>
              </w:rPr>
              <w:t>具备</w:t>
            </w:r>
            <w:r>
              <w:rPr>
                <w:rFonts w:asciiTheme="minorEastAsia" w:hAnsiTheme="minorEastAsia" w:eastAsiaTheme="minorEastAsia" w:cstheme="minorEastAsia"/>
              </w:rPr>
              <w:t>4</w:t>
            </w:r>
            <w:r>
              <w:rPr>
                <w:rFonts w:hint="eastAsia" w:asciiTheme="minorEastAsia" w:hAnsiTheme="minorEastAsia" w:eastAsiaTheme="minorEastAsia" w:cstheme="minorEastAsia"/>
              </w:rPr>
              <w:t>年以上网络安全工作项目管理经验,得1分；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具备</w:t>
            </w:r>
            <w:bookmarkStart w:id="853" w:name="OLE_LINK1"/>
            <w:bookmarkStart w:id="854" w:name="OLE_LINK2"/>
            <w:r>
              <w:rPr>
                <w:rFonts w:hint="eastAsia" w:asciiTheme="minorEastAsia" w:hAnsiTheme="minorEastAsia" w:eastAsiaTheme="minorEastAsia" w:cstheme="minorEastAsia"/>
              </w:rPr>
              <w:t>CISP</w:t>
            </w:r>
            <w:r>
              <w:rPr>
                <w:rFonts w:asciiTheme="minorEastAsia" w:hAnsiTheme="minorEastAsia" w:eastAsiaTheme="minorEastAsia" w:cstheme="minorEastAsia"/>
              </w:rPr>
              <w:t>-CISE</w:t>
            </w:r>
            <w:r>
              <w:rPr>
                <w:rFonts w:hint="eastAsia" w:asciiTheme="minorEastAsia" w:hAnsiTheme="minorEastAsia" w:eastAsiaTheme="minorEastAsia" w:cstheme="minorEastAsia"/>
              </w:rPr>
              <w:t>证书,得1分；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具备CDSP证书,得1分；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具备PMP证书</w:t>
            </w:r>
            <w:bookmarkEnd w:id="853"/>
            <w:bookmarkEnd w:id="854"/>
            <w:r>
              <w:rPr>
                <w:rFonts w:hint="eastAsia" w:asciiTheme="minorEastAsia" w:hAnsiTheme="minorEastAsia" w:eastAsiaTheme="minorEastAsia" w:cstheme="minorEastAsia"/>
              </w:rPr>
              <w:t>,得1分。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（需提供工作简历、资质证书复印件、项目经理在本单位近6个月或以上社保证明、</w:t>
            </w:r>
            <w:r>
              <w:rPr>
                <w:rFonts w:asciiTheme="minorEastAsia" w:hAnsiTheme="minorEastAsia" w:eastAsiaTheme="minorEastAsia" w:cstheme="minorEastAsia"/>
              </w:rPr>
              <w:t>4</w:t>
            </w:r>
            <w:r>
              <w:rPr>
                <w:rFonts w:hint="eastAsia" w:asciiTheme="minorEastAsia" w:hAnsiTheme="minorEastAsia" w:eastAsiaTheme="minorEastAsia" w:cstheme="minorEastAsia"/>
              </w:rPr>
              <w:t>年以上劳动合同并加盖单位公章）。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069" w:type="dxa"/>
            <w:vMerge w:val="continue"/>
            <w:vAlign w:val="center"/>
          </w:tcPr>
          <w:p>
            <w:pPr>
              <w:ind w:firstLine="28"/>
              <w:jc w:val="center"/>
              <w:rPr>
                <w:rFonts w:asciiTheme="minorEastAsia" w:hAnsiTheme="minorEastAsia" w:eastAsiaTheme="minorEastAsia" w:cstheme="minorEastAsia"/>
                <w:b/>
              </w:rPr>
            </w:pPr>
          </w:p>
        </w:tc>
        <w:tc>
          <w:tcPr>
            <w:tcW w:w="1433" w:type="dxa"/>
            <w:vMerge w:val="continue"/>
            <w:vAlign w:val="center"/>
          </w:tcPr>
          <w:p>
            <w:pPr>
              <w:ind w:firstLine="28"/>
              <w:jc w:val="center"/>
              <w:rPr>
                <w:rFonts w:asciiTheme="minorEastAsia" w:hAnsiTheme="minorEastAsia" w:eastAsiaTheme="minorEastAsia" w:cstheme="minorEastAsia"/>
              </w:rPr>
            </w:pPr>
          </w:p>
        </w:tc>
        <w:tc>
          <w:tcPr>
            <w:tcW w:w="620" w:type="dxa"/>
            <w:vAlign w:val="center"/>
          </w:tcPr>
          <w:p>
            <w:pPr>
              <w:ind w:firstLine="28"/>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8</w:t>
            </w:r>
          </w:p>
        </w:tc>
        <w:tc>
          <w:tcPr>
            <w:tcW w:w="6192" w:type="dxa"/>
            <w:vAlign w:val="center"/>
          </w:tcPr>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项目成员资质：</w:t>
            </w:r>
          </w:p>
          <w:p>
            <w:pPr>
              <w:pStyle w:val="2"/>
              <w:ind w:left="0" w:leftChars="0" w:firstLine="0" w:firstLineChars="0"/>
              <w:rPr>
                <w:rFonts w:hint="eastAsia" w:eastAsiaTheme="minorEastAsia"/>
                <w:lang w:eastAsia="zh-CN"/>
              </w:rPr>
            </w:pPr>
            <w:r>
              <w:rPr>
                <w:rFonts w:hint="eastAsia" w:asciiTheme="minorEastAsia" w:hAnsiTheme="minorEastAsia" w:eastAsiaTheme="minorEastAsia" w:cstheme="minorEastAsia"/>
              </w:rPr>
              <w:t>项目成员5人</w:t>
            </w:r>
            <w:r>
              <w:rPr>
                <w:rFonts w:hint="eastAsia" w:asciiTheme="minorEastAsia" w:hAnsiTheme="minorEastAsia" w:eastAsiaTheme="minorEastAsia" w:cstheme="minorEastAsia"/>
                <w:lang w:val="en-US" w:eastAsia="zh-CN"/>
              </w:rPr>
              <w:t>或5人以上得分，否则不得分，其中：</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t>项目成员具有CISP-PTE证书，每个证书1分，最高4分；</w:t>
            </w:r>
          </w:p>
          <w:p>
            <w:pPr>
              <w:pStyle w:val="2"/>
              <w:ind w:left="0" w:leftChars="0" w:firstLine="0" w:firstLineChars="0"/>
              <w:rPr>
                <w:rFonts w:hint="eastAsia" w:asciiTheme="minorEastAsia" w:hAnsiTheme="minorEastAsia" w:eastAsiaTheme="minorEastAsia" w:cstheme="minorEastAsia"/>
                <w:kern w:val="2"/>
                <w:sz w:val="21"/>
                <w:szCs w:val="24"/>
                <w:lang w:val="en-US" w:eastAsia="zh-CN" w:bidi="ar-SA"/>
              </w:rPr>
            </w:pPr>
            <w:r>
              <w:rPr>
                <w:rFonts w:hint="eastAsia" w:asciiTheme="minorEastAsia" w:hAnsiTheme="minorEastAsia" w:eastAsiaTheme="minorEastAsia" w:cstheme="minorEastAsia"/>
                <w:kern w:val="2"/>
                <w:sz w:val="21"/>
                <w:szCs w:val="24"/>
                <w:lang w:val="en-US" w:eastAsia="zh-CN" w:bidi="ar-SA"/>
              </w:rPr>
              <w:t>项目成员具有高级网络信息安全工程师证书得1分，最高得2分；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项目成员具有CISSP证书得1分，最高得2分；</w:t>
            </w:r>
          </w:p>
          <w:p>
            <w:pPr>
              <w:rPr>
                <w:rFonts w:asciiTheme="minorEastAsia" w:hAnsiTheme="minorEastAsia" w:eastAsiaTheme="minorEastAsia" w:cstheme="minorEastAsia"/>
              </w:rPr>
            </w:pPr>
            <w:r>
              <w:rPr>
                <w:rFonts w:hint="eastAsia" w:asciiTheme="minorEastAsia" w:hAnsiTheme="minorEastAsia" w:eastAsiaTheme="minorEastAsia" w:cstheme="minorEastAsia"/>
              </w:rPr>
              <w:t>（需提供证书复印件及项目</w:t>
            </w:r>
            <w:r>
              <w:rPr>
                <w:rFonts w:hint="eastAsia" w:asciiTheme="minorEastAsia" w:hAnsiTheme="minorEastAsia" w:eastAsiaTheme="minorEastAsia" w:cstheme="minorEastAsia"/>
                <w:lang w:val="en-US" w:eastAsia="zh-CN"/>
              </w:rPr>
              <w:t>成员</w:t>
            </w:r>
            <w:r>
              <w:rPr>
                <w:rFonts w:hint="eastAsia" w:asciiTheme="minorEastAsia" w:hAnsiTheme="minorEastAsia" w:eastAsiaTheme="minorEastAsia" w:cstheme="minorEastAsia"/>
              </w:rPr>
              <w:t>在本单位近6个月及以上社保证明并加盖单位公章）。</w:t>
            </w:r>
          </w:p>
        </w:tc>
      </w:tr>
    </w:tbl>
    <w:p>
      <w:pPr>
        <w:rPr>
          <w:rFonts w:ascii="宋体" w:hAnsi="宋体" w:cs="宋体"/>
          <w:b/>
          <w:sz w:val="36"/>
          <w:szCs w:val="36"/>
        </w:rPr>
      </w:pPr>
      <w:r>
        <w:rPr>
          <w:rFonts w:hint="eastAsia" w:ascii="宋体" w:hAnsi="宋体" w:cs="宋体"/>
          <w:b/>
          <w:sz w:val="36"/>
          <w:szCs w:val="36"/>
        </w:rPr>
        <w:br w:type="page"/>
      </w:r>
    </w:p>
    <w:p>
      <w:pPr>
        <w:spacing w:line="360" w:lineRule="auto"/>
        <w:jc w:val="center"/>
        <w:outlineLvl w:val="0"/>
        <w:rPr>
          <w:rFonts w:ascii="宋体" w:hAnsi="宋体" w:cs="宋体"/>
          <w:sz w:val="24"/>
        </w:rPr>
      </w:pPr>
      <w:r>
        <w:rPr>
          <w:rFonts w:hint="eastAsia" w:ascii="宋体" w:hAnsi="宋体" w:cs="宋体"/>
          <w:b/>
          <w:sz w:val="36"/>
          <w:szCs w:val="36"/>
        </w:rPr>
        <w:t>第五章   采购需求</w:t>
      </w:r>
      <w:bookmarkEnd w:id="850"/>
      <w:bookmarkEnd w:id="851"/>
    </w:p>
    <w:p>
      <w:pPr>
        <w:adjustRightInd w:val="0"/>
        <w:spacing w:before="240" w:after="240" w:line="360" w:lineRule="auto"/>
        <w:jc w:val="left"/>
        <w:textAlignment w:val="baseline"/>
        <w:outlineLvl w:val="1"/>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一、项目内容及背景</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（一）项目背景</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北京市城市管理委员会（以下简称“市城市管理委”）</w:t>
      </w:r>
      <w:r>
        <w:rPr>
          <w:rFonts w:hint="eastAsia" w:asciiTheme="minorEastAsia" w:hAnsiTheme="minorEastAsia" w:eastAsiaTheme="minorEastAsia" w:cstheme="minorEastAsia"/>
          <w:sz w:val="24"/>
          <w:szCs w:val="20"/>
          <w:lang w:eastAsia="zh-CN"/>
        </w:rPr>
        <w:t>是</w:t>
      </w:r>
      <w:r>
        <w:rPr>
          <w:rFonts w:hint="eastAsia" w:asciiTheme="minorEastAsia" w:hAnsiTheme="minorEastAsia" w:eastAsiaTheme="minorEastAsia" w:cstheme="minorEastAsia"/>
          <w:sz w:val="24"/>
          <w:szCs w:val="20"/>
        </w:rPr>
        <w:t>负责本市城市管理、城乡环境建设的综合协调和市容环境卫生管理、能源日常运行管理、相关市政公用事业管理的市政府组成</w:t>
      </w:r>
      <w:r>
        <w:rPr>
          <w:rFonts w:hint="eastAsia" w:asciiTheme="minorEastAsia" w:hAnsiTheme="minorEastAsia" w:eastAsiaTheme="minorEastAsia" w:cstheme="minorEastAsia"/>
          <w:sz w:val="24"/>
          <w:szCs w:val="20"/>
          <w:lang w:eastAsia="zh-CN"/>
        </w:rPr>
        <w:t>部门</w:t>
      </w:r>
      <w:r>
        <w:rPr>
          <w:rFonts w:hint="eastAsia" w:asciiTheme="minorEastAsia" w:hAnsiTheme="minorEastAsia" w:eastAsiaTheme="minorEastAsia" w:cstheme="minorEastAsia"/>
          <w:sz w:val="24"/>
          <w:szCs w:val="20"/>
        </w:rPr>
        <w:t>。现有城市运行管理、网格化管理、综合业务支撑等相关业务系统。投标方应依据《中华人民共和国网络安全法》和《网络安全等级保护条例》等相关政策文件，结合市城市管理委网络和信息系统实际，充分发挥自身在网络安全领域的人员、设备和技术优势，积极主动为市城市管理委网络网络安全工作提供优秀专业技术支撑维护，有效预警防御各类网络网络安全风险隐患，及时准确提供防范措施和整改建议，并对实施效果进行验证，确保市城市管理委网络和信息系统安全。</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（二）项目现状</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目前，市城市管理委的核心网络及边界安全设备由市主管部门统一维护。本单位网络安全工作的重点聚焦于云上部署的各类信息系统以及单位内部终端的安全管理。投标方应依据《中华人民共和国网络安全法》和《中华人民共和国数据安全法》等相关政策文件，结合市城市管理委网络和信息系统实际，充分发挥自身在网络安全领域的人员、设备和技术优势，积极主动为市城市管理委网络网络安全工作提供优秀专业技术支撑维护，有效预警防御各类网络网络安全风险隐患，及时准确提供防范措施和整改建议，并对实施效果进行验证，确保市城市管理委网络和信息系统安全。</w:t>
      </w:r>
    </w:p>
    <w:p>
      <w:pPr>
        <w:adjustRightInd w:val="0"/>
        <w:spacing w:before="240" w:after="240" w:line="360" w:lineRule="auto"/>
        <w:jc w:val="left"/>
        <w:textAlignment w:val="baseline"/>
        <w:outlineLvl w:val="1"/>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二、商务要求</w:t>
      </w:r>
    </w:p>
    <w:p>
      <w:pPr>
        <w:pStyle w:val="22"/>
        <w:topLinePunct/>
        <w:rPr>
          <w:rFonts w:asciiTheme="minorEastAsia" w:hAnsiTheme="minorEastAsia" w:eastAsiaTheme="minorEastAsia" w:cstheme="minorEastAsia"/>
          <w:bCs/>
          <w:kern w:val="0"/>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bCs/>
          <w:kern w:val="0"/>
        </w:rPr>
        <w:t>交付期限和实施地点</w:t>
      </w:r>
    </w:p>
    <w:p>
      <w:pPr>
        <w:pStyle w:val="22"/>
        <w:topLinePunct/>
        <w:ind w:firstLine="480" w:firstLineChars="200"/>
        <w:rPr>
          <w:rFonts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服务期限：自合同签订之日期1年。</w:t>
      </w:r>
    </w:p>
    <w:p>
      <w:pPr>
        <w:pStyle w:val="22"/>
        <w:topLinePunct/>
        <w:ind w:firstLine="480" w:firstLineChars="200"/>
        <w:rPr>
          <w:rFonts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实施地点：北京市西城区广安门内大街317号或采购人指定地点。</w:t>
      </w:r>
    </w:p>
    <w:p>
      <w:pPr>
        <w:pStyle w:val="22"/>
        <w:topLinePunct/>
        <w:rPr>
          <w:rFonts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2.付款条件（进度和方式）</w:t>
      </w:r>
    </w:p>
    <w:p>
      <w:pPr>
        <w:pStyle w:val="22"/>
        <w:topLinePunct/>
        <w:ind w:firstLine="480" w:firstLineChars="200"/>
        <w:rPr>
          <w:rFonts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见合同条款</w:t>
      </w:r>
    </w:p>
    <w:p>
      <w:pPr>
        <w:pStyle w:val="22"/>
        <w:topLinePunct/>
        <w:rPr>
          <w:rFonts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3.售后服务（质保期）</w:t>
      </w:r>
    </w:p>
    <w:p>
      <w:pPr>
        <w:pStyle w:val="22"/>
        <w:topLinePunct/>
        <w:rPr>
          <w:rFonts w:asciiTheme="minorEastAsia" w:hAnsiTheme="minorEastAsia" w:eastAsiaTheme="minorEastAsia" w:cstheme="minorEastAsia"/>
          <w:bCs/>
          <w:kern w:val="0"/>
        </w:rPr>
      </w:pPr>
      <w:r>
        <w:rPr>
          <w:rFonts w:hint="eastAsia" w:asciiTheme="minorEastAsia" w:hAnsiTheme="minorEastAsia" w:eastAsiaTheme="minorEastAsia" w:cstheme="minorEastAsia"/>
          <w:bCs/>
          <w:kern w:val="0"/>
        </w:rPr>
        <w:t>/</w:t>
      </w:r>
    </w:p>
    <w:p>
      <w:pPr>
        <w:adjustRightInd w:val="0"/>
        <w:spacing w:before="240" w:after="240" w:line="360" w:lineRule="auto"/>
        <w:jc w:val="left"/>
        <w:textAlignment w:val="baseline"/>
        <w:outlineLvl w:val="1"/>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三、维护内容及需求</w:t>
      </w:r>
    </w:p>
    <w:p>
      <w:pPr>
        <w:spacing w:line="360" w:lineRule="auto"/>
        <w:ind w:firstLine="482" w:firstLineChars="200"/>
        <w:outlineLvl w:val="2"/>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1.执行地点</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bCs/>
          <w:kern w:val="0"/>
          <w:sz w:val="24"/>
        </w:rPr>
        <w:t>北京市西城区广安门内大街317号或采购人指定地点</w:t>
      </w:r>
      <w:r>
        <w:rPr>
          <w:rFonts w:hint="eastAsia" w:asciiTheme="minorEastAsia" w:hAnsiTheme="minorEastAsia" w:eastAsiaTheme="minorEastAsia" w:cstheme="minorEastAsia"/>
          <w:sz w:val="24"/>
          <w:szCs w:val="20"/>
        </w:rPr>
        <w:t>。</w:t>
      </w:r>
    </w:p>
    <w:p>
      <w:pPr>
        <w:spacing w:line="360" w:lineRule="auto"/>
        <w:ind w:firstLine="482" w:firstLineChars="200"/>
        <w:outlineLvl w:val="2"/>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2.执行期限</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一年。</w:t>
      </w:r>
    </w:p>
    <w:p>
      <w:pPr>
        <w:spacing w:line="360" w:lineRule="auto"/>
        <w:ind w:firstLine="482" w:firstLineChars="200"/>
        <w:outlineLvl w:val="2"/>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3.内容和技术要求</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（1）信息系统在线监控</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维护内容：投标人应为市城市管理委所属信息系统提供7×24小时在线监测服务，发现异常时立即通过短信、电话等方式及时进行预警通报，每月对监控情况进行汇总分析，并提交《</w:t>
      </w:r>
      <w:r>
        <w:rPr>
          <w:rFonts w:hint="eastAsia" w:asciiTheme="minorEastAsia" w:hAnsiTheme="minorEastAsia" w:eastAsiaTheme="minorEastAsia" w:cstheme="minorEastAsia"/>
          <w:sz w:val="24"/>
          <w:szCs w:val="20"/>
          <w:lang w:val="en-US" w:eastAsia="zh-CN"/>
        </w:rPr>
        <w:t>信息系统</w:t>
      </w:r>
      <w:r>
        <w:rPr>
          <w:rFonts w:hint="eastAsia" w:asciiTheme="minorEastAsia" w:hAnsiTheme="minorEastAsia" w:eastAsiaTheme="minorEastAsia" w:cstheme="minorEastAsia"/>
          <w:sz w:val="24"/>
          <w:szCs w:val="20"/>
        </w:rPr>
        <w:t>监控月度报告》。</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维护频率：7天×24小时×365天。</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w:t>
      </w:r>
      <w:r>
        <w:rPr>
          <w:rFonts w:hint="eastAsia" w:asciiTheme="minorEastAsia" w:hAnsiTheme="minorEastAsia" w:eastAsiaTheme="minorEastAsia" w:cstheme="minorEastAsia"/>
          <w:sz w:val="24"/>
          <w:szCs w:val="20"/>
          <w:lang w:val="en-US" w:eastAsia="zh-CN"/>
        </w:rPr>
        <w:t>信息系统</w:t>
      </w:r>
      <w:r>
        <w:rPr>
          <w:rFonts w:hint="eastAsia" w:asciiTheme="minorEastAsia" w:hAnsiTheme="minorEastAsia" w:eastAsiaTheme="minorEastAsia" w:cstheme="minorEastAsia"/>
          <w:sz w:val="24"/>
          <w:szCs w:val="20"/>
        </w:rPr>
        <w:t>监控月度报告》（每月一次）。</w:t>
      </w:r>
    </w:p>
    <w:p>
      <w:pPr>
        <w:spacing w:line="360" w:lineRule="auto"/>
        <w:ind w:firstLine="482" w:firstLineChars="200"/>
        <w:rPr>
          <w:rFonts w:hint="eastAsia" w:asciiTheme="minorEastAsia" w:hAnsiTheme="minorEastAsia" w:eastAsiaTheme="minorEastAsia" w:cstheme="minorEastAsia"/>
          <w:b/>
          <w:sz w:val="24"/>
          <w:szCs w:val="20"/>
          <w:lang w:val="en-US" w:eastAsia="zh-CN"/>
        </w:rPr>
      </w:pPr>
      <w:r>
        <w:rPr>
          <w:rFonts w:hint="eastAsia" w:asciiTheme="minorEastAsia" w:hAnsiTheme="minorEastAsia" w:eastAsiaTheme="minorEastAsia" w:cstheme="minorEastAsia"/>
          <w:b/>
          <w:sz w:val="24"/>
          <w:szCs w:val="20"/>
        </w:rPr>
        <w:t>（2）渗透测试</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在不影响业务正常开展的前提下，对指定信息系统采用“灰盒测试”的方式，深度评估信息系统安全性，全面挖掘安全漏洞，帮助市城市管理委发现信息系统存在的安全隐患，及时采取必要的防护措施，避免安全事件的发生，并提出安全整改建议。</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维护频率：4次/年。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提交成果：《渗透测试报告》、《渗透测试复测报告》。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（3）系统脆弱性检查</w:t>
      </w:r>
    </w:p>
    <w:p>
      <w:pPr>
        <w:spacing w:line="360" w:lineRule="auto"/>
        <w:ind w:firstLine="480" w:firstLineChars="200"/>
      </w:pPr>
      <w:r>
        <w:rPr>
          <w:rFonts w:hint="eastAsia" w:asciiTheme="minorEastAsia" w:hAnsiTheme="minorEastAsia" w:eastAsiaTheme="minorEastAsia" w:cstheme="minorEastAsia"/>
          <w:sz w:val="24"/>
          <w:szCs w:val="20"/>
        </w:rPr>
        <w:t>维护内容：</w:t>
      </w:r>
      <w:r>
        <w:rPr>
          <w:rFonts w:hint="eastAsia" w:ascii="宋体" w:hAnsi="宋体" w:cs="宋体"/>
          <w:sz w:val="24"/>
        </w:rPr>
        <w:t>投标人须对采购人信息系统服务器操作系统、数据库、中间件、网络及安全设备等进行全面安全扫描，发现潜在脆弱点，识别技术漏洞及错误配置，为安全加固提供依据。扫描结果需提供分级漏洞清单及可落地的修复建议。使用的扫描工具必须使用正版商业工具且支持国产环境及国产操作系统、国产数据库、国产中间件等国产软件。</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维护频率：2次/年。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提交成果：《脆弱性检查报告》、《脆弱性检查复测报告》。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（4）源代码检测</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w:t>
      </w:r>
      <w:r>
        <w:rPr>
          <w:rFonts w:ascii="Inter" w:hAnsi="Inter" w:eastAsia="Inter" w:cs="Inter"/>
          <w:color w:val="0F1115"/>
          <w:sz w:val="24"/>
          <w:shd w:val="clear" w:color="auto" w:fill="FFFFFF"/>
        </w:rPr>
        <w:t>通过</w:t>
      </w:r>
      <w:r>
        <w:rPr>
          <w:rFonts w:asciiTheme="minorEastAsia" w:hAnsiTheme="minorEastAsia" w:eastAsiaTheme="minorEastAsia" w:cstheme="minorEastAsia"/>
          <w:sz w:val="24"/>
          <w:szCs w:val="20"/>
        </w:rPr>
        <w:t>人工代码审计与自动化扫描工具相结</w:t>
      </w:r>
      <w:r>
        <w:rPr>
          <w:rFonts w:ascii="Inter" w:hAnsi="Inter" w:eastAsia="Inter" w:cs="Inter"/>
          <w:color w:val="0F1115"/>
          <w:sz w:val="24"/>
          <w:shd w:val="clear" w:color="auto" w:fill="FFFFFF"/>
        </w:rPr>
        <w:t>合的方式</w:t>
      </w:r>
      <w:r>
        <w:rPr>
          <w:rFonts w:hint="eastAsia" w:asciiTheme="minorEastAsia" w:hAnsiTheme="minorEastAsia" w:eastAsiaTheme="minorEastAsia" w:cstheme="minorEastAsia"/>
          <w:sz w:val="24"/>
          <w:szCs w:val="20"/>
        </w:rPr>
        <w:t>对采购人信息系统的源代码进行审计检测，以发现安全漏洞及编码缺陷，分析安全风险，提出代码整改修复建议，提升信息系统的安全稳定性。</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维护频率：按需提供（不少于4次）。</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提交成果：《源代码检测报告》。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（5）数据安全治理</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维护内容：投标人须依据 《信息安全技术 数据安全能力成熟度模型》（GB/T 37988-2019），采用文档查阅与人员访谈相结合的方式，从数据生存周期和通用安全过程两个维度，评估采购人管理与技术层面的数据安全风险，发现业务应用及支撑环境存在的安全隐患，并提供数据安全管理与技术手段的综合解决方案。</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维护频率：1次/年。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提交成果：《数据安全风险评估报告》。</w:t>
      </w:r>
    </w:p>
    <w:p>
      <w:pPr>
        <w:spacing w:line="360" w:lineRule="auto"/>
        <w:ind w:firstLine="482" w:firstLineChars="200"/>
        <w:rPr>
          <w:rFonts w:asciiTheme="minorEastAsia" w:hAnsiTheme="minorEastAsia" w:eastAsiaTheme="minorEastAsia" w:cstheme="minorEastAsia"/>
          <w:b/>
          <w:bCs/>
          <w:sz w:val="24"/>
          <w:szCs w:val="20"/>
        </w:rPr>
      </w:pPr>
      <w:r>
        <w:rPr>
          <w:rFonts w:hint="eastAsia" w:asciiTheme="minorEastAsia" w:hAnsiTheme="minorEastAsia" w:eastAsiaTheme="minorEastAsia" w:cstheme="minorEastAsia"/>
          <w:b/>
          <w:bCs/>
          <w:sz w:val="24"/>
          <w:szCs w:val="20"/>
        </w:rPr>
        <w:t>（6）等保与密评技术支持</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应基于国家信息系统安全等级保护和商用密码应用安全性评估基本要求，协助采购人开展系统安全评估。在测评机构进行现场测评（含初次测评和复测）时，投标人须派员全程配合完成相关工作。测评结束后，依据等保与密码测评报告整改要求，协助采购人完成漏洞诊断、排查与整改，并形成漏洞处理报告等技术文档。</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维护频率：1次/年。</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（7）安全应急响应</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须依据应急预案，对发生的安全事件快速响应。根据事件等级，第一时间采用现场或远程方式进行应急处置，最大限度降低安全事件带来的危害，抑制事件影响扩散，帮助采购人将损失降至最低。</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rPr>
                <w:rFonts w:eastAsiaTheme="minorEastAsia"/>
              </w:rPr>
            </w:pPr>
            <w:r>
              <w:rPr>
                <w:rFonts w:hint="eastAsia"/>
              </w:rPr>
              <w:t>事件等级</w:t>
            </w:r>
          </w:p>
        </w:tc>
        <w:tc>
          <w:tcPr>
            <w:tcW w:w="2841" w:type="dxa"/>
          </w:tcPr>
          <w:p>
            <w:pPr>
              <w:pStyle w:val="2"/>
              <w:rPr>
                <w:rFonts w:eastAsiaTheme="minorEastAsia"/>
              </w:rPr>
            </w:pPr>
            <w:r>
              <w:rPr>
                <w:rFonts w:hint="eastAsia"/>
              </w:rPr>
              <w:t>响应方式</w:t>
            </w:r>
          </w:p>
        </w:tc>
        <w:tc>
          <w:tcPr>
            <w:tcW w:w="2841" w:type="dxa"/>
          </w:tcPr>
          <w:p>
            <w:pPr>
              <w:pStyle w:val="2"/>
              <w:rPr>
                <w:rFonts w:eastAsiaTheme="minorEastAsia"/>
              </w:rPr>
            </w:pPr>
            <w:r>
              <w:rPr>
                <w:rFonts w:hint="eastAsia"/>
              </w:rPr>
              <w:t>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rPr>
                <w:rFonts w:eastAsiaTheme="minorEastAsia"/>
              </w:rPr>
            </w:pPr>
            <w:r>
              <w:rPr>
                <w:rFonts w:hint="eastAsia"/>
              </w:rPr>
              <w:t>重大事件（如系统主页篡改、大规模数据泄露、核心系统瘫痪）</w:t>
            </w:r>
          </w:p>
        </w:tc>
        <w:tc>
          <w:tcPr>
            <w:tcW w:w="2841" w:type="dxa"/>
          </w:tcPr>
          <w:p>
            <w:pPr>
              <w:pStyle w:val="2"/>
              <w:rPr>
                <w:rFonts w:eastAsiaTheme="minorEastAsia"/>
              </w:rPr>
            </w:pPr>
            <w:r>
              <w:rPr>
                <w:rFonts w:hint="eastAsia"/>
              </w:rPr>
              <w:t>立即现场响应</w:t>
            </w:r>
          </w:p>
        </w:tc>
        <w:tc>
          <w:tcPr>
            <w:tcW w:w="2841" w:type="dxa"/>
          </w:tcPr>
          <w:p>
            <w:pPr>
              <w:pStyle w:val="2"/>
              <w:ind w:firstLine="0"/>
            </w:pPr>
            <w:r>
              <w:rPr>
                <w:rFonts w:hint="eastAsia"/>
              </w:rPr>
              <w:t>主要领导牵头，成立应急小组，30分钟内启动处置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rPr>
                <w:rFonts w:eastAsiaTheme="minorEastAsia"/>
              </w:rPr>
            </w:pPr>
            <w:r>
              <w:rPr>
                <w:rFonts w:hint="eastAsia"/>
              </w:rPr>
              <w:t>较大事件（部分系统受损、发现恶意代码上穿成功）</w:t>
            </w:r>
          </w:p>
        </w:tc>
        <w:tc>
          <w:tcPr>
            <w:tcW w:w="2841" w:type="dxa"/>
          </w:tcPr>
          <w:p>
            <w:pPr>
              <w:pStyle w:val="2"/>
            </w:pPr>
            <w:r>
              <w:rPr>
                <w:rFonts w:hint="eastAsia"/>
              </w:rPr>
              <w:t>优先现场响应</w:t>
            </w:r>
          </w:p>
        </w:tc>
        <w:tc>
          <w:tcPr>
            <w:tcW w:w="2841" w:type="dxa"/>
          </w:tcPr>
          <w:p>
            <w:pPr>
              <w:pStyle w:val="2"/>
              <w:ind w:firstLine="0"/>
            </w:pPr>
            <w:r>
              <w:rPr>
                <w:rFonts w:hint="eastAsia"/>
              </w:rPr>
              <w:t>指定技术负责人，1小时内启动处置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rPr>
                <w:rFonts w:eastAsiaTheme="minorEastAsia"/>
              </w:rPr>
            </w:pPr>
            <w:r>
              <w:rPr>
                <w:rFonts w:hint="eastAsia"/>
              </w:rPr>
              <w:t>一般事件（设备单点故障、非核心系统异常）</w:t>
            </w:r>
          </w:p>
        </w:tc>
        <w:tc>
          <w:tcPr>
            <w:tcW w:w="2841" w:type="dxa"/>
          </w:tcPr>
          <w:p>
            <w:pPr>
              <w:pStyle w:val="2"/>
            </w:pPr>
            <w:r>
              <w:rPr>
                <w:rFonts w:hint="eastAsia"/>
              </w:rPr>
              <w:t>远程或现场</w:t>
            </w:r>
          </w:p>
        </w:tc>
        <w:tc>
          <w:tcPr>
            <w:tcW w:w="2841" w:type="dxa"/>
          </w:tcPr>
          <w:p>
            <w:pPr>
              <w:pStyle w:val="2"/>
              <w:ind w:firstLine="0"/>
            </w:pPr>
            <w:r>
              <w:rPr>
                <w:rFonts w:hint="eastAsia"/>
              </w:rPr>
              <w:t>远程优先，必要时现场支持，2小时内启动处置</w:t>
            </w:r>
          </w:p>
        </w:tc>
      </w:tr>
    </w:tbl>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维护频率：7天×24小时应急响应。</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提交成果：《应急响应维护记录单》。</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（8）内部应急演练</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须根据采购人实际业务场景，定制化设计演练场景和演练目的，基于现有应急处置体系组织开展应急演练工作。工作内容包括：制订应急演练方案、准备演练环境、模拟网络攻击、实施应急响应（预警与评估、预案启动、应急处置）、撰写演练总结报告、优化应急预案、完善应急处置体系。演练结束后，须对演练过程进行分析与回顾，协助开展演练审核，确定改进目标和具体工作内容。</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维护频率：2次/年。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提交成果：《应急演练方案》、《应急演练情况总结报告》。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（9）特殊时期值守保障</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须根据采购人需求，在重大活动及节假日等特殊时期，派出专业技术人员提供现场24小时不间断值守维护，保障特殊时期网络与信息系统的安全稳定运行。值守人员须具备安全监测、分析研判、应急处置等综合能力，每班次不少于1人。</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提交成果：《特殊时期值守方案》。</w:t>
      </w:r>
    </w:p>
    <w:p>
      <w:pPr>
        <w:spacing w:line="360" w:lineRule="auto"/>
        <w:ind w:firstLine="482" w:firstLineChars="200"/>
        <w:rPr>
          <w:rFonts w:asciiTheme="minorEastAsia" w:hAnsiTheme="minorEastAsia" w:eastAsiaTheme="minorEastAsia" w:cstheme="minorEastAsia"/>
          <w:b/>
          <w:bCs w:val="0"/>
          <w:sz w:val="24"/>
          <w:szCs w:val="20"/>
        </w:rPr>
      </w:pPr>
      <w:r>
        <w:rPr>
          <w:rFonts w:hint="eastAsia" w:asciiTheme="minorEastAsia" w:hAnsiTheme="minorEastAsia" w:eastAsiaTheme="minorEastAsia" w:cstheme="minorEastAsia"/>
          <w:b/>
          <w:sz w:val="24"/>
          <w:szCs w:val="20"/>
        </w:rPr>
        <w:t>（</w:t>
      </w:r>
      <w:r>
        <w:rPr>
          <w:rFonts w:hint="eastAsia" w:asciiTheme="minorEastAsia" w:hAnsiTheme="minorEastAsia" w:eastAsiaTheme="minorEastAsia" w:cstheme="minorEastAsia"/>
          <w:b/>
          <w:bCs w:val="0"/>
          <w:sz w:val="24"/>
          <w:szCs w:val="20"/>
        </w:rPr>
        <w:t>10）驻场安全运维</w:t>
      </w:r>
    </w:p>
    <w:p>
      <w:pPr>
        <w:spacing w:line="360" w:lineRule="auto"/>
        <w:ind w:firstLine="480" w:firstLineChars="200"/>
      </w:pPr>
      <w:r>
        <w:rPr>
          <w:rFonts w:hint="eastAsia" w:asciiTheme="minorEastAsia" w:hAnsiTheme="minorEastAsia" w:eastAsiaTheme="minorEastAsia" w:cstheme="minorEastAsia"/>
          <w:sz w:val="24"/>
          <w:szCs w:val="20"/>
        </w:rPr>
        <w:t>维护内容：投标人派驻1名安全运维人员提供驻场安全运维。主要负责采购人终端安全管理、信息系统安全监测、现场安全事件处置、权限复核与操作审计、运维工具安全检查、配合安全检查及攻防演练、文档维护及安全知识分享</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lang w:val="en-US" w:eastAsia="zh-CN"/>
        </w:rPr>
        <w:t>负责</w:t>
      </w:r>
      <w:r>
        <w:rPr>
          <w:rFonts w:hint="eastAsia" w:asciiTheme="minorEastAsia" w:hAnsiTheme="minorEastAsia" w:eastAsiaTheme="minorEastAsia" w:cstheme="minorEastAsia"/>
          <w:sz w:val="24"/>
          <w:szCs w:val="20"/>
        </w:rPr>
        <w:t>安全设备</w:t>
      </w:r>
      <w:r>
        <w:rPr>
          <w:rFonts w:hint="eastAsia" w:asciiTheme="minorEastAsia" w:hAnsiTheme="minorEastAsia" w:eastAsiaTheme="minorEastAsia" w:cstheme="minorEastAsia"/>
          <w:sz w:val="24"/>
          <w:szCs w:val="20"/>
          <w:lang w:val="en-US" w:eastAsia="zh-CN"/>
        </w:rPr>
        <w:t>的</w:t>
      </w:r>
      <w:r>
        <w:rPr>
          <w:rFonts w:hint="eastAsia" w:asciiTheme="minorEastAsia" w:hAnsiTheme="minorEastAsia" w:eastAsiaTheme="minorEastAsia" w:cstheme="minorEastAsia"/>
          <w:sz w:val="24"/>
          <w:szCs w:val="20"/>
        </w:rPr>
        <w:t>故障处置与升级、包含设备特征库的升级维护，在发生意外事件时，</w:t>
      </w:r>
      <w:r>
        <w:rPr>
          <w:rFonts w:hint="eastAsia" w:asciiTheme="minorEastAsia" w:hAnsiTheme="minorEastAsia" w:eastAsiaTheme="minorEastAsia" w:cstheme="minorEastAsia"/>
          <w:sz w:val="24"/>
          <w:szCs w:val="20"/>
          <w:lang w:val="en-US" w:eastAsia="zh-CN"/>
        </w:rPr>
        <w:t>能够</w:t>
      </w:r>
      <w:r>
        <w:rPr>
          <w:rFonts w:hint="eastAsia" w:asciiTheme="minorEastAsia" w:hAnsiTheme="minorEastAsia" w:eastAsiaTheme="minorEastAsia" w:cstheme="minorEastAsia"/>
          <w:sz w:val="24"/>
          <w:szCs w:val="20"/>
        </w:rPr>
        <w:t>及时</w:t>
      </w:r>
      <w:r>
        <w:rPr>
          <w:rFonts w:hint="eastAsia" w:asciiTheme="minorEastAsia" w:hAnsiTheme="minorEastAsia" w:eastAsiaTheme="minorEastAsia" w:cstheme="minorEastAsia"/>
          <w:sz w:val="24"/>
          <w:szCs w:val="20"/>
          <w:lang w:val="en-US" w:eastAsia="zh-CN"/>
        </w:rPr>
        <w:t>提供备用产品进行</w:t>
      </w:r>
      <w:r>
        <w:rPr>
          <w:rFonts w:hint="eastAsia" w:asciiTheme="minorEastAsia" w:hAnsiTheme="minorEastAsia" w:eastAsiaTheme="minorEastAsia" w:cstheme="minorEastAsia"/>
          <w:sz w:val="24"/>
          <w:szCs w:val="20"/>
        </w:rPr>
        <w:t>替换，以尽快恢复网络正常运行。驻场工作时间与采购人工作时间一致。驻场工作时间外，投标人提供远程安全监测，发现安全问题或安全隐患及时通知采购人</w:t>
      </w:r>
      <w:r>
        <w:rPr>
          <w:rFonts w:hint="eastAsia" w:asciiTheme="minorEastAsia" w:hAnsiTheme="minorEastAsia" w:eastAsiaTheme="minorEastAsia" w:cstheme="minorEastAsia"/>
          <w:sz w:val="24"/>
          <w:szCs w:val="20"/>
          <w:lang w:eastAsia="zh-CN"/>
        </w:rPr>
        <w:t>。</w:t>
      </w:r>
    </w:p>
    <w:p>
      <w:pPr>
        <w:spacing w:line="360" w:lineRule="auto"/>
        <w:ind w:left="1679" w:leftChars="228" w:hanging="1200" w:hangingChars="500"/>
        <w:rPr>
          <w:rFonts w:hint="eastAsia" w:asciiTheme="minorEastAsia" w:hAnsiTheme="minorEastAsia" w:eastAsiaTheme="minorEastAsia" w:cstheme="minorEastAsia"/>
          <w:b w:val="0"/>
          <w:bCs/>
          <w:sz w:val="24"/>
          <w:szCs w:val="20"/>
          <w:lang w:eastAsia="zh-CN"/>
        </w:rPr>
      </w:pPr>
      <w:r>
        <w:rPr>
          <w:rFonts w:hint="eastAsia" w:asciiTheme="minorEastAsia" w:hAnsiTheme="minorEastAsia" w:eastAsiaTheme="minorEastAsia" w:cstheme="minorEastAsia"/>
          <w:b w:val="0"/>
          <w:bCs/>
          <w:sz w:val="24"/>
          <w:szCs w:val="20"/>
        </w:rPr>
        <w:t>维护频率：</w:t>
      </w:r>
      <w:r>
        <w:rPr>
          <w:rFonts w:hint="eastAsia" w:asciiTheme="minorEastAsia" w:hAnsiTheme="minorEastAsia" w:eastAsiaTheme="minorEastAsia" w:cstheme="minorEastAsia"/>
          <w:b w:val="0"/>
          <w:bCs/>
          <w:sz w:val="24"/>
          <w:szCs w:val="20"/>
          <w:lang w:val="en-US" w:eastAsia="zh-CN"/>
        </w:rPr>
        <w:t>驻场安全运维</w:t>
      </w:r>
      <w:r>
        <w:rPr>
          <w:rFonts w:hint="eastAsia" w:asciiTheme="minorEastAsia" w:hAnsiTheme="minorEastAsia" w:eastAsiaTheme="minorEastAsia" w:cstheme="minorEastAsia"/>
          <w:b w:val="0"/>
          <w:bCs/>
          <w:sz w:val="24"/>
          <w:szCs w:val="20"/>
        </w:rPr>
        <w:t>5天×8小时现场值守，其他时间远程值守监测</w:t>
      </w:r>
      <w:r>
        <w:rPr>
          <w:rFonts w:hint="eastAsia" w:asciiTheme="minorEastAsia" w:hAnsiTheme="minorEastAsia" w:eastAsiaTheme="minorEastAsia" w:cstheme="minorEastAsia"/>
          <w:b w:val="0"/>
          <w:bCs/>
          <w:sz w:val="24"/>
          <w:szCs w:val="20"/>
          <w:lang w:eastAsia="zh-CN"/>
        </w:rPr>
        <w:t>；</w:t>
      </w:r>
    </w:p>
    <w:p>
      <w:pPr>
        <w:spacing w:line="360" w:lineRule="auto"/>
        <w:ind w:left="1676" w:leftChars="798" w:firstLine="0" w:firstLineChars="0"/>
        <w:rPr>
          <w:rFonts w:asciiTheme="minorEastAsia" w:hAnsiTheme="minorEastAsia" w:eastAsiaTheme="minorEastAsia" w:cstheme="minorEastAsia"/>
          <w:b/>
          <w:bCs w:val="0"/>
          <w:sz w:val="24"/>
          <w:szCs w:val="20"/>
        </w:rPr>
      </w:pPr>
      <w:r>
        <w:rPr>
          <w:rFonts w:hint="eastAsia" w:asciiTheme="minorEastAsia" w:hAnsiTheme="minorEastAsia" w:eastAsiaTheme="minorEastAsia" w:cstheme="minorEastAsia"/>
          <w:sz w:val="24"/>
          <w:szCs w:val="20"/>
        </w:rPr>
        <w:t>安全设备</w:t>
      </w:r>
      <w:r>
        <w:rPr>
          <w:rFonts w:hint="eastAsia" w:asciiTheme="minorEastAsia" w:hAnsiTheme="minorEastAsia" w:eastAsiaTheme="minorEastAsia" w:cstheme="minorEastAsia"/>
          <w:b w:val="0"/>
          <w:bCs/>
          <w:sz w:val="24"/>
          <w:szCs w:val="20"/>
        </w:rPr>
        <w:t>维护频率</w:t>
      </w:r>
      <w:r>
        <w:rPr>
          <w:rFonts w:hint="eastAsia" w:asciiTheme="minorEastAsia" w:hAnsiTheme="minorEastAsia" w:eastAsiaTheme="minorEastAsia" w:cstheme="minorEastAsia"/>
          <w:b w:val="0"/>
          <w:bCs/>
          <w:sz w:val="24"/>
          <w:szCs w:val="20"/>
          <w:lang w:eastAsia="zh-CN"/>
        </w:rPr>
        <w:t>，</w:t>
      </w:r>
      <w:r>
        <w:rPr>
          <w:rFonts w:hint="eastAsia" w:asciiTheme="minorEastAsia" w:hAnsiTheme="minorEastAsia" w:eastAsiaTheme="minorEastAsia" w:cstheme="minorEastAsia"/>
          <w:b w:val="0"/>
          <w:bCs/>
          <w:sz w:val="24"/>
          <w:szCs w:val="20"/>
          <w:lang w:val="en-US" w:eastAsia="zh-CN"/>
        </w:rPr>
        <w:t>按需提供。</w:t>
      </w:r>
    </w:p>
    <w:p>
      <w:pPr>
        <w:spacing w:line="360" w:lineRule="auto"/>
        <w:ind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提交成果：《安全运维监测报告》12次。</w:t>
      </w:r>
    </w:p>
    <w:p>
      <w:pPr>
        <w:spacing w:line="360" w:lineRule="auto"/>
        <w:ind w:firstLine="480" w:firstLineChars="200"/>
        <w:rPr>
          <w:rFonts w:hint="eastAsia" w:asciiTheme="minorEastAsia" w:hAnsiTheme="minorEastAsia" w:eastAsiaTheme="minorEastAsia" w:cstheme="minorEastAsia"/>
          <w:sz w:val="24"/>
          <w:szCs w:val="20"/>
          <w:lang w:val="en-US" w:eastAsia="zh-CN"/>
        </w:rPr>
      </w:pPr>
      <w:r>
        <w:rPr>
          <w:rFonts w:hint="eastAsia" w:asciiTheme="minorEastAsia" w:hAnsiTheme="minorEastAsia" w:eastAsiaTheme="minorEastAsia" w:cstheme="minorEastAsia"/>
          <w:sz w:val="24"/>
          <w:szCs w:val="20"/>
        </w:rPr>
        <w:t>安全设备</w:t>
      </w:r>
      <w:r>
        <w:rPr>
          <w:rFonts w:hint="eastAsia" w:asciiTheme="minorEastAsia" w:hAnsiTheme="minorEastAsia" w:eastAsiaTheme="minorEastAsia" w:cstheme="minorEastAsia"/>
          <w:sz w:val="24"/>
          <w:szCs w:val="20"/>
          <w:lang w:val="en-US" w:eastAsia="zh-CN"/>
        </w:rPr>
        <w:t>列表：</w:t>
      </w:r>
    </w:p>
    <w:p>
      <w:pPr>
        <w:pStyle w:val="2"/>
        <w:rPr>
          <w:rFonts w:hint="eastAsia" w:asciiTheme="minorEastAsia" w:hAnsiTheme="minorEastAsia" w:eastAsiaTheme="minorEastAsia" w:cstheme="minorEastAsia"/>
          <w:sz w:val="24"/>
          <w:szCs w:val="20"/>
          <w:lang w:val="en-US" w:eastAsia="zh-CN"/>
        </w:rPr>
      </w:pPr>
    </w:p>
    <w:p>
      <w:pPr>
        <w:pStyle w:val="2"/>
        <w:rPr>
          <w:rFonts w:hint="eastAsia" w:asciiTheme="minorEastAsia" w:hAnsiTheme="minorEastAsia" w:eastAsiaTheme="minorEastAsia" w:cstheme="minorEastAsia"/>
          <w:sz w:val="24"/>
          <w:szCs w:val="20"/>
          <w:lang w:val="en-US" w:eastAsia="zh-CN"/>
        </w:rPr>
      </w:pPr>
    </w:p>
    <w:p>
      <w:pPr>
        <w:pStyle w:val="2"/>
        <w:rPr>
          <w:rFonts w:hint="eastAsia" w:asciiTheme="minorEastAsia" w:hAnsiTheme="minorEastAsia" w:eastAsiaTheme="minorEastAsia" w:cstheme="minorEastAsia"/>
          <w:sz w:val="24"/>
          <w:szCs w:val="20"/>
          <w:lang w:val="en-US" w:eastAsia="zh-CN"/>
        </w:rPr>
      </w:pPr>
    </w:p>
    <w:tbl>
      <w:tblPr>
        <w:tblStyle w:val="55"/>
        <w:tblW w:w="8783" w:type="dxa"/>
        <w:jc w:val="center"/>
        <w:tblLayout w:type="fixed"/>
        <w:tblCellMar>
          <w:top w:w="0" w:type="dxa"/>
          <w:left w:w="108" w:type="dxa"/>
          <w:bottom w:w="0" w:type="dxa"/>
          <w:right w:w="108" w:type="dxa"/>
        </w:tblCellMar>
      </w:tblPr>
      <w:tblGrid>
        <w:gridCol w:w="722"/>
        <w:gridCol w:w="1921"/>
        <w:gridCol w:w="1789"/>
        <w:gridCol w:w="3396"/>
        <w:gridCol w:w="955"/>
      </w:tblGrid>
      <w:tr>
        <w:tblPrEx>
          <w:tblCellMar>
            <w:top w:w="0" w:type="dxa"/>
            <w:left w:w="108" w:type="dxa"/>
            <w:bottom w:w="0" w:type="dxa"/>
            <w:right w:w="108" w:type="dxa"/>
          </w:tblCellMar>
        </w:tblPrEx>
        <w:trPr>
          <w:trHeight w:val="375" w:hRule="atLeast"/>
          <w:jc w:val="center"/>
        </w:trPr>
        <w:tc>
          <w:tcPr>
            <w:tcW w:w="722"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bidi="ar"/>
              </w:rPr>
              <w:t>序号</w:t>
            </w:r>
          </w:p>
        </w:tc>
        <w:tc>
          <w:tcPr>
            <w:tcW w:w="1921"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bidi="ar"/>
              </w:rPr>
              <w:t>设备类型</w:t>
            </w:r>
          </w:p>
        </w:tc>
        <w:tc>
          <w:tcPr>
            <w:tcW w:w="1789"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bidi="ar"/>
              </w:rPr>
              <w:t>设备厂家</w:t>
            </w:r>
          </w:p>
        </w:tc>
        <w:tc>
          <w:tcPr>
            <w:tcW w:w="3396"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bidi="ar"/>
              </w:rPr>
              <w:t>规格型号</w:t>
            </w:r>
          </w:p>
        </w:tc>
        <w:tc>
          <w:tcPr>
            <w:tcW w:w="955"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lang w:bidi="ar"/>
              </w:rPr>
            </w:pPr>
            <w:r>
              <w:rPr>
                <w:rFonts w:hint="eastAsia" w:asciiTheme="minorEastAsia" w:hAnsiTheme="minorEastAsia" w:eastAsiaTheme="minorEastAsia" w:cstheme="minorEastAsia"/>
                <w:b/>
                <w:bCs/>
                <w:sz w:val="24"/>
                <w:lang w:bidi="ar"/>
              </w:rPr>
              <w:t>数量</w:t>
            </w:r>
          </w:p>
        </w:tc>
      </w:tr>
      <w:tr>
        <w:tblPrEx>
          <w:tblCellMar>
            <w:top w:w="0" w:type="dxa"/>
            <w:left w:w="108" w:type="dxa"/>
            <w:bottom w:w="0" w:type="dxa"/>
            <w:right w:w="108" w:type="dxa"/>
          </w:tblCellMar>
        </w:tblPrEx>
        <w:trPr>
          <w:trHeight w:val="40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1</w:t>
            </w:r>
          </w:p>
        </w:tc>
        <w:tc>
          <w:tcPr>
            <w:tcW w:w="19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杀毒</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清华同方</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超翔TK630-V050</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Theme="minorEastAsia" w:hAnsiTheme="minorEastAsia" w:eastAsiaTheme="minorEastAsia" w:cstheme="minorEastAsia"/>
                <w:sz w:val="24"/>
                <w:lang w:eastAsia="zh-CN" w:bidi="ar"/>
              </w:rPr>
            </w:pPr>
            <w:r>
              <w:rPr>
                <w:rFonts w:hint="eastAsia" w:asciiTheme="minorEastAsia" w:hAnsiTheme="minorEastAsia" w:eastAsiaTheme="minorEastAsia" w:cstheme="minorEastAsia"/>
                <w:sz w:val="24"/>
                <w:lang w:val="en-US" w:eastAsia="zh-CN" w:bidi="ar"/>
              </w:rPr>
              <w:t>2</w:t>
            </w:r>
          </w:p>
        </w:tc>
      </w:tr>
      <w:tr>
        <w:tblPrEx>
          <w:tblCellMar>
            <w:top w:w="0" w:type="dxa"/>
            <w:left w:w="108" w:type="dxa"/>
            <w:bottom w:w="0" w:type="dxa"/>
            <w:right w:w="108" w:type="dxa"/>
          </w:tblCellMar>
        </w:tblPrEx>
        <w:trPr>
          <w:trHeight w:val="27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2</w:t>
            </w:r>
          </w:p>
        </w:tc>
        <w:tc>
          <w:tcPr>
            <w:tcW w:w="19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网络准入</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北信源</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VRV-BMG-XN2050S</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Theme="minorEastAsia" w:hAnsiTheme="minorEastAsia" w:eastAsiaTheme="minorEastAsia" w:cstheme="minorEastAsia"/>
                <w:sz w:val="24"/>
                <w:lang w:eastAsia="zh-CN" w:bidi="ar"/>
              </w:rPr>
            </w:pPr>
            <w:r>
              <w:rPr>
                <w:rFonts w:hint="eastAsia" w:asciiTheme="minorEastAsia" w:hAnsiTheme="minorEastAsia" w:eastAsiaTheme="minorEastAsia" w:cstheme="minorEastAsia"/>
                <w:sz w:val="24"/>
                <w:lang w:val="en-US" w:eastAsia="zh-CN" w:bidi="ar"/>
              </w:rPr>
              <w:t>2</w:t>
            </w:r>
          </w:p>
        </w:tc>
      </w:tr>
    </w:tbl>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（11）攻防演练专项保障</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须根据国家及市级相关部门举行的网络安全攻防演练活动安排，提供必要的网络安全防护设备（含现场部署、调试及演练后回收），并派出技术人员提供现场24小时不间断值守维护，保障采购人信息系统的正常运行。须具备安全监测、日志分析、应急处置、溯源分析等综合能力。演练期间每日提交防守日报，演练结束后提交活动总结报告。</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防护天数：不超过20天。</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提交成果：相关活动的方案、报告、成果和总结。</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（12）网络安全检查支撑</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须利用技术手段（漏洞扫描、基线核查、渗透测试等）和人工排查（文档审查、人员访谈、现场核查等）相结合的方式，协助采购人开展信息安全自查，覆盖网络、主机、应用、数据、物理、管理等维度。通过自查发现安全隐患，进行风险分析，提出整改建议，完善安全管理措施，减少安全风险，提高应急处置能力，确保采购人网络与信息系统安全。</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维护频率：2次/年。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提交成果：《网络安全自查报告》。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（13）安全咨询</w:t>
      </w:r>
    </w:p>
    <w:p>
      <w:pPr>
        <w:spacing w:line="360" w:lineRule="auto"/>
        <w:ind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维护内容：投标人遵循国家及行业法规政策要求，参照国内外最佳实践模型，基于采购人网络安全战略目标、安全现状与需求，采用科学的网络安全规划方法论，构建符合 采购人未来发展的网络安全总体架构，并通过业务和项目约束关系分析关键实施计划和路径，明确分阶段任务和优先级，指导网络安全建设方向，满足法律合规、管理与业务发展需要。</w:t>
      </w:r>
    </w:p>
    <w:p>
      <w:pPr>
        <w:spacing w:line="360" w:lineRule="auto"/>
        <w:ind w:firstLine="480" w:firstLineChars="200"/>
      </w:pPr>
      <w:r>
        <w:rPr>
          <w:rFonts w:hint="eastAsia" w:asciiTheme="minorEastAsia" w:hAnsiTheme="minorEastAsia" w:eastAsiaTheme="minorEastAsia" w:cstheme="minorEastAsia"/>
          <w:sz w:val="24"/>
          <w:szCs w:val="20"/>
        </w:rPr>
        <w:t>维护频率：</w:t>
      </w:r>
      <w:r>
        <w:rPr>
          <w:rFonts w:hint="eastAsia" w:asciiTheme="minorEastAsia" w:hAnsiTheme="minorEastAsia" w:eastAsiaTheme="minorEastAsia" w:cstheme="minorEastAsia"/>
          <w:sz w:val="24"/>
          <w:szCs w:val="20"/>
          <w:lang w:val="en-US" w:eastAsia="zh-CN"/>
        </w:rPr>
        <w:t>不少于4次</w:t>
      </w:r>
      <w:r>
        <w:rPr>
          <w:rFonts w:hint="eastAsia" w:asciiTheme="minorEastAsia" w:hAnsiTheme="minorEastAsia" w:eastAsiaTheme="minorEastAsia" w:cstheme="minorEastAsia"/>
          <w:sz w:val="24"/>
          <w:szCs w:val="20"/>
        </w:rPr>
        <w:t>。</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（14）安全培训</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维护内容：投标人根据 采购人网络安全工作需求，结合当前网络安全态势，组织相关安全管理和安全技术专家，对 采购人相关人员进行专题培训，培训内容包括但不限于制度法规解读、安全管理、安全技术等方向，并制作培训讲义及文档提供给受训人员。</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维护频率：3次/年。</w:t>
      </w:r>
    </w:p>
    <w:p>
      <w:pPr>
        <w:spacing w:line="360" w:lineRule="auto"/>
        <w:ind w:firstLine="480" w:firstLineChars="200"/>
      </w:pPr>
      <w:r>
        <w:rPr>
          <w:rFonts w:hint="eastAsia" w:asciiTheme="minorEastAsia" w:hAnsiTheme="minorEastAsia" w:eastAsiaTheme="minorEastAsia" w:cstheme="minorEastAsia"/>
          <w:sz w:val="24"/>
          <w:szCs w:val="20"/>
        </w:rPr>
        <w:t>提交成果：《安全培训记录》</w:t>
      </w:r>
    </w:p>
    <w:p>
      <w:pPr>
        <w:spacing w:line="360" w:lineRule="auto"/>
        <w:ind w:firstLine="482" w:firstLineChars="200"/>
        <w:outlineLvl w:val="2"/>
        <w:rPr>
          <w:rFonts w:asciiTheme="minorEastAsia" w:hAnsiTheme="minorEastAsia" w:eastAsiaTheme="minorEastAsia" w:cstheme="minorEastAsia"/>
          <w:b/>
          <w:sz w:val="24"/>
        </w:rPr>
      </w:pPr>
      <w:bookmarkStart w:id="855" w:name="_Toc26818"/>
      <w:r>
        <w:rPr>
          <w:rFonts w:hint="eastAsia" w:asciiTheme="minorEastAsia" w:hAnsiTheme="minorEastAsia" w:eastAsiaTheme="minorEastAsia" w:cstheme="minorEastAsia"/>
          <w:b/>
          <w:sz w:val="24"/>
        </w:rPr>
        <w:t>4.维护团队要求</w:t>
      </w:r>
      <w:bookmarkEnd w:id="855"/>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 xml:space="preserve">由于网络安全防护的专业性、复杂性和长期性，对安全维护保障技术支持团队要求如下： </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（1）拥有稳定的维护保障队伍，并具有较强的技术保障实力。</w:t>
      </w:r>
    </w:p>
    <w:p>
      <w:pPr>
        <w:pStyle w:val="2"/>
        <w:spacing w:line="360" w:lineRule="auto"/>
        <w:ind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（2）本项目的项目经理及项目组成员须具备丰富的安全维护项目实施经验。须指定1名项目经理负责本项目全面协调与管理，项目经理须具备3年以上网络安全项目管理经验</w:t>
      </w:r>
      <w:r>
        <w:rPr>
          <w:rFonts w:hint="eastAsia" w:asciiTheme="minorEastAsia" w:hAnsiTheme="minorEastAsia" w:cstheme="minorEastAsia"/>
          <w:sz w:val="24"/>
          <w:szCs w:val="20"/>
        </w:rPr>
        <w:t>，</w:t>
      </w:r>
      <w:r>
        <w:rPr>
          <w:rFonts w:hint="eastAsia" w:asciiTheme="minorEastAsia" w:hAnsiTheme="minorEastAsia" w:eastAsiaTheme="minorEastAsia" w:cstheme="minorEastAsia"/>
          <w:sz w:val="24"/>
          <w:szCs w:val="20"/>
        </w:rPr>
        <w:t>项目经理在项目实施期间不得随意更换，确因不可抗力（如离职、重大疾病等）需要更换的，须提前15个工作日向采购人提出书面申请，经采购人书面同意后方可更换，新项目经理须具备同等或更高资质和经验。须配备1名驻场安全运维人员，以及项目所需的安全管理专家、安全技术专家、应急响应人员等，确保服务力量充足</w:t>
      </w:r>
      <w:r>
        <w:rPr>
          <w:rFonts w:hint="eastAsia" w:asciiTheme="minorEastAsia" w:hAnsiTheme="minorEastAsia" w:cstheme="minorEastAsia"/>
          <w:sz w:val="24"/>
          <w:szCs w:val="20"/>
        </w:rPr>
        <w:t>，</w:t>
      </w:r>
      <w:r>
        <w:rPr>
          <w:rFonts w:hint="eastAsia" w:asciiTheme="minorEastAsia" w:hAnsiTheme="minorEastAsia" w:eastAsiaTheme="minorEastAsia" w:cstheme="minorEastAsia"/>
          <w:sz w:val="24"/>
          <w:szCs w:val="20"/>
        </w:rPr>
        <w:t>驻场安全运维人员须具备2年以上安全运维工作经验。</w:t>
      </w:r>
      <w:r>
        <w:rPr>
          <w:rFonts w:hint="eastAsia" w:asciiTheme="minorEastAsia" w:hAnsiTheme="minorEastAsia" w:cstheme="minorEastAsia"/>
          <w:sz w:val="24"/>
          <w:szCs w:val="20"/>
        </w:rPr>
        <w:t>驻场人员应保持稳定，原则上服务期内不得更换，确需更换的须提前10个工作日通知采购人，新人须经采购人同意后方可上岗。新旧人员替换时须进行不少于10个工作日的工作交接，确保工作连续性。</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（3）提供项目实施的工作计划，工作内容以及维护进度安排。</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（4）拥有一批掌握最新网络安全实践技术的专家，遇到突发情况时能够及时解决问题。</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（5）具有高端的网络与安全技术人员、具有专业的方案分析和制作人员、有专业的维护人员和专业的团队支持。</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（6）团队有明确分工和侧重点，基本人员均掌握一般的安全维护方法并能解决普遍性安全问题。</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7）具备提供7天×24小时应急响应维护能力，组建专门的应急响应团队，明确人员分工和联络方式。遇重大安全事件时，投标人须在2小时内派出公司级技术专家提供现场或远程支持。须建立人员备岗机制，确保主要人员缺席时有人及时接替。</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（8）能够提供规范的全方位的信息与安全技术培训。</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（9）具有良好的职业道德，不损害用户利益。</w:t>
      </w:r>
    </w:p>
    <w:p>
      <w:pPr>
        <w:pStyle w:val="2"/>
        <w:rPr>
          <w:rFonts w:eastAsiaTheme="minorEastAsia"/>
        </w:rPr>
      </w:pPr>
      <w:r>
        <w:rPr>
          <w:rFonts w:hint="eastAsia" w:asciiTheme="minorEastAsia" w:hAnsiTheme="minorEastAsia" w:cstheme="minorEastAsia"/>
          <w:sz w:val="24"/>
          <w:szCs w:val="20"/>
        </w:rPr>
        <w:t>（10）所有项目团队成员须通过采购人背景审查，审查不通过者不得参与本项目。</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投标人在维护过程中应严格按照相关安全标准，针对维护的各个环节，有专门的项目质量管理保障，包括完善的项目实施流程、实施文档模版和质量记录文档。</w:t>
      </w:r>
    </w:p>
    <w:p>
      <w:pPr>
        <w:spacing w:line="360" w:lineRule="auto"/>
        <w:ind w:firstLine="482" w:firstLineChars="200"/>
        <w:outlineLvl w:val="2"/>
        <w:rPr>
          <w:rFonts w:asciiTheme="minorEastAsia" w:hAnsiTheme="minorEastAsia" w:eastAsiaTheme="minorEastAsia" w:cstheme="minorEastAsia"/>
          <w:b/>
          <w:sz w:val="24"/>
        </w:rPr>
      </w:pPr>
      <w:bookmarkStart w:id="856" w:name="_Toc4263"/>
      <w:r>
        <w:rPr>
          <w:rFonts w:hint="eastAsia" w:asciiTheme="minorEastAsia" w:hAnsiTheme="minorEastAsia" w:eastAsiaTheme="minorEastAsia" w:cstheme="minorEastAsia"/>
          <w:b/>
          <w:sz w:val="24"/>
        </w:rPr>
        <w:t>5.保密要求</w:t>
      </w:r>
      <w:bookmarkEnd w:id="856"/>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严格遵守合同规定，执行国家《保守国家秘密法》及有关保密的法律法规，选派具有良好职业道德的人员参与和从事本项目工作，相关人员恪守职业道德，服从采购人的管理，严格遵守采购人的保密规定和工作制度，并承担相应的保密责任。</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所有参与本项目的维护人员，都必须签订《保密承诺书》。中标人负责对《保密承诺书》归档保管，接受采购人检查。中标人对承诺履行情况负有监督责任，一经发现违反承诺情况，要及时向采购人报告。</w:t>
      </w:r>
    </w:p>
    <w:p>
      <w:pPr>
        <w:adjustRightInd w:val="0"/>
        <w:snapToGrid w:val="0"/>
        <w:spacing w:line="360" w:lineRule="auto"/>
        <w:ind w:firstLine="480" w:firstLineChars="200"/>
        <w:rPr>
          <w:rFonts w:ascii="宋体" w:hAnsi="宋体" w:cs="仿宋_GB2312"/>
        </w:rPr>
      </w:pPr>
      <w:r>
        <w:rPr>
          <w:rFonts w:hint="eastAsia" w:asciiTheme="minorEastAsia" w:hAnsiTheme="minorEastAsia" w:eastAsiaTheme="minorEastAsia" w:cstheme="minorEastAsia"/>
          <w:sz w:val="24"/>
          <w:szCs w:val="20"/>
        </w:rPr>
        <w:t>中标人自觉接受采购人的安全保密监督和管理，中标人如违反安全保密条款，采购人有权追究其责任，对重大的泄密事件将移交司法部门追究其法律责任；对中标人泄露系统资料，造成伤害的，除依据有关规定追究有关责任人员法律责任外，还将依法承担相应的民事责任。</w:t>
      </w:r>
    </w:p>
    <w:p>
      <w:pPr>
        <w:adjustRightInd w:val="0"/>
        <w:snapToGrid w:val="0"/>
        <w:spacing w:line="300" w:lineRule="auto"/>
        <w:rPr>
          <w:rFonts w:ascii="宋体" w:hAnsi="宋体" w:cs="宋体"/>
          <w:b/>
          <w:sz w:val="24"/>
        </w:rPr>
      </w:pPr>
    </w:p>
    <w:p>
      <w:pPr>
        <w:adjustRightInd w:val="0"/>
        <w:snapToGrid w:val="0"/>
        <w:spacing w:line="300" w:lineRule="auto"/>
        <w:rPr>
          <w:rFonts w:ascii="宋体" w:hAnsi="宋体" w:cs="宋体"/>
          <w:b/>
          <w:sz w:val="24"/>
        </w:rPr>
      </w:pPr>
      <w:r>
        <w:rPr>
          <w:rFonts w:hint="eastAsia" w:ascii="宋体" w:hAnsi="宋体" w:cs="宋体"/>
          <w:b/>
          <w:sz w:val="24"/>
        </w:rPr>
        <w:t>四、验收要求</w:t>
      </w:r>
    </w:p>
    <w:p>
      <w:pPr>
        <w:widowControl/>
        <w:spacing w:line="360" w:lineRule="auto"/>
        <w:jc w:val="left"/>
        <w:rPr>
          <w:rFonts w:ascii="宋体" w:hAnsi="宋体" w:cs="宋体"/>
          <w:bCs/>
          <w:sz w:val="24"/>
        </w:rPr>
      </w:pPr>
      <w:r>
        <w:rPr>
          <w:rFonts w:hint="eastAsia" w:ascii="宋体" w:hAnsi="宋体" w:cs="仿宋_GB2312"/>
          <w:bCs/>
          <w:sz w:val="24"/>
        </w:rPr>
        <w:t>1.</w:t>
      </w:r>
      <w:r>
        <w:rPr>
          <w:rFonts w:hint="eastAsia" w:ascii="宋体" w:hAnsi="宋体" w:cs="宋体"/>
          <w:bCs/>
          <w:sz w:val="24"/>
        </w:rPr>
        <w:t xml:space="preserve"> 技术维护完成（</w:t>
      </w:r>
      <w:r>
        <w:rPr>
          <w:rFonts w:hint="eastAsia" w:ascii="宋体" w:hAnsi="宋体" w:cs="宋体"/>
          <w:bCs/>
          <w:sz w:val="24"/>
          <w:u w:val="single"/>
        </w:rPr>
        <w:t>10</w:t>
      </w:r>
      <w:r>
        <w:rPr>
          <w:rFonts w:hint="eastAsia" w:ascii="宋体" w:hAnsi="宋体" w:cs="宋体"/>
          <w:bCs/>
          <w:sz w:val="24"/>
        </w:rPr>
        <w:t>）日前，乙方应该通知甲方进行项目验收准备工作，以便甲方能够快速、高效地完成项目验收工作。</w:t>
      </w:r>
    </w:p>
    <w:p>
      <w:pPr>
        <w:adjustRightInd w:val="0"/>
        <w:snapToGrid w:val="0"/>
        <w:spacing w:line="360" w:lineRule="auto"/>
        <w:rPr>
          <w:rFonts w:ascii="宋体" w:hAnsi="宋体" w:cs="宋体"/>
          <w:bCs/>
          <w:sz w:val="24"/>
        </w:rPr>
      </w:pPr>
      <w:r>
        <w:rPr>
          <w:rFonts w:hint="eastAsia" w:ascii="宋体" w:hAnsi="宋体" w:cs="仿宋_GB2312"/>
          <w:bCs/>
          <w:sz w:val="24"/>
        </w:rPr>
        <w:t>2.</w:t>
      </w:r>
      <w:r>
        <w:rPr>
          <w:rFonts w:hint="eastAsia" w:ascii="宋体" w:hAnsi="宋体" w:cs="宋体"/>
          <w:bCs/>
          <w:sz w:val="24"/>
        </w:rPr>
        <w:t xml:space="preserve"> 验收方法：由乙方提交项目技术报告，甲方组织验收。</w:t>
      </w:r>
    </w:p>
    <w:p>
      <w:pPr>
        <w:pStyle w:val="2"/>
        <w:spacing w:line="360" w:lineRule="auto"/>
        <w:ind w:firstLine="0"/>
      </w:pPr>
      <w:r>
        <w:rPr>
          <w:rFonts w:hint="eastAsia" w:ascii="宋体" w:hAnsi="宋体" w:cs="仿宋_GB2312"/>
          <w:bCs/>
          <w:sz w:val="24"/>
        </w:rPr>
        <w:t>3.</w:t>
      </w:r>
      <w:r>
        <w:rPr>
          <w:rFonts w:hint="eastAsia" w:ascii="宋体" w:hAnsi="宋体" w:cs="宋体"/>
          <w:bCs/>
          <w:sz w:val="24"/>
        </w:rPr>
        <w:t xml:space="preserve"> 验收标准：本合同约定的维护内容及质量要求。如乙方完成的工作不符合合同约定或甲方要求，甲方有权书面通知乙方在甲方规定的时间内予以整改。整改完成后，乙方应当重新向甲方提交验收申请。</w:t>
      </w:r>
    </w:p>
    <w:p>
      <w:pPr>
        <w:spacing w:line="360" w:lineRule="auto"/>
        <w:ind w:firstLine="723" w:firstLineChars="200"/>
        <w:rPr>
          <w:rFonts w:ascii="宋体" w:hAnsi="宋体"/>
          <w:color w:val="000000"/>
          <w:sz w:val="24"/>
        </w:rPr>
      </w:pPr>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857" w:name="_Toc218620574"/>
      <w:r>
        <w:rPr>
          <w:rFonts w:hint="eastAsia" w:ascii="宋体" w:hAnsi="宋体" w:cs="宋体"/>
          <w:b/>
          <w:color w:val="000000" w:themeColor="text1"/>
          <w:sz w:val="36"/>
          <w:szCs w:val="36"/>
          <w14:textFill>
            <w14:solidFill>
              <w14:schemeClr w14:val="tx1"/>
            </w14:solidFill>
          </w14:textFill>
        </w:rPr>
        <w:t>第六章   拟签订的合同文本</w:t>
      </w:r>
      <w:bookmarkEnd w:id="852"/>
      <w:bookmarkEnd w:id="857"/>
    </w:p>
    <w:p>
      <w:pPr>
        <w:spacing w:line="360" w:lineRule="auto"/>
        <w:jc w:val="center"/>
        <w:rPr>
          <w:rFonts w:ascii="宋体" w:hAnsi="宋体" w:cs="宋体"/>
          <w:b/>
          <w:color w:val="000000"/>
          <w:sz w:val="48"/>
          <w:szCs w:val="48"/>
        </w:rPr>
      </w:pPr>
    </w:p>
    <w:p>
      <w:pPr>
        <w:widowControl/>
        <w:jc w:val="left"/>
        <w:rPr>
          <w:rFonts w:ascii="宋体" w:hAnsi="宋体" w:cs="宋体"/>
          <w:b/>
          <w:bCs/>
          <w:color w:val="000000"/>
          <w:sz w:val="48"/>
          <w:szCs w:val="48"/>
        </w:rPr>
      </w:pPr>
      <w:r>
        <w:rPr>
          <w:rFonts w:ascii="宋体" w:hAnsi="宋体" w:cs="宋体"/>
          <w:b/>
          <w:bCs/>
          <w:color w:val="000000"/>
          <w:sz w:val="48"/>
          <w:szCs w:val="48"/>
        </w:rPr>
        <w:br w:type="page"/>
      </w:r>
    </w:p>
    <w:p>
      <w:pPr>
        <w:jc w:val="center"/>
        <w:rPr>
          <w:rFonts w:ascii="宋体" w:hAnsi="宋体" w:cs="宋体"/>
          <w:b/>
          <w:bCs/>
          <w:sz w:val="56"/>
          <w:szCs w:val="56"/>
        </w:rPr>
      </w:pPr>
      <w:bookmarkStart w:id="858" w:name="_Toc99301426"/>
      <w:r>
        <w:rPr>
          <w:rFonts w:hint="eastAsia" w:ascii="宋体" w:hAnsi="宋体" w:cs="宋体"/>
          <w:b/>
          <w:bCs/>
          <w:sz w:val="56"/>
          <w:szCs w:val="56"/>
        </w:rPr>
        <w:t>技术维护合同</w:t>
      </w:r>
    </w:p>
    <w:p>
      <w:pPr>
        <w:pStyle w:val="183"/>
        <w:tabs>
          <w:tab w:val="left" w:pos="0"/>
          <w:tab w:val="left" w:pos="510"/>
          <w:tab w:val="left" w:pos="567"/>
          <w:tab w:val="left" w:pos="601"/>
        </w:tabs>
        <w:spacing w:line="720" w:lineRule="auto"/>
        <w:ind w:firstLine="1451"/>
        <w:jc w:val="center"/>
        <w:rPr>
          <w:rFonts w:ascii="宋体" w:hAnsi="宋体" w:cs="宋体"/>
          <w:sz w:val="28"/>
          <w:szCs w:val="28"/>
        </w:rPr>
      </w:pPr>
    </w:p>
    <w:p>
      <w:pPr>
        <w:pStyle w:val="183"/>
        <w:tabs>
          <w:tab w:val="left" w:pos="0"/>
          <w:tab w:val="left" w:pos="510"/>
          <w:tab w:val="left" w:pos="567"/>
          <w:tab w:val="left" w:pos="601"/>
        </w:tabs>
        <w:spacing w:line="720" w:lineRule="auto"/>
        <w:ind w:firstLine="1451"/>
        <w:jc w:val="center"/>
        <w:rPr>
          <w:rFonts w:ascii="宋体" w:hAnsi="宋体" w:cs="宋体"/>
          <w:sz w:val="28"/>
          <w:szCs w:val="28"/>
        </w:rPr>
      </w:pPr>
    </w:p>
    <w:p>
      <w:pPr>
        <w:pStyle w:val="183"/>
        <w:tabs>
          <w:tab w:val="left" w:pos="0"/>
          <w:tab w:val="left" w:pos="567"/>
          <w:tab w:val="left" w:pos="601"/>
        </w:tabs>
        <w:spacing w:line="360" w:lineRule="auto"/>
        <w:jc w:val="center"/>
        <w:rPr>
          <w:rFonts w:ascii="宋体" w:hAnsi="宋体" w:cs="宋体"/>
          <w:b/>
          <w:bCs/>
          <w:sz w:val="44"/>
          <w:szCs w:val="44"/>
        </w:rPr>
      </w:pPr>
      <w:r>
        <w:rPr>
          <w:rFonts w:hint="eastAsia" w:ascii="宋体" w:hAnsi="宋体" w:cs="宋体"/>
          <w:b/>
          <w:bCs/>
          <w:sz w:val="44"/>
          <w:szCs w:val="44"/>
        </w:rPr>
        <w:t>项目名称：XXXXX</w:t>
      </w:r>
    </w:p>
    <w:p>
      <w:pPr>
        <w:pStyle w:val="183"/>
        <w:tabs>
          <w:tab w:val="left" w:pos="0"/>
          <w:tab w:val="left" w:pos="567"/>
          <w:tab w:val="left" w:pos="601"/>
        </w:tabs>
        <w:spacing w:line="360" w:lineRule="auto"/>
        <w:ind w:firstLine="723" w:firstLineChars="200"/>
        <w:jc w:val="both"/>
        <w:rPr>
          <w:rFonts w:ascii="宋体" w:hAnsi="宋体" w:cs="宋体"/>
          <w:b/>
          <w:bCs/>
          <w:sz w:val="36"/>
          <w:szCs w:val="36"/>
        </w:rPr>
      </w:pPr>
    </w:p>
    <w:p>
      <w:pPr>
        <w:pStyle w:val="183"/>
        <w:tabs>
          <w:tab w:val="left" w:pos="0"/>
          <w:tab w:val="left" w:pos="567"/>
          <w:tab w:val="left" w:pos="601"/>
        </w:tabs>
        <w:spacing w:line="360" w:lineRule="auto"/>
        <w:jc w:val="both"/>
        <w:rPr>
          <w:rFonts w:ascii="宋体" w:hAnsi="宋体" w:cs="宋体"/>
          <w:b/>
          <w:bCs/>
          <w:sz w:val="36"/>
          <w:szCs w:val="36"/>
        </w:rPr>
      </w:pPr>
    </w:p>
    <w:p>
      <w:pPr>
        <w:pStyle w:val="183"/>
        <w:tabs>
          <w:tab w:val="left" w:pos="0"/>
          <w:tab w:val="left" w:pos="567"/>
          <w:tab w:val="left" w:pos="601"/>
        </w:tabs>
        <w:spacing w:line="360" w:lineRule="auto"/>
        <w:ind w:firstLine="723" w:firstLineChars="200"/>
        <w:jc w:val="both"/>
        <w:rPr>
          <w:rFonts w:ascii="宋体" w:hAnsi="宋体" w:cs="宋体"/>
          <w:b/>
          <w:bCs/>
          <w:sz w:val="36"/>
          <w:szCs w:val="36"/>
        </w:rPr>
      </w:pPr>
    </w:p>
    <w:p>
      <w:pPr>
        <w:pStyle w:val="183"/>
        <w:tabs>
          <w:tab w:val="left" w:pos="0"/>
          <w:tab w:val="left" w:pos="567"/>
          <w:tab w:val="left" w:pos="601"/>
        </w:tabs>
        <w:spacing w:line="360" w:lineRule="auto"/>
        <w:ind w:firstLine="723" w:firstLineChars="200"/>
        <w:jc w:val="both"/>
        <w:rPr>
          <w:rFonts w:ascii="宋体" w:hAnsi="宋体" w:cs="宋体"/>
          <w:b/>
          <w:bCs/>
          <w:sz w:val="36"/>
          <w:szCs w:val="36"/>
        </w:rPr>
      </w:pPr>
    </w:p>
    <w:p>
      <w:pPr>
        <w:pStyle w:val="183"/>
        <w:tabs>
          <w:tab w:val="left" w:pos="0"/>
          <w:tab w:val="left" w:pos="510"/>
          <w:tab w:val="left" w:pos="567"/>
          <w:tab w:val="left" w:pos="601"/>
        </w:tabs>
        <w:spacing w:line="720" w:lineRule="auto"/>
        <w:ind w:firstLine="1084" w:firstLineChars="300"/>
        <w:rPr>
          <w:rFonts w:ascii="宋体" w:hAnsi="宋体" w:cs="宋体"/>
          <w:b/>
          <w:bCs/>
          <w:sz w:val="36"/>
          <w:szCs w:val="36"/>
          <w:u w:val="single"/>
        </w:rPr>
      </w:pPr>
      <w:r>
        <w:rPr>
          <w:rFonts w:hint="eastAsia" w:ascii="宋体" w:hAnsi="宋体" w:cs="宋体"/>
          <w:b/>
          <w:bCs/>
          <w:sz w:val="36"/>
          <w:szCs w:val="36"/>
        </w:rPr>
        <w:t>合同编号：</w:t>
      </w:r>
      <w:r>
        <w:rPr>
          <w:rFonts w:hint="eastAsia" w:ascii="宋体" w:hAnsi="宋体" w:cs="宋体"/>
          <w:b/>
          <w:bCs/>
          <w:sz w:val="36"/>
          <w:szCs w:val="36"/>
          <w:u w:val="single"/>
        </w:rPr>
        <w:t xml:space="preserve">                         </w:t>
      </w:r>
    </w:p>
    <w:p>
      <w:pPr>
        <w:pStyle w:val="183"/>
        <w:tabs>
          <w:tab w:val="left" w:pos="0"/>
          <w:tab w:val="left" w:pos="510"/>
          <w:tab w:val="left" w:pos="567"/>
          <w:tab w:val="left" w:pos="601"/>
        </w:tabs>
        <w:spacing w:line="720" w:lineRule="auto"/>
        <w:ind w:firstLine="1084" w:firstLineChars="300"/>
        <w:rPr>
          <w:rFonts w:ascii="宋体" w:hAnsi="宋体" w:cs="宋体"/>
          <w:b/>
          <w:bCs/>
          <w:sz w:val="36"/>
          <w:szCs w:val="36"/>
        </w:rPr>
      </w:pPr>
      <w:r>
        <w:rPr>
          <w:rFonts w:hint="eastAsia" w:ascii="宋体" w:hAnsi="宋体" w:cs="宋体"/>
          <w:b/>
          <w:bCs/>
          <w:sz w:val="36"/>
          <w:szCs w:val="36"/>
        </w:rPr>
        <w:t>甲    方：</w:t>
      </w:r>
      <w:r>
        <w:rPr>
          <w:rFonts w:hint="eastAsia" w:ascii="宋体" w:hAnsi="宋体" w:cs="宋体"/>
          <w:b/>
          <w:bCs/>
          <w:sz w:val="36"/>
          <w:szCs w:val="36"/>
          <w:u w:val="single"/>
        </w:rPr>
        <w:t>北京市城市运行管理事务中心</w:t>
      </w:r>
      <w:r>
        <w:rPr>
          <w:rFonts w:hint="eastAsia" w:ascii="宋体" w:hAnsi="宋体" w:cs="宋体"/>
          <w:b/>
          <w:bCs/>
          <w:sz w:val="36"/>
          <w:szCs w:val="36"/>
        </w:rPr>
        <w:t xml:space="preserve">  </w:t>
      </w:r>
    </w:p>
    <w:p>
      <w:pPr>
        <w:spacing w:line="360" w:lineRule="auto"/>
        <w:ind w:firstLine="723" w:firstLineChars="200"/>
        <w:rPr>
          <w:rFonts w:asciiTheme="minorEastAsia" w:hAnsiTheme="minorEastAsia" w:eastAsiaTheme="minorEastAsia" w:cstheme="minorEastAsia"/>
          <w:sz w:val="24"/>
        </w:rPr>
      </w:pPr>
      <w:r>
        <w:rPr>
          <w:rFonts w:hint="eastAsia" w:ascii="宋体" w:hAnsi="宋体" w:cs="宋体"/>
          <w:b/>
          <w:bCs/>
          <w:sz w:val="36"/>
          <w:szCs w:val="36"/>
        </w:rPr>
        <w:t>乙    方：</w:t>
      </w:r>
      <w:r>
        <w:rPr>
          <w:rFonts w:hint="eastAsia" w:ascii="宋体" w:hAnsi="宋体" w:cs="宋体"/>
          <w:b/>
          <w:bCs/>
          <w:sz w:val="36"/>
          <w:szCs w:val="36"/>
          <w:u w:val="single"/>
        </w:rPr>
        <w:t xml:space="preserve">                          </w:t>
      </w:r>
      <w:r>
        <w:rPr>
          <w:rFonts w:hint="eastAsia" w:asciiTheme="minorEastAsia" w:hAnsiTheme="minorEastAsia" w:eastAsiaTheme="minorEastAsia" w:cstheme="minorEastAsia"/>
        </w:rPr>
        <w:br w:type="page"/>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sz w:val="24"/>
        </w:rPr>
        <w:t>根据《中华人民共和国民法典》及其它相关法律法规的有关规定，甲乙双方为明确彼此的权利和义务，经协商一致，共同签订本合同。</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下列文件构成本合同的组成部分，应该认为是一个整体，彼此相互解释，相互补充。为便于解释，组成合同的多个文件的优先支配地位的次序如下：</w:t>
      </w:r>
    </w:p>
    <w:p>
      <w:pPr>
        <w:spacing w:line="360" w:lineRule="auto"/>
        <w:ind w:firstLine="480" w:firstLineChars="200"/>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rPr>
        <w:t>1.甲乙双方签订的补充协议（如有）</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2.本合同书</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3.中标通知书</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4.投标文件(含澄清文件)</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5.招标文件(含招标文件补充通知)</w:t>
      </w:r>
    </w:p>
    <w:p>
      <w:pPr>
        <w:tabs>
          <w:tab w:val="left" w:pos="1440"/>
        </w:tabs>
        <w:spacing w:line="360" w:lineRule="auto"/>
        <w:ind w:left="4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第一部分、项目名称及维护内容</w:t>
      </w:r>
    </w:p>
    <w:p>
      <w:pPr>
        <w:tabs>
          <w:tab w:val="left" w:pos="1440"/>
        </w:tabs>
        <w:spacing w:line="360" w:lineRule="auto"/>
        <w:ind w:left="4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第一条 </w:t>
      </w:r>
      <w:r>
        <w:rPr>
          <w:rFonts w:hint="eastAsia" w:asciiTheme="minorEastAsia" w:hAnsiTheme="minorEastAsia" w:eastAsiaTheme="minorEastAsia" w:cstheme="minorEastAsia"/>
          <w:sz w:val="24"/>
        </w:rPr>
        <w:t>项目名称：2026年网络安全技术维护</w:t>
      </w:r>
    </w:p>
    <w:p>
      <w:pPr>
        <w:tabs>
          <w:tab w:val="left" w:pos="1440"/>
        </w:tabs>
        <w:spacing w:line="360" w:lineRule="auto"/>
        <w:ind w:left="400"/>
        <w:rPr>
          <w:rFonts w:asciiTheme="minorEastAsia" w:hAnsiTheme="minorEastAsia" w:eastAsiaTheme="minorEastAsia" w:cstheme="minorEastAsia"/>
          <w:sz w:val="24"/>
        </w:rPr>
      </w:pPr>
      <w:r>
        <w:rPr>
          <w:rFonts w:hint="eastAsia" w:asciiTheme="minorEastAsia" w:hAnsiTheme="minorEastAsia" w:eastAsiaTheme="minorEastAsia" w:cstheme="minorEastAsia"/>
          <w:b/>
          <w:sz w:val="24"/>
        </w:rPr>
        <w:t xml:space="preserve">第二条 </w:t>
      </w:r>
      <w:r>
        <w:rPr>
          <w:rFonts w:hint="eastAsia" w:asciiTheme="minorEastAsia" w:hAnsiTheme="minorEastAsia" w:eastAsiaTheme="minorEastAsia" w:cstheme="minorEastAsia"/>
          <w:sz w:val="24"/>
        </w:rPr>
        <w:t>维护内容、方式及标准（可含附件、明细表，具体见采购需求）</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1.安全维护对象</w:t>
      </w:r>
    </w:p>
    <w:p>
      <w:pPr>
        <w:spacing w:line="360" w:lineRule="auto"/>
        <w:ind w:firstLine="480" w:firstLineChars="200"/>
        <w:rPr>
          <w:rFonts w:asciiTheme="minorEastAsia" w:hAnsiTheme="minorEastAsia" w:eastAsiaTheme="minorEastAsia" w:cstheme="minorEastAsia"/>
          <w:bCs/>
          <w:sz w:val="24"/>
          <w:szCs w:val="20"/>
        </w:rPr>
      </w:pPr>
      <w:r>
        <w:rPr>
          <w:rFonts w:hint="eastAsia" w:asciiTheme="minorEastAsia" w:hAnsiTheme="minorEastAsia" w:eastAsiaTheme="minorEastAsia" w:cstheme="minorEastAsia"/>
          <w:bCs/>
          <w:sz w:val="24"/>
          <w:szCs w:val="20"/>
        </w:rPr>
        <w:t>（1）网络环境：包括市城市管理委办公区机房及甲方指定地点。</w:t>
      </w:r>
    </w:p>
    <w:p>
      <w:pPr>
        <w:spacing w:line="360" w:lineRule="auto"/>
        <w:ind w:firstLine="480" w:firstLineChars="200"/>
        <w:rPr>
          <w:rFonts w:asciiTheme="minorEastAsia" w:hAnsiTheme="minorEastAsia" w:eastAsiaTheme="minorEastAsia" w:cstheme="minorEastAsia"/>
          <w:bCs/>
          <w:sz w:val="24"/>
          <w:szCs w:val="20"/>
          <w:highlight w:val="none"/>
        </w:rPr>
      </w:pPr>
      <w:r>
        <w:rPr>
          <w:rFonts w:hint="eastAsia" w:asciiTheme="minorEastAsia" w:hAnsiTheme="minorEastAsia" w:eastAsiaTheme="minorEastAsia" w:cstheme="minorEastAsia"/>
          <w:bCs/>
          <w:sz w:val="24"/>
          <w:szCs w:val="20"/>
        </w:rPr>
        <w:t>（2）设备：</w:t>
      </w:r>
      <w:r>
        <w:rPr>
          <w:rFonts w:hint="eastAsia" w:asciiTheme="minorEastAsia" w:hAnsiTheme="minorEastAsia" w:eastAsiaTheme="minorEastAsia" w:cstheme="minorEastAsia"/>
          <w:bCs/>
          <w:sz w:val="24"/>
          <w:szCs w:val="20"/>
          <w:highlight w:val="none"/>
        </w:rPr>
        <w:t>本地</w:t>
      </w:r>
      <w:r>
        <w:rPr>
          <w:rFonts w:hint="eastAsia" w:asciiTheme="minorEastAsia" w:hAnsiTheme="minorEastAsia" w:eastAsiaTheme="minorEastAsia" w:cstheme="minorEastAsia"/>
          <w:bCs/>
          <w:sz w:val="24"/>
          <w:szCs w:val="20"/>
          <w:highlight w:val="none"/>
          <w:lang w:val="en-US" w:eastAsia="zh-CN"/>
        </w:rPr>
        <w:t>机房网络安全设备</w:t>
      </w:r>
      <w:r>
        <w:rPr>
          <w:rFonts w:hint="eastAsia" w:asciiTheme="minorEastAsia" w:hAnsiTheme="minorEastAsia" w:eastAsiaTheme="minorEastAsia" w:cstheme="minorEastAsia"/>
          <w:bCs/>
          <w:sz w:val="24"/>
          <w:szCs w:val="20"/>
          <w:highlight w:val="none"/>
        </w:rPr>
        <w:t>。</w:t>
      </w:r>
    </w:p>
    <w:p>
      <w:pPr>
        <w:spacing w:line="360" w:lineRule="auto"/>
        <w:ind w:firstLine="480" w:firstLineChars="200"/>
        <w:rPr>
          <w:rFonts w:asciiTheme="minorEastAsia" w:hAnsiTheme="minorEastAsia" w:eastAsiaTheme="minorEastAsia" w:cstheme="minorEastAsia"/>
          <w:bCs/>
          <w:sz w:val="24"/>
          <w:szCs w:val="20"/>
        </w:rPr>
      </w:pPr>
      <w:r>
        <w:rPr>
          <w:rFonts w:hint="eastAsia" w:asciiTheme="minorEastAsia" w:hAnsiTheme="minorEastAsia" w:eastAsiaTheme="minorEastAsia" w:cstheme="minorEastAsia"/>
          <w:bCs/>
          <w:sz w:val="24"/>
          <w:szCs w:val="20"/>
        </w:rPr>
        <w:t>（3）信息系统：现有业务信息系统。</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2.维护内容、方式及标准</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（1）信息系统在线监控</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维护内容：乙方应为市城市管理委所属信息系统提供7×24小时在线监测服务，发现异常时立即通过短信、电话等方式及时进行预警通报，每月对监控情况进行汇总分析，并提交《网站监控月度报告》。</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维护频率：7天×24小时×365天。</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提交成果：《网站监控月度报告》（每月一次）。</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（2）渗透测试</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在不影响业务正常开展的前提下，对指定信息系统采用“灰盒测试”的方式，深度评估信息系统安全性，全面挖掘安全漏洞，帮助市城市管理委发现信息系统存在的安全隐患，及时采取必要的防护措施，避免安全事件的发生，并提出安全整改建议。</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维护频率：4次/年。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提交成果：《渗透测试报告》、《渗透测试复测报告》。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（3）系统脆弱性检查</w:t>
      </w:r>
    </w:p>
    <w:p>
      <w:pPr>
        <w:spacing w:line="360" w:lineRule="auto"/>
        <w:ind w:firstLine="480" w:firstLineChars="200"/>
      </w:pPr>
      <w:r>
        <w:rPr>
          <w:rFonts w:hint="eastAsia" w:asciiTheme="minorEastAsia" w:hAnsiTheme="minorEastAsia" w:eastAsiaTheme="minorEastAsia" w:cstheme="minorEastAsia"/>
          <w:sz w:val="24"/>
          <w:szCs w:val="20"/>
        </w:rPr>
        <w:t>维护内容：</w:t>
      </w:r>
      <w:r>
        <w:rPr>
          <w:rFonts w:hint="eastAsia" w:ascii="宋体" w:hAnsi="宋体" w:cs="宋体"/>
          <w:sz w:val="24"/>
        </w:rPr>
        <w:t>乙方须对甲方信息系统服务器操作系统、数据库、中间件、网络及安全设备等进行全面安全扫描，发现潜在脆弱点，识别技术漏洞及错误配置，为安全加固提供依据。扫描结果需提供分级漏洞清单及可落地的修复建议。使用的扫描工具必须使用正版商业工具且支持国产环境及国产操作系统、国产数据库、国产中间件等国产软件。</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维护频率：2次/年。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提交成果：《脆弱性检查报告》、《脆弱性检查复测报告》。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（4）源代码检测</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w:t>
      </w:r>
      <w:r>
        <w:rPr>
          <w:rFonts w:ascii="Inter" w:hAnsi="Inter" w:eastAsia="Inter" w:cs="Inter"/>
          <w:color w:val="0F1115"/>
          <w:sz w:val="24"/>
          <w:shd w:val="clear" w:color="auto" w:fill="FFFFFF"/>
        </w:rPr>
        <w:t>通过</w:t>
      </w:r>
      <w:r>
        <w:rPr>
          <w:rFonts w:asciiTheme="minorEastAsia" w:hAnsiTheme="minorEastAsia" w:eastAsiaTheme="minorEastAsia" w:cstheme="minorEastAsia"/>
          <w:sz w:val="24"/>
          <w:szCs w:val="20"/>
        </w:rPr>
        <w:t>人工代码审计与自动化扫描工具相结</w:t>
      </w:r>
      <w:r>
        <w:rPr>
          <w:rFonts w:ascii="Inter" w:hAnsi="Inter" w:eastAsia="Inter" w:cs="Inter"/>
          <w:color w:val="0F1115"/>
          <w:sz w:val="24"/>
          <w:shd w:val="clear" w:color="auto" w:fill="FFFFFF"/>
        </w:rPr>
        <w:t>合的方式</w:t>
      </w:r>
      <w:r>
        <w:rPr>
          <w:rFonts w:hint="eastAsia" w:asciiTheme="minorEastAsia" w:hAnsiTheme="minorEastAsia" w:eastAsiaTheme="minorEastAsia" w:cstheme="minorEastAsia"/>
          <w:sz w:val="24"/>
          <w:szCs w:val="20"/>
        </w:rPr>
        <w:t>对甲方信息系统的源代码进行审计检测，以发现安全漏洞及编码缺陷，分析安全风险，提出代码整改修复建议，提升信息系统的安全稳定性。</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维护频率：按需提供（不少于4次）。</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提交成果：《源代码检测报告》。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（5）数据安全治理</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维护内容：乙方须依据 《信息安全技术 数据安全能力成熟度模型》（GB/T 37988-2019），采用文档查阅与人员访谈相结合的方式，从数据生存周期和通用安全过程两个维度，评估甲方管理与技术层面的数据安全风险，发现业务应用及支撑环境存在的安全隐患，并提供数据安全管理与技术手段的综合解决方案。</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维护频率：1次/年。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提交成果：《数据安全风险评估报告》。</w:t>
      </w:r>
    </w:p>
    <w:p>
      <w:pPr>
        <w:spacing w:line="360" w:lineRule="auto"/>
        <w:ind w:firstLine="482" w:firstLineChars="200"/>
        <w:rPr>
          <w:rFonts w:asciiTheme="minorEastAsia" w:hAnsiTheme="minorEastAsia" w:eastAsiaTheme="minorEastAsia" w:cstheme="minorEastAsia"/>
          <w:b/>
          <w:bCs/>
          <w:sz w:val="24"/>
          <w:szCs w:val="20"/>
        </w:rPr>
      </w:pPr>
      <w:r>
        <w:rPr>
          <w:rFonts w:hint="eastAsia" w:asciiTheme="minorEastAsia" w:hAnsiTheme="minorEastAsia" w:eastAsiaTheme="minorEastAsia" w:cstheme="minorEastAsia"/>
          <w:b/>
          <w:bCs/>
          <w:sz w:val="24"/>
          <w:szCs w:val="20"/>
        </w:rPr>
        <w:t>（6）等保与密评技术支持</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应基于国家信息系统安全等级保护和商用密码应用安全性评估基本要求，协助甲方开展系统安全评估。在测评机构进行现场测评（含初次测评和复测）时，乙方须派员全程配合完成相关工作。测评结束后，依据等保与密码测评报告整改要求，协助甲方完成漏洞诊断、排查与整改，并形成漏洞处理报告等技术文档。</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维护频率：1次/年。</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（7）安全应急响应</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维护内容：乙方须依据应急预案，对发生的安全事件快速响应。根据事件等级，第一时间采用现场或远程方式进行应急处置，最大限度降低安全事件带来的危害，抑制事件影响扩散，帮助甲方将损失降至最低。</w:t>
      </w:r>
    </w:p>
    <w:tbl>
      <w:tblPr>
        <w:tblStyle w:val="5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rPr>
                <w:rFonts w:eastAsiaTheme="minorEastAsia"/>
              </w:rPr>
            </w:pPr>
            <w:r>
              <w:rPr>
                <w:rFonts w:hint="eastAsia"/>
              </w:rPr>
              <w:t>事件等级</w:t>
            </w:r>
          </w:p>
        </w:tc>
        <w:tc>
          <w:tcPr>
            <w:tcW w:w="2841" w:type="dxa"/>
          </w:tcPr>
          <w:p>
            <w:pPr>
              <w:pStyle w:val="2"/>
              <w:rPr>
                <w:rFonts w:eastAsiaTheme="minorEastAsia"/>
              </w:rPr>
            </w:pPr>
            <w:r>
              <w:rPr>
                <w:rFonts w:hint="eastAsia"/>
              </w:rPr>
              <w:t>响应方式</w:t>
            </w:r>
          </w:p>
        </w:tc>
        <w:tc>
          <w:tcPr>
            <w:tcW w:w="2841" w:type="dxa"/>
          </w:tcPr>
          <w:p>
            <w:pPr>
              <w:pStyle w:val="2"/>
              <w:rPr>
                <w:rFonts w:eastAsiaTheme="minorEastAsia"/>
              </w:rPr>
            </w:pPr>
            <w:r>
              <w:rPr>
                <w:rFonts w:hint="eastAsia"/>
              </w:rPr>
              <w:t>处置要求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rPr>
                <w:rFonts w:eastAsiaTheme="minorEastAsia"/>
              </w:rPr>
            </w:pPr>
            <w:r>
              <w:rPr>
                <w:rFonts w:hint="eastAsia"/>
              </w:rPr>
              <w:t>重大事件（如系统主页篡改、大规模数据泄露、核心系统瘫痪）</w:t>
            </w:r>
          </w:p>
        </w:tc>
        <w:tc>
          <w:tcPr>
            <w:tcW w:w="2841" w:type="dxa"/>
          </w:tcPr>
          <w:p>
            <w:pPr>
              <w:pStyle w:val="2"/>
              <w:rPr>
                <w:rFonts w:eastAsiaTheme="minorEastAsia"/>
              </w:rPr>
            </w:pPr>
            <w:r>
              <w:rPr>
                <w:rFonts w:hint="eastAsia"/>
              </w:rPr>
              <w:t>立即现场响应</w:t>
            </w:r>
          </w:p>
        </w:tc>
        <w:tc>
          <w:tcPr>
            <w:tcW w:w="2841" w:type="dxa"/>
          </w:tcPr>
          <w:p>
            <w:pPr>
              <w:pStyle w:val="2"/>
              <w:ind w:firstLine="0"/>
            </w:pPr>
            <w:r>
              <w:rPr>
                <w:rFonts w:hint="eastAsia"/>
              </w:rPr>
              <w:t>主要领导牵头，成立应急小组，30分钟内启动处置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rPr>
                <w:rFonts w:eastAsiaTheme="minorEastAsia"/>
              </w:rPr>
            </w:pPr>
            <w:r>
              <w:rPr>
                <w:rFonts w:hint="eastAsia"/>
              </w:rPr>
              <w:t>较大事件（部分系统受损、发现恶意代码上穿成功）</w:t>
            </w:r>
          </w:p>
        </w:tc>
        <w:tc>
          <w:tcPr>
            <w:tcW w:w="2841" w:type="dxa"/>
          </w:tcPr>
          <w:p>
            <w:pPr>
              <w:pStyle w:val="2"/>
            </w:pPr>
            <w:r>
              <w:rPr>
                <w:rFonts w:hint="eastAsia"/>
              </w:rPr>
              <w:t>优先现场响应</w:t>
            </w:r>
          </w:p>
        </w:tc>
        <w:tc>
          <w:tcPr>
            <w:tcW w:w="2841" w:type="dxa"/>
          </w:tcPr>
          <w:p>
            <w:pPr>
              <w:pStyle w:val="2"/>
              <w:ind w:firstLine="0"/>
            </w:pPr>
            <w:r>
              <w:rPr>
                <w:rFonts w:hint="eastAsia"/>
              </w:rPr>
              <w:t>指定技术负责人，1小时内启动处置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rPr>
                <w:rFonts w:eastAsiaTheme="minorEastAsia"/>
              </w:rPr>
            </w:pPr>
            <w:r>
              <w:rPr>
                <w:rFonts w:hint="eastAsia"/>
              </w:rPr>
              <w:t>一般事件（设备单点故障、非核心系统异常）</w:t>
            </w:r>
          </w:p>
        </w:tc>
        <w:tc>
          <w:tcPr>
            <w:tcW w:w="2841" w:type="dxa"/>
          </w:tcPr>
          <w:p>
            <w:pPr>
              <w:pStyle w:val="2"/>
            </w:pPr>
            <w:r>
              <w:rPr>
                <w:rFonts w:hint="eastAsia"/>
              </w:rPr>
              <w:t>远程或现场</w:t>
            </w:r>
          </w:p>
        </w:tc>
        <w:tc>
          <w:tcPr>
            <w:tcW w:w="2841" w:type="dxa"/>
          </w:tcPr>
          <w:p>
            <w:pPr>
              <w:pStyle w:val="2"/>
              <w:ind w:firstLine="0"/>
            </w:pPr>
            <w:r>
              <w:rPr>
                <w:rFonts w:hint="eastAsia"/>
              </w:rPr>
              <w:t>远程优先，必要时现场支持，2小时内启动处置</w:t>
            </w:r>
          </w:p>
        </w:tc>
      </w:tr>
    </w:tbl>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维护频率：7天×24小时应急响应。</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提交成果：《应急响应维护记录单》。</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（8）内部应急演练</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须根据甲方实际业务场景，定制化设计演练场景和演练目的，基于现有应急处置体系组织开展应急演练工作。工作内容包括：制订应急演练方案、准备演练环境、模拟网络攻击、实施应急响应（预警与评估、预案启动、应急处置）、撰写演练总结报告、优化应急预案、完善应急处置体系。演练结束后，须对演练过程进行分析与回顾，协助开展演练审核，确定改进目标和具体工作内容。</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维护频率：2次/年。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提交成果：《应急演练方案》、《应急演练情况总结报告》。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（9）特殊时期值守保障</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须根据甲方需求，在重大活动及节假日等特殊时期，派出专业技术人员提供现场24小时不间断值守维护，保障特殊时期网络与信息系统的安全稳定运行。值守人员须具备安全监测、分析研判、应急处置等综合能力，每班次不少于1人。</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提交成果：《特殊时期值守方案》。</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（10）驻场安全运维</w:t>
      </w:r>
    </w:p>
    <w:p>
      <w:pPr>
        <w:spacing w:line="360" w:lineRule="auto"/>
        <w:ind w:firstLine="480" w:firstLineChars="200"/>
        <w:rPr>
          <w:rFonts w:hint="eastAsia" w:asciiTheme="minorEastAsia" w:hAnsiTheme="minorEastAsia" w:eastAsiaTheme="minorEastAsia" w:cstheme="minorEastAsia"/>
          <w:sz w:val="24"/>
          <w:szCs w:val="20"/>
          <w:lang w:eastAsia="zh-CN"/>
        </w:rPr>
      </w:pPr>
      <w:r>
        <w:rPr>
          <w:rFonts w:hint="eastAsia" w:asciiTheme="minorEastAsia" w:hAnsiTheme="minorEastAsia" w:eastAsiaTheme="minorEastAsia" w:cstheme="minorEastAsia"/>
          <w:sz w:val="24"/>
          <w:szCs w:val="20"/>
        </w:rPr>
        <w:t>维护内容：</w:t>
      </w:r>
      <w:r>
        <w:rPr>
          <w:rFonts w:hint="eastAsia" w:asciiTheme="minorEastAsia" w:hAnsiTheme="minorEastAsia" w:eastAsiaTheme="minorEastAsia" w:cstheme="minorEastAsia"/>
          <w:sz w:val="24"/>
          <w:szCs w:val="20"/>
          <w:lang w:val="en-US" w:eastAsia="zh-CN"/>
        </w:rPr>
        <w:t>乙方</w:t>
      </w:r>
      <w:r>
        <w:rPr>
          <w:rFonts w:hint="eastAsia" w:asciiTheme="minorEastAsia" w:hAnsiTheme="minorEastAsia" w:eastAsiaTheme="minorEastAsia" w:cstheme="minorEastAsia"/>
          <w:sz w:val="24"/>
          <w:szCs w:val="20"/>
        </w:rPr>
        <w:t>派驻1名安全运维人员提供驻场安全运维。主要负责</w:t>
      </w:r>
      <w:r>
        <w:rPr>
          <w:rFonts w:hint="eastAsia" w:asciiTheme="minorEastAsia" w:hAnsiTheme="minorEastAsia" w:eastAsiaTheme="minorEastAsia" w:cstheme="minorEastAsia"/>
          <w:sz w:val="24"/>
          <w:szCs w:val="20"/>
          <w:lang w:val="en-US" w:eastAsia="zh-CN"/>
        </w:rPr>
        <w:t>甲方</w:t>
      </w:r>
      <w:r>
        <w:rPr>
          <w:rFonts w:hint="eastAsia" w:asciiTheme="minorEastAsia" w:hAnsiTheme="minorEastAsia" w:eastAsiaTheme="minorEastAsia" w:cstheme="minorEastAsia"/>
          <w:sz w:val="24"/>
          <w:szCs w:val="20"/>
        </w:rPr>
        <w:t>终端安全管理、信息系统安全监测、现场安全事件处置、权限复核与操作审计、运维工具安全检查、配合安全检查及攻防演练、文档维护及安全知识分享</w:t>
      </w:r>
      <w:r>
        <w:rPr>
          <w:rFonts w:hint="eastAsia" w:asciiTheme="minorEastAsia" w:hAnsiTheme="minorEastAsia" w:eastAsiaTheme="minorEastAsia" w:cstheme="minorEastAsia"/>
          <w:sz w:val="24"/>
          <w:szCs w:val="20"/>
          <w:lang w:eastAsia="zh-CN"/>
        </w:rPr>
        <w:t>；</w:t>
      </w:r>
      <w:r>
        <w:rPr>
          <w:rFonts w:hint="eastAsia" w:asciiTheme="minorEastAsia" w:hAnsiTheme="minorEastAsia" w:eastAsiaTheme="minorEastAsia" w:cstheme="minorEastAsia"/>
          <w:sz w:val="24"/>
          <w:szCs w:val="20"/>
          <w:lang w:val="en-US" w:eastAsia="zh-CN"/>
        </w:rPr>
        <w:t>负责</w:t>
      </w:r>
      <w:r>
        <w:rPr>
          <w:rFonts w:hint="eastAsia" w:asciiTheme="minorEastAsia" w:hAnsiTheme="minorEastAsia" w:eastAsiaTheme="minorEastAsia" w:cstheme="minorEastAsia"/>
          <w:sz w:val="24"/>
          <w:szCs w:val="20"/>
        </w:rPr>
        <w:t>安全设备</w:t>
      </w:r>
      <w:r>
        <w:rPr>
          <w:rFonts w:hint="eastAsia" w:asciiTheme="minorEastAsia" w:hAnsiTheme="minorEastAsia" w:eastAsiaTheme="minorEastAsia" w:cstheme="minorEastAsia"/>
          <w:sz w:val="24"/>
          <w:szCs w:val="20"/>
          <w:lang w:val="en-US" w:eastAsia="zh-CN"/>
        </w:rPr>
        <w:t>的</w:t>
      </w:r>
      <w:r>
        <w:rPr>
          <w:rFonts w:hint="eastAsia" w:asciiTheme="minorEastAsia" w:hAnsiTheme="minorEastAsia" w:eastAsiaTheme="minorEastAsia" w:cstheme="minorEastAsia"/>
          <w:sz w:val="24"/>
          <w:szCs w:val="20"/>
        </w:rPr>
        <w:t>故障处置与升级、包含设备特征库的升级维护，在发生意外事件时，</w:t>
      </w:r>
      <w:r>
        <w:rPr>
          <w:rFonts w:hint="eastAsia" w:asciiTheme="minorEastAsia" w:hAnsiTheme="minorEastAsia" w:eastAsiaTheme="minorEastAsia" w:cstheme="minorEastAsia"/>
          <w:sz w:val="24"/>
          <w:szCs w:val="20"/>
          <w:lang w:val="en-US" w:eastAsia="zh-CN"/>
        </w:rPr>
        <w:t>能够</w:t>
      </w:r>
      <w:r>
        <w:rPr>
          <w:rFonts w:hint="eastAsia" w:asciiTheme="minorEastAsia" w:hAnsiTheme="minorEastAsia" w:eastAsiaTheme="minorEastAsia" w:cstheme="minorEastAsia"/>
          <w:sz w:val="24"/>
          <w:szCs w:val="20"/>
        </w:rPr>
        <w:t>及时</w:t>
      </w:r>
      <w:r>
        <w:rPr>
          <w:rFonts w:hint="eastAsia" w:asciiTheme="minorEastAsia" w:hAnsiTheme="minorEastAsia" w:eastAsiaTheme="minorEastAsia" w:cstheme="minorEastAsia"/>
          <w:sz w:val="24"/>
          <w:szCs w:val="20"/>
          <w:lang w:val="en-US" w:eastAsia="zh-CN"/>
        </w:rPr>
        <w:t>提供备用产品进行</w:t>
      </w:r>
      <w:r>
        <w:rPr>
          <w:rFonts w:hint="eastAsia" w:asciiTheme="minorEastAsia" w:hAnsiTheme="minorEastAsia" w:eastAsiaTheme="minorEastAsia" w:cstheme="minorEastAsia"/>
          <w:sz w:val="24"/>
          <w:szCs w:val="20"/>
        </w:rPr>
        <w:t>替换，以尽快恢复网络正常运行。驻场工作时间与采购人工作时间一致。驻场工作时间外，</w:t>
      </w:r>
      <w:r>
        <w:rPr>
          <w:rFonts w:hint="eastAsia" w:asciiTheme="minorEastAsia" w:hAnsiTheme="minorEastAsia" w:eastAsiaTheme="minorEastAsia" w:cstheme="minorEastAsia"/>
          <w:sz w:val="24"/>
          <w:szCs w:val="20"/>
          <w:lang w:val="en-US" w:eastAsia="zh-CN"/>
        </w:rPr>
        <w:t>乙方</w:t>
      </w:r>
      <w:r>
        <w:rPr>
          <w:rFonts w:hint="eastAsia" w:asciiTheme="minorEastAsia" w:hAnsiTheme="minorEastAsia" w:eastAsiaTheme="minorEastAsia" w:cstheme="minorEastAsia"/>
          <w:sz w:val="24"/>
          <w:szCs w:val="20"/>
        </w:rPr>
        <w:t>提供远程安全监测，发现安全问题或安全隐患及时通知</w:t>
      </w:r>
      <w:r>
        <w:rPr>
          <w:rFonts w:hint="eastAsia" w:asciiTheme="minorEastAsia" w:hAnsiTheme="minorEastAsia" w:eastAsiaTheme="minorEastAsia" w:cstheme="minorEastAsia"/>
          <w:sz w:val="24"/>
          <w:szCs w:val="20"/>
          <w:lang w:val="en-US" w:eastAsia="zh-CN"/>
        </w:rPr>
        <w:t>甲方</w:t>
      </w:r>
      <w:r>
        <w:rPr>
          <w:rFonts w:hint="eastAsia" w:asciiTheme="minorEastAsia" w:hAnsiTheme="minorEastAsia" w:eastAsiaTheme="minorEastAsia" w:cstheme="minorEastAsia"/>
          <w:sz w:val="24"/>
          <w:szCs w:val="20"/>
          <w:lang w:eastAsia="zh-CN"/>
        </w:rPr>
        <w:t>。</w:t>
      </w:r>
    </w:p>
    <w:p>
      <w:pPr>
        <w:spacing w:line="360" w:lineRule="auto"/>
        <w:ind w:left="1679" w:leftChars="228" w:hanging="1200" w:hangingChars="500"/>
        <w:rPr>
          <w:rFonts w:hint="eastAsia" w:asciiTheme="minorEastAsia" w:hAnsiTheme="minorEastAsia" w:eastAsiaTheme="minorEastAsia" w:cstheme="minorEastAsia"/>
          <w:b w:val="0"/>
          <w:bCs/>
          <w:sz w:val="24"/>
          <w:szCs w:val="20"/>
          <w:lang w:eastAsia="zh-CN"/>
        </w:rPr>
      </w:pPr>
      <w:r>
        <w:rPr>
          <w:rFonts w:hint="eastAsia" w:asciiTheme="minorEastAsia" w:hAnsiTheme="minorEastAsia" w:eastAsiaTheme="minorEastAsia" w:cstheme="minorEastAsia"/>
          <w:b w:val="0"/>
          <w:bCs/>
          <w:sz w:val="24"/>
          <w:szCs w:val="20"/>
        </w:rPr>
        <w:t>维护频率：</w:t>
      </w:r>
      <w:r>
        <w:rPr>
          <w:rFonts w:hint="eastAsia" w:asciiTheme="minorEastAsia" w:hAnsiTheme="minorEastAsia" w:eastAsiaTheme="minorEastAsia" w:cstheme="minorEastAsia"/>
          <w:b w:val="0"/>
          <w:bCs/>
          <w:sz w:val="24"/>
          <w:szCs w:val="20"/>
          <w:lang w:val="en-US" w:eastAsia="zh-CN"/>
        </w:rPr>
        <w:t>驻场安全运维</w:t>
      </w:r>
      <w:r>
        <w:rPr>
          <w:rFonts w:hint="eastAsia" w:asciiTheme="minorEastAsia" w:hAnsiTheme="minorEastAsia" w:eastAsiaTheme="minorEastAsia" w:cstheme="minorEastAsia"/>
          <w:b w:val="0"/>
          <w:bCs/>
          <w:sz w:val="24"/>
          <w:szCs w:val="20"/>
        </w:rPr>
        <w:t>5天×8小时现场值守，其他时间远程值守监测</w:t>
      </w:r>
      <w:r>
        <w:rPr>
          <w:rFonts w:hint="eastAsia" w:asciiTheme="minorEastAsia" w:hAnsiTheme="minorEastAsia" w:eastAsiaTheme="minorEastAsia" w:cstheme="minorEastAsia"/>
          <w:b w:val="0"/>
          <w:bCs/>
          <w:sz w:val="24"/>
          <w:szCs w:val="20"/>
          <w:lang w:eastAsia="zh-CN"/>
        </w:rPr>
        <w:t>；</w:t>
      </w:r>
    </w:p>
    <w:p>
      <w:pPr>
        <w:spacing w:line="360" w:lineRule="auto"/>
        <w:ind w:left="1676" w:leftChars="798" w:firstLine="0" w:firstLineChars="0"/>
        <w:rPr>
          <w:rFonts w:asciiTheme="minorEastAsia" w:hAnsiTheme="minorEastAsia" w:eastAsiaTheme="minorEastAsia" w:cstheme="minorEastAsia"/>
          <w:b/>
          <w:bCs w:val="0"/>
          <w:sz w:val="24"/>
          <w:szCs w:val="20"/>
        </w:rPr>
      </w:pPr>
      <w:r>
        <w:rPr>
          <w:rFonts w:hint="eastAsia" w:asciiTheme="minorEastAsia" w:hAnsiTheme="minorEastAsia" w:eastAsiaTheme="minorEastAsia" w:cstheme="minorEastAsia"/>
          <w:sz w:val="24"/>
          <w:szCs w:val="20"/>
        </w:rPr>
        <w:t>安全设备</w:t>
      </w:r>
      <w:r>
        <w:rPr>
          <w:rFonts w:hint="eastAsia" w:asciiTheme="minorEastAsia" w:hAnsiTheme="minorEastAsia" w:eastAsiaTheme="minorEastAsia" w:cstheme="minorEastAsia"/>
          <w:b w:val="0"/>
          <w:bCs/>
          <w:sz w:val="24"/>
          <w:szCs w:val="20"/>
        </w:rPr>
        <w:t>维护频率</w:t>
      </w:r>
      <w:r>
        <w:rPr>
          <w:rFonts w:hint="eastAsia" w:asciiTheme="minorEastAsia" w:hAnsiTheme="minorEastAsia" w:eastAsiaTheme="minorEastAsia" w:cstheme="minorEastAsia"/>
          <w:b w:val="0"/>
          <w:bCs/>
          <w:sz w:val="24"/>
          <w:szCs w:val="20"/>
          <w:lang w:eastAsia="zh-CN"/>
        </w:rPr>
        <w:t>，</w:t>
      </w:r>
      <w:r>
        <w:rPr>
          <w:rFonts w:hint="eastAsia" w:asciiTheme="minorEastAsia" w:hAnsiTheme="minorEastAsia" w:eastAsiaTheme="minorEastAsia" w:cstheme="minorEastAsia"/>
          <w:b w:val="0"/>
          <w:bCs/>
          <w:sz w:val="24"/>
          <w:szCs w:val="20"/>
          <w:lang w:val="en-US" w:eastAsia="zh-CN"/>
        </w:rPr>
        <w:t>按需提供。</w:t>
      </w:r>
    </w:p>
    <w:p>
      <w:pPr>
        <w:spacing w:line="360" w:lineRule="auto"/>
        <w:ind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提交成果：《安全运维监测报告》12次。</w:t>
      </w:r>
    </w:p>
    <w:p>
      <w:pPr>
        <w:spacing w:line="360" w:lineRule="auto"/>
        <w:ind w:firstLine="480" w:firstLineChars="200"/>
        <w:rPr>
          <w:rFonts w:hint="eastAsia"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安全设备</w:t>
      </w:r>
      <w:r>
        <w:rPr>
          <w:rFonts w:hint="eastAsia" w:asciiTheme="minorEastAsia" w:hAnsiTheme="minorEastAsia" w:eastAsiaTheme="minorEastAsia" w:cstheme="minorEastAsia"/>
          <w:sz w:val="24"/>
          <w:szCs w:val="20"/>
          <w:lang w:val="en-US" w:eastAsia="zh-CN"/>
        </w:rPr>
        <w:t>列表：</w:t>
      </w:r>
    </w:p>
    <w:tbl>
      <w:tblPr>
        <w:tblStyle w:val="55"/>
        <w:tblW w:w="8783" w:type="dxa"/>
        <w:jc w:val="center"/>
        <w:tblLayout w:type="fixed"/>
        <w:tblCellMar>
          <w:top w:w="0" w:type="dxa"/>
          <w:left w:w="108" w:type="dxa"/>
          <w:bottom w:w="0" w:type="dxa"/>
          <w:right w:w="108" w:type="dxa"/>
        </w:tblCellMar>
      </w:tblPr>
      <w:tblGrid>
        <w:gridCol w:w="722"/>
        <w:gridCol w:w="1921"/>
        <w:gridCol w:w="1789"/>
        <w:gridCol w:w="3396"/>
        <w:gridCol w:w="955"/>
      </w:tblGrid>
      <w:tr>
        <w:tblPrEx>
          <w:tblCellMar>
            <w:top w:w="0" w:type="dxa"/>
            <w:left w:w="108" w:type="dxa"/>
            <w:bottom w:w="0" w:type="dxa"/>
            <w:right w:w="108" w:type="dxa"/>
          </w:tblCellMar>
        </w:tblPrEx>
        <w:trPr>
          <w:trHeight w:val="375" w:hRule="atLeast"/>
          <w:jc w:val="center"/>
        </w:trPr>
        <w:tc>
          <w:tcPr>
            <w:tcW w:w="722"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bidi="ar"/>
              </w:rPr>
              <w:t>序号</w:t>
            </w:r>
          </w:p>
        </w:tc>
        <w:tc>
          <w:tcPr>
            <w:tcW w:w="1921"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bidi="ar"/>
              </w:rPr>
              <w:t>设备类型</w:t>
            </w:r>
          </w:p>
        </w:tc>
        <w:tc>
          <w:tcPr>
            <w:tcW w:w="1789"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bidi="ar"/>
              </w:rPr>
              <w:t>设备厂家</w:t>
            </w:r>
          </w:p>
        </w:tc>
        <w:tc>
          <w:tcPr>
            <w:tcW w:w="3396"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bidi="ar"/>
              </w:rPr>
              <w:t>规格型号</w:t>
            </w:r>
          </w:p>
        </w:tc>
        <w:tc>
          <w:tcPr>
            <w:tcW w:w="955" w:type="dxa"/>
            <w:tcBorders>
              <w:top w:val="single" w:color="000000" w:sz="4" w:space="0"/>
              <w:left w:val="single" w:color="000000" w:sz="4" w:space="0"/>
              <w:bottom w:val="nil"/>
              <w:right w:val="single" w:color="000000" w:sz="4" w:space="0"/>
            </w:tcBorders>
            <w:shd w:val="clear" w:color="auto" w:fill="D9D9D9"/>
            <w:vAlign w:val="center"/>
          </w:tcPr>
          <w:p>
            <w:pPr>
              <w:spacing w:line="360" w:lineRule="auto"/>
              <w:jc w:val="center"/>
              <w:textAlignment w:val="center"/>
              <w:rPr>
                <w:rFonts w:asciiTheme="minorEastAsia" w:hAnsiTheme="minorEastAsia" w:eastAsiaTheme="minorEastAsia" w:cstheme="minorEastAsia"/>
                <w:b/>
                <w:bCs/>
                <w:sz w:val="24"/>
                <w:lang w:bidi="ar"/>
              </w:rPr>
            </w:pPr>
            <w:r>
              <w:rPr>
                <w:rFonts w:hint="eastAsia" w:asciiTheme="minorEastAsia" w:hAnsiTheme="minorEastAsia" w:eastAsiaTheme="minorEastAsia" w:cstheme="minorEastAsia"/>
                <w:b/>
                <w:bCs/>
                <w:sz w:val="24"/>
                <w:lang w:bidi="ar"/>
              </w:rPr>
              <w:t>数量</w:t>
            </w:r>
          </w:p>
        </w:tc>
      </w:tr>
      <w:tr>
        <w:tblPrEx>
          <w:tblCellMar>
            <w:top w:w="0" w:type="dxa"/>
            <w:left w:w="108" w:type="dxa"/>
            <w:bottom w:w="0" w:type="dxa"/>
            <w:right w:w="108" w:type="dxa"/>
          </w:tblCellMar>
        </w:tblPrEx>
        <w:trPr>
          <w:trHeight w:val="405"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1</w:t>
            </w:r>
          </w:p>
        </w:tc>
        <w:tc>
          <w:tcPr>
            <w:tcW w:w="19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杀毒</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清华同方</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超翔TK630-V050</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default" w:asciiTheme="minorEastAsia" w:hAnsiTheme="minorEastAsia" w:eastAsiaTheme="minorEastAsia" w:cstheme="minorEastAsia"/>
                <w:sz w:val="24"/>
                <w:lang w:val="en-US" w:eastAsia="zh-CN" w:bidi="ar"/>
              </w:rPr>
            </w:pPr>
            <w:r>
              <w:rPr>
                <w:rFonts w:hint="eastAsia" w:asciiTheme="minorEastAsia" w:hAnsiTheme="minorEastAsia" w:eastAsiaTheme="minorEastAsia" w:cstheme="minorEastAsia"/>
                <w:sz w:val="24"/>
                <w:lang w:val="en-US" w:eastAsia="zh-CN" w:bidi="ar"/>
              </w:rPr>
              <w:t>2</w:t>
            </w:r>
          </w:p>
        </w:tc>
      </w:tr>
      <w:tr>
        <w:tblPrEx>
          <w:tblCellMar>
            <w:top w:w="0" w:type="dxa"/>
            <w:left w:w="108" w:type="dxa"/>
            <w:bottom w:w="0" w:type="dxa"/>
            <w:right w:w="108" w:type="dxa"/>
          </w:tblCellMar>
        </w:tblPrEx>
        <w:trPr>
          <w:trHeight w:val="270" w:hRule="atLeast"/>
          <w:jc w:val="center"/>
        </w:trPr>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2</w:t>
            </w:r>
          </w:p>
        </w:tc>
        <w:tc>
          <w:tcPr>
            <w:tcW w:w="192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网络准入</w:t>
            </w:r>
          </w:p>
        </w:tc>
        <w:tc>
          <w:tcPr>
            <w:tcW w:w="178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北信源</w:t>
            </w:r>
          </w:p>
        </w:tc>
        <w:tc>
          <w:tcPr>
            <w:tcW w:w="339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bidi="ar"/>
              </w:rPr>
              <w:t>VRV-BMG-XN2050S</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default" w:asciiTheme="minorEastAsia" w:hAnsiTheme="minorEastAsia" w:eastAsiaTheme="minorEastAsia" w:cstheme="minorEastAsia"/>
                <w:sz w:val="24"/>
                <w:lang w:val="en-US" w:eastAsia="zh-CN" w:bidi="ar"/>
              </w:rPr>
            </w:pPr>
            <w:r>
              <w:rPr>
                <w:rFonts w:hint="eastAsia" w:asciiTheme="minorEastAsia" w:hAnsiTheme="minorEastAsia" w:eastAsiaTheme="minorEastAsia" w:cstheme="minorEastAsia"/>
                <w:sz w:val="24"/>
                <w:lang w:val="en-US" w:eastAsia="zh-CN" w:bidi="ar"/>
              </w:rPr>
              <w:t>2</w:t>
            </w:r>
          </w:p>
        </w:tc>
      </w:tr>
    </w:tbl>
    <w:p>
      <w:pPr>
        <w:pStyle w:val="2"/>
        <w:rPr>
          <w:rFonts w:hint="eastAsia"/>
        </w:rPr>
      </w:pP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（11）攻防演练专项保障</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须根据国家及市级相关部门举行的网络安全攻防演练活动安排，提供必要的网络安全防护设备（含现场部署、调试及演练后回收），并派出技术人员提供现场24小时不间断值守维护，保障甲方信息系统的正常运行。须具备安全监测、日志分析、应急处置、溯源分析等综合能力。演练期间每日提交防守日报，演练结束后提交活动总结报告。</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防护天数：不超过20天。</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提交成果：相关活动的方案、报告、成果和总结。</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（12）网络安全检查支撑</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须利用技术手段（漏洞扫描、基线核查、渗透测试等）和人工排查（文档审查、人员访谈、现场核查等）相结合的方式，协助甲方开展信息安全自查，覆盖网络、主机、应用、数据、物理、管理等维度。通过自查发现安全隐患，进行风险分析，提出整改建议，完善安全管理措施，减少安全风险，提高应急处置能力，确保甲方网络与信息系统安全。</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维护频率：2次/年。</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提交成果：《网络安全自查报告》。</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（13）安全咨询</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维护内容：乙方遵循国家及行业法规政策要求，参照国内外最佳实践模型，基于甲方网络安全战略目标、安全现状与需求，采用科学的网络安全规划方法论，构建符合 甲方未来发展的网络安全总体架构，并通过业务和项目约束关系分析关键实施计划和路径，明确分阶段任务和优先级，指导网络安全建设方向，满足法律合规、管理与业务发展需要。</w:t>
      </w:r>
    </w:p>
    <w:p>
      <w:pPr>
        <w:spacing w:line="360" w:lineRule="auto"/>
        <w:ind w:firstLine="482" w:firstLineChars="200"/>
        <w:rPr>
          <w:rFonts w:asciiTheme="minorEastAsia" w:hAnsiTheme="minorEastAsia" w:eastAsiaTheme="minorEastAsia" w:cstheme="minorEastAsia"/>
          <w:b/>
          <w:sz w:val="24"/>
          <w:szCs w:val="20"/>
        </w:rPr>
      </w:pPr>
      <w:r>
        <w:rPr>
          <w:rFonts w:hint="eastAsia" w:asciiTheme="minorEastAsia" w:hAnsiTheme="minorEastAsia" w:eastAsiaTheme="minorEastAsia" w:cstheme="minorEastAsia"/>
          <w:b/>
          <w:sz w:val="24"/>
          <w:szCs w:val="20"/>
        </w:rPr>
        <w:t>（14）安全培训</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维护内容：乙方根据甲方网络安全工作需求，结合当前网络安全态势，组织相关安全管理和安全技术专家，对 甲方相关人员进行专题培训，培训内容包括但不限于制度法规解读、安全管理、安全技术等方向，并制作培训讲义及文档提供给受训人员。</w:t>
      </w:r>
    </w:p>
    <w:p>
      <w:pPr>
        <w:spacing w:line="360" w:lineRule="auto"/>
        <w:ind w:firstLine="480" w:firstLineChars="200"/>
        <w:rPr>
          <w:rFonts w:asciiTheme="minorEastAsia" w:hAnsiTheme="minorEastAsia" w:eastAsiaTheme="minorEastAsia" w:cstheme="minorEastAsia"/>
          <w:sz w:val="24"/>
          <w:szCs w:val="20"/>
        </w:rPr>
      </w:pPr>
      <w:r>
        <w:rPr>
          <w:rFonts w:hint="eastAsia" w:asciiTheme="minorEastAsia" w:hAnsiTheme="minorEastAsia" w:eastAsiaTheme="minorEastAsia" w:cstheme="minorEastAsia"/>
          <w:sz w:val="24"/>
          <w:szCs w:val="20"/>
        </w:rPr>
        <w:t>维护频率：3次/年。</w:t>
      </w:r>
    </w:p>
    <w:p>
      <w:pPr>
        <w:spacing w:line="360" w:lineRule="auto"/>
        <w:ind w:firstLine="480" w:firstLineChars="200"/>
      </w:pPr>
      <w:r>
        <w:rPr>
          <w:rFonts w:hint="eastAsia" w:asciiTheme="minorEastAsia" w:hAnsiTheme="minorEastAsia" w:eastAsiaTheme="minorEastAsia" w:cstheme="minorEastAsia"/>
          <w:sz w:val="24"/>
          <w:szCs w:val="20"/>
        </w:rPr>
        <w:t>提交成果：《安全培训记录》</w:t>
      </w:r>
    </w:p>
    <w:p>
      <w:pPr>
        <w:pStyle w:val="2"/>
      </w:pPr>
    </w:p>
    <w:p>
      <w:pPr>
        <w:adjustRightInd w:val="0"/>
        <w:snapToGrid w:val="0"/>
        <w:spacing w:line="360" w:lineRule="auto"/>
        <w:rPr>
          <w:rFonts w:ascii="宋体" w:hAnsi="宋体" w:cs="宋体"/>
          <w:b/>
          <w:sz w:val="28"/>
          <w:szCs w:val="28"/>
        </w:rPr>
      </w:pPr>
      <w:r>
        <w:rPr>
          <w:rFonts w:hint="eastAsia" w:ascii="宋体" w:hAnsi="宋体" w:cs="宋体"/>
          <w:b/>
          <w:sz w:val="28"/>
          <w:szCs w:val="28"/>
        </w:rPr>
        <w:t>第二部分、执行地点及期限</w:t>
      </w:r>
    </w:p>
    <w:p>
      <w:pPr>
        <w:adjustRightInd w:val="0"/>
        <w:snapToGrid w:val="0"/>
        <w:spacing w:line="360" w:lineRule="auto"/>
        <w:ind w:firstLine="241" w:firstLineChars="100"/>
        <w:rPr>
          <w:rFonts w:ascii="宋体" w:hAnsi="宋体" w:cs="宋体"/>
          <w:sz w:val="24"/>
          <w:u w:val="single"/>
        </w:rPr>
      </w:pPr>
      <w:r>
        <w:rPr>
          <w:rFonts w:hint="eastAsia" w:ascii="宋体" w:hAnsi="宋体" w:cs="宋体"/>
          <w:b/>
          <w:sz w:val="24"/>
        </w:rPr>
        <w:t>第三条</w:t>
      </w:r>
      <w:r>
        <w:rPr>
          <w:rFonts w:hint="eastAsia" w:ascii="宋体" w:hAnsi="宋体" w:cs="宋体"/>
          <w:sz w:val="24"/>
        </w:rPr>
        <w:t xml:space="preserve"> 执行地点：</w:t>
      </w:r>
      <w:r>
        <w:rPr>
          <w:rFonts w:hint="eastAsia" w:ascii="宋体" w:hAnsi="宋体" w:cs="宋体"/>
          <w:sz w:val="24"/>
          <w:u w:val="single"/>
        </w:rPr>
        <w:t>北京市西城区广安门内大街317</w:t>
      </w:r>
      <w:r>
        <w:rPr>
          <w:rFonts w:hint="eastAsia" w:ascii="宋体" w:hAnsi="宋体" w:cs="宋体"/>
          <w:sz w:val="24"/>
          <w:szCs w:val="21"/>
          <w:u w:val="single"/>
        </w:rPr>
        <w:t>号</w:t>
      </w:r>
      <w:r>
        <w:rPr>
          <w:rFonts w:hint="eastAsia" w:ascii="宋体" w:hAnsi="宋体" w:cs="宋体"/>
          <w:sz w:val="24"/>
          <w:u w:val="single"/>
        </w:rPr>
        <w:t>或甲方指定地点。</w:t>
      </w:r>
    </w:p>
    <w:p>
      <w:pPr>
        <w:adjustRightInd w:val="0"/>
        <w:snapToGrid w:val="0"/>
        <w:spacing w:line="360" w:lineRule="auto"/>
        <w:ind w:firstLine="241" w:firstLineChars="100"/>
        <w:rPr>
          <w:rFonts w:ascii="宋体" w:hAnsi="宋体" w:cs="宋体"/>
          <w:sz w:val="24"/>
          <w:u w:val="single"/>
        </w:rPr>
      </w:pPr>
      <w:r>
        <w:rPr>
          <w:rFonts w:hint="eastAsia" w:ascii="宋体" w:hAnsi="宋体" w:cs="宋体"/>
          <w:b/>
          <w:sz w:val="24"/>
        </w:rPr>
        <w:t xml:space="preserve">第四条 </w:t>
      </w:r>
      <w:r>
        <w:rPr>
          <w:rFonts w:hint="eastAsia" w:ascii="宋体" w:hAnsi="宋体" w:cs="宋体"/>
          <w:bCs/>
          <w:sz w:val="24"/>
        </w:rPr>
        <w:t>执行期</w:t>
      </w:r>
      <w:r>
        <w:rPr>
          <w:rFonts w:hint="eastAsia" w:ascii="宋体" w:hAnsi="宋体" w:cs="宋体"/>
          <w:sz w:val="24"/>
        </w:rPr>
        <w:t>为</w:t>
      </w:r>
      <w:r>
        <w:rPr>
          <w:rFonts w:hint="eastAsia" w:ascii="宋体" w:hAnsi="宋体" w:cs="宋体"/>
          <w:sz w:val="24"/>
          <w:u w:val="single"/>
        </w:rPr>
        <w:t xml:space="preserve">  壹 </w:t>
      </w:r>
      <w:r>
        <w:rPr>
          <w:rFonts w:hint="eastAsia" w:ascii="宋体" w:hAnsi="宋体" w:cs="宋体"/>
          <w:sz w:val="24"/>
        </w:rPr>
        <w:t>年</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第五条</w:t>
      </w:r>
      <w:r>
        <w:rPr>
          <w:rFonts w:hint="eastAsia" w:ascii="宋体" w:hAnsi="宋体" w:cs="宋体"/>
          <w:sz w:val="24"/>
        </w:rPr>
        <w:t xml:space="preserve"> 执行期：自</w:t>
      </w:r>
      <w:r>
        <w:rPr>
          <w:rFonts w:hint="eastAsia" w:ascii="宋体" w:hAnsi="宋体" w:cs="宋体"/>
          <w:sz w:val="24"/>
          <w:u w:val="single"/>
        </w:rPr>
        <w:t xml:space="preserve"> 2026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日起至</w:t>
      </w:r>
      <w:r>
        <w:rPr>
          <w:rFonts w:hint="eastAsia" w:ascii="宋体" w:hAnsi="宋体" w:cs="宋体"/>
          <w:sz w:val="24"/>
          <w:u w:val="single"/>
        </w:rPr>
        <w:t xml:space="preserve">   2027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 xml:space="preserve">日止。乙方应在执行期内完成技术维护并经甲方验收合格，如届时经甲方书面确认，乙方维护事项因非乙方原因导致未办理完毕，执行期限自动顺延。   </w:t>
      </w:r>
    </w:p>
    <w:p>
      <w:pPr>
        <w:adjustRightInd w:val="0"/>
        <w:snapToGrid w:val="0"/>
        <w:spacing w:line="360" w:lineRule="auto"/>
        <w:rPr>
          <w:rFonts w:ascii="宋体" w:hAnsi="宋体" w:cs="宋体"/>
          <w:b/>
          <w:sz w:val="28"/>
          <w:szCs w:val="28"/>
        </w:rPr>
      </w:pPr>
      <w:r>
        <w:rPr>
          <w:rFonts w:hint="eastAsia" w:ascii="宋体" w:hAnsi="宋体" w:cs="宋体"/>
          <w:b/>
          <w:sz w:val="28"/>
          <w:szCs w:val="28"/>
        </w:rPr>
        <w:t>第三部分、合同金额及付款方式</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第六条</w:t>
      </w:r>
      <w:r>
        <w:rPr>
          <w:rFonts w:hint="eastAsia" w:ascii="宋体" w:hAnsi="宋体" w:cs="宋体"/>
          <w:sz w:val="24"/>
        </w:rPr>
        <w:t xml:space="preserve"> 合同总金额：人民币大写</w:t>
      </w:r>
      <w:r>
        <w:rPr>
          <w:rFonts w:hint="eastAsia" w:ascii="宋体" w:hAnsi="宋体" w:cs="宋体"/>
          <w:sz w:val="24"/>
          <w:u w:val="single"/>
        </w:rPr>
        <w:t xml:space="preserve">      </w:t>
      </w:r>
      <w:r>
        <w:rPr>
          <w:rFonts w:hint="eastAsia" w:ascii="宋体" w:hAnsi="宋体" w:cs="宋体"/>
          <w:sz w:val="24"/>
        </w:rPr>
        <w:t>元整，（￥</w:t>
      </w:r>
      <w:r>
        <w:rPr>
          <w:rFonts w:hint="eastAsia" w:ascii="宋体" w:hAnsi="宋体" w:cs="宋体"/>
          <w:sz w:val="24"/>
          <w:u w:val="single"/>
        </w:rPr>
        <w:t xml:space="preserve">      </w:t>
      </w:r>
      <w:r>
        <w:rPr>
          <w:rFonts w:hint="eastAsia" w:ascii="宋体" w:hAnsi="宋体" w:cs="宋体"/>
          <w:sz w:val="24"/>
        </w:rPr>
        <w:t>元）。以上金额是乙方履行本合同的所有费用（含税），除双方另有约定外，乙方不得要求甲方支付任何其他费用。</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第七条 </w:t>
      </w:r>
      <w:r>
        <w:rPr>
          <w:rFonts w:hint="eastAsia" w:ascii="宋体" w:hAnsi="宋体" w:cs="宋体"/>
          <w:sz w:val="24"/>
        </w:rPr>
        <w:t xml:space="preserve">支付方式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甲方分2次向乙方支付合同款项, 以人民币结算。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1.第一次支付：合同生效后</w:t>
      </w:r>
      <w:r>
        <w:rPr>
          <w:rFonts w:hint="eastAsia" w:ascii="宋体" w:hAnsi="宋体" w:cs="宋体"/>
          <w:sz w:val="24"/>
          <w:lang w:eastAsia="zh-CN"/>
        </w:rPr>
        <w:t>，</w:t>
      </w:r>
      <w:r>
        <w:rPr>
          <w:rFonts w:hint="eastAsia" w:ascii="宋体" w:hAnsi="宋体" w:cs="宋体"/>
          <w:sz w:val="24"/>
          <w:lang w:val="en-US" w:eastAsia="zh-CN"/>
        </w:rPr>
        <w:t>项目执行期开始前</w:t>
      </w:r>
      <w:r>
        <w:rPr>
          <w:rFonts w:hint="eastAsia" w:ascii="宋体" w:hAnsi="宋体" w:cs="宋体"/>
          <w:sz w:val="24"/>
        </w:rPr>
        <w:t>二十（20）个工作日内，甲方向乙方支付本合同约定金额的60%，计人民币大写</w:t>
      </w:r>
      <w:r>
        <w:rPr>
          <w:rFonts w:hint="eastAsia" w:ascii="宋体" w:hAnsi="宋体" w:cs="宋体"/>
          <w:sz w:val="24"/>
          <w:u w:val="single"/>
        </w:rPr>
        <w:t xml:space="preserve">       </w:t>
      </w:r>
      <w:r>
        <w:rPr>
          <w:rFonts w:hint="eastAsia" w:ascii="宋体" w:hAnsi="宋体" w:cs="宋体"/>
          <w:sz w:val="24"/>
        </w:rPr>
        <w:t>元整 （￥</w:t>
      </w:r>
      <w:r>
        <w:rPr>
          <w:rFonts w:hint="eastAsia" w:ascii="宋体" w:hAnsi="宋体" w:cs="宋体"/>
          <w:sz w:val="24"/>
          <w:u w:val="single"/>
        </w:rPr>
        <w:t xml:space="preserve">        </w:t>
      </w:r>
      <w:r>
        <w:rPr>
          <w:rFonts w:hint="eastAsia" w:ascii="宋体" w:hAnsi="宋体" w:cs="宋体"/>
          <w:sz w:val="24"/>
        </w:rPr>
        <w:t xml:space="preserve">元）。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2.第二次支付：待执行期满,乙方将全部维护总结报告提供给甲方，经甲方验收合格后，甲方向乙方支付本合同约定金额的40%，计人民币大写</w:t>
      </w:r>
      <w:r>
        <w:rPr>
          <w:rFonts w:hint="eastAsia" w:ascii="宋体" w:hAnsi="宋体" w:cs="宋体"/>
          <w:sz w:val="24"/>
          <w:u w:val="single"/>
        </w:rPr>
        <w:t xml:space="preserve">     </w:t>
      </w:r>
      <w:r>
        <w:rPr>
          <w:rFonts w:hint="eastAsia" w:ascii="宋体" w:hAnsi="宋体" w:cs="宋体"/>
          <w:sz w:val="24"/>
        </w:rPr>
        <w:t>元整，（￥</w:t>
      </w:r>
      <w:r>
        <w:rPr>
          <w:rFonts w:hint="eastAsia" w:ascii="宋体" w:hAnsi="宋体" w:cs="宋体"/>
          <w:sz w:val="24"/>
          <w:u w:val="single"/>
        </w:rPr>
        <w:t xml:space="preserve">     </w:t>
      </w:r>
      <w:r>
        <w:rPr>
          <w:rFonts w:hint="eastAsia" w:ascii="宋体" w:hAnsi="宋体" w:cs="宋体"/>
          <w:sz w:val="24"/>
        </w:rPr>
        <w:t>元）。</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甲方每次按合同付款前，乙方向甲方出具正式、等额、合法的发票。乙方未按要求提供发票的，甲方有权拒绝付款，且该拒付不构成甲方违约，乙方不得因此暂停、中止履行义务。如乙方向甲方提供的发票不符合本合同约定或法律规定，因此给甲方造成的一切损失由乙方承担（包括但不限于损害赔偿、消除影响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4.甲方付款单位为：</w:t>
      </w:r>
      <w:r>
        <w:rPr>
          <w:rFonts w:hint="eastAsia" w:ascii="宋体" w:hAnsi="宋体" w:cs="宋体"/>
          <w:sz w:val="24"/>
          <w:u w:val="single"/>
        </w:rPr>
        <w:t>北京市城市运行管理事务中心</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5.甲方纳税人识别号：</w:t>
      </w:r>
      <w:r>
        <w:rPr>
          <w:rFonts w:hint="eastAsia" w:ascii="宋体" w:hAnsi="宋体" w:cs="宋体"/>
          <w:sz w:val="24"/>
          <w:u w:val="single"/>
        </w:rPr>
        <w:t xml:space="preserve">12110000MB1J66869N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6.以上所有合同经费的支付，均以财政预算资金拨付到位为前提条件。甲方支付项目经费时，如遇市财政国库结账等特殊时期，具体支付时间将根据北京市财政局的有关规定执行。此时不视为甲方违约。</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7.乙方收款账户信息</w:t>
      </w:r>
    </w:p>
    <w:p>
      <w:pPr>
        <w:adjustRightInd w:val="0"/>
        <w:snapToGrid w:val="0"/>
        <w:spacing w:line="360" w:lineRule="auto"/>
        <w:ind w:firstLine="720" w:firstLineChars="300"/>
        <w:rPr>
          <w:rFonts w:ascii="宋体" w:hAnsi="宋体" w:cs="宋体"/>
          <w:sz w:val="24"/>
          <w:u w:val="single"/>
        </w:rPr>
      </w:pPr>
      <w:r>
        <w:rPr>
          <w:rFonts w:hint="eastAsia" w:ascii="宋体" w:hAnsi="宋体" w:cs="宋体"/>
          <w:sz w:val="24"/>
        </w:rPr>
        <w:t>乙方开户名：</w:t>
      </w:r>
      <w:r>
        <w:rPr>
          <w:rFonts w:hint="eastAsia" w:ascii="宋体" w:hAnsi="宋体" w:cs="宋体"/>
          <w:sz w:val="24"/>
          <w:u w:val="single"/>
        </w:rPr>
        <w:t xml:space="preserve">         </w:t>
      </w:r>
    </w:p>
    <w:p>
      <w:pPr>
        <w:adjustRightInd w:val="0"/>
        <w:snapToGrid w:val="0"/>
        <w:spacing w:line="360" w:lineRule="auto"/>
        <w:ind w:firstLine="720" w:firstLineChars="300"/>
        <w:rPr>
          <w:rFonts w:ascii="宋体" w:hAnsi="宋体" w:cs="宋体"/>
          <w:sz w:val="24"/>
          <w:u w:val="single"/>
        </w:rPr>
      </w:pPr>
      <w:r>
        <w:rPr>
          <w:rFonts w:hint="eastAsia" w:ascii="宋体" w:hAnsi="宋体" w:cs="宋体"/>
          <w:sz w:val="24"/>
        </w:rPr>
        <w:t>乙方开户行名称：</w:t>
      </w:r>
      <w:r>
        <w:rPr>
          <w:rFonts w:hint="eastAsia" w:ascii="宋体" w:hAnsi="宋体" w:cs="宋体"/>
          <w:sz w:val="24"/>
          <w:u w:val="single"/>
        </w:rPr>
        <w:t xml:space="preserve">       </w:t>
      </w:r>
    </w:p>
    <w:p>
      <w:pPr>
        <w:adjustRightInd w:val="0"/>
        <w:snapToGrid w:val="0"/>
        <w:spacing w:line="360" w:lineRule="auto"/>
        <w:ind w:firstLine="720" w:firstLineChars="300"/>
        <w:rPr>
          <w:rFonts w:ascii="宋体" w:hAnsi="宋体" w:cs="宋体"/>
          <w:sz w:val="24"/>
          <w:u w:val="single"/>
        </w:rPr>
      </w:pPr>
      <w:r>
        <w:rPr>
          <w:rFonts w:hint="eastAsia" w:ascii="宋体" w:hAnsi="宋体" w:cs="宋体"/>
          <w:sz w:val="24"/>
        </w:rPr>
        <w:t>乙方开户行账号：</w:t>
      </w:r>
      <w:r>
        <w:rPr>
          <w:rFonts w:hint="eastAsia" w:ascii="宋体" w:hAnsi="宋体" w:cs="宋体"/>
          <w:sz w:val="24"/>
          <w:u w:val="single"/>
        </w:rPr>
        <w:t xml:space="preserve">        </w:t>
      </w:r>
    </w:p>
    <w:p>
      <w:pPr>
        <w:adjustRightInd w:val="0"/>
        <w:snapToGrid w:val="0"/>
        <w:spacing w:line="360" w:lineRule="auto"/>
        <w:rPr>
          <w:rFonts w:ascii="宋体" w:hAnsi="宋体" w:cs="宋体"/>
          <w:b/>
          <w:sz w:val="28"/>
          <w:szCs w:val="28"/>
        </w:rPr>
      </w:pPr>
      <w:r>
        <w:rPr>
          <w:rFonts w:hint="eastAsia" w:ascii="宋体" w:hAnsi="宋体" w:cs="宋体"/>
          <w:b/>
          <w:sz w:val="28"/>
          <w:szCs w:val="28"/>
        </w:rPr>
        <w:t>第四部分、验收条款</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第八条 </w:t>
      </w:r>
      <w:r>
        <w:rPr>
          <w:rFonts w:hint="eastAsia" w:ascii="宋体" w:hAnsi="宋体" w:cs="宋体"/>
          <w:sz w:val="24"/>
        </w:rPr>
        <w:t>技术维护完成（</w:t>
      </w:r>
      <w:r>
        <w:rPr>
          <w:rFonts w:hint="eastAsia" w:ascii="宋体" w:hAnsi="宋体" w:cs="宋体"/>
          <w:sz w:val="24"/>
          <w:u w:val="single"/>
        </w:rPr>
        <w:t>10</w:t>
      </w:r>
      <w:r>
        <w:rPr>
          <w:rFonts w:hint="eastAsia" w:ascii="宋体" w:hAnsi="宋体" w:cs="宋体"/>
          <w:sz w:val="24"/>
        </w:rPr>
        <w:t>）日前，乙方应该通知甲方进行项目验收准备工作，以便甲方能够快速、高效地完成项目验收工作。</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第九条</w:t>
      </w:r>
      <w:r>
        <w:rPr>
          <w:rFonts w:hint="eastAsia" w:ascii="宋体" w:hAnsi="宋体" w:cs="宋体"/>
          <w:sz w:val="24"/>
        </w:rPr>
        <w:t xml:space="preserve"> 验收方法：由乙方提交项目技术报告，甲方组织验收。</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第十条</w:t>
      </w:r>
      <w:r>
        <w:rPr>
          <w:rFonts w:hint="eastAsia" w:ascii="宋体" w:hAnsi="宋体" w:cs="宋体"/>
          <w:sz w:val="24"/>
        </w:rPr>
        <w:t xml:space="preserve"> 验收标准：本合同约定的维护内容及质量要求。如乙方完成的工作不符合合同约定或甲方要求，甲方有权书面通知乙方在甲方规定的时间内予以整改。整改完成后，乙方应当重新向甲方提交验收申请。</w:t>
      </w:r>
    </w:p>
    <w:p>
      <w:pPr>
        <w:adjustRightInd w:val="0"/>
        <w:snapToGrid w:val="0"/>
        <w:spacing w:line="360" w:lineRule="auto"/>
        <w:rPr>
          <w:rFonts w:ascii="宋体" w:hAnsi="宋体" w:cs="宋体"/>
          <w:b/>
          <w:sz w:val="28"/>
          <w:szCs w:val="28"/>
        </w:rPr>
      </w:pPr>
      <w:r>
        <w:rPr>
          <w:rFonts w:hint="eastAsia" w:ascii="宋体" w:hAnsi="宋体" w:cs="宋体"/>
          <w:b/>
          <w:sz w:val="28"/>
          <w:szCs w:val="28"/>
        </w:rPr>
        <w:t>第五部分、双方责任和义务</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第十一条</w:t>
      </w:r>
      <w:r>
        <w:rPr>
          <w:rFonts w:hint="eastAsia" w:ascii="宋体" w:hAnsi="宋体" w:cs="宋体"/>
          <w:sz w:val="24"/>
        </w:rPr>
        <w:t xml:space="preserve"> 甲方责任和义务</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1.甲方负责向乙方提供项目技术维护所需的相关技术资料、数据和信息等，为本合同的履行提供相关的政策、法规、标准等支持。</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2.甲方负责对乙方的技术成果及时接受并验收。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3.甲方负责按合同规定的金额和支付方式及时向乙方支付费用。</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4.甲方有权监督、检查乙方的工作及质量，提出工作要求、改进意见</w:t>
      </w:r>
      <w:r>
        <w:rPr>
          <w:rFonts w:hint="eastAsia" w:ascii="宋体" w:hAnsi="宋体" w:cs="宋体"/>
          <w:bCs/>
          <w:sz w:val="24"/>
        </w:rPr>
        <w:t>。</w:t>
      </w:r>
      <w:r>
        <w:rPr>
          <w:rFonts w:hint="eastAsia" w:ascii="宋体" w:hAnsi="宋体" w:cs="宋体"/>
          <w:sz w:val="24"/>
        </w:rPr>
        <w:t xml:space="preserve">   </w:t>
      </w:r>
    </w:p>
    <w:p>
      <w:pPr>
        <w:adjustRightInd w:val="0"/>
        <w:snapToGrid w:val="0"/>
        <w:spacing w:line="360" w:lineRule="auto"/>
        <w:ind w:firstLine="241" w:firstLineChars="100"/>
        <w:rPr>
          <w:rFonts w:ascii="宋体" w:hAnsi="宋体" w:cs="宋体"/>
          <w:b/>
          <w:sz w:val="24"/>
        </w:rPr>
      </w:pPr>
      <w:r>
        <w:rPr>
          <w:rFonts w:hint="eastAsia" w:ascii="宋体" w:hAnsi="宋体" w:cs="宋体"/>
          <w:b/>
          <w:sz w:val="24"/>
        </w:rPr>
        <w:t xml:space="preserve">第十二条 </w:t>
      </w:r>
      <w:r>
        <w:rPr>
          <w:rFonts w:hint="eastAsia" w:ascii="宋体" w:hAnsi="宋体" w:cs="宋体"/>
          <w:sz w:val="24"/>
        </w:rPr>
        <w:t>乙方责任和义务</w:t>
      </w:r>
    </w:p>
    <w:p>
      <w:pPr>
        <w:widowControl/>
        <w:spacing w:line="360" w:lineRule="auto"/>
        <w:ind w:firstLine="480" w:firstLineChars="200"/>
        <w:jc w:val="left"/>
        <w:rPr>
          <w:rFonts w:ascii="宋体" w:hAnsi="宋体" w:cs="宋体"/>
          <w:b/>
          <w:sz w:val="24"/>
        </w:rPr>
      </w:pPr>
      <w:r>
        <w:rPr>
          <w:rFonts w:hint="eastAsia" w:ascii="宋体" w:hAnsi="宋体" w:cs="宋体"/>
          <w:sz w:val="24"/>
        </w:rPr>
        <w:t>1.合同生效后，乙方应按合同内容向甲方提供技术维护；</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2.在项目具体维护的过程当中，乙方承诺严格遵守甲方关于进度、质量的各项管理规定，接受甲方的监督，以确保维护高质量按期完成。</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3.未经甲方事先书面同意，乙方不得转让本合同项下任何权利义务，不得转包、分包本项目部分或全部内容给第三人。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4.乙方有义务配合审计部门，完成审计检查。</w:t>
      </w:r>
    </w:p>
    <w:p>
      <w:pPr>
        <w:adjustRightInd w:val="0"/>
        <w:snapToGrid w:val="0"/>
        <w:spacing w:line="360" w:lineRule="auto"/>
        <w:ind w:firstLine="480" w:firstLineChars="200"/>
        <w:rPr>
          <w:rFonts w:ascii="宋体" w:hAnsi="宋体" w:cs="宋体"/>
          <w:sz w:val="24"/>
        </w:rPr>
      </w:pPr>
      <w:r>
        <w:rPr>
          <w:rFonts w:hint="eastAsia" w:ascii="宋体" w:hAnsi="宋体" w:cs="宋体"/>
          <w:sz w:val="24"/>
          <w:szCs w:val="21"/>
        </w:rPr>
        <w:t>5.乙方有义务按照本合同约定的维护内容、标准、时限，按时、按次、按质完成对甲方的远程支持、现场处理和应急响应要求。</w:t>
      </w: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6.乙方应当确保提供的技术维护符合国家及北京相关规定，不存在任何侵犯第三方著作权、商标权、专利权等合法权益的情形，因乙方提供的技术维护不符合标准给甲方或第三方造成损失的，乙方应承担全部赔偿责任。</w:t>
      </w: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7.乙方应保证为甲方提供具备提供本合同项下维护所需的相应资质和许可。乙方应保证技术维护人员在甲方工作过程中人员相对稳定，未经甲方同意，乙方不得更换项目人员。甲方认为乙方人员不符合标准需要更换的，乙方应当在3日内完成更换。</w:t>
      </w: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8.乙方工作人员未经甲方授权，擅自篡改甲方业务数据，或利用甲方现有业务应用系统、网络平台或者冒用甲方身份获取非法利益，造成甲方或任何第三方损失的，由乙方承担法律责任并负责赔偿相应损失。</w:t>
      </w: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9.乙方技术维护应达到下列要求：</w:t>
      </w: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（1）乙方应在履行本合同的全部工作中遵守与本合同有关的法律、法规和规章，并应承担由于其自身违反上述法律、法规和规章的责任。</w:t>
      </w: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（2）按甲方的要求，按时完成各项项目工作。</w:t>
      </w: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（3）乙方应认真执行按照甲方发出的与合同有关的任何要求，按合同规定的内容和时间完成全部项目工作。除合同另有规定外，乙方应提供为完成本合同工作所需的技术、劳务、软件系统。</w:t>
      </w: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（4）乙方同意依照本合同技术维护与售后相关条款向甲方提供技术维护。</w:t>
      </w:r>
    </w:p>
    <w:p>
      <w:pPr>
        <w:widowControl/>
        <w:spacing w:line="360" w:lineRule="auto"/>
        <w:ind w:firstLine="480" w:firstLineChars="200"/>
        <w:jc w:val="left"/>
        <w:rPr>
          <w:rFonts w:ascii="宋体" w:hAnsi="宋体" w:cs="宋体"/>
          <w:sz w:val="24"/>
          <w:szCs w:val="21"/>
        </w:rPr>
      </w:pPr>
      <w:r>
        <w:rPr>
          <w:rFonts w:hint="eastAsia" w:ascii="宋体" w:hAnsi="宋体" w:cs="宋体"/>
          <w:sz w:val="24"/>
          <w:szCs w:val="21"/>
        </w:rPr>
        <w:t>（5）乙方同意所设计开发的软件系统仅用于本项目，本项目相关的所有软件</w:t>
      </w:r>
      <w:r>
        <w:rPr>
          <w:rFonts w:hint="eastAsia" w:ascii="宋体" w:hAnsi="宋体" w:cs="宋体"/>
          <w:sz w:val="24"/>
          <w:lang w:bidi="ar"/>
        </w:rPr>
        <w:t>（包括乙方在履行合同过程中对原有软件进行的更新、修改、二次开发成果）的</w:t>
      </w:r>
      <w:r>
        <w:rPr>
          <w:rFonts w:hint="eastAsia" w:ascii="宋体" w:hAnsi="宋体" w:cs="宋体"/>
          <w:sz w:val="24"/>
          <w:szCs w:val="21"/>
        </w:rPr>
        <w:t>知识产权以及其他合法权利归甲方所有。在涉及许可第三人使用或者向第三人转让软件时，由甲方决定。</w:t>
      </w:r>
    </w:p>
    <w:p>
      <w:pPr>
        <w:adjustRightInd w:val="0"/>
        <w:snapToGrid w:val="0"/>
        <w:spacing w:line="360" w:lineRule="auto"/>
        <w:ind w:firstLine="480" w:firstLineChars="200"/>
        <w:rPr>
          <w:rFonts w:ascii="宋体" w:hAnsi="宋体" w:cs="宋体"/>
          <w:sz w:val="24"/>
          <w:szCs w:val="21"/>
        </w:rPr>
      </w:pPr>
      <w:r>
        <w:rPr>
          <w:rFonts w:hint="eastAsia" w:ascii="宋体" w:hAnsi="宋体" w:cs="宋体"/>
          <w:sz w:val="24"/>
          <w:szCs w:val="21"/>
        </w:rPr>
        <w:t>（6）本项目未通过终验前，乙方负责免费维护及管理工作。</w:t>
      </w:r>
    </w:p>
    <w:p>
      <w:pPr>
        <w:adjustRightInd w:val="0"/>
        <w:snapToGrid w:val="0"/>
        <w:spacing w:line="360" w:lineRule="auto"/>
        <w:ind w:firstLine="480" w:firstLineChars="200"/>
      </w:pPr>
      <w:r>
        <w:rPr>
          <w:rFonts w:hint="eastAsia" w:ascii="宋体" w:hAnsi="宋体" w:cs="宋体"/>
          <w:sz w:val="24"/>
          <w:szCs w:val="21"/>
        </w:rPr>
        <w:t>10.双方明确甲方与乙方技术维护人员不存在任何劳动、劳务、劳务派遣、委托等关系，亦不承担该人员的社会保险、福利待遇、工伤责任等。如乙方技术维护人员要求甲方承担任何与劳动、劳务、劳务派遣、委托关系等相关的法律责任、待遇等提起仲裁、诉讼等，乙方应承担甲方的损失。</w:t>
      </w:r>
    </w:p>
    <w:p>
      <w:pPr>
        <w:adjustRightInd w:val="0"/>
        <w:snapToGrid w:val="0"/>
        <w:spacing w:line="360" w:lineRule="auto"/>
        <w:rPr>
          <w:rFonts w:ascii="宋体" w:hAnsi="宋体" w:cs="宋体"/>
          <w:b/>
          <w:sz w:val="28"/>
          <w:szCs w:val="28"/>
        </w:rPr>
      </w:pPr>
      <w:r>
        <w:rPr>
          <w:rFonts w:hint="eastAsia" w:ascii="宋体" w:hAnsi="宋体" w:cs="宋体"/>
          <w:b/>
          <w:sz w:val="28"/>
          <w:szCs w:val="28"/>
        </w:rPr>
        <w:t>第六部分、保密义务</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第十三条 </w:t>
      </w:r>
      <w:r>
        <w:rPr>
          <w:rFonts w:hint="eastAsia" w:ascii="宋体" w:hAnsi="宋体" w:cs="宋体"/>
          <w:sz w:val="24"/>
        </w:rPr>
        <w:t>乙方应对甲方提供的技术资料和数据等任何非公开信息负有保密义务，不得以任何形式、任何理由透露给第三方或擅自做本合同目的之外的使用。乙方的具体保密义务见附件</w:t>
      </w:r>
      <w:r>
        <w:rPr>
          <w:rFonts w:hint="eastAsia" w:ascii="宋体" w:hAnsi="宋体" w:cs="宋体"/>
          <w:sz w:val="24"/>
          <w:u w:val="single"/>
        </w:rPr>
        <w:t>《</w:t>
      </w:r>
      <w:r>
        <w:rPr>
          <w:rFonts w:hint="eastAsia" w:asciiTheme="minorEastAsia" w:hAnsiTheme="minorEastAsia" w:eastAsiaTheme="minorEastAsia" w:cstheme="minorEastAsia"/>
          <w:sz w:val="24"/>
          <w:u w:val="single"/>
        </w:rPr>
        <w:t>2026年网络安全技术维护</w:t>
      </w:r>
      <w:r>
        <w:rPr>
          <w:rFonts w:hint="eastAsia" w:ascii="宋体" w:hAnsi="宋体" w:cs="宋体"/>
          <w:sz w:val="24"/>
          <w:szCs w:val="20"/>
          <w:u w:val="single"/>
        </w:rPr>
        <w:t>项目保密条款</w:t>
      </w:r>
      <w:r>
        <w:rPr>
          <w:rFonts w:hint="eastAsia" w:ascii="宋体" w:hAnsi="宋体" w:cs="宋体"/>
          <w:sz w:val="24"/>
          <w:u w:val="single"/>
        </w:rPr>
        <w:t>》</w:t>
      </w:r>
      <w:r>
        <w:rPr>
          <w:rFonts w:hint="eastAsia" w:ascii="宋体" w:hAnsi="宋体" w:cs="宋体"/>
          <w:sz w:val="24"/>
        </w:rPr>
        <w:t>。</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第十四条 </w:t>
      </w:r>
      <w:r>
        <w:rPr>
          <w:rFonts w:hint="eastAsia" w:ascii="宋体" w:hAnsi="宋体" w:cs="宋体"/>
          <w:sz w:val="24"/>
        </w:rPr>
        <w:t>乙方在合同执行期间及之后的任何时间内，对在履行合同过程中获知的甲方的商业秘密、技术秘密等信息必须严格予以保密，非经对方书面授权或履行法定义务之必要，乙方不得向第三方披露甲方的上述任何信息。</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第十五条 </w:t>
      </w:r>
      <w:r>
        <w:rPr>
          <w:rFonts w:hint="eastAsia" w:ascii="宋体" w:hAnsi="宋体" w:cs="宋体"/>
          <w:sz w:val="24"/>
        </w:rPr>
        <w:t>甲乙双方的保密义务不因合同的变更、解除或终止而免除，保密期限为长期，直至相关事项被公开。</w:t>
      </w:r>
    </w:p>
    <w:p>
      <w:pPr>
        <w:adjustRightInd w:val="0"/>
        <w:snapToGrid w:val="0"/>
        <w:spacing w:line="360" w:lineRule="auto"/>
        <w:rPr>
          <w:rFonts w:ascii="宋体" w:hAnsi="宋体" w:cs="宋体"/>
          <w:b/>
          <w:sz w:val="28"/>
          <w:szCs w:val="28"/>
        </w:rPr>
      </w:pPr>
      <w:r>
        <w:rPr>
          <w:rFonts w:hint="eastAsia" w:ascii="宋体" w:hAnsi="宋体" w:cs="宋体"/>
          <w:b/>
          <w:sz w:val="28"/>
          <w:szCs w:val="28"/>
        </w:rPr>
        <w:t>第七部分、知识产权</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第十六条 </w:t>
      </w:r>
      <w:r>
        <w:rPr>
          <w:rFonts w:hint="eastAsia" w:ascii="宋体" w:hAnsi="宋体" w:cs="宋体"/>
          <w:sz w:val="24"/>
        </w:rPr>
        <w:t>乙方为完成本合同所产生的全部工作成果等归甲方所有，包括但不限于该项目的阶段性工作成果、最终成果及相关资料、数据等，甲方有权以各种形式对上述工作成果进行利用；</w:t>
      </w:r>
    </w:p>
    <w:p>
      <w:pPr>
        <w:widowControl/>
        <w:spacing w:line="360" w:lineRule="auto"/>
        <w:ind w:firstLine="480" w:firstLineChars="200"/>
        <w:jc w:val="left"/>
      </w:pPr>
      <w:r>
        <w:rPr>
          <w:rFonts w:hint="eastAsia" w:ascii="宋体" w:hAnsi="宋体" w:cs="宋体"/>
          <w:sz w:val="24"/>
          <w:lang w:bidi="ar"/>
        </w:rPr>
        <w:t>乙方应于本合同终止或甲方提出要求后15个工作日内，向甲方交付全部工作成果的完整原件、电子版本，乙方不得留存任何副本、备份或摘抄件。</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第十七条 </w:t>
      </w:r>
      <w:r>
        <w:rPr>
          <w:rFonts w:hint="eastAsia" w:ascii="宋体" w:hAnsi="宋体" w:cs="宋体"/>
          <w:sz w:val="24"/>
        </w:rPr>
        <w:t>未经甲方书面许可，乙方不得以任何方式（包括但不限于公布、发布、转让、自行使用等等）使用项目的任何成果，否则，应当承担相应的违约责任。</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第十八条 </w:t>
      </w:r>
      <w:r>
        <w:rPr>
          <w:rFonts w:hint="eastAsia" w:ascii="宋体" w:hAnsi="宋体" w:cs="宋体"/>
          <w:sz w:val="24"/>
        </w:rPr>
        <w:t>乙方保证向甲方提供的系统、软件、售后及技术支持等不侵犯任何第三方的知识产权等合法权益，不受第三方提出的侵犯专利权、著作权、商标权和工业设计权等合法权利的起诉。如果任何第三方提出侵权指控，乙方须与第三方交涉并承担由此发生的一切责任、费用和经济赔偿，甲方不因此承担任何责任且有权追究乙方的违约责任。</w:t>
      </w:r>
    </w:p>
    <w:p>
      <w:pPr>
        <w:adjustRightInd w:val="0"/>
        <w:snapToGrid w:val="0"/>
        <w:spacing w:line="360" w:lineRule="auto"/>
        <w:rPr>
          <w:rFonts w:ascii="宋体" w:hAnsi="宋体" w:cs="宋体"/>
          <w:b/>
          <w:sz w:val="28"/>
          <w:szCs w:val="28"/>
        </w:rPr>
      </w:pPr>
      <w:r>
        <w:rPr>
          <w:rFonts w:hint="eastAsia" w:ascii="宋体" w:hAnsi="宋体" w:cs="宋体"/>
          <w:b/>
          <w:sz w:val="28"/>
          <w:szCs w:val="28"/>
        </w:rPr>
        <w:t>第八部分、违约责任</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第十九条</w:t>
      </w:r>
      <w:r>
        <w:rPr>
          <w:rFonts w:hint="eastAsia" w:ascii="宋体" w:hAnsi="宋体" w:cs="宋体"/>
          <w:sz w:val="24"/>
        </w:rPr>
        <w:t xml:space="preserve"> 违反本合同约定，违约方应当按照《中华人民共和国民法典》有关的规定承担违约责任。</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第二十条 </w:t>
      </w:r>
      <w:r>
        <w:rPr>
          <w:rFonts w:hint="eastAsia" w:ascii="宋体" w:hAnsi="宋体" w:cs="宋体"/>
          <w:sz w:val="24"/>
        </w:rPr>
        <w:t>如乙方未按合同规定的时间提供技术维护工作（包括因验收不合格进行补救导致的逾期），则每逾期一日，乙方应按合同总额的0.5%计算，向甲方支付逾期履行违约金，延期超过15日的，甲方有权以书面通知的形式解除合同，乙方应退还全部合同款并按合同总价款的20％向甲方支付违约金，违约金不足以弥补甲方损失的，乙方应予以补足。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甲方有权随时对乙方的工作进行监督、检查，乙方有义务按甲方要求向甲方说明工作进行情况。如乙方工作不符合本合同的约定或对甲方造成损失的，甲方有权以书面通知的方式要求乙方进行整改，违反3次以上的（包括3次），甲方有权以书面通知的方式解除本合同，乙方应退还全部合同款并按合同总价款的20％向甲方支付违约金，违约金不足以弥补甲方损失的，乙方应予以补足。</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乙方违反合同约定的保密条款，除立即停止违约行为外，还应当向甲方支付合同总额 20 %的违约金，甲方有权单方以书面通知方式解除合同，违约金不足以弥补甲方损失的，乙方应予以补足。</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乙方保证其提交的项目成果及技术维护符合法律、法规并不侵犯其他人合法权益。若乙方违反本条约定，由此产生的纠纷及法律责任均由乙方负责解决并承担相应责任，同时，甲方还有权以书面通知方式解除本合同，乙方应退还甲方已支付的全部款项，向甲方支付合同总额20%的违约金并赔偿因此给甲方造成的全部损失。该损失包括但不限于甲方经济利益的减损、甲方为证实乙方之违约行为所支出的各项调查取证、公证费用，甲方为寻求救济而支付的诉讼费用、保全费、律师代理费、咨询费以及法院执行费用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除本合同另有约定外，乙方违反合同约定义务或未按甲方要求提供技术维护的，经甲方催告后</w:t>
      </w:r>
      <w:r>
        <w:rPr>
          <w:rFonts w:hint="eastAsia" w:ascii="宋体" w:hAnsi="宋体" w:cs="宋体"/>
          <w:sz w:val="24"/>
          <w:u w:val="single"/>
        </w:rPr>
        <w:t>10</w:t>
      </w:r>
      <w:r>
        <w:rPr>
          <w:rFonts w:hint="eastAsia" w:ascii="宋体" w:hAnsi="宋体" w:cs="宋体"/>
          <w:sz w:val="24"/>
        </w:rPr>
        <w:t>日内仍拒不改正的，甲方有权以书面通知方式解除本合同，乙方应退还全部合同款并按合同总价款的20％向甲方支付违约金，违约金不足以弥补甲方损失的，乙方应予以补足。</w:t>
      </w:r>
    </w:p>
    <w:p>
      <w:pPr>
        <w:adjustRightInd w:val="0"/>
        <w:snapToGrid w:val="0"/>
        <w:spacing w:line="360" w:lineRule="auto"/>
        <w:ind w:firstLine="480" w:firstLineChars="200"/>
        <w:jc w:val="left"/>
        <w:rPr>
          <w:rFonts w:ascii="宋体" w:hAnsi="宋体" w:cs="宋体"/>
          <w:sz w:val="24"/>
        </w:rPr>
      </w:pPr>
      <w:r>
        <w:rPr>
          <w:rFonts w:hint="eastAsia" w:ascii="宋体" w:hAnsi="宋体" w:cs="宋体"/>
          <w:sz w:val="24"/>
        </w:rPr>
        <w:t>若因乙方的原因给甲方造成损失的，该损失包括但不限于甲方经济利益的减损、甲方为证实乙方之违约行为所支出的各项调查取证、公证费用，甲方为寻求救济而支付的诉讼费用、保全费、律师代理费、咨询费以及法院执行费用等。</w:t>
      </w:r>
    </w:p>
    <w:p>
      <w:pPr>
        <w:widowControl/>
        <w:adjustRightInd w:val="0"/>
        <w:snapToGrid w:val="0"/>
        <w:spacing w:line="360" w:lineRule="auto"/>
        <w:ind w:firstLine="480" w:firstLineChars="200"/>
        <w:jc w:val="left"/>
      </w:pPr>
      <w:bookmarkStart w:id="859" w:name="auto_fouce_26"/>
      <w:bookmarkEnd w:id="859"/>
      <w:r>
        <w:rPr>
          <w:rFonts w:hint="eastAsia" w:ascii="宋体" w:hAnsi="宋体" w:cs="宋体"/>
          <w:sz w:val="24"/>
        </w:rPr>
        <w:t>若乙方未按合同约定完成技术维护服务，甲方有权在应付未付款项中直接扣除相应违约金，不足部分有权向乙方追偿。</w:t>
      </w:r>
    </w:p>
    <w:p>
      <w:pPr>
        <w:adjustRightInd w:val="0"/>
        <w:snapToGrid w:val="0"/>
        <w:spacing w:line="360" w:lineRule="auto"/>
        <w:ind w:firstLine="482" w:firstLineChars="200"/>
        <w:rPr>
          <w:rFonts w:ascii="宋体" w:hAnsi="宋体" w:cs="宋体"/>
          <w:sz w:val="24"/>
        </w:rPr>
      </w:pPr>
      <w:r>
        <w:rPr>
          <w:rFonts w:hint="eastAsia" w:ascii="宋体" w:hAnsi="宋体" w:cs="宋体"/>
          <w:b/>
          <w:sz w:val="24"/>
        </w:rPr>
        <w:t>第二十一条</w:t>
      </w:r>
      <w:r>
        <w:rPr>
          <w:rFonts w:hint="eastAsia" w:ascii="宋体" w:hAnsi="宋体" w:cs="宋体"/>
          <w:b/>
          <w:color w:val="FF0000"/>
          <w:sz w:val="24"/>
        </w:rPr>
        <w:t xml:space="preserve"> </w:t>
      </w:r>
      <w:r>
        <w:rPr>
          <w:rFonts w:hint="eastAsia" w:ascii="宋体" w:hAnsi="宋体" w:cs="宋体"/>
          <w:sz w:val="24"/>
        </w:rPr>
        <w:t>乙方保证不因其自身对外债务导致甲方或本项目的款项被任何机关查封、追偿。否则，甲方有权以书面通知方式解除本合同，乙方应退还全部合同款并按合同总价款的20％向甲方支付违约金，违约金不足以弥补甲方损失的，乙方应予以补足。</w:t>
      </w:r>
    </w:p>
    <w:p>
      <w:pPr>
        <w:adjustRightInd w:val="0"/>
        <w:snapToGrid w:val="0"/>
        <w:spacing w:line="360" w:lineRule="auto"/>
        <w:rPr>
          <w:rFonts w:ascii="宋体" w:hAnsi="宋体" w:cs="宋体"/>
          <w:sz w:val="24"/>
        </w:rPr>
      </w:pPr>
      <w:r>
        <w:rPr>
          <w:rFonts w:hint="eastAsia" w:ascii="宋体" w:hAnsi="宋体" w:cs="宋体"/>
          <w:b/>
          <w:sz w:val="28"/>
          <w:szCs w:val="28"/>
        </w:rPr>
        <w:t>第九部分、不可抗力</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第二十二条 </w:t>
      </w:r>
      <w:r>
        <w:rPr>
          <w:rFonts w:hint="eastAsia" w:ascii="宋体" w:hAnsi="宋体" w:cs="宋体"/>
          <w:sz w:val="24"/>
        </w:rPr>
        <w:t>除非合同中另有约定，在本条中，不可抗力事件系指甲方和乙方都不可预见、不可避免、不能克服的超出认识控制和防范能力的事件。这类事件使合同一方的履约变得不可能或非法。不可抗力包括：</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1.天灾（地震、洪水、火灾、台风、雷击等）；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2.战争；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3.由于适用法律的变更或任何适用的后继法规的颁布导致本合同的履行不再合法；</w:t>
      </w:r>
    </w:p>
    <w:p>
      <w:pPr>
        <w:pStyle w:val="2"/>
        <w:adjustRightInd w:val="0"/>
        <w:snapToGrid w:val="0"/>
        <w:spacing w:line="360" w:lineRule="auto"/>
        <w:rPr>
          <w:rFonts w:ascii="宋体" w:hAnsi="宋体" w:cs="宋体"/>
          <w:sz w:val="24"/>
        </w:rPr>
      </w:pPr>
      <w:r>
        <w:rPr>
          <w:rFonts w:hint="eastAsia" w:ascii="宋体" w:hAnsi="宋体" w:cs="宋体"/>
          <w:sz w:val="24"/>
        </w:rPr>
        <w:t>4.其他合同双方一致认可属于不可抗力的事故。</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第二十三条 </w:t>
      </w:r>
      <w:r>
        <w:rPr>
          <w:rFonts w:hint="eastAsia" w:ascii="宋体" w:hAnsi="宋体" w:cs="宋体"/>
          <w:sz w:val="24"/>
        </w:rPr>
        <w:t>甲乙双方任何一方对由于不可抗力造成的部分或全部不能履行本合同，不负责任，但应在条件允许下采取一切必要的补救措施，以减少因不可抗力造成的损失，否则须就损失扩大的部分承担赔偿责任。当事人延迟履行后发生不可抗力的，不能免除责任。</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第二十四条 </w:t>
      </w:r>
      <w:r>
        <w:rPr>
          <w:rFonts w:hint="eastAsia" w:ascii="宋体" w:hAnsi="宋体" w:cs="宋体"/>
          <w:sz w:val="24"/>
        </w:rPr>
        <w:t>遇有不可抗力的一方应在24小时内将事件的情况以书面形式通知另一方，并且在事件发生后2日内向另一方提交合同不能履行或部分不能履行或需要延期履行理由的报告。不可抗力发生期间，甲方可相应扣减维护费。</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第二十五条</w:t>
      </w:r>
      <w:r>
        <w:rPr>
          <w:rFonts w:hint="eastAsia" w:ascii="宋体" w:hAnsi="宋体" w:cs="宋体"/>
          <w:sz w:val="24"/>
        </w:rPr>
        <w:t xml:space="preserve"> 如果不可抗力影响时间延续45天以上的，双方应通过友好协商在合理的时间内达成进一步变更合同或解除合同的书面协议；协商不成的，甲方有权书面通知乙方解除本合同。</w:t>
      </w:r>
    </w:p>
    <w:p>
      <w:pPr>
        <w:widowControl/>
        <w:tabs>
          <w:tab w:val="left" w:pos="1440"/>
        </w:tabs>
        <w:adjustRightInd w:val="0"/>
        <w:snapToGrid w:val="0"/>
        <w:spacing w:line="360" w:lineRule="auto"/>
        <w:jc w:val="left"/>
        <w:rPr>
          <w:rFonts w:ascii="宋体" w:hAnsi="宋体" w:cs="宋体"/>
          <w:sz w:val="24"/>
        </w:rPr>
      </w:pPr>
      <w:r>
        <w:rPr>
          <w:rFonts w:hint="eastAsia" w:ascii="宋体" w:hAnsi="宋体" w:cs="宋体"/>
          <w:b/>
          <w:sz w:val="28"/>
          <w:szCs w:val="28"/>
        </w:rPr>
        <w:t>第十部分 技术支持与维护</w:t>
      </w:r>
    </w:p>
    <w:p>
      <w:pPr>
        <w:widowControl/>
        <w:tabs>
          <w:tab w:val="left" w:pos="1440"/>
        </w:tabs>
        <w:adjustRightInd w:val="0"/>
        <w:snapToGrid w:val="0"/>
        <w:spacing w:line="360" w:lineRule="auto"/>
        <w:ind w:firstLine="241" w:firstLineChars="100"/>
        <w:jc w:val="left"/>
        <w:rPr>
          <w:rFonts w:ascii="宋体" w:hAnsi="宋体" w:cs="宋体"/>
        </w:rPr>
      </w:pPr>
      <w:r>
        <w:rPr>
          <w:rFonts w:hint="eastAsia" w:ascii="宋体" w:hAnsi="宋体" w:cs="宋体"/>
          <w:b/>
          <w:sz w:val="24"/>
        </w:rPr>
        <w:t>第二十六条</w:t>
      </w:r>
      <w:r>
        <w:rPr>
          <w:rFonts w:hint="eastAsia" w:ascii="宋体" w:hAnsi="宋体" w:cs="宋体"/>
          <w:sz w:val="24"/>
        </w:rPr>
        <w:t>具体技术支持及维护参数详见甲方</w:t>
      </w:r>
      <w:r>
        <w:rPr>
          <w:rFonts w:hint="eastAsia" w:asciiTheme="minorEastAsia" w:hAnsiTheme="minorEastAsia" w:eastAsiaTheme="minorEastAsia" w:cstheme="minorEastAsia"/>
          <w:sz w:val="24"/>
          <w:u w:val="single"/>
        </w:rPr>
        <w:t>2026年网络安全技术维护</w:t>
      </w:r>
      <w:r>
        <w:rPr>
          <w:rFonts w:hint="eastAsia" w:ascii="宋体" w:hAnsi="宋体" w:cs="宋体"/>
          <w:sz w:val="24"/>
        </w:rPr>
        <w:t>项目招标文件（项目编号：</w:t>
      </w:r>
      <w:r>
        <w:rPr>
          <w:rFonts w:hint="eastAsia" w:ascii="宋体" w:hAnsi="宋体" w:cs="宋体"/>
          <w:sz w:val="24"/>
          <w:u w:val="single"/>
        </w:rPr>
        <w:t xml:space="preserve">XXXX </w:t>
      </w:r>
      <w:r>
        <w:rPr>
          <w:rFonts w:hint="eastAsia" w:ascii="宋体" w:hAnsi="宋体" w:cs="宋体"/>
          <w:sz w:val="24"/>
        </w:rPr>
        <w:t>）中“项目需求”部分，及乙方的招标文件描述。</w:t>
      </w:r>
    </w:p>
    <w:p>
      <w:pPr>
        <w:adjustRightInd w:val="0"/>
        <w:snapToGrid w:val="0"/>
        <w:spacing w:line="360" w:lineRule="auto"/>
        <w:rPr>
          <w:rFonts w:ascii="宋体" w:hAnsi="宋体" w:cs="宋体"/>
          <w:b/>
          <w:sz w:val="28"/>
          <w:szCs w:val="28"/>
        </w:rPr>
      </w:pPr>
      <w:r>
        <w:rPr>
          <w:rFonts w:hint="eastAsia" w:ascii="宋体" w:hAnsi="宋体" w:cs="宋体"/>
          <w:b/>
          <w:sz w:val="28"/>
          <w:szCs w:val="28"/>
        </w:rPr>
        <w:t>第十一部分、争议解决</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第二十七条 </w:t>
      </w:r>
      <w:r>
        <w:rPr>
          <w:rFonts w:hint="eastAsia" w:ascii="宋体" w:hAnsi="宋体" w:cs="宋体"/>
          <w:sz w:val="24"/>
        </w:rPr>
        <w:t>因合同发生的争议，合同当事人双方可通过协商解决。协商不成的，双方均有权向甲方所在地有管辖权的人民法院提起诉讼。</w:t>
      </w:r>
    </w:p>
    <w:p>
      <w:pPr>
        <w:adjustRightInd w:val="0"/>
        <w:snapToGrid w:val="0"/>
        <w:spacing w:line="360" w:lineRule="auto"/>
        <w:rPr>
          <w:rFonts w:ascii="宋体" w:hAnsi="宋体" w:cs="宋体"/>
          <w:b/>
          <w:sz w:val="28"/>
          <w:szCs w:val="28"/>
        </w:rPr>
      </w:pPr>
      <w:r>
        <w:rPr>
          <w:rFonts w:hint="eastAsia" w:ascii="宋体" w:hAnsi="宋体" w:cs="宋体"/>
          <w:b/>
          <w:sz w:val="28"/>
          <w:szCs w:val="28"/>
        </w:rPr>
        <w:t>第十二部分、合同生效及其他</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 xml:space="preserve">第二十八条 </w:t>
      </w:r>
      <w:r>
        <w:rPr>
          <w:rFonts w:hint="eastAsia" w:ascii="宋体" w:hAnsi="宋体" w:cs="宋体"/>
          <w:sz w:val="24"/>
        </w:rPr>
        <w:t>如有未尽事宜，须经双方共同协商，做出补充协议，补充协议经双方法定代表人或授权人签字并加盖公章后与本合同具有同等法律效力。双方协商书面同意的有关修改合同的文书、图表等，也是合同的组成部分。</w:t>
      </w:r>
    </w:p>
    <w:p>
      <w:pPr>
        <w:adjustRightInd w:val="0"/>
        <w:snapToGrid w:val="0"/>
        <w:spacing w:line="360" w:lineRule="auto"/>
        <w:ind w:firstLine="241" w:firstLineChars="100"/>
        <w:rPr>
          <w:rFonts w:ascii="宋体" w:hAnsi="宋体" w:cs="宋体"/>
          <w:sz w:val="24"/>
        </w:rPr>
      </w:pPr>
      <w:r>
        <w:rPr>
          <w:rFonts w:hint="eastAsia" w:ascii="宋体" w:hAnsi="宋体" w:cs="宋体"/>
          <w:b/>
          <w:sz w:val="24"/>
        </w:rPr>
        <w:t>第二十九条</w:t>
      </w:r>
      <w:r>
        <w:rPr>
          <w:rFonts w:hint="eastAsia" w:ascii="宋体" w:hAnsi="宋体" w:cs="宋体"/>
          <w:sz w:val="24"/>
        </w:rPr>
        <w:t xml:space="preserve"> 合同自法定代表人或委托代理人签字并盖公章之日起生效。</w:t>
      </w:r>
    </w:p>
    <w:p>
      <w:pPr>
        <w:pStyle w:val="30"/>
        <w:adjustRightInd w:val="0"/>
        <w:snapToGrid w:val="0"/>
        <w:spacing w:line="360" w:lineRule="auto"/>
        <w:ind w:firstLine="241" w:firstLineChars="100"/>
        <w:rPr>
          <w:rFonts w:hint="default" w:hAnsi="宋体" w:cs="宋体"/>
          <w:sz w:val="24"/>
        </w:rPr>
      </w:pPr>
      <w:r>
        <w:rPr>
          <w:rFonts w:hAnsi="宋体" w:cs="宋体"/>
          <w:b/>
          <w:sz w:val="24"/>
        </w:rPr>
        <w:t>第三十条</w:t>
      </w:r>
      <w:r>
        <w:rPr>
          <w:rFonts w:hAnsi="宋体" w:cs="宋体"/>
          <w:sz w:val="24"/>
        </w:rPr>
        <w:t xml:space="preserve"> 合同正本一式</w:t>
      </w:r>
      <w:r>
        <w:rPr>
          <w:rFonts w:hAnsi="宋体" w:cs="宋体"/>
          <w:sz w:val="24"/>
          <w:u w:val="single"/>
        </w:rPr>
        <w:t xml:space="preserve"> 陆 </w:t>
      </w:r>
      <w:r>
        <w:rPr>
          <w:rFonts w:hAnsi="宋体" w:cs="宋体"/>
          <w:sz w:val="24"/>
        </w:rPr>
        <w:t>份，甲乙双方各执</w:t>
      </w:r>
      <w:r>
        <w:rPr>
          <w:rFonts w:hAnsi="宋体" w:cs="宋体"/>
          <w:sz w:val="24"/>
          <w:u w:val="single"/>
        </w:rPr>
        <w:t xml:space="preserve"> 叁 </w:t>
      </w:r>
      <w:r>
        <w:rPr>
          <w:rFonts w:hAnsi="宋体" w:cs="宋体"/>
          <w:sz w:val="24"/>
        </w:rPr>
        <w:t>份，具有同等法律效力。</w:t>
      </w:r>
    </w:p>
    <w:p>
      <w:pPr>
        <w:widowControl/>
        <w:adjustRightInd w:val="0"/>
        <w:snapToGrid w:val="0"/>
        <w:spacing w:line="360" w:lineRule="auto"/>
        <w:ind w:firstLine="241" w:firstLineChars="100"/>
        <w:jc w:val="left"/>
        <w:rPr>
          <w:rFonts w:ascii="宋体" w:hAnsi="宋体" w:cs="宋体"/>
          <w:bCs/>
          <w:sz w:val="24"/>
        </w:rPr>
      </w:pPr>
      <w:r>
        <w:rPr>
          <w:rFonts w:hint="eastAsia" w:ascii="宋体" w:hAnsi="宋体" w:cs="宋体"/>
          <w:b/>
          <w:sz w:val="24"/>
        </w:rPr>
        <w:t xml:space="preserve">第三十一条 </w:t>
      </w:r>
      <w:r>
        <w:rPr>
          <w:rFonts w:hint="eastAsia" w:ascii="宋体" w:hAnsi="宋体" w:cs="宋体"/>
          <w:bCs/>
          <w:sz w:val="24"/>
          <w:lang w:bidi="ar"/>
        </w:rPr>
        <w:t>双方确认本合同签署页载明的通讯地址为各方履行本合同及争议解决相关所有通知、文书的法定送达地址，任何书面通知按该地址寄出后三日内即视为有效送达。若任何一方变更送达地址，应当提前七日书面通知对方，未通知的，按原地址送达仍视为有效送达。</w:t>
      </w:r>
    </w:p>
    <w:p>
      <w:pPr>
        <w:tabs>
          <w:tab w:val="left" w:pos="1440"/>
        </w:tabs>
        <w:spacing w:line="360" w:lineRule="auto"/>
        <w:ind w:left="400"/>
        <w:rPr>
          <w:rFonts w:asciiTheme="minorEastAsia" w:hAnsiTheme="minorEastAsia" w:eastAsiaTheme="minorEastAsia" w:cstheme="minorEastAsia"/>
          <w:sz w:val="24"/>
        </w:rPr>
      </w:pPr>
    </w:p>
    <w:p>
      <w:pPr>
        <w:tabs>
          <w:tab w:val="left" w:pos="1440"/>
        </w:tabs>
        <w:spacing w:line="360" w:lineRule="auto"/>
        <w:ind w:left="4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 xml:space="preserve">附件： </w:t>
      </w:r>
      <w:r>
        <w:rPr>
          <w:rFonts w:hint="eastAsia" w:asciiTheme="minorEastAsia" w:hAnsiTheme="minorEastAsia" w:eastAsiaTheme="minorEastAsia" w:cstheme="minorEastAsia"/>
          <w:sz w:val="24"/>
          <w:u w:val="single"/>
        </w:rPr>
        <w:t>2026年网络安全技术维护项目保密条款</w:t>
      </w:r>
    </w:p>
    <w:p>
      <w:pPr>
        <w:tabs>
          <w:tab w:val="left" w:pos="0"/>
          <w:tab w:val="left" w:pos="510"/>
          <w:tab w:val="left" w:pos="567"/>
          <w:tab w:val="left" w:pos="601"/>
        </w:tabs>
        <w:spacing w:line="360" w:lineRule="auto"/>
        <w:ind w:firstLine="480" w:firstLineChars="200"/>
        <w:rPr>
          <w:rFonts w:asciiTheme="minorEastAsia" w:hAnsiTheme="minorEastAsia" w:eastAsiaTheme="minorEastAsia" w:cstheme="minorEastAsia"/>
          <w:sz w:val="24"/>
        </w:rPr>
      </w:pPr>
    </w:p>
    <w:p>
      <w:pPr>
        <w:spacing w:line="36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（以下无正文）</w:t>
      </w:r>
    </w:p>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br w:type="page"/>
      </w:r>
    </w:p>
    <w:p>
      <w:pPr>
        <w:ind w:firstLine="480"/>
        <w:rPr>
          <w:rFonts w:asciiTheme="minorEastAsia" w:hAnsiTheme="minorEastAsia" w:eastAsiaTheme="minorEastAsia" w:cstheme="minorEastAsia"/>
        </w:rPr>
      </w:pPr>
    </w:p>
    <w:tbl>
      <w:tblPr>
        <w:tblStyle w:val="5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15"/>
        <w:gridCol w:w="2541"/>
        <w:gridCol w:w="117"/>
        <w:gridCol w:w="732"/>
        <w:gridCol w:w="1129"/>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736" w:type="dxa"/>
            <w:vMerge w:val="restart"/>
            <w:textDirection w:val="tbRlV"/>
            <w:vAlign w:val="center"/>
          </w:tcPr>
          <w:p>
            <w:pPr>
              <w:spacing w:line="500" w:lineRule="exact"/>
              <w:ind w:left="113" w:right="113"/>
              <w:jc w:val="center"/>
              <w:rPr>
                <w:rFonts w:asciiTheme="minorEastAsia" w:hAnsiTheme="minorEastAsia" w:eastAsiaTheme="minorEastAsia" w:cstheme="minorEastAsia"/>
                <w:spacing w:val="20"/>
                <w:sz w:val="24"/>
              </w:rPr>
            </w:pPr>
            <w:r>
              <w:rPr>
                <w:rFonts w:hint="eastAsia" w:asciiTheme="minorEastAsia" w:hAnsiTheme="minorEastAsia" w:eastAsiaTheme="minorEastAsia" w:cstheme="minorEastAsia"/>
                <w:spacing w:val="20"/>
                <w:sz w:val="24"/>
              </w:rPr>
              <w:t>委托人（甲方）</w:t>
            </w:r>
          </w:p>
        </w:tc>
        <w:tc>
          <w:tcPr>
            <w:tcW w:w="1915" w:type="dxa"/>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名称(或姓名)</w:t>
            </w:r>
          </w:p>
        </w:tc>
        <w:tc>
          <w:tcPr>
            <w:tcW w:w="4519" w:type="dxa"/>
            <w:gridSpan w:val="4"/>
            <w:vAlign w:val="center"/>
          </w:tcPr>
          <w:p>
            <w:pPr>
              <w:spacing w:line="60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北京市城市运行管理事务中心</w:t>
            </w:r>
          </w:p>
        </w:tc>
        <w:tc>
          <w:tcPr>
            <w:tcW w:w="2118" w:type="dxa"/>
            <w:vMerge w:val="restart"/>
          </w:tcPr>
          <w:p>
            <w:pPr>
              <w:spacing w:line="600" w:lineRule="exact"/>
              <w:jc w:val="center"/>
              <w:rPr>
                <w:rFonts w:asciiTheme="minorEastAsia" w:hAnsiTheme="minorEastAsia" w:eastAsiaTheme="minorEastAsia" w:cstheme="minorEastAsia"/>
                <w:sz w:val="24"/>
              </w:rPr>
            </w:pPr>
          </w:p>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单位公章</w:t>
            </w:r>
          </w:p>
          <w:p>
            <w:pPr>
              <w:spacing w:line="600" w:lineRule="exact"/>
              <w:jc w:val="right"/>
              <w:rPr>
                <w:rFonts w:asciiTheme="minorEastAsia" w:hAnsiTheme="minorEastAsia" w:eastAsiaTheme="minorEastAsia" w:cstheme="minorEastAsia"/>
                <w:sz w:val="24"/>
              </w:rPr>
            </w:pPr>
          </w:p>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年  月  日</w:t>
            </w:r>
          </w:p>
          <w:p>
            <w:pPr>
              <w:spacing w:line="600" w:lineRule="exact"/>
              <w:jc w:val="right"/>
              <w:rPr>
                <w:rFonts w:asciiTheme="minorEastAsia" w:hAnsiTheme="minorEastAsia" w:eastAsiaTheme="minorEastAsia" w:cstheme="minorEastAsia"/>
                <w:sz w:val="24"/>
              </w:rPr>
            </w:pPr>
          </w:p>
          <w:p>
            <w:pPr>
              <w:spacing w:line="600" w:lineRule="exact"/>
              <w:jc w:val="right"/>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exact"/>
          <w:jc w:val="center"/>
        </w:trPr>
        <w:tc>
          <w:tcPr>
            <w:tcW w:w="736" w:type="dxa"/>
            <w:vMerge w:val="continue"/>
            <w:vAlign w:val="center"/>
          </w:tcPr>
          <w:p>
            <w:pPr>
              <w:rPr>
                <w:rFonts w:asciiTheme="minorEastAsia" w:hAnsiTheme="minorEastAsia" w:eastAsiaTheme="minorEastAsia" w:cstheme="minorEastAsia"/>
                <w:spacing w:val="20"/>
                <w:sz w:val="24"/>
              </w:rPr>
            </w:pPr>
          </w:p>
        </w:tc>
        <w:tc>
          <w:tcPr>
            <w:tcW w:w="1915" w:type="dxa"/>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w:t>
            </w:r>
          </w:p>
        </w:tc>
        <w:tc>
          <w:tcPr>
            <w:tcW w:w="4519" w:type="dxa"/>
            <w:gridSpan w:val="4"/>
            <w:vAlign w:val="center"/>
          </w:tcPr>
          <w:p>
            <w:pPr>
              <w:spacing w:line="600" w:lineRule="exact"/>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(签字或盖章)</w:t>
            </w:r>
          </w:p>
        </w:tc>
        <w:tc>
          <w:tcPr>
            <w:tcW w:w="2118" w:type="dxa"/>
            <w:vMerge w:val="continue"/>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exact"/>
          <w:jc w:val="center"/>
        </w:trPr>
        <w:tc>
          <w:tcPr>
            <w:tcW w:w="736" w:type="dxa"/>
            <w:vMerge w:val="continue"/>
            <w:vAlign w:val="center"/>
          </w:tcPr>
          <w:p>
            <w:pPr>
              <w:rPr>
                <w:rFonts w:asciiTheme="minorEastAsia" w:hAnsiTheme="minorEastAsia" w:eastAsiaTheme="minorEastAsia" w:cstheme="minorEastAsia"/>
                <w:spacing w:val="20"/>
                <w:sz w:val="24"/>
              </w:rPr>
            </w:pPr>
          </w:p>
        </w:tc>
        <w:tc>
          <w:tcPr>
            <w:tcW w:w="1915" w:type="dxa"/>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委托代理人</w:t>
            </w:r>
          </w:p>
        </w:tc>
        <w:tc>
          <w:tcPr>
            <w:tcW w:w="4519" w:type="dxa"/>
            <w:gridSpan w:val="4"/>
            <w:vAlign w:val="center"/>
          </w:tcPr>
          <w:p>
            <w:pPr>
              <w:spacing w:line="600" w:lineRule="exact"/>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(签字或盖章)</w:t>
            </w:r>
          </w:p>
        </w:tc>
        <w:tc>
          <w:tcPr>
            <w:tcW w:w="2118" w:type="dxa"/>
            <w:vMerge w:val="continue"/>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736" w:type="dxa"/>
            <w:vMerge w:val="continue"/>
            <w:vAlign w:val="center"/>
          </w:tcPr>
          <w:p>
            <w:pPr>
              <w:rPr>
                <w:rFonts w:asciiTheme="minorEastAsia" w:hAnsiTheme="minorEastAsia" w:eastAsiaTheme="minorEastAsia" w:cstheme="minorEastAsia"/>
                <w:spacing w:val="20"/>
                <w:sz w:val="24"/>
              </w:rPr>
            </w:pPr>
          </w:p>
        </w:tc>
        <w:tc>
          <w:tcPr>
            <w:tcW w:w="1915" w:type="dxa"/>
            <w:vMerge w:val="restart"/>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住  所</w:t>
            </w:r>
          </w:p>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(通讯地址)</w:t>
            </w:r>
          </w:p>
        </w:tc>
        <w:tc>
          <w:tcPr>
            <w:tcW w:w="2658" w:type="dxa"/>
            <w:gridSpan w:val="2"/>
            <w:vMerge w:val="restart"/>
            <w:vAlign w:val="center"/>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北京市西城区广安门内317号</w:t>
            </w:r>
          </w:p>
        </w:tc>
        <w:tc>
          <w:tcPr>
            <w:tcW w:w="732" w:type="dxa"/>
            <w:vMerge w:val="restart"/>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邮政</w:t>
            </w:r>
          </w:p>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编码</w:t>
            </w:r>
          </w:p>
        </w:tc>
        <w:tc>
          <w:tcPr>
            <w:tcW w:w="1129" w:type="dxa"/>
            <w:vMerge w:val="restart"/>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100053</w:t>
            </w:r>
          </w:p>
        </w:tc>
        <w:tc>
          <w:tcPr>
            <w:tcW w:w="2118" w:type="dxa"/>
            <w:vMerge w:val="continue"/>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736" w:type="dxa"/>
            <w:vMerge w:val="continue"/>
            <w:vAlign w:val="center"/>
          </w:tcPr>
          <w:p>
            <w:pPr>
              <w:rPr>
                <w:rFonts w:asciiTheme="minorEastAsia" w:hAnsiTheme="minorEastAsia" w:eastAsiaTheme="minorEastAsia" w:cstheme="minorEastAsia"/>
                <w:spacing w:val="20"/>
                <w:sz w:val="24"/>
              </w:rPr>
            </w:pPr>
          </w:p>
        </w:tc>
        <w:tc>
          <w:tcPr>
            <w:tcW w:w="1915" w:type="dxa"/>
            <w:vMerge w:val="continue"/>
            <w:vAlign w:val="center"/>
          </w:tcPr>
          <w:p>
            <w:pPr>
              <w:rPr>
                <w:rFonts w:asciiTheme="minorEastAsia" w:hAnsiTheme="minorEastAsia" w:eastAsiaTheme="minorEastAsia" w:cstheme="minorEastAsia"/>
                <w:sz w:val="24"/>
              </w:rPr>
            </w:pPr>
          </w:p>
        </w:tc>
        <w:tc>
          <w:tcPr>
            <w:tcW w:w="2658" w:type="dxa"/>
            <w:gridSpan w:val="2"/>
            <w:vMerge w:val="continue"/>
            <w:vAlign w:val="center"/>
          </w:tcPr>
          <w:p>
            <w:pPr>
              <w:rPr>
                <w:rFonts w:asciiTheme="minorEastAsia" w:hAnsiTheme="minorEastAsia" w:eastAsiaTheme="minorEastAsia" w:cstheme="minorEastAsia"/>
                <w:sz w:val="24"/>
              </w:rPr>
            </w:pPr>
          </w:p>
        </w:tc>
        <w:tc>
          <w:tcPr>
            <w:tcW w:w="732" w:type="dxa"/>
            <w:vMerge w:val="continue"/>
            <w:vAlign w:val="center"/>
          </w:tcPr>
          <w:p>
            <w:pPr>
              <w:rPr>
                <w:rFonts w:asciiTheme="minorEastAsia" w:hAnsiTheme="minorEastAsia" w:eastAsiaTheme="minorEastAsia" w:cstheme="minorEastAsia"/>
                <w:sz w:val="24"/>
              </w:rPr>
            </w:pPr>
          </w:p>
        </w:tc>
        <w:tc>
          <w:tcPr>
            <w:tcW w:w="1129" w:type="dxa"/>
            <w:vMerge w:val="continue"/>
            <w:vAlign w:val="center"/>
          </w:tcPr>
          <w:p>
            <w:pPr>
              <w:rPr>
                <w:rFonts w:asciiTheme="minorEastAsia" w:hAnsiTheme="minorEastAsia" w:eastAsiaTheme="minorEastAsia" w:cstheme="minorEastAsia"/>
                <w:sz w:val="24"/>
              </w:rPr>
            </w:pPr>
          </w:p>
        </w:tc>
        <w:tc>
          <w:tcPr>
            <w:tcW w:w="2118" w:type="dxa"/>
            <w:vMerge w:val="continue"/>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736" w:type="dxa"/>
            <w:vMerge w:val="restart"/>
            <w:textDirection w:val="tbRlV"/>
            <w:vAlign w:val="center"/>
          </w:tcPr>
          <w:p>
            <w:pPr>
              <w:spacing w:line="500" w:lineRule="exact"/>
              <w:ind w:left="113" w:right="113"/>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承担单位(乙方)</w:t>
            </w:r>
          </w:p>
        </w:tc>
        <w:tc>
          <w:tcPr>
            <w:tcW w:w="1915" w:type="dxa"/>
            <w:vAlign w:val="center"/>
          </w:tcPr>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名称(或姓名)</w:t>
            </w:r>
          </w:p>
        </w:tc>
        <w:tc>
          <w:tcPr>
            <w:tcW w:w="4519" w:type="dxa"/>
            <w:gridSpan w:val="4"/>
            <w:vAlign w:val="center"/>
          </w:tcPr>
          <w:p>
            <w:pPr>
              <w:spacing w:line="60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p>
        </w:tc>
        <w:tc>
          <w:tcPr>
            <w:tcW w:w="2118" w:type="dxa"/>
            <w:vMerge w:val="restart"/>
          </w:tcPr>
          <w:p>
            <w:pPr>
              <w:spacing w:line="600" w:lineRule="exact"/>
              <w:ind w:left="360" w:leftChars="57" w:hanging="240" w:hangingChars="100"/>
              <w:jc w:val="center"/>
              <w:rPr>
                <w:rFonts w:asciiTheme="minorEastAsia" w:hAnsiTheme="minorEastAsia" w:eastAsiaTheme="minorEastAsia" w:cstheme="minorEastAsia"/>
                <w:sz w:val="24"/>
              </w:rPr>
            </w:pPr>
          </w:p>
          <w:p>
            <w:pPr>
              <w:spacing w:line="600" w:lineRule="exact"/>
              <w:ind w:firstLine="240" w:firstLineChars="100"/>
              <w:jc w:val="center"/>
              <w:rPr>
                <w:rFonts w:asciiTheme="minorEastAsia" w:hAnsiTheme="minorEastAsia" w:eastAsiaTheme="minorEastAsia" w:cstheme="minorEastAsia"/>
                <w:sz w:val="24"/>
              </w:rPr>
            </w:pPr>
          </w:p>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单位公章</w:t>
            </w:r>
          </w:p>
          <w:p>
            <w:pPr>
              <w:spacing w:line="600" w:lineRule="exact"/>
              <w:rPr>
                <w:rFonts w:asciiTheme="minorEastAsia" w:hAnsiTheme="minorEastAsia" w:eastAsiaTheme="minorEastAsia" w:cstheme="minorEastAsia"/>
                <w:sz w:val="24"/>
              </w:rPr>
            </w:pPr>
          </w:p>
          <w:p>
            <w:pPr>
              <w:spacing w:line="60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736" w:type="dxa"/>
            <w:vMerge w:val="continue"/>
            <w:vAlign w:val="center"/>
          </w:tcPr>
          <w:p>
            <w:pPr>
              <w:rPr>
                <w:rFonts w:asciiTheme="minorEastAsia" w:hAnsiTheme="minorEastAsia" w:eastAsiaTheme="minorEastAsia" w:cstheme="minorEastAsia"/>
                <w:sz w:val="24"/>
              </w:rPr>
            </w:pPr>
          </w:p>
        </w:tc>
        <w:tc>
          <w:tcPr>
            <w:tcW w:w="1915" w:type="dxa"/>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法定代表人</w:t>
            </w:r>
          </w:p>
        </w:tc>
        <w:tc>
          <w:tcPr>
            <w:tcW w:w="4519" w:type="dxa"/>
            <w:gridSpan w:val="4"/>
            <w:vAlign w:val="center"/>
          </w:tcPr>
          <w:p>
            <w:pPr>
              <w:spacing w:line="600" w:lineRule="exact"/>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(签字或盖章)</w:t>
            </w:r>
          </w:p>
        </w:tc>
        <w:tc>
          <w:tcPr>
            <w:tcW w:w="2118" w:type="dxa"/>
            <w:vMerge w:val="continue"/>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exact"/>
          <w:jc w:val="center"/>
        </w:trPr>
        <w:tc>
          <w:tcPr>
            <w:tcW w:w="736" w:type="dxa"/>
            <w:vMerge w:val="continue"/>
            <w:vAlign w:val="center"/>
          </w:tcPr>
          <w:p>
            <w:pPr>
              <w:rPr>
                <w:rFonts w:asciiTheme="minorEastAsia" w:hAnsiTheme="minorEastAsia" w:eastAsiaTheme="minorEastAsia" w:cstheme="minorEastAsia"/>
                <w:sz w:val="24"/>
              </w:rPr>
            </w:pPr>
          </w:p>
        </w:tc>
        <w:tc>
          <w:tcPr>
            <w:tcW w:w="1915" w:type="dxa"/>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委托代理人</w:t>
            </w:r>
          </w:p>
        </w:tc>
        <w:tc>
          <w:tcPr>
            <w:tcW w:w="4519" w:type="dxa"/>
            <w:gridSpan w:val="4"/>
            <w:vAlign w:val="center"/>
          </w:tcPr>
          <w:p>
            <w:pPr>
              <w:spacing w:line="600" w:lineRule="exact"/>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(签字或盖章)</w:t>
            </w:r>
          </w:p>
        </w:tc>
        <w:tc>
          <w:tcPr>
            <w:tcW w:w="2118" w:type="dxa"/>
            <w:vMerge w:val="continue"/>
            <w:vAlign w:val="center"/>
          </w:tcPr>
          <w:p>
            <w:pPr>
              <w:rPr>
                <w:rFonts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2" w:hRule="atLeast"/>
          <w:jc w:val="center"/>
        </w:trPr>
        <w:tc>
          <w:tcPr>
            <w:tcW w:w="736" w:type="dxa"/>
            <w:vMerge w:val="continue"/>
            <w:vAlign w:val="center"/>
          </w:tcPr>
          <w:p>
            <w:pPr>
              <w:rPr>
                <w:rFonts w:asciiTheme="minorEastAsia" w:hAnsiTheme="minorEastAsia" w:eastAsiaTheme="minorEastAsia" w:cstheme="minorEastAsia"/>
                <w:sz w:val="24"/>
              </w:rPr>
            </w:pPr>
          </w:p>
        </w:tc>
        <w:tc>
          <w:tcPr>
            <w:tcW w:w="1915" w:type="dxa"/>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住  所</w:t>
            </w:r>
          </w:p>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(通讯地址)</w:t>
            </w:r>
          </w:p>
        </w:tc>
        <w:tc>
          <w:tcPr>
            <w:tcW w:w="2541" w:type="dxa"/>
            <w:vAlign w:val="center"/>
          </w:tcPr>
          <w:p>
            <w:pPr>
              <w:rPr>
                <w:rFonts w:asciiTheme="minorEastAsia" w:hAnsiTheme="minorEastAsia" w:eastAsiaTheme="minorEastAsia" w:cstheme="minorEastAsia"/>
                <w:sz w:val="24"/>
              </w:rPr>
            </w:pPr>
          </w:p>
          <w:p>
            <w:pPr>
              <w:rPr>
                <w:rFonts w:asciiTheme="minorEastAsia" w:hAnsiTheme="minorEastAsia" w:eastAsiaTheme="minorEastAsia" w:cstheme="minorEastAsia"/>
                <w:sz w:val="24"/>
              </w:rPr>
            </w:pPr>
          </w:p>
        </w:tc>
        <w:tc>
          <w:tcPr>
            <w:tcW w:w="849" w:type="dxa"/>
            <w:gridSpan w:val="2"/>
            <w:vAlign w:val="center"/>
          </w:tcPr>
          <w:p>
            <w:pPr>
              <w:spacing w:line="600" w:lineRule="exact"/>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邮政</w:t>
            </w:r>
          </w:p>
          <w:p>
            <w:pPr>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编码</w:t>
            </w:r>
          </w:p>
        </w:tc>
        <w:tc>
          <w:tcPr>
            <w:tcW w:w="1129" w:type="dxa"/>
            <w:vAlign w:val="center"/>
          </w:tcPr>
          <w:p>
            <w:pPr>
              <w:jc w:val="center"/>
              <w:rPr>
                <w:rFonts w:asciiTheme="minorEastAsia" w:hAnsiTheme="minorEastAsia" w:eastAsiaTheme="minorEastAsia" w:cstheme="minorEastAsia"/>
                <w:sz w:val="24"/>
              </w:rPr>
            </w:pPr>
          </w:p>
        </w:tc>
        <w:tc>
          <w:tcPr>
            <w:tcW w:w="2118" w:type="dxa"/>
            <w:vMerge w:val="continue"/>
            <w:vAlign w:val="center"/>
          </w:tcPr>
          <w:p>
            <w:pPr>
              <w:rPr>
                <w:rFonts w:asciiTheme="minorEastAsia" w:hAnsiTheme="minorEastAsia" w:eastAsiaTheme="minorEastAsia" w:cstheme="minorEastAsia"/>
                <w:sz w:val="24"/>
              </w:rPr>
            </w:pPr>
          </w:p>
        </w:tc>
      </w:tr>
    </w:tbl>
    <w:p>
      <w:pPr>
        <w:spacing w:line="360" w:lineRule="auto"/>
        <w:ind w:firstLine="480" w:firstLineChars="200"/>
        <w:contextualSpacing/>
        <w:rPr>
          <w:rFonts w:asciiTheme="minorEastAsia" w:hAnsiTheme="minorEastAsia" w:eastAsiaTheme="minorEastAsia" w:cstheme="minorEastAsia"/>
          <w:sz w:val="24"/>
        </w:rPr>
      </w:pPr>
    </w:p>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br w:type="page"/>
      </w:r>
    </w:p>
    <w:p>
      <w:pPr>
        <w:spacing w:line="360" w:lineRule="auto"/>
        <w:rPr>
          <w:rFonts w:asciiTheme="minorEastAsia" w:hAnsiTheme="minorEastAsia" w:eastAsiaTheme="minorEastAsia" w:cstheme="minorEastAsia"/>
          <w:b/>
          <w:sz w:val="28"/>
        </w:rPr>
      </w:pPr>
      <w:r>
        <w:rPr>
          <w:rFonts w:hint="eastAsia" w:asciiTheme="minorEastAsia" w:hAnsiTheme="minorEastAsia" w:eastAsiaTheme="minorEastAsia" w:cstheme="minorEastAsia"/>
          <w:b/>
          <w:sz w:val="28"/>
        </w:rPr>
        <w:t>附件：</w:t>
      </w:r>
    </w:p>
    <w:p>
      <w:pPr>
        <w:spacing w:line="360" w:lineRule="auto"/>
        <w:jc w:val="center"/>
        <w:rPr>
          <w:rFonts w:asciiTheme="minorEastAsia" w:hAnsiTheme="minorEastAsia" w:eastAsiaTheme="minorEastAsia" w:cstheme="minorEastAsia"/>
          <w:b/>
          <w:sz w:val="28"/>
        </w:rPr>
      </w:pPr>
      <w:r>
        <w:rPr>
          <w:rFonts w:hint="eastAsia" w:asciiTheme="minorEastAsia" w:hAnsiTheme="minorEastAsia" w:eastAsiaTheme="minorEastAsia" w:cstheme="minorEastAsia"/>
          <w:b/>
          <w:sz w:val="28"/>
        </w:rPr>
        <w:t>2026年网络安全技术维护项目保密条款</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鉴于，甲方：</w:t>
      </w:r>
      <w:r>
        <w:rPr>
          <w:rFonts w:hint="eastAsia" w:asciiTheme="minorEastAsia" w:hAnsiTheme="minorEastAsia" w:eastAsiaTheme="minorEastAsia" w:cstheme="minorEastAsia"/>
          <w:sz w:val="24"/>
          <w:u w:val="single"/>
        </w:rPr>
        <w:t>北京市城市运行管理事务中心</w:t>
      </w:r>
      <w:r>
        <w:rPr>
          <w:rFonts w:hint="eastAsia" w:asciiTheme="minorEastAsia" w:hAnsiTheme="minorEastAsia" w:eastAsiaTheme="minorEastAsia" w:cstheme="minorEastAsia"/>
          <w:sz w:val="24"/>
        </w:rPr>
        <w:t>、乙方：</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，签订了</w:t>
      </w:r>
      <w:r>
        <w:rPr>
          <w:rFonts w:hint="eastAsia" w:asciiTheme="minorEastAsia" w:hAnsiTheme="minorEastAsia" w:eastAsiaTheme="minorEastAsia" w:cstheme="minorEastAsia"/>
          <w:sz w:val="24"/>
          <w:u w:val="single"/>
        </w:rPr>
        <w:t xml:space="preserve">  2026年网络安全技术维护  </w:t>
      </w:r>
      <w:r>
        <w:rPr>
          <w:rFonts w:hint="eastAsia" w:asciiTheme="minorEastAsia" w:hAnsiTheme="minorEastAsia" w:eastAsiaTheme="minorEastAsia" w:cstheme="minorEastAsia"/>
          <w:sz w:val="24"/>
        </w:rPr>
        <w:t>项目的《技术维护合同》，在合同执行中乙方已经或将要知悉甲方的相关保密信息。为了保护上述合作中涉及的保密信息，为了保护上述合作中涉及的保密信息，乙方需遵守以下保密条款：</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一、安全要求</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1.乙方必须遵守甲方的各项规章制度，严格按照工作规范组织进行运维工作，制定切实可行的措施保障人员安全，设备安全，生产安全。</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2.乙方必须制定合理的措施对运维人员进行管理和思想教育，加强保密意识，安全生产意识。</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二、保密信息范围</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本条款所称的“保密信息”是指，乙方在合同履行过程中获得的下列信息，但不包括通过公众渠道可以获得的信息或经甲方书面同意允许向第三方透露的信息：</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1.工作秘密：一切与政府工作有关的信息资料或其他性质的资料，包括但不限于：政府业务数据、人员机构信息、财务资料等；</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2.技术秘密：指甲方的计算机信息系统、网络架构、网络安全体系结构、软件、数据库系统、系统数据、文档及技术指标等； </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3.其他保密信息：包括但不限于运维过程中获取的有关数据、流程、分析成果；甲方的内部管理资料、财务资料；甲方其他项目的信息及有关政府行政机关规划、调整等尚未公开的资料。</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上述保密信息的表现形式不限，无论是书面的、口头的、图形的或其他任何形式的信息。 </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三、安全保密期限</w:t>
      </w:r>
    </w:p>
    <w:p>
      <w:pPr>
        <w:spacing w:line="300" w:lineRule="auto"/>
        <w:ind w:left="160" w:leftChars="76" w:firstLine="360" w:firstLineChars="15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条款规定的保密责任期为长期，《技术维护合同》有效期间及合同解除或终止后，乙方均应履行上述保密义务，直至保密信息向社会公开，如在《技术维护合同》签订前乙方已实际接收或接触甲方保密信息的，则本条款的法律效力追溯至乙方实际接收或接触甲方保密信息之时，自该时起，乙方即应开始履行保密义务和责任。</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四、保密义务人</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本条款项下保密义务人为乙方单位及乙方涉及保密信息的员工。</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五、保密义务</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乙方保证对所获悉的甲方保密信息按照下列规定进行保密，并在缺少相关保密条款约定时，应至少采取适用于对自己的保密信息同样的保护措施和审慎程度进行保密：</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1．仅将本条款项下保密信息使用于与运维工作有关的用途。</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2．除直接参与运维工作的人员之外，不得将保密信息透露给其他无关人员或任何第三方。</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3．不能将甲方保密信息的全部或部分进行发布、传播、复制或仿造。</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4．乙方均应告知并以适当的方式要求其直接参与运维工作的人员，按照本条款规定保守保密信息。如乙方工作人员违反本条款规定，泄露甲方保密信息的，乙方应承担违约责任。</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5．乙方不能利用获悉信息为自己或其他方开发信息、技术和产品，或与甲方的产品进行竞争。</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6．未经甲方书面许可并采取加密措施，乙方不得擅自将载有保密信息的任何文档、图纸、资料、磁盘、胶片等介质，带离甲方工作场所。</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7．对于用户数据和维护结果数据的保管、访问，乙方无关人员不能访问；必需访问的人员，乙方要进行严格的访问控制；管理用户数据的人员应由乙方严格筛选。</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8．对于甲方提供给乙方使用的任何资源，如网络、NOTES等，乙方都只能将其用于工作，而不能用于其他目的，特别是从事侵害甲方利益的活动。</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六、保密信息的交回</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1.本项目涉及的运维相关工作终止后，乙方应按照甲方的要求对相关保密信息做相应处理，比如销毁或其他处理方式。</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2.当甲方以书面形式要求交回保密信息时，乙方应当立即交回所有的书面或其他有形的保密信息以及所有描述和概括保密信息的文件。</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3.未经甲方书面许可，乙方不得丢弃和自行处理保密信息。</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七、争议的解决</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因履行本条款而发生的或与《技术维护合同》有关的一切争议，双方应协商解决，协商不成的，双方均有权向甲方所在地有管辖权的人民法院提起诉讼。</w:t>
      </w:r>
    </w:p>
    <w:p>
      <w:pPr>
        <w:spacing w:line="300" w:lineRule="auto"/>
        <w:ind w:firstLine="480" w:firstLineChars="200"/>
        <w:contextualSpacing/>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八、其他</w:t>
      </w:r>
    </w:p>
    <w:p>
      <w:pPr>
        <w:snapToGrid w:val="0"/>
        <w:spacing w:line="360" w:lineRule="exact"/>
        <w:ind w:firstLine="480" w:firstLineChars="200"/>
        <w:contextualSpacing/>
        <w:rPr>
          <w:rFonts w:ascii="宋体" w:hAnsi="宋体" w:cs="宋体"/>
          <w:sz w:val="24"/>
        </w:rPr>
      </w:pPr>
      <w:r>
        <w:rPr>
          <w:rFonts w:hint="eastAsia" w:asciiTheme="minorEastAsia" w:hAnsiTheme="minorEastAsia" w:eastAsiaTheme="minorEastAsia" w:cstheme="minorEastAsia"/>
          <w:sz w:val="24"/>
        </w:rPr>
        <w:t>本条款未尽事宜，甲、乙双方另行签订补充条款，补充条款与本条款具有同等法律效力。</w:t>
      </w:r>
      <w:r>
        <w:rPr>
          <w:rFonts w:hint="eastAsia" w:ascii="宋体" w:hAnsi="宋体" w:cs="宋体"/>
          <w:sz w:val="24"/>
        </w:rPr>
        <w:br w:type="page"/>
      </w:r>
    </w:p>
    <w:p>
      <w:pPr>
        <w:widowControl/>
        <w:shd w:val="clear" w:color="auto" w:fill="FFFFFF"/>
        <w:spacing w:line="360" w:lineRule="auto"/>
        <w:ind w:firstLine="723" w:firstLineChars="200"/>
        <w:jc w:val="center"/>
        <w:outlineLvl w:val="0"/>
        <w:rPr>
          <w:rFonts w:ascii="宋体" w:hAnsi="宋体" w:cs="宋体"/>
          <w:b/>
          <w:color w:val="000000" w:themeColor="text1"/>
          <w:sz w:val="36"/>
          <w:szCs w:val="36"/>
          <w14:textFill>
            <w14:solidFill>
              <w14:schemeClr w14:val="tx1"/>
            </w14:solidFill>
          </w14:textFill>
        </w:rPr>
      </w:pPr>
      <w:bookmarkStart w:id="860" w:name="_Toc218620575"/>
      <w:r>
        <w:rPr>
          <w:rFonts w:hint="eastAsia" w:ascii="宋体" w:hAnsi="宋体" w:cs="宋体"/>
          <w:b/>
          <w:color w:val="000000" w:themeColor="text1"/>
          <w:sz w:val="36"/>
          <w:szCs w:val="36"/>
          <w14:textFill>
            <w14:solidFill>
              <w14:schemeClr w14:val="tx1"/>
            </w14:solidFill>
          </w14:textFill>
        </w:rPr>
        <w:t>第七章   投标文件格式</w:t>
      </w:r>
      <w:bookmarkEnd w:id="858"/>
      <w:bookmarkEnd w:id="860"/>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投标人编制文件须知</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3、全部声明和问题的回答及所附材料必须是真实的、准确的和完整的。</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Pr>
        <w:pStyle w:val="6"/>
        <w:jc w:val="left"/>
        <w:rPr>
          <w:rFonts w:ascii="宋体" w:hAnsi="宋体" w:eastAsia="宋体"/>
          <w:kern w:val="2"/>
          <w:sz w:val="24"/>
          <w:szCs w:val="24"/>
        </w:rPr>
      </w:pPr>
      <w:r>
        <w:rPr>
          <w:rFonts w:hint="eastAsia" w:ascii="宋体" w:hAnsi="宋体" w:eastAsia="宋体"/>
          <w:sz w:val="24"/>
          <w:szCs w:val="24"/>
        </w:rPr>
        <w:t>一、资格证明文件格式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投标文件（资格证明文件）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（资格证明文件）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rPr>
          <w:rFonts w:ascii="宋体" w:hAnsi="宋体" w:cs="宋体"/>
          <w:b/>
          <w:color w:val="000000" w:themeColor="text1"/>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br w:type="page"/>
      </w:r>
    </w:p>
    <w:p>
      <w:pPr>
        <w:pStyle w:val="8"/>
        <w:rPr>
          <w:rStyle w:val="465"/>
          <w:rFonts w:hint="default" w:ascii="宋体" w:hAnsi="宋体"/>
          <w:b w:val="0"/>
          <w:sz w:val="24"/>
          <w:szCs w:val="24"/>
          <w:u w:val="none"/>
        </w:rPr>
      </w:pPr>
      <w:r>
        <w:rPr>
          <w:rStyle w:val="465"/>
          <w:rFonts w:hint="default" w:ascii="宋体" w:hAnsi="宋体"/>
          <w:b w:val="0"/>
          <w:sz w:val="24"/>
          <w:szCs w:val="24"/>
          <w:u w:val="none"/>
        </w:rPr>
        <w:t>1  满足《中华人民共和国政府采购法》第二十二条规定</w:t>
      </w:r>
    </w:p>
    <w:p>
      <w:pPr>
        <w:pStyle w:val="9"/>
        <w:jc w:val="left"/>
        <w:rPr>
          <w:rFonts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ascii="宋体" w:hAnsi="宋体" w:cs="宋体"/>
          <w:color w:val="000000" w:themeColor="text1"/>
          <w:sz w:val="24"/>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9"/>
        <w:jc w:val="left"/>
        <w:rPr>
          <w:rFonts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投标人资格声明书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在参与本次项目投标中，我单位承诺：</w:t>
      </w:r>
    </w:p>
    <w:p>
      <w:pPr>
        <w:numPr>
          <w:ilvl w:val="0"/>
          <w:numId w:val="1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具有良好的商业信誉和健全的财务会计制度；</w:t>
      </w:r>
    </w:p>
    <w:p>
      <w:pPr>
        <w:numPr>
          <w:ilvl w:val="0"/>
          <w:numId w:val="1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具有履行合同所必需的设备和专业技术能力；</w:t>
      </w:r>
    </w:p>
    <w:p>
      <w:pPr>
        <w:numPr>
          <w:ilvl w:val="0"/>
          <w:numId w:val="1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有依法缴纳税收和社会保障资金的良好记录；</w:t>
      </w:r>
    </w:p>
    <w:p>
      <w:pPr>
        <w:numPr>
          <w:ilvl w:val="0"/>
          <w:numId w:val="1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我单位不属于政府采购法律、行政法规规定的公益一类事业单位、或使用事业编制且由财政拨款保障的群团组织（仅适用于政府购买服务项目）；</w:t>
      </w:r>
    </w:p>
    <w:p>
      <w:pPr>
        <w:numPr>
          <w:ilvl w:val="0"/>
          <w:numId w:val="1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我单位不存在为采购项目提供整体设计、规范编制或者项目管理、监理、检测等服务后，再参加该采购项目的其他采购活动的情形（单一来源采购项目除外）；</w:t>
      </w:r>
    </w:p>
    <w:p>
      <w:pPr>
        <w:numPr>
          <w:ilvl w:val="0"/>
          <w:numId w:val="14"/>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与我单位存在“单位负责人为同一人或者存在直接控股、管理关系”的其他法人单位信息如下（如有，不论其是否参加同一合同项下的政府采购活动均须填写）：</w:t>
      </w:r>
    </w:p>
    <w:tbl>
      <w:tblPr>
        <w:tblStyle w:val="55"/>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574"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单位名称</w:t>
            </w:r>
          </w:p>
        </w:tc>
        <w:tc>
          <w:tcPr>
            <w:tcW w:w="2976"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bl>
    <w:p>
      <w:pPr>
        <w:ind w:firstLine="480" w:firstLineChars="20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上述声明真实有效，否则我方负全部责任。</w:t>
      </w:r>
    </w:p>
    <w:p>
      <w:pPr>
        <w:autoSpaceDE w:val="0"/>
        <w:autoSpaceDN w:val="0"/>
        <w:adjustRightInd w:val="0"/>
        <w:snapToGrid w:val="0"/>
        <w:spacing w:before="25" w:after="25" w:line="360" w:lineRule="auto"/>
        <w:jc w:val="righ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360"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说明：供应商承诺不实的，依据《政府采购法》第七十七条“提供虚假材料谋取中标、成交的”有关规定予以处理。</w:t>
      </w:r>
    </w:p>
    <w:p>
      <w:pPr>
        <w:pStyle w:val="8"/>
        <w:rPr>
          <w:rStyle w:val="465"/>
          <w:rFonts w:hint="default" w:ascii="宋体" w:hAnsi="宋体"/>
          <w:b w:val="0"/>
          <w:sz w:val="24"/>
          <w:u w:val="none"/>
        </w:rPr>
      </w:pPr>
      <w:r>
        <w:rPr>
          <w:rStyle w:val="465"/>
          <w:rFonts w:hint="default" w:ascii="宋体" w:hAnsi="宋体"/>
          <w:b w:val="0"/>
          <w:sz w:val="24"/>
          <w:u w:val="none"/>
        </w:rPr>
        <w:t xml:space="preserve">2 </w:t>
      </w:r>
      <w:r>
        <w:rPr>
          <w:rStyle w:val="465"/>
          <w:rFonts w:hint="default" w:ascii="宋体" w:hAnsi="宋体"/>
          <w:b w:val="0"/>
          <w:sz w:val="24"/>
          <w:szCs w:val="24"/>
          <w:u w:val="none"/>
        </w:rPr>
        <w:t xml:space="preserve"> </w:t>
      </w:r>
      <w:r>
        <w:rPr>
          <w:rStyle w:val="465"/>
          <w:rFonts w:hint="default" w:ascii="宋体" w:hAnsi="宋体"/>
          <w:b w:val="0"/>
          <w:sz w:val="24"/>
          <w:u w:val="none"/>
        </w:rPr>
        <w:t>落实政府采购政策需满足的资格要求</w:t>
      </w:r>
    </w:p>
    <w:p>
      <w:pPr>
        <w:pStyle w:val="9"/>
        <w:jc w:val="left"/>
        <w:rPr>
          <w:rFonts w:ascii="宋体" w:hAnsi="宋体" w:eastAsia="宋体"/>
          <w:b w:val="0"/>
          <w:sz w:val="24"/>
          <w:szCs w:val="24"/>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中小企业政策证明文件（包号1不适用）</w:t>
      </w:r>
    </w:p>
    <w:p>
      <w:pPr>
        <w:tabs>
          <w:tab w:val="left" w:pos="5580"/>
        </w:tabs>
        <w:spacing w:line="360" w:lineRule="auto"/>
        <w:rPr>
          <w:rFonts w:ascii="宋体" w:hAnsi="宋体" w:cs="宋体"/>
          <w:color w:val="000000" w:themeColor="text1"/>
          <w:sz w:val="24"/>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（5）中小企业声明函填写注意事项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1）《中小企业声明函》由参加政府采购活动的投标人出具。联合体投标的，《中小企业声明函》可由牵头人出具。</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（6）温馨提示</w:t>
      </w:r>
      <w:r>
        <w:rPr>
          <w:rFonts w:hint="eastAsia" w:ascii="宋体" w:hAnsi="宋体" w:cs="宋体"/>
          <w:color w:val="000000" w:themeColor="text1"/>
          <w:spacing w:val="-13"/>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为方便广大中小企业识别企业规模类型</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工业和信息化部组织开发了中小企业规模类型自测小程序，在国务院客户端和工</w:t>
      </w:r>
      <w:r>
        <w:rPr>
          <w:rFonts w:hint="eastAsia" w:ascii="宋体" w:hAnsi="宋体" w:cs="宋体"/>
          <w:color w:val="000000" w:themeColor="text1"/>
          <w:spacing w:val="-2"/>
          <w:sz w:val="24"/>
          <w14:textFill>
            <w14:solidFill>
              <w14:schemeClr w14:val="tx1"/>
            </w14:solidFill>
          </w14:textFill>
        </w:rPr>
        <w:t>业和信息化部网站上均有链接，投</w:t>
      </w:r>
      <w:r>
        <w:rPr>
          <w:rFonts w:hint="eastAsia" w:ascii="宋体" w:hAnsi="宋体" w:cs="宋体"/>
          <w:color w:val="000000" w:themeColor="text1"/>
          <w:spacing w:val="-1"/>
          <w:sz w:val="24"/>
          <w14:textFill>
            <w14:solidFill>
              <w14:schemeClr w14:val="tx1"/>
            </w14:solidFill>
          </w14:textFill>
        </w:rPr>
        <w:t>标人填写所属的行业和指标数据可自动生成企业规模</w:t>
      </w:r>
      <w:r>
        <w:rPr>
          <w:rFonts w:hint="eastAsia" w:ascii="宋体" w:hAnsi="宋体" w:cs="宋体"/>
          <w:color w:val="000000" w:themeColor="text1"/>
          <w:spacing w:val="-2"/>
          <w:sz w:val="24"/>
          <w14:textFill>
            <w14:solidFill>
              <w14:schemeClr w14:val="tx1"/>
            </w14:solidFill>
          </w14:textFill>
        </w:rPr>
        <w:t>类型测试结果。本项目中小企业划</w:t>
      </w:r>
      <w:r>
        <w:rPr>
          <w:rFonts w:hint="eastAsia" w:ascii="宋体" w:hAnsi="宋体" w:cs="宋体"/>
          <w:color w:val="000000" w:themeColor="text1"/>
          <w:spacing w:val="-1"/>
          <w:sz w:val="24"/>
          <w14:textFill>
            <w14:solidFill>
              <w14:schemeClr w14:val="tx1"/>
            </w14:solidFill>
          </w14:textFill>
        </w:rPr>
        <w:t>分标准所属行业详见第二章《投标人须知资料</w:t>
      </w:r>
      <w:r>
        <w:rPr>
          <w:rFonts w:hint="eastAsia" w:ascii="宋体" w:hAnsi="宋体" w:cs="宋体"/>
          <w:color w:val="000000" w:themeColor="text1"/>
          <w:spacing w:val="-2"/>
          <w:sz w:val="24"/>
          <w14:textFill>
            <w14:solidFill>
              <w14:schemeClr w14:val="tx1"/>
            </w14:solidFill>
          </w14:textFill>
        </w:rPr>
        <w:t>表》，如在该程序中未找到本项目文件规</w:t>
      </w:r>
      <w:r>
        <w:rPr>
          <w:rFonts w:hint="eastAsia" w:ascii="宋体" w:hAnsi="宋体" w:cs="宋体"/>
          <w:color w:val="000000" w:themeColor="text1"/>
          <w:spacing w:val="-1"/>
          <w:sz w:val="24"/>
          <w14:textFill>
            <w14:solidFill>
              <w14:schemeClr w14:val="tx1"/>
            </w14:solidFill>
          </w14:textFill>
        </w:rPr>
        <w:t>定的中小企业划分标准所属行业，则按照《关于印发</w:t>
      </w:r>
      <w:r>
        <w:rPr>
          <w:rFonts w:hint="eastAsia" w:ascii="宋体" w:hAnsi="宋体" w:cs="宋体"/>
          <w:color w:val="000000" w:themeColor="text1"/>
          <w:spacing w:val="-2"/>
          <w:sz w:val="24"/>
          <w14:textFill>
            <w14:solidFill>
              <w14:schemeClr w14:val="tx1"/>
            </w14:solidFill>
          </w14:textFill>
        </w:rPr>
        <w:t>中小企业划型标准规定的通知（工</w:t>
      </w:r>
      <w:r>
        <w:rPr>
          <w:rFonts w:hint="eastAsia" w:ascii="宋体" w:hAnsi="宋体" w:cs="宋体"/>
          <w:color w:val="000000" w:themeColor="text1"/>
          <w:spacing w:val="-5"/>
          <w:sz w:val="24"/>
          <w14:textFill>
            <w14:solidFill>
              <w14:schemeClr w14:val="tx1"/>
            </w14:solidFill>
          </w14:textFill>
        </w:rPr>
        <w:t>信部联企业﹝2011﹞300 号）》及《金融业企业划型标准规定》（〔2015〕309号）等</w:t>
      </w:r>
      <w:r>
        <w:rPr>
          <w:rFonts w:hint="eastAsia" w:ascii="宋体" w:hAnsi="宋体" w:cs="宋体"/>
          <w:color w:val="000000" w:themeColor="text1"/>
          <w:spacing w:val="-1"/>
          <w:sz w:val="24"/>
          <w14:textFill>
            <w14:solidFill>
              <w14:schemeClr w14:val="tx1"/>
            </w14:solidFill>
          </w14:textFill>
        </w:rPr>
        <w:t>国务院批准的中小企业划分标准执行。</w:t>
      </w:r>
    </w:p>
    <w:p>
      <w:pPr>
        <w:pStyle w:val="10"/>
        <w:jc w:val="left"/>
        <w:rPr>
          <w:rStyle w:val="97"/>
          <w:rFonts w:ascii="宋体" w:hAnsi="宋体" w:eastAsia="宋体"/>
          <w:b w:val="0"/>
          <w:sz w:val="24"/>
          <w:szCs w:val="24"/>
        </w:rPr>
      </w:pPr>
      <w:r>
        <w:rPr>
          <w:rFonts w:hint="eastAsia" w:ascii="宋体" w:hAnsi="宋体" w:cs="宋体"/>
          <w:color w:val="000000" w:themeColor="text1"/>
          <w:sz w:val="24"/>
          <w14:textFill>
            <w14:solidFill>
              <w14:schemeClr w14:val="tx1"/>
            </w14:solidFill>
          </w14:textFill>
        </w:rPr>
        <w:br w:type="page"/>
      </w:r>
      <w:r>
        <w:rPr>
          <w:rStyle w:val="97"/>
          <w:rFonts w:hint="eastAsia" w:ascii="宋体" w:hAnsi="宋体" w:eastAsia="宋体"/>
          <w:b w:val="0"/>
          <w:sz w:val="24"/>
          <w:szCs w:val="24"/>
        </w:rPr>
        <w:t>2-1-1中小企业证明文件</w:t>
      </w:r>
    </w:p>
    <w:p>
      <w:pPr>
        <w:spacing w:before="240" w:beforeLines="100" w:after="240" w:afterLines="100" w:line="360" w:lineRule="auto"/>
        <w:jc w:val="center"/>
        <w:rPr>
          <w:rFonts w:ascii="宋体" w:hAnsi="宋体" w:cs="宋体"/>
          <w:b/>
          <w:sz w:val="36"/>
          <w:szCs w:val="36"/>
        </w:rPr>
      </w:pPr>
      <w:r>
        <w:rPr>
          <w:rFonts w:hint="eastAsia" w:ascii="宋体" w:hAnsi="宋体" w:cs="宋体"/>
          <w:b/>
          <w:bCs/>
          <w:sz w:val="36"/>
          <w:szCs w:val="36"/>
        </w:rPr>
        <w:t>中小企业声明函（服务）格式</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5"/>
        <w:tblW w:w="8523"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3"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spacing w:line="360" w:lineRule="auto"/>
        <w:rPr>
          <w:rFonts w:ascii="宋体" w:hAnsi="宋体" w:cs="宋体"/>
          <w:color w:val="000000" w:themeColor="text1"/>
          <w:sz w:val="24"/>
          <w14:textFill>
            <w14:solidFill>
              <w14:schemeClr w14:val="tx1"/>
            </w14:solidFill>
          </w14:textFill>
        </w:rPr>
      </w:pPr>
    </w:p>
    <w:p>
      <w:pP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1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Style w:val="97"/>
          <w:rFonts w:hint="eastAsia" w:ascii="宋体" w:hAnsi="宋体" w:eastAsia="宋体"/>
          <w:b w:val="0"/>
          <w:sz w:val="24"/>
          <w:szCs w:val="24"/>
        </w:rPr>
        <w:t>2-1-2 拟分包情况说明及分包意向协议（本项目不适用）</w:t>
      </w:r>
    </w:p>
    <w:p>
      <w:pPr>
        <w:autoSpaceDE w:val="0"/>
        <w:autoSpaceDN w:val="0"/>
        <w:adjustRightInd w:val="0"/>
        <w:jc w:val="center"/>
        <w:rPr>
          <w:rFonts w:ascii="宋体" w:hAnsi="宋体" w:cs="宋体"/>
          <w:color w:val="000000" w:themeColor="text1"/>
          <w:sz w:val="30"/>
          <w:szCs w:val="30"/>
          <w14:textFill>
            <w14:solidFill>
              <w14:schemeClr w14:val="tx1"/>
            </w14:solidFill>
          </w14:textFill>
        </w:rPr>
      </w:pP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5"/>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选择</w:t>
            </w:r>
            <w:r>
              <w:rPr>
                <w:rFonts w:hint="eastAsia"/>
                <w:color w:val="000000" w:themeColor="text1"/>
                <w:sz w:val="24"/>
                <w:lang w:eastAsia="zh-CN"/>
                <w14:textFill>
                  <w14:solidFill>
                    <w14:schemeClr w14:val="tx1"/>
                  </w14:solidFill>
                </w14:textFill>
              </w:rPr>
              <w:t>）</w:t>
            </w:r>
          </w:p>
        </w:tc>
        <w:tc>
          <w:tcPr>
            <w:tcW w:w="1125"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占该采购包</w:t>
            </w:r>
          </w:p>
          <w:p>
            <w:pPr>
              <w:pStyle w:val="261"/>
              <w:jc w:val="center"/>
              <w:rPr>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合同金额的</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61"/>
              <w:jc w:val="center"/>
              <w:rPr>
                <w:color w:val="000000" w:themeColor="text1"/>
                <w:sz w:val="30"/>
                <w:lang w:eastAsia="zh-CN"/>
                <w14:textFill>
                  <w14:solidFill>
                    <w14:schemeClr w14:val="tx1"/>
                  </w14:solidFill>
                </w14:textFill>
              </w:rPr>
            </w:pPr>
          </w:p>
        </w:tc>
        <w:tc>
          <w:tcPr>
            <w:tcW w:w="1561" w:type="dxa"/>
            <w:vAlign w:val="center"/>
          </w:tcPr>
          <w:p>
            <w:pPr>
              <w:pStyle w:val="261"/>
              <w:jc w:val="center"/>
              <w:rPr>
                <w:color w:val="000000" w:themeColor="text1"/>
                <w:sz w:val="30"/>
                <w:lang w:eastAsia="zh-CN"/>
                <w14:textFill>
                  <w14:solidFill>
                    <w14:schemeClr w14:val="tx1"/>
                  </w14:solidFill>
                </w14:textFill>
              </w:rPr>
            </w:pPr>
          </w:p>
        </w:tc>
        <w:tc>
          <w:tcPr>
            <w:tcW w:w="1498" w:type="dxa"/>
            <w:vAlign w:val="center"/>
          </w:tcPr>
          <w:p>
            <w:pPr>
              <w:pStyle w:val="261"/>
              <w:jc w:val="center"/>
              <w:rPr>
                <w:color w:val="000000" w:themeColor="text1"/>
                <w:sz w:val="30"/>
                <w:lang w:eastAsia="zh-CN"/>
                <w14:textFill>
                  <w14:solidFill>
                    <w14:schemeClr w14:val="tx1"/>
                  </w14:solidFill>
                </w14:textFill>
              </w:rPr>
            </w:pPr>
          </w:p>
        </w:tc>
        <w:tc>
          <w:tcPr>
            <w:tcW w:w="1564" w:type="dxa"/>
            <w:vAlign w:val="center"/>
          </w:tcPr>
          <w:p>
            <w:pPr>
              <w:pStyle w:val="261"/>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61"/>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61"/>
              <w:jc w:val="center"/>
              <w:rPr>
                <w:color w:val="000000" w:themeColor="text1"/>
                <w:sz w:val="30"/>
                <w:lang w:eastAsia="zh-CN"/>
                <w14:textFill>
                  <w14:solidFill>
                    <w14:schemeClr w14:val="tx1"/>
                  </w14:solidFill>
                </w14:textFill>
              </w:rPr>
            </w:pPr>
          </w:p>
        </w:tc>
        <w:tc>
          <w:tcPr>
            <w:tcW w:w="1561" w:type="dxa"/>
            <w:vAlign w:val="center"/>
          </w:tcPr>
          <w:p>
            <w:pPr>
              <w:pStyle w:val="261"/>
              <w:jc w:val="center"/>
              <w:rPr>
                <w:color w:val="000000" w:themeColor="text1"/>
                <w:sz w:val="30"/>
                <w:lang w:eastAsia="zh-CN"/>
                <w14:textFill>
                  <w14:solidFill>
                    <w14:schemeClr w14:val="tx1"/>
                  </w14:solidFill>
                </w14:textFill>
              </w:rPr>
            </w:pPr>
          </w:p>
        </w:tc>
        <w:tc>
          <w:tcPr>
            <w:tcW w:w="1498" w:type="dxa"/>
            <w:vAlign w:val="center"/>
          </w:tcPr>
          <w:p>
            <w:pPr>
              <w:pStyle w:val="261"/>
              <w:jc w:val="center"/>
              <w:rPr>
                <w:color w:val="000000" w:themeColor="text1"/>
                <w:sz w:val="30"/>
                <w:lang w:eastAsia="zh-CN"/>
                <w14:textFill>
                  <w14:solidFill>
                    <w14:schemeClr w14:val="tx1"/>
                  </w14:solidFill>
                </w14:textFill>
              </w:rPr>
            </w:pPr>
          </w:p>
        </w:tc>
        <w:tc>
          <w:tcPr>
            <w:tcW w:w="1564" w:type="dxa"/>
            <w:vAlign w:val="center"/>
          </w:tcPr>
          <w:p>
            <w:pPr>
              <w:pStyle w:val="261"/>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jc w:val="center"/>
              <w:rPr>
                <w:color w:val="000000" w:themeColor="text1"/>
                <w:sz w:val="24"/>
                <w14:textFill>
                  <w14:solidFill>
                    <w14:schemeClr w14:val="tx1"/>
                  </w14:solidFill>
                </w14:textFill>
              </w:rPr>
            </w:pPr>
          </w:p>
        </w:tc>
        <w:tc>
          <w:tcPr>
            <w:tcW w:w="1125" w:type="dxa"/>
            <w:vAlign w:val="center"/>
          </w:tcPr>
          <w:p>
            <w:pPr>
              <w:pStyle w:val="261"/>
              <w:jc w:val="center"/>
              <w:rPr>
                <w:color w:val="000000" w:themeColor="text1"/>
                <w:sz w:val="30"/>
                <w14:textFill>
                  <w14:solidFill>
                    <w14:schemeClr w14:val="tx1"/>
                  </w14:solidFill>
                </w14:textFill>
              </w:rPr>
            </w:pPr>
          </w:p>
        </w:tc>
        <w:tc>
          <w:tcPr>
            <w:tcW w:w="1561" w:type="dxa"/>
            <w:vAlign w:val="center"/>
          </w:tcPr>
          <w:p>
            <w:pPr>
              <w:pStyle w:val="261"/>
              <w:jc w:val="center"/>
              <w:rPr>
                <w:color w:val="000000" w:themeColor="text1"/>
                <w:sz w:val="30"/>
                <w14:textFill>
                  <w14:solidFill>
                    <w14:schemeClr w14:val="tx1"/>
                  </w14:solidFill>
                </w14:textFill>
              </w:rPr>
            </w:pPr>
          </w:p>
        </w:tc>
        <w:tc>
          <w:tcPr>
            <w:tcW w:w="1498" w:type="dxa"/>
            <w:vAlign w:val="center"/>
          </w:tcPr>
          <w:p>
            <w:pPr>
              <w:pStyle w:val="261"/>
              <w:jc w:val="center"/>
              <w:rPr>
                <w:color w:val="000000" w:themeColor="text1"/>
                <w:sz w:val="30"/>
                <w14:textFill>
                  <w14:solidFill>
                    <w14:schemeClr w14:val="tx1"/>
                  </w14:solidFill>
                </w14:textFill>
              </w:rPr>
            </w:pPr>
          </w:p>
        </w:tc>
        <w:tc>
          <w:tcPr>
            <w:tcW w:w="1564" w:type="dxa"/>
            <w:vAlign w:val="center"/>
          </w:tcPr>
          <w:p>
            <w:pPr>
              <w:pStyle w:val="261"/>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61"/>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61"/>
              <w:jc w:val="center"/>
              <w:rPr>
                <w:color w:val="000000" w:themeColor="text1"/>
                <w:sz w:val="30"/>
                <w14:textFill>
                  <w14:solidFill>
                    <w14:schemeClr w14:val="tx1"/>
                  </w14:solidFill>
                </w14:textFill>
              </w:rPr>
            </w:pPr>
          </w:p>
        </w:tc>
        <w:tc>
          <w:tcPr>
            <w:tcW w:w="1564" w:type="dxa"/>
            <w:vAlign w:val="center"/>
          </w:tcPr>
          <w:p>
            <w:pPr>
              <w:pStyle w:val="261"/>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57"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adjustRightInd w:val="0"/>
        <w:snapToGrid w:val="0"/>
        <w:spacing w:line="360" w:lineRule="auto"/>
        <w:jc w:val="left"/>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color w:val="000000" w:themeColor="text1"/>
          <w:spacing w:val="-2"/>
          <w:sz w:val="24"/>
          <w14:textFill>
            <w14:solidFill>
              <w14:schemeClr w14:val="tx1"/>
            </w14:solidFill>
          </w14:textFill>
        </w:rPr>
        <w:t>，否则</w:t>
      </w:r>
      <w:r>
        <w:rPr>
          <w:rFonts w:hint="eastAsia" w:ascii="宋体" w:hAnsi="宋体" w:cs="宋体"/>
          <w:b/>
          <w:bCs/>
          <w:color w:val="000000" w:themeColor="text1"/>
          <w:spacing w:val="-2"/>
          <w:sz w:val="24"/>
          <w14:textFill>
            <w14:solidFill>
              <w14:schemeClr w14:val="tx1"/>
            </w14:solidFill>
          </w14:textFill>
        </w:rPr>
        <w:t>投标</w:t>
      </w:r>
      <w:r>
        <w:rPr>
          <w:rFonts w:hint="eastAsia" w:ascii="宋体" w:hAnsi="宋体" w:cs="宋体"/>
          <w:b/>
          <w:bCs/>
          <w:color w:val="000000" w:themeColor="text1"/>
          <w:spacing w:val="-1"/>
          <w:sz w:val="24"/>
          <w14:textFill>
            <w14:solidFill>
              <w14:schemeClr w14:val="tx1"/>
            </w14:solidFill>
          </w14:textFill>
        </w:rPr>
        <w:t>无效</w:t>
      </w:r>
      <w:r>
        <w:rPr>
          <w:rFonts w:hint="eastAsia" w:ascii="宋体" w:hAnsi="宋体" w:cs="宋体"/>
          <w:color w:val="000000" w:themeColor="text1"/>
          <w:spacing w:val="-1"/>
          <w:sz w:val="24"/>
          <w14:textFill>
            <w14:solidFill>
              <w14:schemeClr w14:val="tx1"/>
            </w14:solidFill>
          </w14:textFill>
        </w:rPr>
        <w:t>。</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wordWrap w:val="0"/>
        <w:spacing w:line="360" w:lineRule="auto"/>
        <w:ind w:left="48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本协议仅在投标人“为落实政府采购政策”而向中</w:t>
      </w:r>
      <w:r>
        <w:rPr>
          <w:rFonts w:hint="eastAsia" w:ascii="宋体" w:hAnsi="宋体" w:cs="宋体"/>
          <w:color w:val="000000" w:themeColor="text1"/>
          <w:spacing w:val="-2"/>
          <w:sz w:val="24"/>
          <w14:textFill>
            <w14:solidFill>
              <w14:schemeClr w14:val="tx1"/>
            </w14:solidFill>
          </w14:textFill>
        </w:rPr>
        <w:t>小企业分包时必须提供，否则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且投标人须与所有拟分包单位分别签订《分包意向协</w:t>
      </w:r>
      <w:r>
        <w:rPr>
          <w:rFonts w:hint="eastAsia" w:ascii="宋体" w:hAnsi="宋体" w:cs="宋体"/>
          <w:color w:val="000000" w:themeColor="text1"/>
          <w:spacing w:val="-2"/>
          <w:sz w:val="24"/>
          <w14:textFill>
            <w14:solidFill>
              <w14:schemeClr w14:val="tx1"/>
            </w14:solidFill>
          </w14:textFill>
        </w:rPr>
        <w:t>议》，每单位签订一份，并在投标文件中提交全部协议原件的电子件，否则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p>
    <w:p>
      <w:pPr>
        <w:widowControl/>
        <w:jc w:val="left"/>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br w:type="page"/>
      </w:r>
    </w:p>
    <w:p>
      <w:pPr>
        <w:pStyle w:val="9"/>
        <w:jc w:val="left"/>
        <w:rPr>
          <w:rFonts w:ascii="宋体" w:hAnsi="宋体" w:eastAsia="宋体"/>
          <w:b w:val="0"/>
          <w:sz w:val="24"/>
          <w:szCs w:val="24"/>
        </w:rPr>
      </w:pPr>
      <w:r>
        <w:rPr>
          <w:rFonts w:hint="eastAsia" w:ascii="宋体" w:hAnsi="宋体" w:eastAsia="宋体"/>
          <w:b w:val="0"/>
          <w:sz w:val="24"/>
          <w:szCs w:val="24"/>
        </w:rPr>
        <w:t>2-2 其它落实政府采购政策的资格要求（如有）</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8"/>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本项目的特定资格要求（本项目不适用）</w:t>
      </w:r>
    </w:p>
    <w:p>
      <w:pPr>
        <w:pStyle w:val="9"/>
        <w:jc w:val="left"/>
        <w:rPr>
          <w:rFonts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联合协议</w:t>
      </w:r>
    </w:p>
    <w:p>
      <w:pPr>
        <w:spacing w:line="360" w:lineRule="auto"/>
        <w:ind w:firstLine="828" w:firstLineChars="345"/>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______、_____及_____就“________（项目名称）</w:t>
      </w:r>
      <w:r>
        <w:rPr>
          <w:rFonts w:hint="eastAsia" w:ascii="宋体" w:hAnsi="宋体" w:cs="宋体"/>
          <w:color w:val="000000" w:themeColor="text1"/>
          <w:sz w:val="24"/>
          <w14:textFill>
            <w14:solidFill>
              <w14:schemeClr w14:val="tx1"/>
            </w14:solidFill>
          </w14:textFill>
        </w:rPr>
        <w:t>”____包</w:t>
      </w:r>
      <w:r>
        <w:rPr>
          <w:rFonts w:hint="eastAsia" w:ascii="宋体" w:hAnsi="宋体" w:cs="宋体"/>
          <w:bCs/>
          <w:color w:val="000000" w:themeColor="text1"/>
          <w:sz w:val="24"/>
          <w14:textFill>
            <w14:solidFill>
              <w14:schemeClr w14:val="tx1"/>
            </w14:solidFill>
          </w14:textFill>
        </w:rPr>
        <w:t>招标项目的投标事宜，经各方充分协商一致，达成如下协议：</w:t>
      </w:r>
    </w:p>
    <w:p>
      <w:pPr>
        <w:numPr>
          <w:ilvl w:val="0"/>
          <w:numId w:val="1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由_________牵头，_________、__________参加，组成联合体共同进行招标项目的投标工作。</w:t>
      </w:r>
    </w:p>
    <w:p>
      <w:pPr>
        <w:numPr>
          <w:ilvl w:val="0"/>
          <w:numId w:val="1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联合体中标后，联合体各方共同与采购人签订合同，就采购合同约定的事项对采</w:t>
      </w:r>
      <w:r>
        <w:rPr>
          <w:rFonts w:hint="eastAsia" w:ascii="宋体" w:hAnsi="宋体" w:cs="宋体"/>
          <w:color w:val="000000" w:themeColor="text1"/>
          <w:spacing w:val="-1"/>
          <w:sz w:val="24"/>
          <w14:textFill>
            <w14:solidFill>
              <w14:schemeClr w14:val="tx1"/>
            </w14:solidFill>
          </w14:textFill>
        </w:rPr>
        <w:t>购人承担连带责任。</w:t>
      </w:r>
    </w:p>
    <w:p>
      <w:pPr>
        <w:numPr>
          <w:ilvl w:val="0"/>
          <w:numId w:val="1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联合体各方均同意由牵头人代表其他联合体成员单位按招标文件要求出具《授权委托书》。</w:t>
      </w:r>
    </w:p>
    <w:p>
      <w:pPr>
        <w:numPr>
          <w:ilvl w:val="0"/>
          <w:numId w:val="1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牵头人为项目的总负责单位；组织各参加方进行项目实施工作。</w:t>
      </w:r>
    </w:p>
    <w:p>
      <w:pPr>
        <w:numPr>
          <w:ilvl w:val="0"/>
          <w:numId w:val="1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______负责_____（如有），具体工作范围、内容以投标文件及合同为准。</w:t>
      </w:r>
    </w:p>
    <w:p>
      <w:pPr>
        <w:numPr>
          <w:ilvl w:val="0"/>
          <w:numId w:val="15"/>
        </w:num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numPr>
          <w:ilvl w:val="0"/>
          <w:numId w:val="15"/>
        </w:numPr>
        <w:tabs>
          <w:tab w:val="left" w:pos="993"/>
        </w:tabs>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以联合体形式参加政府采购活动的，联合体各方不得再单独参加或者与其他供应商另外组成联合体参加同一合同项下的政府采购活动。</w:t>
      </w:r>
    </w:p>
    <w:p>
      <w:pPr>
        <w:numPr>
          <w:ilvl w:val="0"/>
          <w:numId w:val="15"/>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其他约定（如有）：_______。</w:t>
      </w:r>
    </w:p>
    <w:p>
      <w:pPr>
        <w:tabs>
          <w:tab w:val="left" w:pos="780"/>
        </w:tabs>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本协议自各方盖章后生效，采购合同履行完毕后自动失效。如未中标，本协议自动终止。</w:t>
      </w:r>
      <w:r>
        <w:rPr>
          <w:rFonts w:hint="eastAsia" w:ascii="宋体" w:hAnsi="宋体" w:cs="宋体"/>
          <w:color w:val="000000" w:themeColor="text1"/>
          <w:sz w:val="24"/>
          <w14:textFill>
            <w14:solidFill>
              <w14:schemeClr w14:val="tx1"/>
            </w14:solidFill>
          </w14:textFill>
        </w:rPr>
        <w:br w:type="page"/>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联合体牵头人名称：</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 xml:space="preserve">                           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spacing w:line="360" w:lineRule="auto"/>
        <w:ind w:left="480"/>
        <w:jc w:val="right"/>
        <w:rPr>
          <w:rFonts w:ascii="宋体" w:hAnsi="宋体" w:cs="宋体"/>
          <w:b/>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pStyle w:val="22"/>
        <w:spacing w:before="171" w:line="360" w:lineRule="auto"/>
        <w:ind w:left="723" w:hanging="219"/>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1.如本项目（包）接受供应商以联合体形式参加采购活动，且供应商以联合体形</w:t>
      </w:r>
      <w:r>
        <w:rPr>
          <w:rFonts w:hint="eastAsia" w:cs="宋体"/>
          <w:color w:val="000000" w:themeColor="text1"/>
          <w:spacing w:val="-6"/>
          <w14:textFill>
            <w14:solidFill>
              <w14:schemeClr w14:val="tx1"/>
            </w14:solidFill>
          </w14:textFill>
        </w:rPr>
        <w:t>式参与时，须提供《联合协议》，否则</w:t>
      </w:r>
      <w:r>
        <w:rPr>
          <w:rFonts w:hint="eastAsia" w:cs="宋体"/>
          <w:b/>
          <w:bCs/>
          <w:color w:val="000000" w:themeColor="text1"/>
          <w:spacing w:val="-6"/>
          <w14:textFill>
            <w14:solidFill>
              <w14:schemeClr w14:val="tx1"/>
            </w14:solidFill>
          </w14:textFill>
        </w:rPr>
        <w:t>投标无效</w:t>
      </w:r>
      <w:r>
        <w:rPr>
          <w:rFonts w:hint="eastAsia" w:cs="宋体"/>
          <w:color w:val="000000" w:themeColor="text1"/>
          <w:spacing w:val="-6"/>
          <w14:textFill>
            <w14:solidFill>
              <w14:schemeClr w14:val="tx1"/>
            </w14:solidFill>
          </w14:textFill>
        </w:rPr>
        <w:t>。</w:t>
      </w: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2.联合体各方成员须在本协议上共同盖章。</w:t>
      </w:r>
    </w:p>
    <w:p>
      <w:pPr>
        <w:pStyle w:val="9"/>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w:t>
      </w:r>
    </w:p>
    <w:p>
      <w:pPr>
        <w:pStyle w:val="8"/>
        <w:rPr>
          <w:rFonts w:hAnsi="宋体"/>
          <w:color w:val="000000" w:themeColor="text1"/>
          <w:u w:val="none"/>
          <w14:textFill>
            <w14:solidFill>
              <w14:schemeClr w14:val="tx1"/>
            </w14:solidFill>
          </w14:textFill>
        </w:rPr>
      </w:pPr>
      <w:r>
        <w:rPr>
          <w:rFonts w:hint="eastAsia" w:hAnsi="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4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投标保证金凭证/交款单据电子件</w:t>
      </w:r>
    </w:p>
    <w:p>
      <w:pPr>
        <w:spacing w:line="360" w:lineRule="auto"/>
        <w:rPr>
          <w:rFonts w:ascii="宋体" w:hAnsi="宋体" w:cs="宋体"/>
          <w:color w:val="000000" w:themeColor="text1"/>
          <w:sz w:val="24"/>
          <w:szCs w:val="20"/>
          <w14:textFill>
            <w14:solidFill>
              <w14:schemeClr w14:val="tx1"/>
            </w14:solidFill>
          </w14:textFill>
        </w:rPr>
      </w:pPr>
    </w:p>
    <w:p>
      <w:pPr>
        <w:spacing w:line="360" w:lineRule="auto"/>
        <w:rPr>
          <w:rFonts w:ascii="宋体" w:hAnsi="宋体" w:cs="宋体"/>
          <w:color w:val="000000" w:themeColor="text1"/>
          <w:sz w:val="24"/>
          <w:szCs w:val="20"/>
          <w14:textFill>
            <w14:solidFill>
              <w14:schemeClr w14:val="tx1"/>
            </w14:solidFill>
          </w14:textFill>
        </w:rPr>
      </w:pPr>
    </w:p>
    <w:p>
      <w:pPr>
        <w:widowControl/>
        <w:jc w:val="left"/>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6"/>
        <w:jc w:val="left"/>
        <w:rPr>
          <w:rFonts w:ascii="宋体" w:hAnsi="宋体" w:eastAsia="宋体"/>
          <w:sz w:val="24"/>
          <w:szCs w:val="24"/>
        </w:rPr>
      </w:pPr>
      <w:r>
        <w:rPr>
          <w:rFonts w:hint="eastAsia" w:ascii="宋体" w:hAnsi="宋体" w:eastAsia="宋体"/>
          <w:sz w:val="24"/>
          <w:szCs w:val="24"/>
        </w:rPr>
        <w:t>二、商务技术文件格式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投标文件（商务技术文件）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（商务技术文件）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8"/>
        <w:rPr>
          <w:rFonts w:hAnsi="宋体" w:cs="宋体"/>
          <w:b w:val="0"/>
          <w:color w:val="000000" w:themeColor="text1"/>
          <w:szCs w:val="24"/>
          <w:u w:val="none"/>
          <w14:textFill>
            <w14:solidFill>
              <w14:schemeClr w14:val="tx1"/>
            </w14:solidFill>
          </w14:textFill>
        </w:rPr>
      </w:pPr>
      <w:bookmarkStart w:id="861" w:name="_Hlt520273711"/>
      <w:bookmarkEnd w:id="861"/>
      <w:bookmarkStart w:id="862" w:name="_Hlt520350918"/>
      <w:bookmarkEnd w:id="862"/>
      <w:bookmarkStart w:id="863" w:name="_Hlt520274407"/>
      <w:bookmarkEnd w:id="863"/>
      <w:bookmarkStart w:id="864" w:name="_Hlt520343000"/>
      <w:bookmarkEnd w:id="864"/>
      <w:bookmarkStart w:id="865" w:name="_Hlt520274121"/>
      <w:bookmarkEnd w:id="865"/>
      <w:bookmarkStart w:id="866" w:name="_Hlt520355504"/>
      <w:bookmarkEnd w:id="866"/>
      <w:bookmarkStart w:id="867" w:name="_Hlt520343392"/>
      <w:bookmarkEnd w:id="867"/>
      <w:bookmarkStart w:id="868" w:name="_Hlt520274393"/>
      <w:bookmarkEnd w:id="868"/>
      <w:bookmarkStart w:id="869" w:name="_Hlt520274065"/>
      <w:bookmarkEnd w:id="869"/>
      <w:bookmarkStart w:id="870" w:name="_Hlt520271212"/>
      <w:bookmarkEnd w:id="870"/>
      <w:bookmarkStart w:id="871" w:name="_Toc480942349"/>
      <w:bookmarkStart w:id="872" w:name="_Ref467988698"/>
      <w:bookmarkStart w:id="873" w:name="_Toc520356217"/>
      <w:bookmarkStart w:id="874" w:name="_Toc226965746"/>
      <w:bookmarkStart w:id="875" w:name="_Toc142311058"/>
      <w:bookmarkStart w:id="876" w:name="_Toc150774761"/>
      <w:bookmarkStart w:id="877" w:name="_Toc226309800"/>
      <w:bookmarkStart w:id="878" w:name="_Toc150480794"/>
      <w:bookmarkStart w:id="879" w:name="_Toc127151556"/>
      <w:bookmarkStart w:id="880" w:name="_Toc226965829"/>
      <w:bookmarkStart w:id="881" w:name="_Toc195842921"/>
      <w:bookmarkStart w:id="882" w:name="_Toc226337252"/>
      <w:r>
        <w:rPr>
          <w:rFonts w:hint="eastAsia" w:hAnsi="宋体" w:cs="宋体"/>
          <w:b w:val="0"/>
          <w:color w:val="000000" w:themeColor="text1"/>
          <w:szCs w:val="24"/>
          <w:u w:val="none"/>
          <w14:textFill>
            <w14:solidFill>
              <w14:schemeClr w14:val="tx1"/>
            </w14:solidFill>
          </w14:textFill>
        </w:rPr>
        <w:t>1</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w:t>
      </w:r>
      <w:bookmarkEnd w:id="871"/>
      <w:bookmarkEnd w:id="872"/>
      <w:r>
        <w:rPr>
          <w:rFonts w:hint="eastAsia" w:hAnsi="宋体" w:cs="宋体"/>
          <w:b w:val="0"/>
          <w:color w:val="000000" w:themeColor="text1"/>
          <w:szCs w:val="24"/>
          <w:u w:val="none"/>
          <w14:textFill>
            <w14:solidFill>
              <w14:schemeClr w14:val="tx1"/>
            </w14:solidFill>
          </w14:textFill>
        </w:rPr>
        <w:t>书</w:t>
      </w:r>
      <w:bookmarkEnd w:id="873"/>
      <w:bookmarkEnd w:id="874"/>
      <w:bookmarkEnd w:id="875"/>
      <w:bookmarkEnd w:id="876"/>
      <w:bookmarkEnd w:id="877"/>
      <w:bookmarkEnd w:id="878"/>
      <w:bookmarkEnd w:id="879"/>
      <w:bookmarkEnd w:id="880"/>
      <w:bookmarkEnd w:id="881"/>
      <w:bookmarkEnd w:id="882"/>
      <w:r>
        <w:rPr>
          <w:rFonts w:hint="eastAsia" w:hAnsi="宋体" w:cs="宋体"/>
          <w:b w:val="0"/>
          <w:color w:val="000000" w:themeColor="text1"/>
          <w:szCs w:val="24"/>
          <w:u w:val="none"/>
          <w14:textFill>
            <w14:solidFill>
              <w14:schemeClr w14:val="tx1"/>
            </w14:solidFill>
          </w14:textFill>
        </w:rPr>
        <w:t>（实质性格式）</w:t>
      </w:r>
    </w:p>
    <w:p>
      <w:pPr>
        <w:tabs>
          <w:tab w:val="left" w:pos="5580"/>
        </w:tabs>
        <w:spacing w:line="360" w:lineRule="auto"/>
        <w:rPr>
          <w:rFonts w:ascii="宋体" w:hAnsi="宋体" w:cs="宋体"/>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tabs>
          <w:tab w:val="left" w:pos="5580"/>
        </w:tabs>
        <w:spacing w:line="360" w:lineRule="auto"/>
        <w:rPr>
          <w:rFonts w:ascii="宋体" w:hAnsi="宋体" w:cs="宋体"/>
          <w:color w:val="000000" w:themeColor="text1"/>
          <w:sz w:val="24"/>
          <w:szCs w:val="20"/>
          <w14:textFill>
            <w14:solidFill>
              <w14:schemeClr w14:val="tx1"/>
            </w14:solidFill>
          </w14:textFill>
        </w:rPr>
      </w:pP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我方参加你方就___________（项目名称，</w:t>
      </w:r>
      <w:r>
        <w:rPr>
          <w:rFonts w:hint="eastAsia" w:ascii="宋体" w:hAnsi="宋体" w:cs="宋体"/>
          <w:sz w:val="24"/>
          <w:szCs w:val="20"/>
        </w:rPr>
        <w:t>项目编号/包号</w:t>
      </w:r>
      <w:r>
        <w:rPr>
          <w:rFonts w:hint="eastAsia" w:ascii="宋体" w:hAnsi="宋体" w:cs="宋体"/>
          <w:color w:val="000000" w:themeColor="text1"/>
          <w:sz w:val="24"/>
          <w:szCs w:val="20"/>
          <w14:textFill>
            <w14:solidFill>
              <w14:schemeClr w14:val="tx1"/>
            </w14:solidFill>
          </w14:textFill>
        </w:rPr>
        <w:t>）组织的招标活动，并对此项目进行投标。</w:t>
      </w: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 我方</w:t>
      </w:r>
      <w:r>
        <w:rPr>
          <w:rFonts w:hint="eastAsia" w:ascii="宋体" w:hAnsi="宋体" w:cs="宋体"/>
          <w:color w:val="000000" w:themeColor="text1"/>
          <w:sz w:val="24"/>
          <w14:textFill>
            <w14:solidFill>
              <w14:schemeClr w14:val="tx1"/>
            </w14:solidFill>
          </w14:textFill>
        </w:rPr>
        <w:t>已详细审查全部招标文件</w:t>
      </w:r>
      <w:r>
        <w:rPr>
          <w:rFonts w:hint="eastAsia" w:ascii="宋体" w:hAnsi="宋体" w:cs="宋体"/>
          <w:color w:val="000000" w:themeColor="text1"/>
          <w:sz w:val="24"/>
          <w:szCs w:val="20"/>
          <w14:textFill>
            <w14:solidFill>
              <w14:schemeClr w14:val="tx1"/>
            </w14:solidFill>
          </w14:textFill>
        </w:rPr>
        <w:t>，自愿参与投标并承诺如下：</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（1）本投标有效期为自提交投标文件的截止之日起</w:t>
      </w:r>
      <w:r>
        <w:rPr>
          <w:rFonts w:hint="eastAsia" w:ascii="宋体" w:hAnsi="宋体" w:cs="宋体"/>
          <w:color w:val="000000" w:themeColor="text1"/>
          <w:sz w:val="24"/>
          <w14:textFill>
            <w14:solidFill>
              <w14:schemeClr w14:val="tx1"/>
            </w14:solidFill>
          </w14:textFill>
        </w:rPr>
        <w:t>_____</w:t>
      </w:r>
      <w:r>
        <w:rPr>
          <w:rFonts w:hint="eastAsia" w:ascii="宋体" w:hAnsi="宋体" w:cs="宋体"/>
          <w:color w:val="000000" w:themeColor="text1"/>
          <w:sz w:val="24"/>
          <w:szCs w:val="20"/>
          <w14:textFill>
            <w14:solidFill>
              <w14:schemeClr w14:val="tx1"/>
            </w14:solidFill>
          </w14:textFill>
        </w:rPr>
        <w:t>个日历日。</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（2）除合同条款及采购需求偏离表列出的偏离外，我方响应招标文件的全部要求。</w:t>
      </w:r>
    </w:p>
    <w:p>
      <w:pPr>
        <w:tabs>
          <w:tab w:val="left" w:pos="5580"/>
        </w:tabs>
        <w:spacing w:line="360" w:lineRule="auto"/>
        <w:ind w:firstLine="420" w:firstLineChars="175"/>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（3）我方已提供的全部文件资料是真实、准确的，并对此承担一切法律后果。</w:t>
      </w:r>
    </w:p>
    <w:p>
      <w:pPr>
        <w:tabs>
          <w:tab w:val="left" w:pos="5580"/>
        </w:tabs>
        <w:spacing w:line="360" w:lineRule="auto"/>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其他补充条款（如有）：</w:t>
      </w:r>
      <w:r>
        <w:rPr>
          <w:rFonts w:hint="eastAsia" w:ascii="宋体" w:hAnsi="宋体" w:cs="宋体"/>
          <w:color w:val="000000" w:themeColor="text1"/>
          <w:sz w:val="24"/>
          <w:szCs w:val="20"/>
          <w14:textFill>
            <w14:solidFill>
              <w14:schemeClr w14:val="tx1"/>
            </w14:solidFill>
          </w14:textFill>
        </w:rPr>
        <w:t>___________</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与本投标有关的一切正式往来信函请寄：</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地址_________________________   </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传真____________________________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电话_________________________</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电子函件________________________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投标人名称（加盖公章） 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5580"/>
        </w:tabs>
        <w:spacing w:line="360" w:lineRule="auto"/>
        <w:ind w:left="420"/>
        <w:rPr>
          <w:rFonts w:ascii="宋体" w:hAnsi="宋体" w:cs="宋体"/>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14:textFill>
            <w14:solidFill>
              <w14:schemeClr w14:val="tx1"/>
            </w14:solidFill>
          </w14:textFill>
        </w:rPr>
      </w:pPr>
      <w:bookmarkStart w:id="883" w:name="_Hlt520356243"/>
      <w:bookmarkEnd w:id="883"/>
      <w:bookmarkStart w:id="884" w:name="_Hlt520355938"/>
      <w:bookmarkEnd w:id="884"/>
      <w:bookmarkStart w:id="885" w:name="_Toc305158825"/>
      <w:bookmarkStart w:id="886" w:name="_Toc150774762"/>
      <w:bookmarkStart w:id="887" w:name="_Toc520356218"/>
      <w:bookmarkStart w:id="888" w:name="_Toc127151557"/>
      <w:bookmarkStart w:id="889" w:name="_Toc226965830"/>
      <w:bookmarkStart w:id="890" w:name="_Toc226309801"/>
      <w:bookmarkStart w:id="891" w:name="_Toc226337253"/>
      <w:bookmarkStart w:id="892" w:name="_Toc195842922"/>
      <w:bookmarkStart w:id="893" w:name="_Ref467988705"/>
      <w:bookmarkStart w:id="894" w:name="_Toc142311059"/>
      <w:bookmarkStart w:id="895" w:name="_Toc264969247"/>
      <w:bookmarkStart w:id="896" w:name="_Toc150480795"/>
      <w:bookmarkStart w:id="897" w:name="_Toc226965747"/>
      <w:bookmarkStart w:id="898" w:name="_Toc480942350"/>
      <w:bookmarkStart w:id="899" w:name="_Toc305158899"/>
      <w:bookmarkStart w:id="900" w:name="_Toc265228395"/>
      <w:r>
        <w:rPr>
          <w:rFonts w:hint="eastAsia" w:ascii="宋体" w:hAnsi="宋体" w:cs="宋体"/>
          <w:color w:val="000000" w:themeColor="text1"/>
          <w:sz w:val="24"/>
          <w14:textFill>
            <w14:solidFill>
              <w14:schemeClr w14:val="tx1"/>
            </w14:solidFill>
          </w14:textFill>
        </w:rPr>
        <w:br w:type="page"/>
      </w:r>
    </w:p>
    <w:p>
      <w:pPr>
        <w:pStyle w:val="8"/>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 xml:space="preserve">2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授权委托书（实质性格式）</w:t>
      </w:r>
    </w:p>
    <w:p>
      <w:pPr>
        <w:spacing w:line="360" w:lineRule="exact"/>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授权委托书</w:t>
      </w:r>
    </w:p>
    <w:p>
      <w:pPr>
        <w:spacing w:line="360" w:lineRule="auto"/>
        <w:ind w:firstLine="420"/>
        <w:rPr>
          <w:rFonts w:ascii="宋体" w:hAnsi="宋体" w:cs="宋体"/>
          <w:color w:val="000000" w:themeColor="text1"/>
          <w:sz w:val="24"/>
          <w:szCs w:val="20"/>
          <w14:textFill>
            <w14:solidFill>
              <w14:schemeClr w14:val="tx1"/>
            </w14:solidFill>
          </w14:textFill>
        </w:rPr>
      </w:pP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本人</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（姓名）系</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（投标人名称）的法定代表人（单位负责人），现委托</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（姓名）为我方代理人。代理人根据授权，以我方名义签署、澄清确认、提交、撤回、修改</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（项目名称）投标文件和处理有关事宜，其法律后果由我方承担。</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委托期限：自本授权委托书签署之日起至投标有效期届满之日止。</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代理人无转委托权。</w:t>
      </w:r>
      <w:r>
        <w:rPr>
          <w:rFonts w:hint="eastAsia" w:ascii="宋体" w:hAnsi="宋体" w:cs="宋体"/>
          <w:color w:val="000000" w:themeColor="text1"/>
          <w:sz w:val="24"/>
          <w:szCs w:val="20"/>
          <w14:textFill>
            <w14:solidFill>
              <w14:schemeClr w14:val="tx1"/>
            </w14:solidFill>
          </w14:textFill>
        </w:rPr>
        <w:cr/>
      </w:r>
    </w:p>
    <w:p>
      <w:pPr>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spacing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法定代表人（单位负责人）（签字或盖章）：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附：</w:t>
      </w:r>
      <w:r>
        <w:rPr>
          <w:rFonts w:ascii="宋体" w:hAnsi="宋体"/>
          <w:spacing w:val="-1"/>
          <w:sz w:val="24"/>
        </w:rPr>
        <w:t>法定代表人（单位负责人）及委托代理人身份证明文件电子件</w:t>
      </w:r>
      <w:r>
        <w:rPr>
          <w:rFonts w:hint="eastAsia" w:ascii="宋体" w:hAnsi="宋体" w:cs="宋体"/>
          <w:color w:val="000000" w:themeColor="text1"/>
          <w:spacing w:val="-1"/>
          <w:sz w:val="24"/>
          <w14:textFill>
            <w14:solidFill>
              <w14:schemeClr w14:val="tx1"/>
            </w14:solidFill>
          </w14:textFill>
        </w:rPr>
        <w:t>：</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说明：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3.供应商为自然人的情形，可不提供本《授权委托书》。</w:t>
      </w:r>
    </w:p>
    <w:p>
      <w:pPr>
        <w:tabs>
          <w:tab w:val="left" w:pos="5580"/>
        </w:tabs>
        <w:spacing w:line="360" w:lineRule="auto"/>
        <w:jc w:val="left"/>
        <w:rPr>
          <w:rStyle w:val="64"/>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color w:val="000000" w:themeColor="text1"/>
          <w:sz w:val="24"/>
          <w:szCs w:val="20"/>
          <w14:textFill>
            <w14:solidFill>
              <w14:schemeClr w14:val="tx1"/>
            </w14:solidFill>
          </w14:textFill>
        </w:rPr>
        <w:t>。提供身份证的，应同时提供身份证</w:t>
      </w:r>
      <w:r>
        <w:rPr>
          <w:rFonts w:hint="eastAsia" w:ascii="宋体" w:hAnsi="宋体" w:cs="宋体"/>
          <w:b/>
          <w:bCs/>
          <w:color w:val="000000" w:themeColor="text1"/>
          <w:sz w:val="24"/>
          <w:szCs w:val="20"/>
          <w14:textFill>
            <w14:solidFill>
              <w14:schemeClr w14:val="tx1"/>
            </w14:solidFill>
          </w14:textFill>
        </w:rPr>
        <w:t>双面</w:t>
      </w:r>
      <w:r>
        <w:rPr>
          <w:rFonts w:hint="eastAsia" w:ascii="宋体" w:hAnsi="宋体" w:cs="宋体"/>
          <w:bCs/>
          <w:color w:val="000000" w:themeColor="text1"/>
          <w:sz w:val="24"/>
          <w:szCs w:val="20"/>
          <w14:textFill>
            <w14:solidFill>
              <w14:schemeClr w14:val="tx1"/>
            </w14:solidFill>
          </w14:textFill>
        </w:rPr>
        <w:t>电子件</w:t>
      </w:r>
      <w:r>
        <w:rPr>
          <w:rFonts w:hint="eastAsia" w:ascii="宋体" w:hAnsi="宋体" w:cs="宋体"/>
          <w:color w:val="000000" w:themeColor="text1"/>
          <w:sz w:val="24"/>
          <w:szCs w:val="20"/>
          <w14:textFill>
            <w14:solidFill>
              <w14:schemeClr w14:val="tx1"/>
            </w14:solidFill>
          </w14:textFill>
        </w:rPr>
        <w:t>。</w:t>
      </w:r>
    </w:p>
    <w:p>
      <w:pPr>
        <w:tabs>
          <w:tab w:val="left" w:pos="5580"/>
        </w:tabs>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法定代表人（单位负责人）身份证明</w:t>
      </w:r>
    </w:p>
    <w:p>
      <w:pPr>
        <w:kinsoku w:val="0"/>
        <w:overflowPunct w:val="0"/>
        <w:spacing w:line="200" w:lineRule="exact"/>
        <w:rPr>
          <w:rFonts w:ascii="宋体" w:hAnsi="宋体" w:cs="宋体"/>
          <w:color w:val="000000" w:themeColor="text1"/>
          <w:sz w:val="20"/>
          <w:szCs w:val="20"/>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pStyle w:val="22"/>
        <w:tabs>
          <w:tab w:val="left" w:pos="2412"/>
          <w:tab w:val="left" w:pos="3883"/>
          <w:tab w:val="left" w:pos="5352"/>
          <w:tab w:val="left" w:pos="6821"/>
        </w:tabs>
        <w:kinsoku w:val="0"/>
        <w:overflowPunct w:val="0"/>
        <w:spacing w:line="335" w:lineRule="exact"/>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兹证明，</w:t>
      </w:r>
    </w:p>
    <w:p>
      <w:pPr>
        <w:pStyle w:val="22"/>
        <w:tabs>
          <w:tab w:val="left" w:pos="1690"/>
          <w:tab w:val="left" w:pos="3400"/>
          <w:tab w:val="left" w:pos="5110"/>
          <w:tab w:val="left" w:pos="6821"/>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姓名：____性别：____年龄：____职务：____</w:t>
      </w:r>
    </w:p>
    <w:p>
      <w:pPr>
        <w:pStyle w:val="22"/>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2"/>
        <w:tabs>
          <w:tab w:val="left" w:pos="2250"/>
          <w:tab w:val="left" w:pos="2412"/>
          <w:tab w:val="left" w:pos="3883"/>
          <w:tab w:val="left" w:pos="5352"/>
          <w:tab w:val="left" w:pos="6821"/>
          <w:tab w:val="clear" w:pos="567"/>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系</w:t>
      </w:r>
      <w:r>
        <w:rPr>
          <w:rFonts w:hint="eastAsia" w:cs="宋体"/>
          <w:color w:val="000000" w:themeColor="text1"/>
          <w:u w:val="single"/>
          <w14:textFill>
            <w14:solidFill>
              <w14:schemeClr w14:val="tx1"/>
            </w14:solidFill>
          </w14:textFill>
        </w:rPr>
        <w:tab/>
      </w:r>
      <w:r>
        <w:rPr>
          <w:rFonts w:hint="eastAsia" w:cs="宋体"/>
          <w:color w:val="000000" w:themeColor="text1"/>
          <w14:textFill>
            <w14:solidFill>
              <w14:schemeClr w14:val="tx1"/>
            </w14:solidFill>
          </w14:textFill>
        </w:rPr>
        <w:t>（投标人名称）的法定代表人（单位负责人）。</w:t>
      </w:r>
    </w:p>
    <w:p>
      <w:pPr>
        <w:pStyle w:val="22"/>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2"/>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2"/>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2"/>
        <w:kinsoku w:val="0"/>
        <w:overflowPunct w:val="0"/>
        <w:spacing w:line="583" w:lineRule="auto"/>
        <w:ind w:right="-46"/>
        <w:rPr>
          <w:rFonts w:cs="宋体"/>
          <w:color w:val="000000" w:themeColor="text1"/>
          <w:spacing w:val="-3"/>
          <w14:textFill>
            <w14:solidFill>
              <w14:schemeClr w14:val="tx1"/>
            </w14:solidFill>
          </w14:textFill>
        </w:rPr>
      </w:pPr>
      <w:r>
        <w:rPr>
          <w:rFonts w:hint="eastAsia" w:cs="宋体"/>
          <w:color w:val="000000" w:themeColor="text1"/>
          <w14:textFill>
            <w14:solidFill>
              <w14:schemeClr w14:val="tx1"/>
            </w14:solidFill>
          </w14:textFill>
        </w:rPr>
        <w:t>附：</w:t>
      </w:r>
      <w:r>
        <w:rPr>
          <w:rFonts w:hint="eastAsia" w:cs="宋体"/>
          <w:color w:val="000000" w:themeColor="text1"/>
          <w:spacing w:val="-3"/>
          <w14:textFill>
            <w14:solidFill>
              <w14:schemeClr w14:val="tx1"/>
            </w14:solidFill>
          </w14:textFill>
        </w:rPr>
        <w:t>法定代表人（单位负责人）身份证或护照等身份证明文件电子件。</w:t>
      </w:r>
    </w:p>
    <w:p>
      <w:pPr>
        <w:pStyle w:val="22"/>
        <w:kinsoku w:val="0"/>
        <w:overflowPunct w:val="0"/>
        <w:spacing w:line="583" w:lineRule="auto"/>
        <w:ind w:right="4305"/>
        <w:rPr>
          <w:rFonts w:cs="宋体"/>
          <w:color w:val="000000" w:themeColor="text1"/>
          <w:spacing w:val="-3"/>
          <w14:textFill>
            <w14:solidFill>
              <w14:schemeClr w14:val="tx1"/>
            </w14:solidFill>
          </w14:textFill>
        </w:rPr>
      </w:pPr>
    </w:p>
    <w:p>
      <w:pPr>
        <w:pStyle w:val="22"/>
        <w:kinsoku w:val="0"/>
        <w:overflowPunct w:val="0"/>
        <w:spacing w:line="583" w:lineRule="auto"/>
        <w:ind w:right="4305"/>
        <w:rPr>
          <w:rFonts w:cs="宋体"/>
          <w:color w:val="000000" w:themeColor="text1"/>
          <w:spacing w:val="-3"/>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pStyle w:val="22"/>
        <w:kinsoku w:val="0"/>
        <w:overflowPunct w:val="0"/>
        <w:spacing w:line="583" w:lineRule="auto"/>
        <w:ind w:right="95"/>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法定代表人（</w:t>
      </w:r>
      <w:r>
        <w:rPr>
          <w:rFonts w:hint="eastAsia" w:cs="宋体"/>
          <w:color w:val="000000" w:themeColor="text1"/>
          <w14:textFill>
            <w14:solidFill>
              <w14:schemeClr w14:val="tx1"/>
            </w14:solidFill>
          </w14:textFill>
        </w:rPr>
        <w:t>单位负责人</w:t>
      </w:r>
      <w:r>
        <w:rPr>
          <w:rFonts w:hint="eastAsia" w:cs="宋体"/>
          <w:color w:val="000000" w:themeColor="text1"/>
          <w:spacing w:val="-3"/>
          <w14:textFill>
            <w14:solidFill>
              <w14:schemeClr w14:val="tx1"/>
            </w14:solidFill>
          </w14:textFill>
        </w:rPr>
        <w:t>）（签字或盖章）：_______</w:t>
      </w:r>
    </w:p>
    <w:p>
      <w:pPr>
        <w:autoSpaceDE w:val="0"/>
        <w:autoSpaceDN w:val="0"/>
        <w:adjustRightInd w:val="0"/>
        <w:snapToGrid w:val="0"/>
        <w:spacing w:line="360" w:lineRule="auto"/>
        <w:rPr>
          <w:rFonts w:ascii="宋体" w:hAnsi="宋体" w:cs="宋体"/>
          <w:color w:val="000000" w:themeColor="text1"/>
          <w:sz w:val="24"/>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widowControl/>
        <w:jc w:val="left"/>
        <w:rPr>
          <w:rFonts w:ascii="宋体" w:hAnsi="宋体" w:cs="宋体"/>
          <w:i/>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8"/>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  开标一览表</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Pr>
          <w:rFonts w:hint="eastAsia" w:hAnsi="宋体" w:cs="宋体"/>
          <w:b w:val="0"/>
          <w:color w:val="000000" w:themeColor="text1"/>
          <w:szCs w:val="24"/>
          <w:u w:val="none"/>
          <w14:textFill>
            <w14:solidFill>
              <w14:schemeClr w14:val="tx1"/>
            </w14:solidFill>
          </w14:textFill>
        </w:rPr>
        <w:t>（实质性格式）</w:t>
      </w:r>
    </w:p>
    <w:p>
      <w:pPr>
        <w:spacing w:line="360" w:lineRule="exact"/>
        <w:jc w:val="center"/>
        <w:rPr>
          <w:rFonts w:ascii="宋体" w:hAnsi="宋体" w:cs="宋体"/>
          <w:b/>
          <w:color w:val="000000" w:themeColor="text1"/>
          <w:sz w:val="36"/>
          <w:szCs w:val="36"/>
          <w14:textFill>
            <w14:solidFill>
              <w14:schemeClr w14:val="tx1"/>
            </w14:solidFill>
          </w14:textFill>
        </w:rPr>
      </w:pPr>
      <w:bookmarkStart w:id="901" w:name="_Toc264969248"/>
      <w:bookmarkStart w:id="902" w:name="_Toc305158826"/>
      <w:bookmarkStart w:id="903" w:name="_Toc305158900"/>
      <w:bookmarkStart w:id="904" w:name="_Toc226965831"/>
      <w:bookmarkStart w:id="905" w:name="_Toc226337254"/>
      <w:bookmarkStart w:id="906" w:name="_Toc265228396"/>
      <w:bookmarkStart w:id="907" w:name="_Toc226309802"/>
      <w:bookmarkStart w:id="908" w:name="_Toc164608827"/>
      <w:bookmarkStart w:id="909" w:name="_Toc226965748"/>
      <w:bookmarkStart w:id="910" w:name="_Toc195842923"/>
      <w:bookmarkStart w:id="911" w:name="_Toc164608672"/>
      <w:r>
        <w:rPr>
          <w:rFonts w:hint="eastAsia" w:ascii="宋体" w:hAnsi="宋体" w:cs="宋体"/>
          <w:b/>
          <w:color w:val="000000" w:themeColor="text1"/>
          <w:sz w:val="36"/>
          <w:szCs w:val="36"/>
          <w14:textFill>
            <w14:solidFill>
              <w14:schemeClr w14:val="tx1"/>
            </w14:solidFill>
          </w14:textFill>
        </w:rPr>
        <w:t>开标一览表</w:t>
      </w:r>
      <w:bookmarkEnd w:id="901"/>
      <w:bookmarkEnd w:id="902"/>
      <w:bookmarkEnd w:id="903"/>
      <w:bookmarkEnd w:id="904"/>
      <w:bookmarkEnd w:id="905"/>
      <w:bookmarkEnd w:id="906"/>
      <w:bookmarkEnd w:id="907"/>
      <w:bookmarkEnd w:id="908"/>
      <w:bookmarkEnd w:id="909"/>
      <w:bookmarkEnd w:id="910"/>
      <w:bookmarkEnd w:id="911"/>
    </w:p>
    <w:p>
      <w:pPr>
        <w:tabs>
          <w:tab w:val="left" w:pos="1800"/>
          <w:tab w:val="left" w:pos="5580"/>
        </w:tabs>
        <w:spacing w:line="360" w:lineRule="auto"/>
        <w:jc w:val="left"/>
        <w:rPr>
          <w:rFonts w:ascii="宋体" w:hAnsi="宋体" w:cs="宋体"/>
          <w:i/>
          <w:color w:val="000000" w:themeColor="text1"/>
          <w:sz w:val="24"/>
          <w14:textFill>
            <w14:solidFill>
              <w14:schemeClr w14:val="tx1"/>
            </w14:solidFill>
          </w14:textFill>
        </w:rPr>
      </w:pPr>
    </w:p>
    <w:p>
      <w:pPr>
        <w:tabs>
          <w:tab w:val="left" w:pos="1800"/>
          <w:tab w:val="left" w:pos="5580"/>
        </w:tabs>
        <w:spacing w:line="360" w:lineRule="auto"/>
        <w:ind w:firstLine="240" w:firstLineChars="1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项目编号：_____________________     项目名称：____________</w:t>
      </w:r>
    </w:p>
    <w:tbl>
      <w:tblPr>
        <w:tblStyle w:val="55"/>
        <w:tblW w:w="7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632" w:type="dxa"/>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包号</w:t>
            </w:r>
          </w:p>
        </w:tc>
        <w:tc>
          <w:tcPr>
            <w:tcW w:w="3396" w:type="dxa"/>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投标人名称</w:t>
            </w:r>
          </w:p>
        </w:tc>
        <w:tc>
          <w:tcPr>
            <w:tcW w:w="3639" w:type="dxa"/>
            <w:gridSpan w:val="2"/>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632" w:type="dxa"/>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3396" w:type="dxa"/>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822" w:type="dxa"/>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大写</w:t>
            </w:r>
          </w:p>
        </w:tc>
        <w:tc>
          <w:tcPr>
            <w:tcW w:w="1817" w:type="dxa"/>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632" w:type="dxa"/>
            <w:vAlign w:val="center"/>
          </w:tcPr>
          <w:p>
            <w:pPr>
              <w:tabs>
                <w:tab w:val="left" w:pos="5580"/>
              </w:tabs>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3396" w:type="dxa"/>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822" w:type="dxa"/>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817" w:type="dxa"/>
            <w:vAlign w:val="center"/>
          </w:tcPr>
          <w:p>
            <w:pPr>
              <w:tabs>
                <w:tab w:val="left" w:pos="5580"/>
              </w:tabs>
              <w:jc w:val="center"/>
              <w:rPr>
                <w:rFonts w:ascii="宋体" w:hAnsi="宋体" w:cs="宋体"/>
                <w:color w:val="000000" w:themeColor="text1"/>
                <w:sz w:val="24"/>
                <w14:textFill>
                  <w14:solidFill>
                    <w14:schemeClr w14:val="tx1"/>
                  </w14:solidFill>
                </w14:textFill>
              </w:rPr>
            </w:pPr>
          </w:p>
        </w:tc>
      </w:tr>
    </w:tbl>
    <w:p>
      <w:pPr>
        <w:autoSpaceDE w:val="0"/>
        <w:autoSpaceDN w:val="0"/>
        <w:adjustRightInd w:val="0"/>
        <w:jc w:val="left"/>
        <w:rPr>
          <w:rFonts w:ascii="宋体" w:hAnsi="宋体" w:cs="宋体"/>
          <w:color w:val="000000" w:themeColor="text1"/>
          <w:kern w:val="0"/>
          <w:sz w:val="24"/>
          <w14:textFill>
            <w14:solidFill>
              <w14:schemeClr w14:val="tx1"/>
            </w14:solidFill>
          </w14:textFill>
        </w:rPr>
      </w:pPr>
    </w:p>
    <w:p>
      <w:pPr>
        <w:autoSpaceDE w:val="0"/>
        <w:autoSpaceDN w:val="0"/>
        <w:adjustRightInd w:val="0"/>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注：1</w:t>
      </w:r>
      <w:r>
        <w:rPr>
          <w:rFonts w:hint="eastAsia" w:ascii="宋体" w:hAnsi="宋体" w:cs="宋体"/>
          <w:color w:val="000000" w:themeColor="text1"/>
          <w:sz w:val="24"/>
          <w:szCs w:val="20"/>
          <w14:textFill>
            <w14:solidFill>
              <w14:schemeClr w14:val="tx1"/>
            </w14:solidFill>
          </w14:textFill>
        </w:rPr>
        <w:t>.此表中，每包的投标报价应和《投标分项报价表》中的总价相一致。</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2.本表必须按包分别填写。</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bookmarkStart w:id="912" w:name="_Toc226965749"/>
      <w:bookmarkStart w:id="913" w:name="_Toc195842924"/>
      <w:bookmarkStart w:id="914" w:name="_Toc142311060"/>
      <w:bookmarkStart w:id="915" w:name="_Toc226965832"/>
      <w:bookmarkStart w:id="916" w:name="_Toc305158901"/>
      <w:bookmarkStart w:id="917" w:name="_Toc305158827"/>
      <w:bookmarkStart w:id="918" w:name="_Toc226337255"/>
      <w:bookmarkStart w:id="919" w:name="_Toc127151558"/>
      <w:bookmarkStart w:id="920" w:name="_Toc226309803"/>
      <w:bookmarkStart w:id="921" w:name="_Toc264969249"/>
      <w:bookmarkStart w:id="922" w:name="_Toc265228397"/>
      <w:bookmarkStart w:id="923" w:name="_Toc150480796"/>
      <w:bookmarkStart w:id="924" w:name="_Toc150774763"/>
    </w:p>
    <w:p>
      <w:pPr>
        <w:widowControl/>
        <w:jc w:val="left"/>
        <w:rPr>
          <w:rFonts w:ascii="宋体" w:hAnsi="宋体" w:cs="宋体"/>
          <w:color w:val="000000" w:themeColor="text1"/>
          <w:sz w:val="24"/>
          <w:szCs w:val="20"/>
          <w14:textFill>
            <w14:solidFill>
              <w14:schemeClr w14:val="tx1"/>
            </w14:solidFill>
          </w14:textFill>
        </w:rPr>
        <w:sectPr>
          <w:footerReference r:id="rId8" w:type="default"/>
          <w:pgSz w:w="11907" w:h="16840"/>
          <w:pgMar w:top="1440" w:right="1800" w:bottom="1440" w:left="1800" w:header="851" w:footer="851" w:gutter="0"/>
          <w:cols w:space="720" w:num="1"/>
          <w:docGrid w:linePitch="462" w:charSpace="0"/>
        </w:sectPr>
      </w:pPr>
    </w:p>
    <w:p>
      <w:pPr>
        <w:spacing w:line="360" w:lineRule="auto"/>
        <w:outlineLvl w:val="2"/>
        <w:rPr>
          <w:rFonts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ascii="宋体" w:hAnsi="宋体" w:cs="宋体"/>
          <w:b/>
          <w:sz w:val="36"/>
          <w:szCs w:val="36"/>
        </w:rPr>
      </w:pPr>
      <w:r>
        <w:rPr>
          <w:rFonts w:hint="eastAsia" w:ascii="宋体" w:hAnsi="宋体" w:cs="宋体"/>
          <w:b/>
          <w:sz w:val="36"/>
          <w:szCs w:val="36"/>
        </w:rPr>
        <w:t>投标分项报价表</w:t>
      </w:r>
    </w:p>
    <w:p>
      <w:pPr>
        <w:tabs>
          <w:tab w:val="left" w:pos="1800"/>
          <w:tab w:val="left" w:pos="5580"/>
        </w:tabs>
        <w:rPr>
          <w:rFonts w:ascii="宋体" w:hAnsi="宋体" w:cs="宋体"/>
          <w:sz w:val="24"/>
        </w:rPr>
      </w:pPr>
      <w:r>
        <w:rPr>
          <w:rFonts w:hint="eastAsia" w:ascii="宋体" w:hAnsi="宋体" w:cs="宋体"/>
          <w:sz w:val="24"/>
        </w:rPr>
        <w:t>项目编号</w:t>
      </w:r>
      <w:bookmarkStart w:id="925" w:name="OLE_LINK49"/>
      <w:r>
        <w:rPr>
          <w:rFonts w:hint="eastAsia" w:ascii="宋体" w:hAnsi="宋体" w:cs="宋体"/>
          <w:sz w:val="24"/>
        </w:rPr>
        <w:t>/包号</w:t>
      </w:r>
      <w:bookmarkEnd w:id="925"/>
      <w:r>
        <w:rPr>
          <w:rFonts w:hint="eastAsia" w:ascii="宋体" w:hAnsi="宋体" w:cs="宋体"/>
          <w:sz w:val="24"/>
        </w:rPr>
        <w:t>：___________ 项目名称：__________报价单位：人民币元</w:t>
      </w:r>
    </w:p>
    <w:tbl>
      <w:tblPr>
        <w:tblStyle w:val="5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4483"/>
        <w:gridCol w:w="2056"/>
        <w:gridCol w:w="1841"/>
        <w:gridCol w:w="2053"/>
        <w:gridCol w:w="2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27" w:type="dxa"/>
            <w:vAlign w:val="center"/>
          </w:tcPr>
          <w:p>
            <w:pPr>
              <w:adjustRightInd w:val="0"/>
              <w:snapToGrid w:val="0"/>
              <w:jc w:val="left"/>
              <w:rPr>
                <w:b/>
                <w:color w:val="000000"/>
                <w:sz w:val="24"/>
              </w:rPr>
            </w:pPr>
            <w:r>
              <w:rPr>
                <w:b/>
                <w:color w:val="000000"/>
                <w:sz w:val="24"/>
              </w:rPr>
              <w:t>序号</w:t>
            </w:r>
          </w:p>
        </w:tc>
        <w:tc>
          <w:tcPr>
            <w:tcW w:w="4483" w:type="dxa"/>
            <w:vAlign w:val="center"/>
          </w:tcPr>
          <w:p>
            <w:pPr>
              <w:adjustRightInd w:val="0"/>
              <w:snapToGrid w:val="0"/>
              <w:jc w:val="center"/>
              <w:rPr>
                <w:b/>
                <w:color w:val="000000"/>
                <w:sz w:val="24"/>
              </w:rPr>
            </w:pPr>
            <w:r>
              <w:rPr>
                <w:b/>
                <w:color w:val="000000"/>
                <w:sz w:val="24"/>
              </w:rPr>
              <w:t>分项名称</w:t>
            </w:r>
          </w:p>
        </w:tc>
        <w:tc>
          <w:tcPr>
            <w:tcW w:w="2056" w:type="dxa"/>
            <w:vAlign w:val="center"/>
          </w:tcPr>
          <w:p>
            <w:pPr>
              <w:adjustRightInd w:val="0"/>
              <w:snapToGrid w:val="0"/>
              <w:jc w:val="center"/>
              <w:rPr>
                <w:b/>
                <w:color w:val="000000"/>
                <w:sz w:val="24"/>
              </w:rPr>
            </w:pPr>
            <w:r>
              <w:rPr>
                <w:b/>
                <w:color w:val="000000"/>
                <w:sz w:val="24"/>
              </w:rPr>
              <w:t>单价（元）</w:t>
            </w:r>
          </w:p>
        </w:tc>
        <w:tc>
          <w:tcPr>
            <w:tcW w:w="1841" w:type="dxa"/>
            <w:vAlign w:val="center"/>
          </w:tcPr>
          <w:p>
            <w:pPr>
              <w:adjustRightInd w:val="0"/>
              <w:snapToGrid w:val="0"/>
              <w:jc w:val="center"/>
              <w:rPr>
                <w:b/>
                <w:color w:val="000000"/>
                <w:sz w:val="24"/>
              </w:rPr>
            </w:pPr>
            <w:r>
              <w:rPr>
                <w:b/>
                <w:color w:val="000000"/>
                <w:sz w:val="24"/>
              </w:rPr>
              <w:t>数量</w:t>
            </w:r>
          </w:p>
        </w:tc>
        <w:tc>
          <w:tcPr>
            <w:tcW w:w="2053" w:type="dxa"/>
            <w:vAlign w:val="center"/>
          </w:tcPr>
          <w:p>
            <w:pPr>
              <w:adjustRightInd w:val="0"/>
              <w:snapToGrid w:val="0"/>
              <w:jc w:val="center"/>
              <w:rPr>
                <w:b/>
                <w:color w:val="000000"/>
                <w:sz w:val="24"/>
              </w:rPr>
            </w:pPr>
            <w:r>
              <w:rPr>
                <w:b/>
                <w:color w:val="000000"/>
                <w:sz w:val="24"/>
              </w:rPr>
              <w:t>合价（元）</w:t>
            </w:r>
          </w:p>
        </w:tc>
        <w:tc>
          <w:tcPr>
            <w:tcW w:w="2606" w:type="dxa"/>
            <w:vAlign w:val="center"/>
          </w:tcPr>
          <w:p>
            <w:pPr>
              <w:adjustRightInd w:val="0"/>
              <w:snapToGrid w:val="0"/>
              <w:jc w:val="center"/>
              <w:rPr>
                <w:b/>
                <w:color w:val="000000"/>
                <w:sz w:val="24"/>
              </w:rPr>
            </w:pPr>
            <w:r>
              <w:rPr>
                <w:b/>
                <w:color w:val="000000"/>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7" w:type="dxa"/>
            <w:vAlign w:val="center"/>
          </w:tcPr>
          <w:p>
            <w:pPr>
              <w:adjustRightInd w:val="0"/>
              <w:snapToGrid w:val="0"/>
              <w:jc w:val="center"/>
              <w:rPr>
                <w:color w:val="000000"/>
                <w:sz w:val="24"/>
              </w:rPr>
            </w:pPr>
            <w:r>
              <w:rPr>
                <w:color w:val="000000"/>
                <w:sz w:val="24"/>
              </w:rPr>
              <w:t>1</w:t>
            </w:r>
          </w:p>
        </w:tc>
        <w:tc>
          <w:tcPr>
            <w:tcW w:w="4483" w:type="dxa"/>
            <w:vAlign w:val="center"/>
          </w:tcPr>
          <w:p>
            <w:pPr>
              <w:adjustRightInd w:val="0"/>
              <w:snapToGrid w:val="0"/>
              <w:jc w:val="left"/>
              <w:rPr>
                <w:color w:val="000000"/>
                <w:sz w:val="24"/>
              </w:rPr>
            </w:pPr>
          </w:p>
        </w:tc>
        <w:tc>
          <w:tcPr>
            <w:tcW w:w="2056" w:type="dxa"/>
            <w:vAlign w:val="center"/>
          </w:tcPr>
          <w:p>
            <w:pPr>
              <w:adjustRightInd w:val="0"/>
              <w:snapToGrid w:val="0"/>
              <w:jc w:val="left"/>
              <w:rPr>
                <w:color w:val="000000"/>
                <w:sz w:val="24"/>
              </w:rPr>
            </w:pPr>
          </w:p>
        </w:tc>
        <w:tc>
          <w:tcPr>
            <w:tcW w:w="1841" w:type="dxa"/>
            <w:vAlign w:val="center"/>
          </w:tcPr>
          <w:p>
            <w:pPr>
              <w:adjustRightInd w:val="0"/>
              <w:snapToGrid w:val="0"/>
              <w:jc w:val="center"/>
              <w:rPr>
                <w:color w:val="000000"/>
                <w:sz w:val="24"/>
              </w:rPr>
            </w:pPr>
          </w:p>
        </w:tc>
        <w:tc>
          <w:tcPr>
            <w:tcW w:w="2053" w:type="dxa"/>
            <w:vAlign w:val="center"/>
          </w:tcPr>
          <w:p>
            <w:pPr>
              <w:adjustRightInd w:val="0"/>
              <w:snapToGrid w:val="0"/>
              <w:jc w:val="left"/>
              <w:rPr>
                <w:color w:val="000000"/>
                <w:sz w:val="24"/>
              </w:rPr>
            </w:pPr>
          </w:p>
        </w:tc>
        <w:tc>
          <w:tcPr>
            <w:tcW w:w="2606" w:type="dxa"/>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927" w:type="dxa"/>
            <w:vAlign w:val="center"/>
          </w:tcPr>
          <w:p>
            <w:pPr>
              <w:adjustRightInd w:val="0"/>
              <w:snapToGrid w:val="0"/>
              <w:jc w:val="center"/>
              <w:rPr>
                <w:color w:val="000000"/>
                <w:sz w:val="24"/>
              </w:rPr>
            </w:pPr>
            <w:r>
              <w:rPr>
                <w:color w:val="000000"/>
                <w:sz w:val="24"/>
              </w:rPr>
              <w:t>2</w:t>
            </w:r>
          </w:p>
        </w:tc>
        <w:tc>
          <w:tcPr>
            <w:tcW w:w="4483" w:type="dxa"/>
            <w:vAlign w:val="center"/>
          </w:tcPr>
          <w:p>
            <w:pPr>
              <w:adjustRightInd w:val="0"/>
              <w:snapToGrid w:val="0"/>
              <w:jc w:val="left"/>
              <w:rPr>
                <w:color w:val="000000"/>
                <w:sz w:val="24"/>
              </w:rPr>
            </w:pPr>
          </w:p>
        </w:tc>
        <w:tc>
          <w:tcPr>
            <w:tcW w:w="2056" w:type="dxa"/>
            <w:vAlign w:val="center"/>
          </w:tcPr>
          <w:p>
            <w:pPr>
              <w:adjustRightInd w:val="0"/>
              <w:snapToGrid w:val="0"/>
              <w:jc w:val="left"/>
              <w:rPr>
                <w:color w:val="000000"/>
                <w:sz w:val="24"/>
              </w:rPr>
            </w:pPr>
          </w:p>
        </w:tc>
        <w:tc>
          <w:tcPr>
            <w:tcW w:w="1841" w:type="dxa"/>
            <w:vAlign w:val="center"/>
          </w:tcPr>
          <w:p>
            <w:pPr>
              <w:adjustRightInd w:val="0"/>
              <w:snapToGrid w:val="0"/>
              <w:jc w:val="center"/>
              <w:rPr>
                <w:color w:val="000000"/>
                <w:sz w:val="24"/>
              </w:rPr>
            </w:pPr>
          </w:p>
        </w:tc>
        <w:tc>
          <w:tcPr>
            <w:tcW w:w="2053" w:type="dxa"/>
            <w:vAlign w:val="center"/>
          </w:tcPr>
          <w:p>
            <w:pPr>
              <w:adjustRightInd w:val="0"/>
              <w:snapToGrid w:val="0"/>
              <w:jc w:val="left"/>
              <w:rPr>
                <w:color w:val="000000"/>
                <w:sz w:val="24"/>
              </w:rPr>
            </w:pPr>
          </w:p>
        </w:tc>
        <w:tc>
          <w:tcPr>
            <w:tcW w:w="2606" w:type="dxa"/>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27" w:type="dxa"/>
            <w:vAlign w:val="center"/>
          </w:tcPr>
          <w:p>
            <w:pPr>
              <w:adjustRightInd w:val="0"/>
              <w:snapToGrid w:val="0"/>
              <w:jc w:val="center"/>
              <w:rPr>
                <w:color w:val="000000"/>
                <w:sz w:val="24"/>
              </w:rPr>
            </w:pPr>
            <w:r>
              <w:rPr>
                <w:color w:val="000000"/>
                <w:sz w:val="24"/>
              </w:rPr>
              <w:t>3</w:t>
            </w:r>
          </w:p>
        </w:tc>
        <w:tc>
          <w:tcPr>
            <w:tcW w:w="4483" w:type="dxa"/>
            <w:vAlign w:val="center"/>
          </w:tcPr>
          <w:p>
            <w:pPr>
              <w:adjustRightInd w:val="0"/>
              <w:snapToGrid w:val="0"/>
              <w:jc w:val="left"/>
              <w:rPr>
                <w:color w:val="000000"/>
                <w:sz w:val="24"/>
              </w:rPr>
            </w:pPr>
            <w:r>
              <w:rPr>
                <w:color w:val="000000"/>
                <w:sz w:val="24"/>
              </w:rPr>
              <w:t>…</w:t>
            </w:r>
          </w:p>
        </w:tc>
        <w:tc>
          <w:tcPr>
            <w:tcW w:w="2056" w:type="dxa"/>
            <w:vAlign w:val="center"/>
          </w:tcPr>
          <w:p>
            <w:pPr>
              <w:adjustRightInd w:val="0"/>
              <w:snapToGrid w:val="0"/>
              <w:jc w:val="left"/>
              <w:rPr>
                <w:color w:val="000000"/>
                <w:sz w:val="24"/>
              </w:rPr>
            </w:pPr>
          </w:p>
        </w:tc>
        <w:tc>
          <w:tcPr>
            <w:tcW w:w="1841" w:type="dxa"/>
            <w:vAlign w:val="center"/>
          </w:tcPr>
          <w:p>
            <w:pPr>
              <w:adjustRightInd w:val="0"/>
              <w:snapToGrid w:val="0"/>
              <w:jc w:val="center"/>
              <w:rPr>
                <w:color w:val="000000"/>
                <w:sz w:val="24"/>
              </w:rPr>
            </w:pPr>
          </w:p>
        </w:tc>
        <w:tc>
          <w:tcPr>
            <w:tcW w:w="2053" w:type="dxa"/>
            <w:vAlign w:val="center"/>
          </w:tcPr>
          <w:p>
            <w:pPr>
              <w:adjustRightInd w:val="0"/>
              <w:snapToGrid w:val="0"/>
              <w:jc w:val="left"/>
              <w:rPr>
                <w:color w:val="000000"/>
                <w:sz w:val="24"/>
              </w:rPr>
            </w:pPr>
          </w:p>
        </w:tc>
        <w:tc>
          <w:tcPr>
            <w:tcW w:w="2606" w:type="dxa"/>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307" w:type="dxa"/>
            <w:gridSpan w:val="4"/>
            <w:vAlign w:val="center"/>
          </w:tcPr>
          <w:p>
            <w:pPr>
              <w:adjustRightInd w:val="0"/>
              <w:snapToGrid w:val="0"/>
              <w:jc w:val="right"/>
              <w:rPr>
                <w:color w:val="000000"/>
                <w:sz w:val="24"/>
              </w:rPr>
            </w:pPr>
            <w:r>
              <w:rPr>
                <w:b/>
                <w:color w:val="000000"/>
                <w:sz w:val="24"/>
              </w:rPr>
              <w:t>总价（元）</w:t>
            </w:r>
          </w:p>
        </w:tc>
        <w:tc>
          <w:tcPr>
            <w:tcW w:w="2053" w:type="dxa"/>
            <w:vAlign w:val="center"/>
          </w:tcPr>
          <w:p>
            <w:pPr>
              <w:adjustRightInd w:val="0"/>
              <w:snapToGrid w:val="0"/>
              <w:jc w:val="left"/>
              <w:rPr>
                <w:color w:val="000000"/>
                <w:sz w:val="24"/>
              </w:rPr>
            </w:pPr>
          </w:p>
        </w:tc>
        <w:tc>
          <w:tcPr>
            <w:tcW w:w="2606" w:type="dxa"/>
            <w:vAlign w:val="center"/>
          </w:tcPr>
          <w:p>
            <w:pPr>
              <w:adjustRightInd w:val="0"/>
              <w:snapToGrid w:val="0"/>
              <w:jc w:val="left"/>
              <w:rPr>
                <w:color w:val="000000"/>
                <w:sz w:val="24"/>
              </w:rPr>
            </w:pPr>
          </w:p>
        </w:tc>
      </w:tr>
    </w:tbl>
    <w:p>
      <w:pPr>
        <w:tabs>
          <w:tab w:val="left" w:pos="1800"/>
          <w:tab w:val="left" w:pos="5580"/>
        </w:tabs>
        <w:jc w:val="left"/>
        <w:rPr>
          <w:color w:val="000000"/>
          <w:sz w:val="24"/>
        </w:rPr>
      </w:pPr>
      <w:r>
        <w:rPr>
          <w:color w:val="000000"/>
          <w:sz w:val="24"/>
        </w:rPr>
        <w:t>注：1.本表应按包分别填写。</w:t>
      </w:r>
    </w:p>
    <w:p>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pPr>
        <w:tabs>
          <w:tab w:val="left" w:pos="1800"/>
          <w:tab w:val="left" w:pos="5580"/>
        </w:tabs>
        <w:ind w:firstLine="480" w:firstLineChars="200"/>
        <w:jc w:val="left"/>
        <w:rPr>
          <w:color w:val="000000"/>
          <w:sz w:val="24"/>
        </w:rPr>
      </w:pPr>
      <w:r>
        <w:rPr>
          <w:color w:val="000000"/>
          <w:sz w:val="24"/>
        </w:rPr>
        <w:t>3.上述各项的详细规格（如有），可另页描述。</w:t>
      </w:r>
    </w:p>
    <w:p>
      <w:pPr>
        <w:ind w:firstLine="480" w:firstLineChars="200"/>
        <w:rPr>
          <w:rFonts w:ascii="宋体" w:hAnsi="宋体"/>
          <w:sz w:val="24"/>
        </w:rPr>
      </w:pPr>
    </w:p>
    <w:p>
      <w:pPr>
        <w:pStyle w:val="22"/>
        <w:spacing w:before="103" w:line="196" w:lineRule="auto"/>
        <w:rPr>
          <w:spacing w:val="-1"/>
        </w:rPr>
      </w:pPr>
    </w:p>
    <w:p>
      <w:pPr>
        <w:pStyle w:val="22"/>
        <w:spacing w:before="103" w:line="196" w:lineRule="auto"/>
      </w:pPr>
      <w:r>
        <w:rPr>
          <w:spacing w:val="-1"/>
        </w:rPr>
        <w:t>投标人名称（加盖公章</w:t>
      </w:r>
      <w:r>
        <w:rPr>
          <w:spacing w:val="-60"/>
        </w:rPr>
        <w:t>）：</w:t>
      </w:r>
      <w:r>
        <w:rPr>
          <w:u w:val="single"/>
        </w:rPr>
        <w:t xml:space="preserve">                     </w:t>
      </w:r>
    </w:p>
    <w:p>
      <w:pPr>
        <w:widowControl/>
        <w:jc w:val="left"/>
        <w:rPr>
          <w:rFonts w:ascii="宋体" w:hAnsi="宋体"/>
          <w:spacing w:val="-13"/>
          <w:sz w:val="24"/>
        </w:rPr>
        <w:sectPr>
          <w:pgSz w:w="16840" w:h="11907" w:orient="landscape"/>
          <w:pgMar w:top="1800" w:right="1440" w:bottom="1800" w:left="1440" w:header="851" w:footer="851" w:gutter="0"/>
          <w:cols w:space="720" w:num="1"/>
          <w:docGrid w:linePitch="462" w:charSpace="0"/>
        </w:sectPr>
      </w:pPr>
      <w:r>
        <w:rPr>
          <w:rFonts w:ascii="宋体" w:hAnsi="宋体"/>
          <w:spacing w:val="-13"/>
          <w:sz w:val="24"/>
        </w:rPr>
        <w:t>日期：</w:t>
      </w:r>
      <w:r>
        <w:rPr>
          <w:rFonts w:ascii="宋体" w:hAnsi="宋体"/>
          <w:spacing w:val="4"/>
          <w:sz w:val="24"/>
          <w:u w:val="single"/>
        </w:rPr>
        <w:t xml:space="preserve">        </w:t>
      </w:r>
      <w:r>
        <w:rPr>
          <w:rFonts w:ascii="宋体" w:hAnsi="宋体"/>
          <w:spacing w:val="-59"/>
          <w:sz w:val="24"/>
        </w:rPr>
        <w:t xml:space="preserve"> </w:t>
      </w:r>
      <w:r>
        <w:rPr>
          <w:rFonts w:ascii="宋体" w:hAnsi="宋体"/>
          <w:spacing w:val="-13"/>
          <w:sz w:val="24"/>
        </w:rPr>
        <w:t>年</w:t>
      </w:r>
      <w:r>
        <w:rPr>
          <w:rFonts w:ascii="宋体" w:hAnsi="宋体"/>
          <w:spacing w:val="1"/>
          <w:sz w:val="24"/>
          <w:u w:val="single"/>
        </w:rPr>
        <w:t xml:space="preserve">          </w:t>
      </w:r>
      <w:r>
        <w:rPr>
          <w:rFonts w:ascii="宋体" w:hAnsi="宋体"/>
          <w:spacing w:val="-63"/>
          <w:sz w:val="24"/>
        </w:rPr>
        <w:t xml:space="preserve"> </w:t>
      </w:r>
      <w:r>
        <w:rPr>
          <w:rFonts w:ascii="宋体" w:hAnsi="宋体"/>
          <w:spacing w:val="-13"/>
          <w:sz w:val="24"/>
        </w:rPr>
        <w:t>月</w:t>
      </w:r>
      <w:r>
        <w:rPr>
          <w:rFonts w:ascii="宋体" w:hAnsi="宋体"/>
          <w:spacing w:val="1"/>
          <w:sz w:val="24"/>
          <w:u w:val="single"/>
        </w:rPr>
        <w:t xml:space="preserve">          </w:t>
      </w:r>
      <w:r>
        <w:rPr>
          <w:rFonts w:ascii="宋体" w:hAnsi="宋体"/>
          <w:spacing w:val="-15"/>
          <w:sz w:val="24"/>
        </w:rPr>
        <w:t xml:space="preserve"> </w:t>
      </w:r>
      <w:r>
        <w:rPr>
          <w:rFonts w:ascii="宋体" w:hAnsi="宋体"/>
          <w:spacing w:val="-13"/>
          <w:sz w:val="24"/>
        </w:rPr>
        <w:t>日</w:t>
      </w:r>
    </w:p>
    <w:bookmarkEnd w:id="912"/>
    <w:bookmarkEnd w:id="913"/>
    <w:bookmarkEnd w:id="914"/>
    <w:bookmarkEnd w:id="915"/>
    <w:bookmarkEnd w:id="916"/>
    <w:bookmarkEnd w:id="917"/>
    <w:bookmarkEnd w:id="918"/>
    <w:bookmarkEnd w:id="919"/>
    <w:bookmarkEnd w:id="920"/>
    <w:bookmarkEnd w:id="921"/>
    <w:bookmarkEnd w:id="922"/>
    <w:bookmarkEnd w:id="923"/>
    <w:bookmarkEnd w:id="924"/>
    <w:p>
      <w:pPr>
        <w:pStyle w:val="8"/>
        <w:rPr>
          <w:rFonts w:hAnsi="宋体" w:cs="宋体"/>
          <w:b w:val="0"/>
          <w:color w:val="000000" w:themeColor="text1"/>
          <w:szCs w:val="24"/>
          <w:u w:val="none"/>
          <w14:textFill>
            <w14:solidFill>
              <w14:schemeClr w14:val="tx1"/>
            </w14:solidFill>
          </w14:textFill>
        </w:rPr>
      </w:pPr>
      <w:bookmarkStart w:id="926" w:name="_Toc195842927"/>
      <w:bookmarkStart w:id="927" w:name="_Toc142311062"/>
      <w:bookmarkStart w:id="928" w:name="_Toc264969252"/>
      <w:bookmarkStart w:id="929" w:name="_Toc265228400"/>
      <w:bookmarkStart w:id="930" w:name="_Toc226965835"/>
      <w:bookmarkStart w:id="931" w:name="_Toc226309806"/>
      <w:bookmarkStart w:id="932" w:name="_Toc150774765"/>
      <w:bookmarkStart w:id="933" w:name="_Toc127151562"/>
      <w:bookmarkStart w:id="934" w:name="_Toc150480798"/>
      <w:bookmarkStart w:id="935" w:name="_Toc226965752"/>
      <w:bookmarkStart w:id="936" w:name="_Toc305158904"/>
      <w:bookmarkStart w:id="937" w:name="_Toc305158830"/>
      <w:bookmarkStart w:id="938" w:name="_Toc226337258"/>
      <w:bookmarkStart w:id="939" w:name="_Toc127151561"/>
      <w:bookmarkStart w:id="940" w:name="_Toc226965751"/>
      <w:bookmarkStart w:id="941" w:name="_Toc305158829"/>
      <w:bookmarkStart w:id="942" w:name="_Toc142311061"/>
      <w:bookmarkStart w:id="943" w:name="_Toc305158903"/>
      <w:bookmarkStart w:id="944" w:name="_Toc150480797"/>
      <w:bookmarkStart w:id="945" w:name="_Toc226309805"/>
      <w:bookmarkStart w:id="946" w:name="_Toc226965834"/>
      <w:bookmarkStart w:id="947" w:name="_Toc195842926"/>
      <w:bookmarkStart w:id="948" w:name="_Toc226337257"/>
      <w:bookmarkStart w:id="949" w:name="_Toc265228399"/>
      <w:bookmarkStart w:id="950" w:name="_Toc150774764"/>
      <w:bookmarkStart w:id="951" w:name="_Toc264969251"/>
      <w:r>
        <w:rPr>
          <w:rFonts w:hint="eastAsia" w:hAnsi="宋体" w:cs="宋体"/>
          <w:b w:val="0"/>
          <w:color w:val="000000" w:themeColor="text1"/>
          <w:szCs w:val="24"/>
          <w:u w:val="none"/>
          <w14:textFill>
            <w14:solidFill>
              <w14:schemeClr w14:val="tx1"/>
            </w14:solidFill>
          </w14:textFill>
        </w:rPr>
        <w:t>5  合同条款偏离表</w:t>
      </w:r>
      <w:bookmarkEnd w:id="926"/>
      <w:bookmarkEnd w:id="927"/>
      <w:bookmarkEnd w:id="928"/>
      <w:bookmarkEnd w:id="929"/>
      <w:bookmarkEnd w:id="930"/>
      <w:bookmarkEnd w:id="931"/>
      <w:bookmarkEnd w:id="932"/>
      <w:bookmarkEnd w:id="933"/>
      <w:bookmarkEnd w:id="934"/>
      <w:bookmarkEnd w:id="935"/>
      <w:bookmarkEnd w:id="936"/>
      <w:bookmarkEnd w:id="937"/>
      <w:bookmarkEnd w:id="938"/>
      <w:r>
        <w:rPr>
          <w:rFonts w:hint="eastAsia" w:hAnsi="宋体" w:cs="宋体"/>
          <w:b w:val="0"/>
          <w:color w:val="000000" w:themeColor="text1"/>
          <w:szCs w:val="24"/>
          <w:u w:val="none"/>
          <w14:textFill>
            <w14:solidFill>
              <w14:schemeClr w14:val="tx1"/>
            </w14:solidFill>
          </w14:textFill>
        </w:rPr>
        <w:t>（实质性格式）</w:t>
      </w:r>
    </w:p>
    <w:p>
      <w:pPr>
        <w:tabs>
          <w:tab w:val="left" w:pos="2775"/>
          <w:tab w:val="center" w:pos="4153"/>
        </w:tabs>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合同条款偏离表</w:t>
      </w:r>
    </w:p>
    <w:p>
      <w:pPr>
        <w:tabs>
          <w:tab w:val="left" w:pos="1800"/>
          <w:tab w:val="left" w:pos="5580"/>
        </w:tabs>
        <w:spacing w:line="360" w:lineRule="auto"/>
        <w:ind w:firstLine="360" w:firstLineChars="150"/>
        <w:jc w:val="left"/>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项目名称：_____________</w:t>
      </w:r>
    </w:p>
    <w:tbl>
      <w:tblPr>
        <w:tblStyle w:val="5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772" w:type="dxa"/>
          </w:tcPr>
          <w:p>
            <w:pPr>
              <w:autoSpaceDE w:val="0"/>
              <w:autoSpaceDN w:val="0"/>
              <w:spacing w:before="163" w:line="199" w:lineRule="auto"/>
              <w:ind w:left="287" w:right="165" w:hanging="12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招标文件条目</w:t>
            </w:r>
            <w:r>
              <w:rPr>
                <w:rFonts w:hint="eastAsia" w:ascii="宋体" w:hAnsi="宋体" w:cs="宋体"/>
                <w:color w:val="000000" w:themeColor="text1"/>
                <w:sz w:val="24"/>
                <w14:textFill>
                  <w14:solidFill>
                    <w14:schemeClr w14:val="tx1"/>
                  </w14:solidFill>
                </w14:textFill>
              </w:rPr>
              <w:t xml:space="preserve"> 号（页码）</w:t>
            </w:r>
          </w:p>
        </w:tc>
        <w:tc>
          <w:tcPr>
            <w:tcW w:w="1675" w:type="dxa"/>
          </w:tcPr>
          <w:p>
            <w:pPr>
              <w:autoSpaceDE w:val="0"/>
              <w:autoSpaceDN w:val="0"/>
              <w:spacing w:before="336" w:line="201" w:lineRule="auto"/>
              <w:ind w:left="11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1675" w:type="dxa"/>
          </w:tcPr>
          <w:p>
            <w:pPr>
              <w:autoSpaceDE w:val="0"/>
              <w:autoSpaceDN w:val="0"/>
              <w:spacing w:before="337" w:line="201" w:lineRule="auto"/>
              <w:ind w:left="1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投标文件内容</w:t>
            </w:r>
          </w:p>
        </w:tc>
        <w:tc>
          <w:tcPr>
            <w:tcW w:w="1874" w:type="dxa"/>
          </w:tcPr>
          <w:p>
            <w:pPr>
              <w:autoSpaceDE w:val="0"/>
              <w:autoSpaceDN w:val="0"/>
              <w:spacing w:before="337" w:line="201" w:lineRule="auto"/>
              <w:ind w:left="45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137" w:type="dxa"/>
          </w:tcPr>
          <w:p>
            <w:pPr>
              <w:autoSpaceDE w:val="0"/>
              <w:autoSpaceDN w:val="0"/>
              <w:spacing w:before="336" w:line="201" w:lineRule="auto"/>
              <w:ind w:left="3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对本项目合同条款的偏离情况</w:t>
            </w:r>
            <w:r>
              <w:rPr>
                <w:rFonts w:hint="eastAsia" w:ascii="宋体" w:hAnsi="宋体" w:cs="宋体"/>
                <w:color w:val="000000" w:themeColor="text1"/>
                <w:sz w:val="24"/>
                <w14:textFill>
                  <w14:solidFill>
                    <w14:schemeClr w14:val="tx1"/>
                  </w14:solidFill>
                </w14:textFill>
              </w:rPr>
              <w:t>（应进行选择，未选择</w:t>
            </w:r>
            <w:r>
              <w:rPr>
                <w:rFonts w:hint="eastAsia" w:ascii="宋体" w:hAnsi="宋体" w:cs="宋体"/>
                <w:b/>
                <w:bCs/>
                <w:color w:val="000000" w:themeColor="text1"/>
                <w:sz w:val="24"/>
                <w14:textFill>
                  <w14:solidFill>
                    <w14:schemeClr w14:val="tx1"/>
                  </w14:solidFill>
                </w14:textFill>
              </w:rPr>
              <w:t>投标无效</w:t>
            </w:r>
            <w:r>
              <w:rPr>
                <w:rFonts w:hint="eastAsia" w:ascii="宋体" w:hAnsi="宋体" w:cs="宋体"/>
                <w:color w:val="000000" w:themeColor="text1"/>
                <w:spacing w:val="-51"/>
                <w:sz w:val="24"/>
                <w14:textFill>
                  <w14:solidFill>
                    <w14:schemeClr w14:val="tx1"/>
                  </w14:solidFill>
                </w14:textFill>
              </w:rPr>
              <w:t>）：</w:t>
            </w:r>
          </w:p>
          <w:p>
            <w:pPr>
              <w:pStyle w:val="262"/>
              <w:spacing w:before="13" w:line="360" w:lineRule="auto"/>
              <w:ind w:left="112" w:right="106" w:firstLine="1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□无偏离</w:t>
            </w:r>
            <w:r>
              <w:rPr>
                <w:rFonts w:hint="eastAsia" w:ascii="宋体" w:hAnsi="宋体" w:eastAsia="宋体" w:cs="宋体"/>
                <w:color w:val="000000" w:themeColor="text1"/>
                <w:spacing w:val="1"/>
                <w:sz w:val="24"/>
                <w:szCs w:val="24"/>
                <w:lang w:eastAsia="zh-CN"/>
                <w14:textFill>
                  <w14:solidFill>
                    <w14:schemeClr w14:val="tx1"/>
                  </w14:solidFill>
                </w14:textFill>
              </w:rPr>
              <w:t>（如无偏离，仅选择无偏离即可；无偏离即为</w:t>
            </w:r>
            <w:r>
              <w:rPr>
                <w:rFonts w:hint="eastAsia" w:ascii="宋体" w:hAnsi="宋体" w:eastAsia="宋体" w:cs="宋体"/>
                <w:color w:val="000000" w:themeColor="text1"/>
                <w:sz w:val="24"/>
                <w:szCs w:val="24"/>
                <w:lang w:eastAsia="zh-CN"/>
                <w14:textFill>
                  <w14:solidFill>
                    <w14:schemeClr w14:val="tx1"/>
                  </w14:solidFill>
                </w14:textFill>
              </w:rPr>
              <w:t xml:space="preserve">对合同条款中的所有要求，均视 </w:t>
            </w:r>
            <w:r>
              <w:rPr>
                <w:rFonts w:hint="eastAsia" w:ascii="宋体" w:hAnsi="宋体" w:eastAsia="宋体" w:cs="宋体"/>
                <w:color w:val="000000" w:themeColor="text1"/>
                <w:spacing w:val="-5"/>
                <w:sz w:val="24"/>
                <w:szCs w:val="24"/>
                <w:lang w:eastAsia="zh-CN"/>
                <w14:textFill>
                  <w14:solidFill>
                    <w14:schemeClr w14:val="tx1"/>
                  </w14:solidFill>
                </w14:textFill>
              </w:rPr>
              <w:t>作供应商已对之理解和响应。）</w:t>
            </w:r>
          </w:p>
          <w:p>
            <w:pPr>
              <w:pStyle w:val="262"/>
              <w:spacing w:before="11" w:line="360" w:lineRule="auto"/>
              <w:ind w:left="137" w:right="106" w:hanging="7"/>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□有偏离</w:t>
            </w:r>
            <w:r>
              <w:rPr>
                <w:rFonts w:hint="eastAsia" w:ascii="宋体" w:hAnsi="宋体" w:eastAsia="宋体" w:cs="宋体"/>
                <w:color w:val="000000" w:themeColor="text1"/>
                <w:spacing w:val="1"/>
                <w:sz w:val="24"/>
                <w:szCs w:val="24"/>
                <w:lang w:eastAsia="zh-CN"/>
                <w14:textFill>
                  <w14:solidFill>
                    <w14:schemeClr w14:val="tx1"/>
                  </w14:solidFill>
                </w14:textFill>
              </w:rPr>
              <w:t>（如有偏离，则应在本表中对负偏离项逐一列</w:t>
            </w:r>
            <w:r>
              <w:rPr>
                <w:rFonts w:hint="eastAsia" w:ascii="宋体" w:hAnsi="宋体" w:eastAsia="宋体" w:cs="宋体"/>
                <w:color w:val="000000" w:themeColor="text1"/>
                <w:sz w:val="24"/>
                <w:szCs w:val="24"/>
                <w:lang w:eastAsia="zh-CN"/>
                <w14:textFill>
                  <w14:solidFill>
                    <w14:schemeClr w14:val="tx1"/>
                  </w14:solidFill>
                </w14:textFill>
              </w:rPr>
              <w:t>明，否则</w:t>
            </w:r>
            <w:r>
              <w:rPr>
                <w:rFonts w:hint="eastAsia" w:ascii="宋体" w:hAnsi="宋体" w:eastAsia="宋体" w:cs="宋体"/>
                <w:b/>
                <w:bCs/>
                <w:color w:val="000000" w:themeColor="text1"/>
                <w:sz w:val="24"/>
                <w:szCs w:val="24"/>
                <w:lang w:eastAsia="zh-CN"/>
                <w14:textFill>
                  <w14:solidFill>
                    <w14:schemeClr w14:val="tx1"/>
                  </w14:solidFill>
                </w14:textFill>
              </w:rPr>
              <w:t>投标无效</w:t>
            </w:r>
            <w:r>
              <w:rPr>
                <w:rFonts w:hint="eastAsia" w:ascii="宋体" w:hAnsi="宋体" w:eastAsia="宋体" w:cs="宋体"/>
                <w:color w:val="000000" w:themeColor="text1"/>
                <w:sz w:val="24"/>
                <w:szCs w:val="24"/>
                <w:lang w:eastAsia="zh-CN"/>
                <w14:textFill>
                  <w14:solidFill>
                    <w14:schemeClr w14:val="tx1"/>
                  </w14:solidFill>
                </w14:textFill>
              </w:rPr>
              <w:t xml:space="preserve">；对合同条款 </w:t>
            </w:r>
            <w:r>
              <w:rPr>
                <w:rFonts w:hint="eastAsia" w:ascii="宋体" w:hAnsi="宋体" w:eastAsia="宋体" w:cs="宋体"/>
                <w:color w:val="000000" w:themeColor="text1"/>
                <w:spacing w:val="-5"/>
                <w:sz w:val="24"/>
                <w:szCs w:val="24"/>
                <w:lang w:eastAsia="zh-CN"/>
                <w14:textFill>
                  <w14:solidFill>
                    <w14:schemeClr w14:val="tx1"/>
                  </w14:solidFill>
                </w14:textFill>
              </w:rPr>
              <w:t>中的所有要求，除本表列明的偏离外，均视作供应商已对之理解</w:t>
            </w:r>
            <w:r>
              <w:rPr>
                <w:rFonts w:hint="eastAsia" w:ascii="宋体" w:hAnsi="宋体" w:eastAsia="宋体" w:cs="宋体"/>
                <w:color w:val="000000" w:themeColor="text1"/>
                <w:spacing w:val="-6"/>
                <w:sz w:val="24"/>
                <w:szCs w:val="24"/>
                <w:lang w:eastAsia="zh-CN"/>
                <w14:textFill>
                  <w14:solidFill>
                    <w14:schemeClr w14:val="tx1"/>
                  </w14:solidFill>
                </w14:textFill>
              </w:rPr>
              <w:t>和响应。</w:t>
            </w:r>
            <w:r>
              <w:rPr>
                <w:rFonts w:hint="eastAsia" w:ascii="宋体" w:hAnsi="宋体" w:eastAsia="宋体" w:cs="宋体"/>
                <w:color w:val="000000" w:themeColor="text1"/>
                <w:spacing w:val="-6"/>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2"/>
              <w:rPr>
                <w:rFonts w:ascii="宋体" w:hAnsi="宋体" w:eastAsia="宋体" w:cs="宋体"/>
                <w:color w:val="000000" w:themeColor="text1"/>
                <w:sz w:val="22"/>
                <w14:textFill>
                  <w14:solidFill>
                    <w14:schemeClr w14:val="tx1"/>
                  </w14:solidFill>
                </w14:textFill>
              </w:rPr>
            </w:pPr>
          </w:p>
        </w:tc>
        <w:tc>
          <w:tcPr>
            <w:tcW w:w="1772"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874" w:type="dxa"/>
          </w:tcPr>
          <w:p>
            <w:pPr>
              <w:pStyle w:val="262"/>
              <w:rPr>
                <w:rFonts w:ascii="宋体" w:hAnsi="宋体" w:eastAsia="宋体" w:cs="宋体"/>
                <w:color w:val="000000" w:themeColor="text1"/>
                <w:sz w:val="22"/>
                <w14:textFill>
                  <w14:solidFill>
                    <w14:schemeClr w14:val="tx1"/>
                  </w14:solidFill>
                </w14:textFill>
              </w:rPr>
            </w:pPr>
          </w:p>
        </w:tc>
        <w:tc>
          <w:tcPr>
            <w:tcW w:w="1137"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2"/>
              <w:rPr>
                <w:rFonts w:ascii="宋体" w:hAnsi="宋体" w:eastAsia="宋体" w:cs="宋体"/>
                <w:color w:val="000000" w:themeColor="text1"/>
                <w:sz w:val="22"/>
                <w14:textFill>
                  <w14:solidFill>
                    <w14:schemeClr w14:val="tx1"/>
                  </w14:solidFill>
                </w14:textFill>
              </w:rPr>
            </w:pPr>
          </w:p>
        </w:tc>
        <w:tc>
          <w:tcPr>
            <w:tcW w:w="1772"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874" w:type="dxa"/>
          </w:tcPr>
          <w:p>
            <w:pPr>
              <w:pStyle w:val="262"/>
              <w:rPr>
                <w:rFonts w:ascii="宋体" w:hAnsi="宋体" w:eastAsia="宋体" w:cs="宋体"/>
                <w:color w:val="000000" w:themeColor="text1"/>
                <w:sz w:val="22"/>
                <w14:textFill>
                  <w14:solidFill>
                    <w14:schemeClr w14:val="tx1"/>
                  </w14:solidFill>
                </w14:textFill>
              </w:rPr>
            </w:pPr>
          </w:p>
        </w:tc>
        <w:tc>
          <w:tcPr>
            <w:tcW w:w="1137"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2"/>
              <w:rPr>
                <w:rFonts w:ascii="宋体" w:hAnsi="宋体" w:eastAsia="宋体" w:cs="宋体"/>
                <w:color w:val="000000" w:themeColor="text1"/>
                <w:sz w:val="22"/>
                <w14:textFill>
                  <w14:solidFill>
                    <w14:schemeClr w14:val="tx1"/>
                  </w14:solidFill>
                </w14:textFill>
              </w:rPr>
            </w:pPr>
          </w:p>
        </w:tc>
        <w:tc>
          <w:tcPr>
            <w:tcW w:w="1772"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874" w:type="dxa"/>
          </w:tcPr>
          <w:p>
            <w:pPr>
              <w:pStyle w:val="262"/>
              <w:rPr>
                <w:rFonts w:ascii="宋体" w:hAnsi="宋体" w:eastAsia="宋体" w:cs="宋体"/>
                <w:color w:val="000000" w:themeColor="text1"/>
                <w:sz w:val="22"/>
                <w14:textFill>
                  <w14:solidFill>
                    <w14:schemeClr w14:val="tx1"/>
                  </w14:solidFill>
                </w14:textFill>
              </w:rPr>
            </w:pPr>
          </w:p>
        </w:tc>
        <w:tc>
          <w:tcPr>
            <w:tcW w:w="1137"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62"/>
              <w:rPr>
                <w:rFonts w:ascii="宋体" w:hAnsi="宋体" w:eastAsia="宋体" w:cs="宋体"/>
                <w:color w:val="000000" w:themeColor="text1"/>
                <w:sz w:val="22"/>
                <w14:textFill>
                  <w14:solidFill>
                    <w14:schemeClr w14:val="tx1"/>
                  </w14:solidFill>
                </w14:textFill>
              </w:rPr>
            </w:pPr>
          </w:p>
        </w:tc>
        <w:tc>
          <w:tcPr>
            <w:tcW w:w="1772"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675" w:type="dxa"/>
          </w:tcPr>
          <w:p>
            <w:pPr>
              <w:pStyle w:val="262"/>
              <w:rPr>
                <w:rFonts w:ascii="宋体" w:hAnsi="宋体" w:eastAsia="宋体" w:cs="宋体"/>
                <w:color w:val="000000" w:themeColor="text1"/>
                <w:sz w:val="22"/>
                <w14:textFill>
                  <w14:solidFill>
                    <w14:schemeClr w14:val="tx1"/>
                  </w14:solidFill>
                </w14:textFill>
              </w:rPr>
            </w:pPr>
          </w:p>
        </w:tc>
        <w:tc>
          <w:tcPr>
            <w:tcW w:w="1874" w:type="dxa"/>
          </w:tcPr>
          <w:p>
            <w:pPr>
              <w:pStyle w:val="262"/>
              <w:rPr>
                <w:rFonts w:ascii="宋体" w:hAnsi="宋体" w:eastAsia="宋体" w:cs="宋体"/>
                <w:color w:val="000000" w:themeColor="text1"/>
                <w:sz w:val="22"/>
                <w14:textFill>
                  <w14:solidFill>
                    <w14:schemeClr w14:val="tx1"/>
                  </w14:solidFill>
                </w14:textFill>
              </w:rPr>
            </w:pPr>
          </w:p>
        </w:tc>
        <w:tc>
          <w:tcPr>
            <w:tcW w:w="1137" w:type="dxa"/>
          </w:tcPr>
          <w:p>
            <w:pPr>
              <w:pStyle w:val="262"/>
              <w:rPr>
                <w:rFonts w:ascii="宋体" w:hAnsi="宋体" w:eastAsia="宋体" w:cs="宋体"/>
                <w:color w:val="000000" w:themeColor="text1"/>
                <w:sz w:val="22"/>
                <w14:textFill>
                  <w14:solidFill>
                    <w14:schemeClr w14:val="tx1"/>
                  </w14:solidFill>
                </w14:textFill>
              </w:rPr>
            </w:pPr>
          </w:p>
        </w:tc>
      </w:tr>
    </w:tbl>
    <w:p>
      <w:pPr>
        <w:tabs>
          <w:tab w:val="left" w:pos="1800"/>
          <w:tab w:val="left" w:pos="5580"/>
        </w:tabs>
        <w:jc w:val="left"/>
        <w:rPr>
          <w:rFonts w:ascii="宋体" w:hAnsi="宋体" w:cs="宋体"/>
          <w:color w:val="000000" w:themeColor="text1"/>
          <w:sz w:val="24"/>
          <w14:textFill>
            <w14:solidFill>
              <w14:schemeClr w14:val="tx1"/>
            </w14:solidFill>
          </w14:textFill>
        </w:rPr>
      </w:pPr>
    </w:p>
    <w:p>
      <w:pPr>
        <w:tabs>
          <w:tab w:val="left" w:pos="1800"/>
          <w:tab w:val="left" w:pos="5580"/>
        </w:tabs>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pacing w:val="4"/>
          <w:sz w:val="24"/>
          <w14:textFill>
            <w14:solidFill>
              <w14:schemeClr w14:val="tx1"/>
            </w14:solidFill>
          </w14:textFill>
        </w:rPr>
        <w:t>“偏离情况”列应据实填写“正偏离”或“负偏离”。</w:t>
      </w:r>
    </w:p>
    <w:p>
      <w:pPr>
        <w:spacing w:line="360" w:lineRule="auto"/>
        <w:rPr>
          <w:rFonts w:ascii="宋体" w:hAnsi="宋体" w:cs="宋体"/>
          <w:color w:val="000000" w:themeColor="text1"/>
          <w:sz w:val="24"/>
          <w:szCs w:val="20"/>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8"/>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6  </w:t>
      </w:r>
      <w:bookmarkEnd w:id="939"/>
      <w:bookmarkEnd w:id="940"/>
      <w:bookmarkEnd w:id="941"/>
      <w:bookmarkEnd w:id="942"/>
      <w:bookmarkEnd w:id="943"/>
      <w:bookmarkEnd w:id="944"/>
      <w:bookmarkEnd w:id="945"/>
      <w:bookmarkEnd w:id="946"/>
      <w:bookmarkEnd w:id="947"/>
      <w:bookmarkEnd w:id="948"/>
      <w:bookmarkEnd w:id="949"/>
      <w:bookmarkEnd w:id="950"/>
      <w:bookmarkEnd w:id="951"/>
      <w:r>
        <w:rPr>
          <w:rFonts w:hint="eastAsia" w:hAnsi="宋体" w:cs="宋体"/>
          <w:b w:val="0"/>
          <w:color w:val="000000" w:themeColor="text1"/>
          <w:szCs w:val="24"/>
          <w:u w:val="none"/>
          <w14:textFill>
            <w14:solidFill>
              <w14:schemeClr w14:val="tx1"/>
            </w14:solidFill>
          </w14:textFill>
        </w:rPr>
        <w:t>采购需求偏离表（实质性格式）</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采购需求偏离表</w:t>
      </w:r>
    </w:p>
    <w:p>
      <w:pPr>
        <w:tabs>
          <w:tab w:val="left" w:pos="1800"/>
          <w:tab w:val="left" w:pos="5580"/>
        </w:tabs>
        <w:spacing w:line="360" w:lineRule="auto"/>
        <w:ind w:firstLine="360" w:firstLineChars="150"/>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5"/>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482" w:type="dxa"/>
            <w:vAlign w:val="center"/>
          </w:tcPr>
          <w:p>
            <w:pPr>
              <w:pStyle w:val="262"/>
              <w:spacing w:before="221" w:line="197" w:lineRule="auto"/>
              <w:ind w:right="138"/>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招标文件条</w:t>
            </w:r>
            <w:r>
              <w:rPr>
                <w:rFonts w:hint="eastAsia" w:ascii="宋体" w:hAnsi="宋体" w:eastAsia="宋体" w:cs="宋体"/>
                <w:color w:val="000000" w:themeColor="text1"/>
                <w:spacing w:val="-4"/>
                <w:sz w:val="24"/>
                <w:szCs w:val="24"/>
                <w14:textFill>
                  <w14:solidFill>
                    <w14:schemeClr w14:val="tx1"/>
                  </w14:solidFill>
                </w14:textFill>
              </w:rPr>
              <w:t>目号(页码)</w:t>
            </w:r>
          </w:p>
        </w:tc>
        <w:tc>
          <w:tcPr>
            <w:tcW w:w="2384"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2126"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投标响应内容</w:t>
            </w:r>
          </w:p>
        </w:tc>
        <w:tc>
          <w:tcPr>
            <w:tcW w:w="18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009"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bl>
    <w:p>
      <w:pPr>
        <w:tabs>
          <w:tab w:val="left" w:pos="1800"/>
          <w:tab w:val="left" w:pos="5580"/>
        </w:tabs>
        <w:spacing w:line="360" w:lineRule="auto"/>
        <w:jc w:val="left"/>
        <w:rPr>
          <w:rFonts w:ascii="宋体" w:hAnsi="宋体" w:cs="宋体"/>
          <w:sz w:val="24"/>
        </w:rPr>
      </w:pPr>
      <w:r>
        <w:rPr>
          <w:rFonts w:hint="eastAsia" w:ascii="宋体" w:hAnsi="宋体" w:cs="宋体"/>
          <w:sz w:val="24"/>
        </w:rPr>
        <w:t>注：</w:t>
      </w:r>
    </w:p>
    <w:p>
      <w:pPr>
        <w:spacing w:line="312" w:lineRule="auto"/>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ascii="宋体" w:hAnsi="宋体" w:cs="宋体"/>
          <w:color w:val="000000" w:themeColor="text1"/>
          <w:sz w:val="24"/>
          <w14:textFill>
            <w14:solidFill>
              <w14:schemeClr w14:val="tx1"/>
            </w14:solidFill>
          </w14:textFill>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8"/>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7  中小企业证明文件（适用包号1）</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sz w:val="36"/>
          <w:szCs w:val="36"/>
        </w:rPr>
      </w:pPr>
      <w:bookmarkStart w:id="952" w:name="OLE_LINK193"/>
      <w:bookmarkStart w:id="953" w:name="OLE_LINK192"/>
      <w:r>
        <w:rPr>
          <w:rFonts w:hint="eastAsia" w:ascii="宋体" w:hAnsi="宋体" w:cs="宋体"/>
          <w:b/>
          <w:bCs/>
          <w:sz w:val="36"/>
          <w:szCs w:val="36"/>
        </w:rPr>
        <w:t>中小企业声明函（服务）格式</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5"/>
        <w:tblW w:w="8523" w:type="dxa"/>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3"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bookmarkEnd w:id="952"/>
    <w:bookmarkEnd w:id="953"/>
    <w:p>
      <w:pPr>
        <w:spacing w:before="240" w:beforeLines="100" w:after="240" w:afterLines="100" w:line="360"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8"/>
        <w:rPr>
          <w:rFonts w:hAnsi="宋体" w:cs="宋体"/>
          <w:b w:val="0"/>
          <w:color w:val="000000" w:themeColor="text1"/>
          <w:szCs w:val="24"/>
          <w:u w:val="none"/>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8</w:t>
      </w:r>
      <w:r>
        <w:rPr>
          <w:rFonts w:hint="eastAsia" w:hAnsi="宋体" w:cs="宋体"/>
          <w:b w:val="0"/>
          <w:color w:val="000000" w:themeColor="text1"/>
          <w:szCs w:val="24"/>
          <w:u w:val="none"/>
          <w14:textFill>
            <w14:solidFill>
              <w14:schemeClr w14:val="tx1"/>
            </w14:solidFill>
          </w14:textFill>
        </w:rPr>
        <w:t xml:space="preserve">  关于符合本国产品标准的声明函</w:t>
      </w:r>
      <w:r>
        <w:rPr>
          <w:rStyle w:val="64"/>
          <w:rFonts w:hint="eastAsia" w:ascii="Times New Roman"/>
          <w:b w:val="0"/>
          <w:kern w:val="2"/>
          <w:u w:val="none"/>
        </w:rPr>
        <w:t>（本项目不适用）</w:t>
      </w:r>
    </w:p>
    <w:p>
      <w:pPr>
        <w:pStyle w:val="49"/>
        <w:shd w:val="clear" w:color="auto" w:fill="FFFFFF"/>
        <w:spacing w:before="30" w:beforeAutospacing="0" w:after="30" w:afterAutospacing="0"/>
        <w:jc w:val="center"/>
        <w:rPr>
          <w:color w:val="333333"/>
          <w:sz w:val="36"/>
          <w:szCs w:val="36"/>
        </w:rPr>
      </w:pPr>
      <w:r>
        <w:rPr>
          <w:rStyle w:val="59"/>
          <w:rFonts w:hint="eastAsia"/>
          <w:color w:val="333333"/>
          <w:sz w:val="36"/>
          <w:szCs w:val="36"/>
          <w:shd w:val="clear" w:color="auto" w:fill="FFFFFF"/>
        </w:rPr>
        <w:t>关于符合本国产品标准的声明函</w:t>
      </w:r>
    </w:p>
    <w:p>
      <w:pPr>
        <w:pStyle w:val="49"/>
        <w:shd w:val="clear" w:color="auto" w:fill="FFFFFF"/>
        <w:spacing w:before="30" w:beforeAutospacing="0" w:after="30" w:afterAutospacing="0"/>
        <w:ind w:firstLine="420"/>
        <w:rPr>
          <w:color w:val="333333"/>
        </w:rPr>
      </w:pP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62"/>
          <w:rFonts w:hint="eastAsia"/>
          <w:color w:val="333333"/>
          <w:u w:val="single"/>
          <w:shd w:val="clear" w:color="auto" w:fill="FFFFFF"/>
        </w:rPr>
        <w:t>（产品名称1）</w:t>
      </w:r>
      <w:r>
        <w:rPr>
          <w:rStyle w:val="62"/>
          <w:rFonts w:hint="eastAsia"/>
          <w:color w:val="333333"/>
          <w:shd w:val="clear" w:color="auto" w:fill="FFFFFF"/>
          <w:vertAlign w:val="superscript"/>
        </w:rPr>
        <w:t>1</w:t>
      </w:r>
      <w:r>
        <w:rPr>
          <w:rFonts w:hint="eastAsia"/>
          <w:color w:val="333333"/>
          <w:shd w:val="clear" w:color="auto" w:fill="FFFFFF"/>
        </w:rPr>
        <w:t>，生产厂为</w:t>
      </w:r>
      <w:r>
        <w:rPr>
          <w:rStyle w:val="62"/>
          <w:rFonts w:hint="eastAsia"/>
          <w:color w:val="333333"/>
          <w:u w:val="single"/>
          <w:shd w:val="clear" w:color="auto" w:fill="FFFFFF"/>
        </w:rPr>
        <w:t>（厂名）</w:t>
      </w:r>
      <w:r>
        <w:rPr>
          <w:rStyle w:val="62"/>
          <w:rFonts w:hint="eastAsia"/>
          <w:color w:val="333333"/>
          <w:shd w:val="clear" w:color="auto" w:fill="FFFFFF"/>
          <w:vertAlign w:val="superscript"/>
        </w:rPr>
        <w:t>2</w:t>
      </w:r>
      <w:r>
        <w:rPr>
          <w:rFonts w:hint="eastAsia"/>
          <w:color w:val="333333"/>
          <w:shd w:val="clear" w:color="auto" w:fill="FFFFFF"/>
        </w:rPr>
        <w:t>，厂址为</w:t>
      </w:r>
      <w:r>
        <w:rPr>
          <w:rStyle w:val="62"/>
          <w:rFonts w:hint="eastAsia"/>
          <w:color w:val="333333"/>
          <w:u w:val="single"/>
          <w:shd w:val="clear" w:color="auto" w:fill="FFFFFF"/>
        </w:rPr>
        <w:t>（生产厂址）</w:t>
      </w:r>
      <w:r>
        <w:rPr>
          <w:rFonts w:hint="eastAsia"/>
          <w:color w:val="333333"/>
          <w:shd w:val="clear" w:color="auto" w:fill="FFFFFF"/>
        </w:rPr>
        <w:t>。</w:t>
      </w:r>
      <w:r>
        <w:rPr>
          <w:rStyle w:val="62"/>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62"/>
          <w:rFonts w:hint="eastAsia"/>
          <w:color w:val="333333"/>
          <w:u w:val="single"/>
          <w:shd w:val="clear" w:color="auto" w:fill="FFFFFF"/>
        </w:rPr>
        <w:t>（规定比例）</w:t>
      </w:r>
      <w:r>
        <w:rPr>
          <w:rStyle w:val="62"/>
          <w:rFonts w:hint="eastAsia"/>
          <w:color w:val="333333"/>
          <w:shd w:val="clear" w:color="auto" w:fill="FFFFFF"/>
          <w:vertAlign w:val="superscript"/>
        </w:rPr>
        <w:t>3</w:t>
      </w:r>
      <w:r>
        <w:rPr>
          <w:rFonts w:hint="eastAsia"/>
          <w:color w:val="333333"/>
          <w:shd w:val="clear" w:color="auto" w:fill="FFFFFF"/>
        </w:rPr>
        <w:t>。</w:t>
      </w:r>
      <w:r>
        <w:rPr>
          <w:rStyle w:val="62"/>
          <w:rFonts w:hint="eastAsia"/>
          <w:color w:val="333333"/>
          <w:u w:val="single"/>
          <w:shd w:val="clear" w:color="auto" w:fill="FFFFFF"/>
        </w:rPr>
        <w:t>（产品名称1）</w:t>
      </w:r>
      <w:r>
        <w:rPr>
          <w:rFonts w:hint="eastAsia"/>
          <w:color w:val="333333"/>
          <w:shd w:val="clear" w:color="auto" w:fill="FFFFFF"/>
        </w:rPr>
        <w:t>的</w:t>
      </w:r>
      <w:r>
        <w:rPr>
          <w:rStyle w:val="62"/>
          <w:rFonts w:hint="eastAsia"/>
          <w:color w:val="333333"/>
          <w:u w:val="single"/>
          <w:shd w:val="clear" w:color="auto" w:fill="FFFFFF"/>
        </w:rPr>
        <w:t>（关键组件）</w:t>
      </w:r>
      <w:r>
        <w:rPr>
          <w:rStyle w:val="62"/>
          <w:rFonts w:hint="eastAsia"/>
          <w:color w:val="333333"/>
          <w:shd w:val="clear" w:color="auto" w:fill="FFFFFF"/>
          <w:vertAlign w:val="superscript"/>
        </w:rPr>
        <w:t>4</w:t>
      </w:r>
      <w:r>
        <w:rPr>
          <w:rFonts w:hint="eastAsia"/>
          <w:color w:val="333333"/>
          <w:shd w:val="clear" w:color="auto" w:fill="FFFFFF"/>
        </w:rPr>
        <w:t>在中国境内生产。</w:t>
      </w:r>
      <w:r>
        <w:rPr>
          <w:rStyle w:val="62"/>
          <w:rFonts w:hint="eastAsia"/>
          <w:color w:val="333333"/>
          <w:u w:val="single"/>
          <w:shd w:val="clear" w:color="auto" w:fill="FFFFFF"/>
        </w:rPr>
        <w:t>（产品名称1）</w:t>
      </w:r>
      <w:r>
        <w:rPr>
          <w:rFonts w:hint="eastAsia"/>
          <w:color w:val="333333"/>
          <w:shd w:val="clear" w:color="auto" w:fill="FFFFFF"/>
        </w:rPr>
        <w:t>的</w:t>
      </w:r>
      <w:r>
        <w:rPr>
          <w:rStyle w:val="62"/>
          <w:rFonts w:hint="eastAsia"/>
          <w:color w:val="333333"/>
          <w:u w:val="single"/>
          <w:shd w:val="clear" w:color="auto" w:fill="FFFFFF"/>
        </w:rPr>
        <w:t>（关键工序）</w:t>
      </w:r>
      <w:r>
        <w:rPr>
          <w:rStyle w:val="62"/>
          <w:rFonts w:hint="eastAsia"/>
          <w:color w:val="333333"/>
          <w:shd w:val="clear" w:color="auto" w:fill="FFFFFF"/>
          <w:vertAlign w:val="superscript"/>
        </w:rPr>
        <w:t>5</w:t>
      </w:r>
      <w:r>
        <w:rPr>
          <w:rFonts w:hint="eastAsia"/>
          <w:color w:val="333333"/>
          <w:shd w:val="clear" w:color="auto" w:fill="FFFFFF"/>
        </w:rPr>
        <w:t>在中国境内完成。</w:t>
      </w: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62"/>
          <w:rFonts w:hint="eastAsia"/>
          <w:color w:val="333333"/>
          <w:u w:val="single"/>
          <w:shd w:val="clear" w:color="auto" w:fill="FFFFFF"/>
        </w:rPr>
        <w:t>（产品名称2）</w:t>
      </w:r>
      <w:r>
        <w:rPr>
          <w:rFonts w:hint="eastAsia"/>
          <w:color w:val="333333"/>
          <w:shd w:val="clear" w:color="auto" w:fill="FFFFFF"/>
        </w:rPr>
        <w:t>，生产厂为</w:t>
      </w:r>
      <w:r>
        <w:rPr>
          <w:rStyle w:val="62"/>
          <w:rFonts w:hint="eastAsia"/>
          <w:color w:val="333333"/>
          <w:u w:val="single"/>
          <w:shd w:val="clear" w:color="auto" w:fill="FFFFFF"/>
        </w:rPr>
        <w:t>（厂名）</w:t>
      </w:r>
      <w:r>
        <w:rPr>
          <w:rFonts w:hint="eastAsia"/>
          <w:color w:val="333333"/>
          <w:shd w:val="clear" w:color="auto" w:fill="FFFFFF"/>
        </w:rPr>
        <w:t>，厂址为</w:t>
      </w:r>
      <w:r>
        <w:rPr>
          <w:rStyle w:val="62"/>
          <w:rFonts w:hint="eastAsia"/>
          <w:color w:val="333333"/>
          <w:u w:val="single"/>
          <w:shd w:val="clear" w:color="auto" w:fill="FFFFFF"/>
        </w:rPr>
        <w:t>（生产厂址）</w:t>
      </w:r>
      <w:r>
        <w:rPr>
          <w:rFonts w:hint="eastAsia"/>
          <w:color w:val="333333"/>
          <w:shd w:val="clear" w:color="auto" w:fill="FFFFFF"/>
        </w:rPr>
        <w:t>。</w:t>
      </w:r>
      <w:r>
        <w:rPr>
          <w:rStyle w:val="62"/>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62"/>
          <w:rFonts w:hint="eastAsia"/>
          <w:color w:val="333333"/>
          <w:u w:val="single"/>
          <w:shd w:val="clear" w:color="auto" w:fill="FFFFFF"/>
        </w:rPr>
        <w:t>（规定比例）</w:t>
      </w:r>
      <w:r>
        <w:rPr>
          <w:rFonts w:hint="eastAsia"/>
          <w:color w:val="333333"/>
          <w:shd w:val="clear" w:color="auto" w:fill="FFFFFF"/>
        </w:rPr>
        <w:t>。</w:t>
      </w:r>
      <w:r>
        <w:rPr>
          <w:rStyle w:val="62"/>
          <w:rFonts w:hint="eastAsia"/>
          <w:color w:val="333333"/>
          <w:u w:val="single"/>
          <w:shd w:val="clear" w:color="auto" w:fill="FFFFFF"/>
        </w:rPr>
        <w:t>（产品名称2）</w:t>
      </w:r>
      <w:r>
        <w:rPr>
          <w:rFonts w:hint="eastAsia"/>
          <w:color w:val="333333"/>
          <w:shd w:val="clear" w:color="auto" w:fill="FFFFFF"/>
        </w:rPr>
        <w:t>的</w:t>
      </w:r>
      <w:r>
        <w:rPr>
          <w:rStyle w:val="62"/>
          <w:rFonts w:hint="eastAsia"/>
          <w:color w:val="333333"/>
          <w:u w:val="single"/>
          <w:shd w:val="clear" w:color="auto" w:fill="FFFFFF"/>
        </w:rPr>
        <w:t>（关键组件）</w:t>
      </w:r>
      <w:r>
        <w:rPr>
          <w:rFonts w:hint="eastAsia"/>
          <w:color w:val="333333"/>
          <w:shd w:val="clear" w:color="auto" w:fill="FFFFFF"/>
        </w:rPr>
        <w:t>在中国境内生产。</w:t>
      </w:r>
      <w:r>
        <w:rPr>
          <w:rStyle w:val="62"/>
          <w:rFonts w:hint="eastAsia"/>
          <w:color w:val="333333"/>
          <w:u w:val="single"/>
          <w:shd w:val="clear" w:color="auto" w:fill="FFFFFF"/>
        </w:rPr>
        <w:t>（产品名称2）</w:t>
      </w:r>
      <w:r>
        <w:rPr>
          <w:rFonts w:hint="eastAsia"/>
          <w:color w:val="333333"/>
          <w:shd w:val="clear" w:color="auto" w:fill="FFFFFF"/>
        </w:rPr>
        <w:t>的</w:t>
      </w:r>
      <w:r>
        <w:rPr>
          <w:rStyle w:val="62"/>
          <w:rFonts w:hint="eastAsia"/>
          <w:color w:val="333333"/>
          <w:u w:val="single"/>
          <w:shd w:val="clear" w:color="auto" w:fill="FFFFFF"/>
        </w:rPr>
        <w:t>（关键工序）</w:t>
      </w:r>
      <w:r>
        <w:rPr>
          <w:rFonts w:hint="eastAsia"/>
          <w:color w:val="333333"/>
          <w:shd w:val="clear" w:color="auto" w:fill="FFFFFF"/>
        </w:rPr>
        <w:t>在中国境内完成。</w:t>
      </w: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pPr>
        <w:pStyle w:val="49"/>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pPr>
        <w:pStyle w:val="49"/>
        <w:shd w:val="clear" w:color="auto" w:fill="FFFFFF"/>
        <w:spacing w:before="0" w:beforeAutospacing="0" w:after="0" w:afterAutospacing="0" w:line="360" w:lineRule="auto"/>
        <w:rPr>
          <w:color w:val="333333"/>
        </w:rPr>
      </w:pPr>
    </w:p>
    <w:p>
      <w:pPr>
        <w:pStyle w:val="49"/>
        <w:shd w:val="clear" w:color="auto" w:fill="FFFFFF"/>
        <w:spacing w:before="0" w:beforeAutospacing="0" w:after="0" w:afterAutospacing="0" w:line="360" w:lineRule="auto"/>
        <w:jc w:val="right"/>
        <w:rPr>
          <w:color w:val="333333"/>
          <w:shd w:val="clear" w:color="auto" w:fill="FFFFFF"/>
        </w:rPr>
      </w:pPr>
    </w:p>
    <w:p>
      <w:pPr>
        <w:pStyle w:val="49"/>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9"/>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p>
    <w:p>
      <w:pPr>
        <w:pStyle w:val="49"/>
        <w:shd w:val="clear" w:color="auto" w:fill="FFFFFF"/>
        <w:spacing w:before="0" w:beforeAutospacing="0" w:after="0" w:afterAutospacing="0" w:line="360" w:lineRule="auto"/>
        <w:rPr>
          <w:color w:val="333333"/>
          <w:shd w:val="clear" w:color="auto" w:fill="FFFFFF"/>
        </w:rPr>
      </w:pPr>
    </w:p>
    <w:p>
      <w:pPr>
        <w:pStyle w:val="49"/>
        <w:shd w:val="clear" w:color="auto" w:fill="FFFFFF"/>
        <w:spacing w:before="0" w:beforeAutospacing="0" w:after="0" w:afterAutospacing="0" w:line="360" w:lineRule="auto"/>
        <w:rPr>
          <w:color w:val="333333"/>
          <w:shd w:val="clear" w:color="auto" w:fill="FFFFFF"/>
        </w:rPr>
      </w:pPr>
    </w:p>
    <w:p>
      <w:pPr>
        <w:spacing w:line="360" w:lineRule="auto"/>
        <w:ind w:left="424" w:leftChars="1" w:hanging="422" w:hangingChars="201"/>
        <w:rPr>
          <w:rFonts w:ascii="宋体" w:hAnsi="宋体"/>
          <w:color w:val="333333"/>
          <w:shd w:val="clear" w:color="auto" w:fill="FFFFFF"/>
        </w:rPr>
      </w:pPr>
      <w:r>
        <w:rPr>
          <w:rFonts w:ascii="宋体" w:hAnsi="宋体"/>
          <w:color w:val="333333"/>
          <w:shd w:val="clear" w:color="auto" w:fill="FFFFFF"/>
        </w:rPr>
        <w:t>注：1.</w:t>
      </w:r>
      <w:r>
        <w:rPr>
          <w:rFonts w:hint="eastAsia" w:ascii="宋体" w:hAnsi="宋体"/>
          <w:color w:val="333333"/>
          <w:shd w:val="clear" w:color="auto" w:fill="FFFFFF"/>
        </w:rPr>
        <w:t>产品如有型号，请在“产品名称”栏一并填写</w:t>
      </w:r>
      <w:r>
        <w:rPr>
          <w:rFonts w:ascii="宋体" w:hAnsi="宋体"/>
          <w:color w:val="333333"/>
          <w:shd w:val="clear" w:color="auto" w:fill="FFFFFF"/>
        </w:rPr>
        <w:t>。</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2.生产厂名与厂址应与生产厂营业执照载明的相关信息保持一致。</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3.该产品的中国境内生产的组件成本占比相关要求实施前，“规定比例”栏可不填。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4.该产品的关键组件要求实施前，“关键组件”栏可不填。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5.该产品的关键工序要求实施前，“关键工序”栏可不填。</w:t>
      </w:r>
    </w:p>
    <w:p>
      <w:pPr>
        <w:spacing w:line="360" w:lineRule="auto"/>
        <w:ind w:left="420" w:leftChars="200"/>
        <w:rPr>
          <w:rFonts w:ascii="宋体" w:hAnsi="宋体"/>
          <w:color w:val="333333"/>
          <w:shd w:val="clear" w:color="auto" w:fill="FFFFFF"/>
        </w:rPr>
      </w:pPr>
      <w:r>
        <w:rPr>
          <w:rFonts w:hint="eastAsia" w:ascii="宋体" w:hAnsi="宋体"/>
          <w:color w:val="333333"/>
          <w:shd w:val="clear" w:color="auto" w:fill="FFFFFF"/>
        </w:rPr>
        <w:t>6</w:t>
      </w:r>
      <w:r>
        <w:rPr>
          <w:rFonts w:ascii="宋体" w:hAnsi="宋体"/>
          <w:color w:val="333333"/>
          <w:shd w:val="clear" w:color="auto" w:fill="FFFFFF"/>
        </w:rPr>
        <w:t>.</w:t>
      </w:r>
      <w:r>
        <w:rPr>
          <w:rFonts w:hint="eastAsia" w:ascii="宋体" w:hAnsi="宋体"/>
          <w:color w:val="333333"/>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ascii="宋体" w:hAnsi="宋体"/>
        </w:rPr>
      </w:pPr>
    </w:p>
    <w:p>
      <w:pPr>
        <w:pStyle w:val="49"/>
        <w:shd w:val="clear" w:color="auto" w:fill="FFFFFF"/>
        <w:spacing w:before="30" w:beforeAutospacing="0" w:after="30" w:afterAutospacing="0"/>
        <w:jc w:val="center"/>
        <w:rPr>
          <w:rStyle w:val="59"/>
          <w:sz w:val="36"/>
          <w:szCs w:val="36"/>
        </w:rPr>
      </w:pPr>
      <w:r>
        <w:rPr>
          <w:rStyle w:val="59"/>
          <w:rFonts w:hint="eastAsia"/>
          <w:sz w:val="36"/>
          <w:szCs w:val="36"/>
        </w:rPr>
        <w:t>所投产品成本汇总信息</w:t>
      </w:r>
    </w:p>
    <w:p>
      <w:pPr>
        <w:pStyle w:val="49"/>
        <w:shd w:val="clear" w:color="auto" w:fill="FFFFFF"/>
        <w:spacing w:before="30" w:beforeAutospacing="0" w:after="30" w:afterAutospacing="0"/>
        <w:rPr>
          <w:rStyle w:val="59"/>
          <w:sz w:val="36"/>
          <w:szCs w:val="36"/>
        </w:rPr>
      </w:pP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本公司在本项目中提供的</w:t>
      </w:r>
    </w:p>
    <w:p>
      <w:pPr>
        <w:spacing w:line="360" w:lineRule="auto"/>
        <w:ind w:firstLine="480" w:firstLineChars="200"/>
        <w:rPr>
          <w:rFonts w:ascii="宋体" w:hAnsi="宋体"/>
          <w:spacing w:val="6"/>
          <w:sz w:val="24"/>
        </w:rPr>
      </w:pPr>
      <w:r>
        <w:rPr>
          <w:rFonts w:hint="eastAsia" w:ascii="宋体" w:hAnsi="宋体"/>
          <w:color w:val="333333"/>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（2）全部产品成本之和</w:t>
      </w:r>
      <w:r>
        <w:rPr>
          <w:rFonts w:hint="eastAsia" w:ascii="宋体" w:hAnsi="宋体"/>
          <w:color w:val="333333"/>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ascii="宋体" w:hAnsi="宋体"/>
          <w:sz w:val="24"/>
        </w:rPr>
      </w:pPr>
    </w:p>
    <w:p>
      <w:pPr>
        <w:pStyle w:val="49"/>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9"/>
        <w:shd w:val="clear" w:color="auto" w:fill="FFFFFF"/>
        <w:spacing w:before="0" w:beforeAutospacing="0" w:after="0" w:afterAutospacing="0" w:line="360" w:lineRule="auto"/>
        <w:ind w:right="480"/>
        <w:jc w:val="right"/>
        <w:rPr>
          <w:szCs w:val="20"/>
          <w:u w:val="single"/>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r>
        <w:br w:type="page"/>
      </w:r>
    </w:p>
    <w:p>
      <w:pPr>
        <w:pStyle w:val="8"/>
        <w:rPr>
          <w:rFonts w:hAnsi="宋体" w:cs="宋体"/>
          <w:color w:val="000000" w:themeColor="text1"/>
          <w14:textFill>
            <w14:solidFill>
              <w14:schemeClr w14:val="tx1"/>
            </w14:solidFill>
          </w14:textFill>
        </w:rPr>
      </w:pPr>
      <w:r>
        <w:rPr>
          <w:rFonts w:hAnsi="宋体" w:cs="宋体"/>
          <w:b w:val="0"/>
          <w:color w:val="000000" w:themeColor="text1"/>
          <w:szCs w:val="24"/>
          <w:u w:val="none"/>
          <w14:textFill>
            <w14:solidFill>
              <w14:schemeClr w14:val="tx1"/>
            </w14:solidFill>
          </w14:textFill>
        </w:rPr>
        <w:t>9</w:t>
      </w:r>
      <w:r>
        <w:rPr>
          <w:rFonts w:hint="eastAsia" w:hAnsi="宋体" w:cs="宋体"/>
          <w:b w:val="0"/>
          <w:color w:val="000000" w:themeColor="text1"/>
          <w:szCs w:val="24"/>
          <w:u w:val="none"/>
          <w14:textFill>
            <w14:solidFill>
              <w14:schemeClr w14:val="tx1"/>
            </w14:solidFill>
          </w14:textFill>
        </w:rPr>
        <w:t xml:space="preserve">  拟分包情况说明（本项目不适用）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5"/>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（勾选）</w:t>
            </w:r>
          </w:p>
        </w:tc>
        <w:tc>
          <w:tcPr>
            <w:tcW w:w="1125"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61"/>
              <w:jc w:val="center"/>
              <w:rPr>
                <w:color w:val="000000" w:themeColor="text1"/>
                <w:sz w:val="24"/>
                <w:lang w:eastAsia="zh-CN"/>
                <w14:textFill>
                  <w14:solidFill>
                    <w14:schemeClr w14:val="tx1"/>
                  </w14:solidFill>
                </w14:textFill>
              </w:rPr>
            </w:pPr>
            <w:r>
              <w:rPr>
                <w:rFonts w:hint="eastAsia"/>
                <w:b/>
                <w:bCs/>
                <w:color w:val="000000" w:themeColor="text1"/>
                <w:spacing w:val="-7"/>
                <w:sz w:val="24"/>
                <w:szCs w:val="24"/>
                <w:lang w:eastAsia="zh-CN"/>
                <w14:textFill>
                  <w14:solidFill>
                    <w14:schemeClr w14:val="tx1"/>
                  </w14:solidFill>
                </w14:textFill>
              </w:rPr>
              <w:t>占合同金额</w:t>
            </w:r>
            <w:r>
              <w:rPr>
                <w:rFonts w:hint="eastAsia"/>
                <w:b/>
                <w:bCs/>
                <w:color w:val="000000" w:themeColor="text1"/>
                <w:spacing w:val="1"/>
                <w:sz w:val="24"/>
                <w:szCs w:val="24"/>
                <w:lang w:eastAsia="zh-CN"/>
                <w14:textFill>
                  <w14:solidFill>
                    <w14:schemeClr w14:val="tx1"/>
                  </w14:solidFill>
                </w14:textFill>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61"/>
              <w:jc w:val="center"/>
              <w:rPr>
                <w:color w:val="000000" w:themeColor="text1"/>
                <w:sz w:val="30"/>
                <w:lang w:eastAsia="zh-CN"/>
                <w14:textFill>
                  <w14:solidFill>
                    <w14:schemeClr w14:val="tx1"/>
                  </w14:solidFill>
                </w14:textFill>
              </w:rPr>
            </w:pPr>
          </w:p>
        </w:tc>
        <w:tc>
          <w:tcPr>
            <w:tcW w:w="1561" w:type="dxa"/>
            <w:vAlign w:val="center"/>
          </w:tcPr>
          <w:p>
            <w:pPr>
              <w:pStyle w:val="261"/>
              <w:jc w:val="center"/>
              <w:rPr>
                <w:color w:val="000000" w:themeColor="text1"/>
                <w:sz w:val="30"/>
                <w:lang w:eastAsia="zh-CN"/>
                <w14:textFill>
                  <w14:solidFill>
                    <w14:schemeClr w14:val="tx1"/>
                  </w14:solidFill>
                </w14:textFill>
              </w:rPr>
            </w:pPr>
          </w:p>
        </w:tc>
        <w:tc>
          <w:tcPr>
            <w:tcW w:w="1498" w:type="dxa"/>
            <w:vAlign w:val="center"/>
          </w:tcPr>
          <w:p>
            <w:pPr>
              <w:pStyle w:val="261"/>
              <w:jc w:val="center"/>
              <w:rPr>
                <w:color w:val="000000" w:themeColor="text1"/>
                <w:sz w:val="30"/>
                <w:lang w:eastAsia="zh-CN"/>
                <w14:textFill>
                  <w14:solidFill>
                    <w14:schemeClr w14:val="tx1"/>
                  </w14:solidFill>
                </w14:textFill>
              </w:rPr>
            </w:pPr>
          </w:p>
        </w:tc>
        <w:tc>
          <w:tcPr>
            <w:tcW w:w="1564" w:type="dxa"/>
            <w:vAlign w:val="center"/>
          </w:tcPr>
          <w:p>
            <w:pPr>
              <w:pStyle w:val="261"/>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61"/>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61"/>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61"/>
              <w:jc w:val="center"/>
              <w:rPr>
                <w:color w:val="000000" w:themeColor="text1"/>
                <w:sz w:val="30"/>
                <w:lang w:eastAsia="zh-CN"/>
                <w14:textFill>
                  <w14:solidFill>
                    <w14:schemeClr w14:val="tx1"/>
                  </w14:solidFill>
                </w14:textFill>
              </w:rPr>
            </w:pPr>
          </w:p>
        </w:tc>
        <w:tc>
          <w:tcPr>
            <w:tcW w:w="1561" w:type="dxa"/>
            <w:vAlign w:val="center"/>
          </w:tcPr>
          <w:p>
            <w:pPr>
              <w:pStyle w:val="261"/>
              <w:jc w:val="center"/>
              <w:rPr>
                <w:color w:val="000000" w:themeColor="text1"/>
                <w:sz w:val="30"/>
                <w:lang w:eastAsia="zh-CN"/>
                <w14:textFill>
                  <w14:solidFill>
                    <w14:schemeClr w14:val="tx1"/>
                  </w14:solidFill>
                </w14:textFill>
              </w:rPr>
            </w:pPr>
          </w:p>
        </w:tc>
        <w:tc>
          <w:tcPr>
            <w:tcW w:w="1498" w:type="dxa"/>
            <w:vAlign w:val="center"/>
          </w:tcPr>
          <w:p>
            <w:pPr>
              <w:pStyle w:val="261"/>
              <w:jc w:val="center"/>
              <w:rPr>
                <w:color w:val="000000" w:themeColor="text1"/>
                <w:sz w:val="30"/>
                <w:lang w:eastAsia="zh-CN"/>
                <w14:textFill>
                  <w14:solidFill>
                    <w14:schemeClr w14:val="tx1"/>
                  </w14:solidFill>
                </w14:textFill>
              </w:rPr>
            </w:pPr>
          </w:p>
        </w:tc>
        <w:tc>
          <w:tcPr>
            <w:tcW w:w="1564" w:type="dxa"/>
            <w:vAlign w:val="center"/>
          </w:tcPr>
          <w:p>
            <w:pPr>
              <w:pStyle w:val="261"/>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61"/>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61"/>
              <w:jc w:val="center"/>
              <w:rPr>
                <w:color w:val="000000" w:themeColor="text1"/>
                <w:sz w:val="30"/>
                <w14:textFill>
                  <w14:solidFill>
                    <w14:schemeClr w14:val="tx1"/>
                  </w14:solidFill>
                </w14:textFill>
              </w:rPr>
            </w:pPr>
          </w:p>
        </w:tc>
        <w:tc>
          <w:tcPr>
            <w:tcW w:w="1513" w:type="dxa"/>
            <w:vAlign w:val="center"/>
          </w:tcPr>
          <w:p>
            <w:pPr>
              <w:pStyle w:val="261"/>
              <w:tabs>
                <w:tab w:val="left" w:pos="235"/>
              </w:tabs>
              <w:jc w:val="center"/>
              <w:rPr>
                <w:color w:val="000000" w:themeColor="text1"/>
                <w:sz w:val="24"/>
                <w14:textFill>
                  <w14:solidFill>
                    <w14:schemeClr w14:val="tx1"/>
                  </w14:solidFill>
                </w14:textFill>
              </w:rPr>
            </w:pPr>
          </w:p>
        </w:tc>
        <w:tc>
          <w:tcPr>
            <w:tcW w:w="1125" w:type="dxa"/>
            <w:vAlign w:val="center"/>
          </w:tcPr>
          <w:p>
            <w:pPr>
              <w:pStyle w:val="261"/>
              <w:jc w:val="center"/>
              <w:rPr>
                <w:color w:val="000000" w:themeColor="text1"/>
                <w:sz w:val="30"/>
                <w14:textFill>
                  <w14:solidFill>
                    <w14:schemeClr w14:val="tx1"/>
                  </w14:solidFill>
                </w14:textFill>
              </w:rPr>
            </w:pPr>
          </w:p>
        </w:tc>
        <w:tc>
          <w:tcPr>
            <w:tcW w:w="1561" w:type="dxa"/>
            <w:vAlign w:val="center"/>
          </w:tcPr>
          <w:p>
            <w:pPr>
              <w:pStyle w:val="261"/>
              <w:jc w:val="center"/>
              <w:rPr>
                <w:color w:val="000000" w:themeColor="text1"/>
                <w:sz w:val="30"/>
                <w14:textFill>
                  <w14:solidFill>
                    <w14:schemeClr w14:val="tx1"/>
                  </w14:solidFill>
                </w14:textFill>
              </w:rPr>
            </w:pPr>
          </w:p>
        </w:tc>
        <w:tc>
          <w:tcPr>
            <w:tcW w:w="1498" w:type="dxa"/>
            <w:vAlign w:val="center"/>
          </w:tcPr>
          <w:p>
            <w:pPr>
              <w:pStyle w:val="261"/>
              <w:jc w:val="center"/>
              <w:rPr>
                <w:color w:val="000000" w:themeColor="text1"/>
                <w:sz w:val="30"/>
                <w14:textFill>
                  <w14:solidFill>
                    <w14:schemeClr w14:val="tx1"/>
                  </w14:solidFill>
                </w14:textFill>
              </w:rPr>
            </w:pPr>
          </w:p>
        </w:tc>
        <w:tc>
          <w:tcPr>
            <w:tcW w:w="1564" w:type="dxa"/>
            <w:vAlign w:val="center"/>
          </w:tcPr>
          <w:p>
            <w:pPr>
              <w:pStyle w:val="261"/>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61"/>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61"/>
              <w:jc w:val="center"/>
              <w:rPr>
                <w:color w:val="000000" w:themeColor="text1"/>
                <w:sz w:val="30"/>
                <w14:textFill>
                  <w14:solidFill>
                    <w14:schemeClr w14:val="tx1"/>
                  </w14:solidFill>
                </w14:textFill>
              </w:rPr>
            </w:pPr>
          </w:p>
        </w:tc>
        <w:tc>
          <w:tcPr>
            <w:tcW w:w="1564" w:type="dxa"/>
            <w:vAlign w:val="center"/>
          </w:tcPr>
          <w:p>
            <w:pPr>
              <w:pStyle w:val="261"/>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 </w:t>
      </w:r>
    </w:p>
    <w:p>
      <w:pPr>
        <w:pStyle w:val="22"/>
        <w:spacing w:before="174" w:line="301" w:lineRule="auto"/>
        <w:ind w:left="25" w:right="156" w:firstLine="1"/>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1.如本项目（包）允许分包，且投标人拟进行分</w:t>
      </w:r>
      <w:r>
        <w:rPr>
          <w:rFonts w:hint="eastAsia" w:cs="宋体"/>
          <w:color w:val="000000" w:themeColor="text1"/>
          <w:spacing w:val="-3"/>
          <w14:textFill>
            <w14:solidFill>
              <w14:schemeClr w14:val="tx1"/>
            </w14:solidFill>
          </w14:textFill>
        </w:rPr>
        <w:t>包时，必须提供；如未提供，或提供</w:t>
      </w:r>
      <w:r>
        <w:rPr>
          <w:rFonts w:hint="eastAsia" w:cs="宋体"/>
          <w:color w:val="000000" w:themeColor="text1"/>
          <w:spacing w:val="-1"/>
          <w14:textFill>
            <w14:solidFill>
              <w14:schemeClr w14:val="tx1"/>
            </w14:solidFill>
          </w14:textFill>
        </w:rPr>
        <w:t>了但未填写分包承担主体名称、拟分包合同内容、拟分包合同金额，</w:t>
      </w:r>
      <w:r>
        <w:rPr>
          <w:rFonts w:hint="eastAsia" w:cs="宋体"/>
          <w:b/>
          <w:bCs/>
          <w:color w:val="000000" w:themeColor="text1"/>
          <w:spacing w:val="-1"/>
          <w14:textFill>
            <w14:solidFill>
              <w14:schemeClr w14:val="tx1"/>
            </w14:solidFill>
          </w14:textFill>
        </w:rPr>
        <w:t>投标无效</w:t>
      </w:r>
      <w:r>
        <w:rPr>
          <w:rFonts w:hint="eastAsia" w:cs="宋体"/>
          <w:color w:val="000000" w:themeColor="text1"/>
          <w:spacing w:val="-1"/>
          <w14:textFill>
            <w14:solidFill>
              <w14:schemeClr w14:val="tx1"/>
            </w14:solidFill>
          </w14:textFill>
        </w:rPr>
        <w:t>。</w:t>
      </w:r>
    </w:p>
    <w:p>
      <w:pPr>
        <w:pStyle w:val="22"/>
        <w:spacing w:before="11" w:line="302" w:lineRule="auto"/>
        <w:ind w:left="3" w:firstLine="14"/>
        <w:rPr>
          <w:rFonts w:cs="宋体"/>
          <w:color w:val="000000" w:themeColor="text1"/>
          <w14:textFill>
            <w14:solidFill>
              <w14:schemeClr w14:val="tx1"/>
            </w14:solidFill>
          </w14:textFill>
        </w:rPr>
      </w:pPr>
      <w:r>
        <w:rPr>
          <w:rFonts w:hint="eastAsia" w:cs="宋体"/>
          <w:color w:val="000000" w:themeColor="text1"/>
          <w:spacing w:val="-5"/>
          <w14:textFill>
            <w14:solidFill>
              <w14:schemeClr w14:val="tx1"/>
            </w14:solidFill>
          </w14:textFill>
        </w:rPr>
        <w:t>2.</w:t>
      </w:r>
      <w:r>
        <w:rPr>
          <w:rFonts w:hint="eastAsia"/>
        </w:rPr>
        <w:t xml:space="preserve"> </w:t>
      </w:r>
      <w:r>
        <w:rPr>
          <w:rFonts w:hint="eastAsia" w:cs="宋体"/>
          <w:color w:val="000000" w:themeColor="text1"/>
          <w:spacing w:val="-5"/>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cs="宋体"/>
          <w:color w:val="000000" w:themeColor="text1"/>
          <w:spacing w:val="-2"/>
          <w14:textFill>
            <w14:solidFill>
              <w14:schemeClr w14:val="tx1"/>
            </w14:solidFill>
          </w14:textFill>
        </w:rPr>
        <w:t>，否则</w:t>
      </w:r>
      <w:r>
        <w:rPr>
          <w:rFonts w:hint="eastAsia" w:cs="宋体"/>
          <w:b/>
          <w:bCs/>
          <w:color w:val="000000" w:themeColor="text1"/>
          <w:spacing w:val="-2"/>
          <w14:textFill>
            <w14:solidFill>
              <w14:schemeClr w14:val="tx1"/>
            </w14:solidFill>
          </w14:textFill>
        </w:rPr>
        <w:t>投标</w:t>
      </w:r>
      <w:r>
        <w:rPr>
          <w:rFonts w:hint="eastAsia" w:cs="宋体"/>
          <w:b/>
          <w:bCs/>
          <w:color w:val="000000" w:themeColor="text1"/>
          <w:spacing w:val="-1"/>
          <w14:textFill>
            <w14:solidFill>
              <w14:schemeClr w14:val="tx1"/>
            </w14:solidFill>
          </w14:textFill>
        </w:rPr>
        <w:t>无效</w:t>
      </w:r>
      <w:r>
        <w:rPr>
          <w:rFonts w:hint="eastAsia" w:cs="宋体"/>
          <w:color w:val="000000" w:themeColor="text1"/>
          <w:spacing w:val="-1"/>
          <w14:textFill>
            <w14:solidFill>
              <w14:schemeClr w14:val="tx1"/>
            </w14:solidFill>
          </w14:textFill>
        </w:rPr>
        <w:t>。</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3.投标人“为落实政府采购政策”而向中小企业分包时请仔细阅读资格证明文件格式</w:t>
      </w:r>
      <w:r>
        <w:rPr>
          <w:rFonts w:hint="eastAsia" w:ascii="宋体" w:hAnsi="宋体" w:cs="宋体"/>
          <w:color w:val="000000" w:themeColor="text1"/>
          <w:sz w:val="24"/>
          <w14:textFill>
            <w14:solidFill>
              <w14:schemeClr w14:val="tx1"/>
            </w14:solidFill>
          </w14:textFill>
        </w:rPr>
        <w:t xml:space="preserve">    2-1中说明，并建议按要求在资格证明文件中提供相关全部文件；投</w:t>
      </w:r>
      <w:r>
        <w:rPr>
          <w:rFonts w:hint="eastAsia" w:ascii="宋体" w:hAnsi="宋体" w:cs="宋体"/>
          <w:color w:val="000000" w:themeColor="text1"/>
          <w:spacing w:val="-1"/>
          <w:sz w:val="24"/>
          <w14:textFill>
            <w14:solidFill>
              <w14:schemeClr w14:val="tx1"/>
            </w14:solidFill>
          </w14:textFill>
        </w:rPr>
        <w:t>标人非“为落实政</w:t>
      </w:r>
      <w:r>
        <w:rPr>
          <w:rFonts w:hint="eastAsia" w:ascii="宋体" w:hAnsi="宋体" w:cs="宋体"/>
          <w:color w:val="000000" w:themeColor="text1"/>
          <w:sz w:val="24"/>
          <w14:textFill>
            <w14:solidFill>
              <w14:schemeClr w14:val="tx1"/>
            </w14:solidFill>
          </w14:textFill>
        </w:rPr>
        <w:t xml:space="preserve"> 府采购政策”而向中小企业分包时，建议在本册提供。</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ind w:right="480" w:firstLine="480" w:firstLineChars="20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投标人名称（盖章）：______</w:t>
      </w:r>
    </w:p>
    <w:p>
      <w:pPr>
        <w:adjustRightInd w:val="0"/>
        <w:snapToGrid w:val="0"/>
        <w:spacing w:line="360" w:lineRule="auto"/>
        <w:ind w:firstLine="480" w:firstLineChars="20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pStyle w:val="22"/>
        <w:tabs>
          <w:tab w:val="left" w:pos="3460"/>
          <w:tab w:val="clear" w:pos="567"/>
        </w:tabs>
        <w:spacing w:before="328" w:line="205" w:lineRule="auto"/>
        <w:ind w:left="2" w:leftChars="-1" w:hanging="4" w:hangingChars="1"/>
        <w:jc w:val="center"/>
        <w:rPr>
          <w:rFonts w:cs="宋体"/>
          <w:color w:val="000000" w:themeColor="text1"/>
          <w:sz w:val="35"/>
          <w:szCs w:val="35"/>
          <w14:textFill>
            <w14:solidFill>
              <w14:schemeClr w14:val="tx1"/>
            </w14:solidFill>
          </w14:textFill>
        </w:rPr>
      </w:pPr>
      <w:r>
        <w:rPr>
          <w:rFonts w:hint="eastAsia" w:cs="宋体"/>
          <w:b/>
          <w:bCs/>
          <w:color w:val="000000" w:themeColor="text1"/>
          <w:spacing w:val="9"/>
          <w:sz w:val="35"/>
          <w:szCs w:val="35"/>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pStyle w:val="22"/>
        <w:spacing w:before="103" w:line="360" w:lineRule="auto"/>
        <w:jc w:val="right"/>
        <w:rPr>
          <w:rFonts w:cs="宋体"/>
          <w:color w:val="000000" w:themeColor="text1"/>
          <w14:textFill>
            <w14:solidFill>
              <w14:schemeClr w14:val="tx1"/>
            </w14:solidFill>
          </w14:textFill>
        </w:rPr>
      </w:pPr>
      <w:r>
        <w:rPr>
          <w:rFonts w:hint="eastAsia" w:cs="宋体"/>
          <w:color w:val="000000" w:themeColor="text1"/>
          <w:szCs w:val="20"/>
          <w14:textFill>
            <w14:solidFill>
              <w14:schemeClr w14:val="tx1"/>
            </w14:solidFill>
          </w14:textFill>
        </w:rPr>
        <w:t>日期：_____年______月______日</w:t>
      </w: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pStyle w:val="22"/>
        <w:spacing w:before="104" w:line="360" w:lineRule="auto"/>
        <w:ind w:left="10"/>
        <w:rPr>
          <w:rFonts w:cs="宋体"/>
          <w:color w:val="000000" w:themeColor="text1"/>
          <w14:textFill>
            <w14:solidFill>
              <w14:schemeClr w14:val="tx1"/>
            </w14:solidFill>
          </w14:textFill>
        </w:rPr>
      </w:pPr>
      <w:r>
        <w:rPr>
          <w:rFonts w:hint="eastAsia" w:cs="宋体"/>
          <w:color w:val="000000" w:themeColor="text1"/>
          <w:spacing w:val="-6"/>
          <w14:textFill>
            <w14:solidFill>
              <w14:schemeClr w14:val="tx1"/>
            </w14:solidFill>
          </w14:textFill>
        </w:rPr>
        <w:t>注：</w:t>
      </w:r>
    </w:p>
    <w:p>
      <w:pPr>
        <w:pStyle w:val="22"/>
        <w:spacing w:before="176" w:line="360" w:lineRule="auto"/>
        <w:ind w:left="2" w:right="72" w:firstLine="24"/>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1.投标人“为落实政府采购政策”而向中小企业分包时必须提供，否则</w:t>
      </w:r>
      <w:r>
        <w:rPr>
          <w:rFonts w:hint="eastAsia" w:cs="宋体"/>
          <w:b/>
          <w:bCs/>
          <w:color w:val="000000" w:themeColor="text1"/>
          <w14:textFill>
            <w14:solidFill>
              <w14:schemeClr w14:val="tx1"/>
            </w14:solidFill>
          </w14:textFill>
        </w:rPr>
        <w:t>投标无效</w:t>
      </w:r>
      <w:r>
        <w:rPr>
          <w:rFonts w:hint="eastAsia" w:cs="宋体"/>
          <w:color w:val="000000" w:themeColor="text1"/>
          <w14:textFill>
            <w14:solidFill>
              <w14:schemeClr w14:val="tx1"/>
            </w14:solidFill>
          </w14:textFill>
        </w:rPr>
        <w:t>；且建</w:t>
      </w:r>
      <w:r>
        <w:rPr>
          <w:rFonts w:hint="eastAsia" w:cs="宋体"/>
          <w:color w:val="000000" w:themeColor="text1"/>
          <w:spacing w:val="-1"/>
          <w14:textFill>
            <w14:solidFill>
              <w14:schemeClr w14:val="tx1"/>
            </w14:solidFill>
          </w14:textFill>
        </w:rPr>
        <w:t>议按照采购文件要求在资格证明文件部分提供；</w:t>
      </w:r>
    </w:p>
    <w:p>
      <w:pPr>
        <w:pStyle w:val="22"/>
        <w:spacing w:before="175" w:line="360" w:lineRule="auto"/>
        <w:ind w:left="5" w:firstLine="12"/>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2.投标人满足《政府采购促进中小企业发展管理办</w:t>
      </w:r>
      <w:r>
        <w:rPr>
          <w:rFonts w:hint="eastAsia" w:cs="宋体"/>
          <w:color w:val="000000" w:themeColor="text1"/>
          <w:spacing w:val="-2"/>
          <w14:textFill>
            <w14:solidFill>
              <w14:schemeClr w14:val="tx1"/>
            </w14:solidFill>
          </w14:textFill>
        </w:rPr>
        <w:t>法》（财库〔2020〕46 号）第九条</w:t>
      </w:r>
      <w:r>
        <w:rPr>
          <w:rFonts w:hint="eastAsia" w:cs="宋体"/>
          <w:color w:val="000000" w:themeColor="text1"/>
          <w:spacing w:val="-3"/>
          <w14:textFill>
            <w14:solidFill>
              <w14:schemeClr w14:val="tx1"/>
            </w14:solidFill>
          </w14:textFill>
        </w:rPr>
        <w:t>有关规定</w:t>
      </w:r>
      <w:r>
        <w:rPr>
          <w:rFonts w:hint="eastAsia" w:cs="宋体"/>
          <w:color w:val="000000" w:themeColor="text1"/>
          <w:spacing w:val="-15"/>
          <w14:textFill>
            <w14:solidFill>
              <w14:schemeClr w14:val="tx1"/>
            </w14:solidFill>
          </w14:textFill>
        </w:rPr>
        <w:t>，</w:t>
      </w:r>
      <w:r>
        <w:rPr>
          <w:rFonts w:hint="eastAsia" w:cs="宋体"/>
          <w:color w:val="000000" w:themeColor="text1"/>
          <w:spacing w:val="-3"/>
          <w14:textFill>
            <w14:solidFill>
              <w14:schemeClr w14:val="tx1"/>
            </w14:solidFill>
          </w14:textFill>
        </w:rPr>
        <w:t>拟享受中小企业政策优惠措施的，仍需提供本协，否则不予认可；</w:t>
      </w:r>
    </w:p>
    <w:p>
      <w:pPr>
        <w:pStyle w:val="22"/>
        <w:spacing w:before="175" w:line="360" w:lineRule="auto"/>
        <w:ind w:left="5" w:firstLine="12"/>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 投标人须与所有拟分包单位分别签订《分包意向协议》，每单位签订一份，并在投标文件中提交全部协议原件的电子件，否则不予认可。</w:t>
      </w:r>
    </w:p>
    <w:p>
      <w:pPr>
        <w:rPr>
          <w:rFonts w:ascii="宋体" w:hAnsi="宋体"/>
          <w:color w:val="000000" w:themeColor="text1"/>
          <w14:textFill>
            <w14:solidFill>
              <w14:schemeClr w14:val="tx1"/>
            </w14:solidFill>
          </w14:textFill>
        </w:rPr>
      </w:pPr>
    </w:p>
    <w:p>
      <w:pPr>
        <w:pStyle w:val="8"/>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10</w:t>
      </w:r>
      <w:r>
        <w:rPr>
          <w:rFonts w:hint="eastAsia" w:hAnsi="宋体" w:cs="宋体"/>
          <w:b w:val="0"/>
          <w:color w:val="000000" w:themeColor="text1"/>
          <w:szCs w:val="24"/>
          <w:u w:val="none"/>
          <w14:textFill>
            <w14:solidFill>
              <w14:schemeClr w14:val="tx1"/>
            </w14:solidFill>
          </w14:textFill>
        </w:rPr>
        <w:t xml:space="preserve">  招标文件要求提供或投标人认为应附的其他材料</w:t>
      </w:r>
    </w:p>
    <w:p>
      <w:pPr>
        <w:pStyle w:val="9"/>
        <w:jc w:val="left"/>
        <w:rPr>
          <w:rFonts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供应商名称</w:t>
            </w:r>
          </w:p>
        </w:tc>
        <w:tc>
          <w:tcPr>
            <w:tcW w:w="3095" w:type="dxa"/>
          </w:tcPr>
          <w:p>
            <w:pPr>
              <w:autoSpaceDE w:val="0"/>
              <w:autoSpaceDN w:val="0"/>
              <w:spacing w:before="43" w:line="195" w:lineRule="auto"/>
              <w:ind w:left="109"/>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供应商所属性别</w:t>
            </w:r>
          </w:p>
        </w:tc>
        <w:tc>
          <w:tcPr>
            <w:tcW w:w="3098" w:type="dxa"/>
          </w:tcPr>
          <w:p>
            <w:pPr>
              <w:autoSpaceDE w:val="0"/>
              <w:autoSpaceDN w:val="0"/>
              <w:spacing w:before="43" w:line="195" w:lineRule="auto"/>
              <w:ind w:left="11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62"/>
              <w:rPr>
                <w:rFonts w:ascii="宋体" w:hAnsi="宋体" w:eastAsia="宋体" w:cs="宋体"/>
                <w:color w:val="000000" w:themeColor="text1"/>
                <w:sz w:val="22"/>
                <w14:textFill>
                  <w14:solidFill>
                    <w14:schemeClr w14:val="tx1"/>
                  </w14:solidFill>
                </w14:textFill>
              </w:rPr>
            </w:pPr>
          </w:p>
        </w:tc>
        <w:tc>
          <w:tcPr>
            <w:tcW w:w="3095" w:type="dxa"/>
          </w:tcPr>
          <w:p>
            <w:pPr>
              <w:pStyle w:val="262"/>
              <w:rPr>
                <w:rFonts w:ascii="宋体" w:hAnsi="宋体" w:eastAsia="宋体" w:cs="宋体"/>
                <w:color w:val="000000" w:themeColor="text1"/>
                <w:sz w:val="22"/>
                <w14:textFill>
                  <w14:solidFill>
                    <w14:schemeClr w14:val="tx1"/>
                  </w14:solidFill>
                </w14:textFill>
              </w:rPr>
            </w:pPr>
          </w:p>
        </w:tc>
        <w:tc>
          <w:tcPr>
            <w:tcW w:w="3098"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62"/>
              <w:rPr>
                <w:rFonts w:ascii="宋体" w:hAnsi="宋体" w:eastAsia="宋体" w:cs="宋体"/>
                <w:color w:val="000000" w:themeColor="text1"/>
                <w:sz w:val="22"/>
                <w14:textFill>
                  <w14:solidFill>
                    <w14:schemeClr w14:val="tx1"/>
                  </w14:solidFill>
                </w14:textFill>
              </w:rPr>
            </w:pPr>
          </w:p>
        </w:tc>
        <w:tc>
          <w:tcPr>
            <w:tcW w:w="3095" w:type="dxa"/>
          </w:tcPr>
          <w:p>
            <w:pPr>
              <w:pStyle w:val="262"/>
              <w:rPr>
                <w:rFonts w:ascii="宋体" w:hAnsi="宋体" w:eastAsia="宋体" w:cs="宋体"/>
                <w:color w:val="000000" w:themeColor="text1"/>
                <w:sz w:val="22"/>
                <w14:textFill>
                  <w14:solidFill>
                    <w14:schemeClr w14:val="tx1"/>
                  </w14:solidFill>
                </w14:textFill>
              </w:rPr>
            </w:pPr>
          </w:p>
        </w:tc>
        <w:tc>
          <w:tcPr>
            <w:tcW w:w="3098"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62"/>
              <w:rPr>
                <w:rFonts w:ascii="宋体" w:hAnsi="宋体" w:eastAsia="宋体" w:cs="宋体"/>
                <w:color w:val="000000" w:themeColor="text1"/>
                <w:sz w:val="22"/>
                <w14:textFill>
                  <w14:solidFill>
                    <w14:schemeClr w14:val="tx1"/>
                  </w14:solidFill>
                </w14:textFill>
              </w:rPr>
            </w:pPr>
          </w:p>
        </w:tc>
        <w:tc>
          <w:tcPr>
            <w:tcW w:w="3095" w:type="dxa"/>
          </w:tcPr>
          <w:p>
            <w:pPr>
              <w:pStyle w:val="262"/>
              <w:rPr>
                <w:rFonts w:ascii="宋体" w:hAnsi="宋体" w:eastAsia="宋体" w:cs="宋体"/>
                <w:color w:val="000000" w:themeColor="text1"/>
                <w:sz w:val="22"/>
                <w14:textFill>
                  <w14:solidFill>
                    <w14:schemeClr w14:val="tx1"/>
                  </w14:solidFill>
                </w14:textFill>
              </w:rPr>
            </w:pPr>
          </w:p>
        </w:tc>
        <w:tc>
          <w:tcPr>
            <w:tcW w:w="3098" w:type="dxa"/>
          </w:tcPr>
          <w:p>
            <w:pPr>
              <w:pStyle w:val="262"/>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62"/>
              <w:rPr>
                <w:rFonts w:ascii="宋体" w:hAnsi="宋体" w:eastAsia="宋体" w:cs="宋体"/>
                <w:color w:val="000000" w:themeColor="text1"/>
                <w:sz w:val="22"/>
                <w14:textFill>
                  <w14:solidFill>
                    <w14:schemeClr w14:val="tx1"/>
                  </w14:solidFill>
                </w14:textFill>
              </w:rPr>
            </w:pPr>
          </w:p>
        </w:tc>
        <w:tc>
          <w:tcPr>
            <w:tcW w:w="3095" w:type="dxa"/>
          </w:tcPr>
          <w:p>
            <w:pPr>
              <w:pStyle w:val="262"/>
              <w:rPr>
                <w:rFonts w:ascii="宋体" w:hAnsi="宋体" w:eastAsia="宋体" w:cs="宋体"/>
                <w:color w:val="000000" w:themeColor="text1"/>
                <w:sz w:val="22"/>
                <w14:textFill>
                  <w14:solidFill>
                    <w14:schemeClr w14:val="tx1"/>
                  </w14:solidFill>
                </w14:textFill>
              </w:rPr>
            </w:pPr>
          </w:p>
        </w:tc>
        <w:tc>
          <w:tcPr>
            <w:tcW w:w="3098" w:type="dxa"/>
          </w:tcPr>
          <w:p>
            <w:pPr>
              <w:pStyle w:val="262"/>
              <w:rPr>
                <w:rFonts w:ascii="宋体" w:hAnsi="宋体" w:eastAsia="宋体" w:cs="宋体"/>
                <w:color w:val="000000" w:themeColor="text1"/>
                <w:sz w:val="22"/>
                <w14:textFill>
                  <w14:solidFill>
                    <w14:schemeClr w14:val="tx1"/>
                  </w14:solidFill>
                </w14:textFill>
              </w:rPr>
            </w:pPr>
          </w:p>
        </w:tc>
      </w:tr>
    </w:tbl>
    <w:p>
      <w:pPr>
        <w:pStyle w:val="22"/>
        <w:spacing w:before="39" w:line="360" w:lineRule="auto"/>
        <w:ind w:left="123"/>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注：1.供应商如为联合体，则应填写联合体各成员信息。</w:t>
      </w:r>
    </w:p>
    <w:p>
      <w:pPr>
        <w:pStyle w:val="22"/>
        <w:spacing w:before="3" w:line="360" w:lineRule="auto"/>
        <w:ind w:left="118" w:right="36" w:firstLine="491"/>
        <w:rPr>
          <w:rFonts w:cs="宋体"/>
          <w:color w:val="000000" w:themeColor="text1"/>
          <w:spacing w:val="-1"/>
          <w14:textFill>
            <w14:solidFill>
              <w14:schemeClr w14:val="tx1"/>
            </w14:solidFill>
          </w14:textFill>
        </w:rPr>
      </w:pPr>
      <w:r>
        <w:rPr>
          <w:rFonts w:hint="eastAsia" w:cs="宋体"/>
          <w:color w:val="000000" w:themeColor="text1"/>
          <w:spacing w:val="1"/>
          <w14:textFill>
            <w14:solidFill>
              <w14:schemeClr w14:val="tx1"/>
            </w14:solidFill>
          </w14:textFill>
        </w:rPr>
        <w:t>2.供应商所属性别请填写“男”或“女”，指拥有供应商 51%以上绝对所有权的性别；</w:t>
      </w:r>
      <w:r>
        <w:rPr>
          <w:rFonts w:hint="eastAsia" w:cs="宋体"/>
          <w:color w:val="000000" w:themeColor="text1"/>
          <w14:textFill>
            <w14:solidFill>
              <w14:schemeClr w14:val="tx1"/>
            </w14:solidFill>
          </w14:textFill>
        </w:rPr>
        <w:t xml:space="preserve"> 绝对所有权拥有者可以是一个人，也可以是</w:t>
      </w:r>
      <w:r>
        <w:rPr>
          <w:rFonts w:hint="eastAsia" w:cs="宋体"/>
          <w:color w:val="000000" w:themeColor="text1"/>
          <w:spacing w:val="-1"/>
          <w14:textFill>
            <w14:solidFill>
              <w14:schemeClr w14:val="tx1"/>
            </w14:solidFill>
          </w14:textFill>
        </w:rPr>
        <w:t>多人合计计算。</w:t>
      </w:r>
    </w:p>
    <w:p>
      <w:pPr>
        <w:pStyle w:val="22"/>
        <w:spacing w:before="3" w:line="360" w:lineRule="auto"/>
        <w:ind w:left="118" w:right="36" w:firstLine="491"/>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3.外商投资类型请填写“外商单独投资”、“外商部分投资”或“内资”。</w:t>
      </w:r>
    </w:p>
    <w:p>
      <w:pPr>
        <w:widowControl/>
        <w:jc w:val="left"/>
        <w:rPr>
          <w:rFonts w:ascii="宋体" w:hAnsi="宋体" w:cs="宋体"/>
          <w:color w:val="000000" w:themeColor="text1"/>
          <w:spacing w:val="3"/>
          <w:sz w:val="24"/>
          <w14:textFill>
            <w14:solidFill>
              <w14:schemeClr w14:val="tx1"/>
            </w14:solidFill>
          </w14:textFill>
        </w:rPr>
      </w:pPr>
      <w:r>
        <w:rPr>
          <w:rFonts w:ascii="宋体" w:hAnsi="宋体" w:cs="宋体"/>
          <w:color w:val="000000" w:themeColor="text1"/>
          <w:spacing w:val="3"/>
          <w14:textFill>
            <w14:solidFill>
              <w14:schemeClr w14:val="tx1"/>
            </w14:solidFill>
          </w14:textFill>
        </w:rPr>
        <w:br w:type="page"/>
      </w:r>
    </w:p>
    <w:p>
      <w:pPr>
        <w:pStyle w:val="9"/>
        <w:jc w:val="left"/>
        <w:rPr>
          <w:rFonts w:ascii="宋体" w:hAnsi="宋体" w:eastAsia="宋体"/>
          <w:b w:val="0"/>
          <w:sz w:val="24"/>
          <w:szCs w:val="24"/>
        </w:rPr>
      </w:pPr>
      <w:bookmarkStart w:id="954" w:name="_Toc6182"/>
      <w:bookmarkStart w:id="955" w:name="_Toc1455919030"/>
      <w:r>
        <w:rPr>
          <w:rFonts w:ascii="宋体" w:hAnsi="宋体" w:eastAsia="宋体"/>
          <w:b w:val="0"/>
          <w:sz w:val="24"/>
          <w:szCs w:val="24"/>
        </w:rPr>
        <w:t>10</w:t>
      </w:r>
      <w:r>
        <w:rPr>
          <w:rFonts w:hint="eastAsia" w:ascii="宋体" w:hAnsi="宋体" w:eastAsia="宋体"/>
          <w:b w:val="0"/>
          <w:sz w:val="24"/>
          <w:szCs w:val="24"/>
        </w:rPr>
        <w:t>-2 业绩证明材料</w:t>
      </w:r>
      <w:bookmarkEnd w:id="954"/>
      <w:bookmarkEnd w:id="955"/>
    </w:p>
    <w:p>
      <w:pPr>
        <w:spacing w:line="360" w:lineRule="auto"/>
        <w:ind w:right="658"/>
        <w:rPr>
          <w:rFonts w:ascii="宋体" w:hAnsi="宋体" w:cs="宋体"/>
          <w:color w:val="000000" w:themeColor="text1"/>
          <w14:textFill>
            <w14:solidFill>
              <w14:schemeClr w14:val="tx1"/>
            </w14:solidFill>
          </w14:textFill>
        </w:rPr>
      </w:pPr>
    </w:p>
    <w:p>
      <w:pPr>
        <w:spacing w:line="360" w:lineRule="auto"/>
        <w:ind w:right="658"/>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5"/>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合同价</w:t>
            </w:r>
          </w:p>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bl>
    <w:p>
      <w:pPr>
        <w:tabs>
          <w:tab w:val="left" w:pos="5580"/>
        </w:tabs>
        <w:spacing w:line="360" w:lineRule="auto"/>
        <w:ind w:left="1258"/>
        <w:rPr>
          <w:rFonts w:ascii="宋体" w:hAnsi="宋体" w:cs="宋体"/>
          <w:b/>
          <w:color w:val="000000" w:themeColor="text1"/>
          <w:sz w:val="24"/>
          <w14:textFill>
            <w14:solidFill>
              <w14:schemeClr w14:val="tx1"/>
            </w14:solidFill>
          </w14:textFill>
        </w:rPr>
      </w:pPr>
    </w:p>
    <w:p>
      <w:pPr>
        <w:pStyle w:val="7"/>
        <w:spacing w:line="360" w:lineRule="auto"/>
        <w:ind w:firstLine="720" w:firstLineChars="300"/>
        <w:rPr>
          <w:rFonts w:hAnsi="宋体" w:cs="宋体"/>
          <w:color w:val="000000" w:themeColor="text1"/>
          <w14:textFill>
            <w14:solidFill>
              <w14:schemeClr w14:val="tx1"/>
            </w14:solidFill>
          </w14:textFill>
        </w:rPr>
      </w:pPr>
      <w:bookmarkStart w:id="956" w:name="OLE_LINK195"/>
      <w:r>
        <w:rPr>
          <w:rFonts w:hint="eastAsia" w:hAnsi="宋体" w:cs="宋体"/>
          <w:color w:val="000000" w:themeColor="text1"/>
          <w14:textFill>
            <w14:solidFill>
              <w14:schemeClr w14:val="tx1"/>
            </w14:solidFill>
          </w14:textFill>
        </w:rPr>
        <w:t>说明：</w:t>
      </w:r>
    </w:p>
    <w:p>
      <w:pPr>
        <w:pStyle w:val="7"/>
        <w:numPr>
          <w:ilvl w:val="0"/>
          <w:numId w:val="16"/>
        </w:numPr>
        <w:spacing w:line="360" w:lineRule="auto"/>
        <w:rPr>
          <w:rFonts w:hAnsi="宋体" w:cs="宋体"/>
          <w:color w:val="000000" w:themeColor="text1"/>
          <w14:textFill>
            <w14:solidFill>
              <w14:schemeClr w14:val="tx1"/>
            </w14:solidFill>
          </w14:textFill>
        </w:rPr>
      </w:pPr>
      <w:bookmarkStart w:id="957" w:name="OLE_LINK194"/>
      <w:r>
        <w:rPr>
          <w:rFonts w:hint="eastAsia" w:hAnsi="宋体" w:cs="宋体"/>
        </w:rPr>
        <w:t>详见评分表中对于</w:t>
      </w:r>
      <w:r>
        <w:rPr>
          <w:rFonts w:hint="eastAsia" w:hAnsi="宋体" w:cs="宋体"/>
          <w:kern w:val="0"/>
        </w:rPr>
        <w:t>类似项目业绩要求（以合同签约日期为准）</w:t>
      </w:r>
      <w:r>
        <w:rPr>
          <w:rFonts w:hint="eastAsia" w:hAnsi="宋体" w:cs="宋体"/>
          <w:color w:val="000000" w:themeColor="text1"/>
          <w14:textFill>
            <w14:solidFill>
              <w14:schemeClr w14:val="tx1"/>
            </w14:solidFill>
          </w14:textFill>
        </w:rPr>
        <w:t>。</w:t>
      </w:r>
    </w:p>
    <w:p>
      <w:pPr>
        <w:pStyle w:val="7"/>
        <w:spacing w:line="360" w:lineRule="auto"/>
        <w:ind w:left="1080" w:firstLine="0"/>
        <w:rPr>
          <w:rFonts w:hAnsi="宋体"/>
          <w:color w:val="000000" w:themeColor="text1"/>
          <w14:textFill>
            <w14:solidFill>
              <w14:schemeClr w14:val="tx1"/>
            </w14:solidFill>
          </w14:textFill>
        </w:rPr>
      </w:pPr>
      <w:r>
        <w:rPr>
          <w:rFonts w:hint="eastAsia" w:hAnsi="宋体" w:cs="宋体"/>
        </w:rPr>
        <w:t>应提供其证明材料（</w:t>
      </w:r>
      <w:r>
        <w:rPr>
          <w:rFonts w:hint="eastAsia" w:hAnsi="宋体" w:cs="宋体"/>
          <w:bCs/>
          <w:szCs w:val="21"/>
        </w:rPr>
        <w:t>至少包括首页、服务内容页、金额页和双方盖章页等合同关键页复印件并加盖投标人公章</w:t>
      </w:r>
      <w:r>
        <w:rPr>
          <w:rFonts w:hint="eastAsia" w:hAnsi="宋体" w:cs="宋体"/>
        </w:rPr>
        <w:t>）</w:t>
      </w:r>
      <w:r>
        <w:rPr>
          <w:rFonts w:hint="eastAsia" w:hAnsi="宋体"/>
          <w:color w:val="000000" w:themeColor="text1"/>
          <w14:textFill>
            <w14:solidFill>
              <w14:schemeClr w14:val="tx1"/>
            </w14:solidFill>
          </w14:textFill>
        </w:rPr>
        <w:t>。</w:t>
      </w:r>
    </w:p>
    <w:p>
      <w:pPr>
        <w:pStyle w:val="7"/>
        <w:spacing w:line="360" w:lineRule="auto"/>
        <w:ind w:firstLine="720" w:firstLineChars="30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3、</w:t>
      </w:r>
      <w:r>
        <w:rPr>
          <w:rFonts w:hint="eastAsia" w:hAnsi="宋体" w:cs="宋体"/>
        </w:rPr>
        <w:t>为证明业绩列表中的内容真实和有效，采购人保留审核原件的权利</w:t>
      </w:r>
      <w:r>
        <w:rPr>
          <w:rFonts w:hint="eastAsia" w:hAnsi="宋体" w:cs="宋体"/>
          <w:color w:val="000000" w:themeColor="text1"/>
          <w14:textFill>
            <w14:solidFill>
              <w14:schemeClr w14:val="tx1"/>
            </w14:solidFill>
          </w14:textFill>
        </w:rPr>
        <w:t>。</w:t>
      </w:r>
      <w:bookmarkEnd w:id="956"/>
      <w:bookmarkEnd w:id="957"/>
    </w:p>
    <w:p>
      <w:pPr>
        <w:pStyle w:val="30"/>
        <w:tabs>
          <w:tab w:val="left" w:pos="5580"/>
        </w:tabs>
        <w:spacing w:line="360" w:lineRule="auto"/>
        <w:rPr>
          <w:rFonts w:hint="default" w:hAnsi="宋体" w:cs="宋体"/>
          <w:color w:val="000000" w:themeColor="text1"/>
          <w:sz w:val="24"/>
          <w:szCs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widowControl/>
        <w:jc w:val="lef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日期：_____年______月______日</w:t>
      </w:r>
    </w:p>
    <w:p>
      <w:pPr>
        <w:pStyle w:val="9"/>
        <w:jc w:val="left"/>
        <w:rPr>
          <w:rFonts w:ascii="宋体" w:hAnsi="宋体" w:eastAsia="宋体" w:cs="宋体"/>
          <w:color w:val="000000" w:themeColor="text1"/>
          <w:szCs w:val="28"/>
          <w14:textFill>
            <w14:solidFill>
              <w14:schemeClr w14:val="tx1"/>
            </w14:solidFill>
          </w14:textFill>
        </w:rPr>
      </w:pPr>
      <w:r>
        <w:rPr>
          <w:rFonts w:ascii="宋体" w:hAnsi="宋体" w:eastAsia="宋体" w:cs="宋体"/>
          <w:color w:val="000000" w:themeColor="text1"/>
          <w14:textFill>
            <w14:solidFill>
              <w14:schemeClr w14:val="tx1"/>
            </w14:solidFill>
          </w14:textFill>
        </w:rPr>
        <w:br w:type="page"/>
      </w:r>
      <w:bookmarkStart w:id="958" w:name="_Toc188382274"/>
      <w:r>
        <w:rPr>
          <w:rFonts w:ascii="宋体" w:hAnsi="宋体" w:eastAsia="宋体"/>
          <w:b w:val="0"/>
          <w:sz w:val="24"/>
          <w:szCs w:val="24"/>
        </w:rPr>
        <w:t>10</w:t>
      </w:r>
      <w:r>
        <w:rPr>
          <w:rFonts w:hint="eastAsia" w:ascii="宋体" w:hAnsi="宋体" w:eastAsia="宋体"/>
          <w:b w:val="0"/>
          <w:sz w:val="24"/>
          <w:szCs w:val="24"/>
        </w:rPr>
        <w:t>-3 招标文件要求提供的其他资料（如有）</w:t>
      </w:r>
    </w:p>
    <w:p>
      <w:pPr>
        <w:widowControl/>
        <w:spacing w:line="360" w:lineRule="auto"/>
        <w:jc w:val="left"/>
        <w:rPr>
          <w:rFonts w:ascii="宋体" w:hAnsi="宋体" w:cs="宋体"/>
          <w:b/>
          <w:color w:val="000000" w:themeColor="text1"/>
          <w:kern w:val="0"/>
          <w:sz w:val="28"/>
          <w:szCs w:val="20"/>
          <w14:textFill>
            <w14:solidFill>
              <w14:schemeClr w14:val="tx1"/>
            </w14:solidFill>
          </w14:textFill>
        </w:rPr>
      </w:pPr>
      <w:r>
        <w:rPr>
          <w:rFonts w:ascii="宋体" w:hAnsi="宋体" w:cs="宋体"/>
          <w:color w:val="000000" w:themeColor="text1"/>
          <w14:textFill>
            <w14:solidFill>
              <w14:schemeClr w14:val="tx1"/>
            </w14:solidFill>
          </w14:textFill>
        </w:rPr>
        <w:br w:type="page"/>
      </w:r>
    </w:p>
    <w:p>
      <w:pPr>
        <w:pStyle w:val="9"/>
        <w:jc w:val="left"/>
        <w:rPr>
          <w:rFonts w:ascii="宋体" w:hAnsi="宋体" w:eastAsia="宋体" w:cs="宋体"/>
          <w:color w:val="000000" w:themeColor="text1"/>
          <w:szCs w:val="28"/>
          <w14:textFill>
            <w14:solidFill>
              <w14:schemeClr w14:val="tx1"/>
            </w14:solidFill>
          </w14:textFill>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58"/>
    </w:p>
    <w:p>
      <w:pPr>
        <w:spacing w:line="360" w:lineRule="auto"/>
        <w:rPr>
          <w:rFonts w:ascii="宋体" w:hAnsi="宋体" w:cs="宋体"/>
          <w:b/>
          <w:color w:val="000000" w:themeColor="text1"/>
          <w:sz w:val="24"/>
          <w14:textFill>
            <w14:solidFill>
              <w14:schemeClr w14:val="tx1"/>
            </w14:solidFill>
          </w14:textFill>
        </w:rPr>
      </w:pP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拟采购产品属于节能产品政府采购品目清单范围内规定必须强制采购的为：</w:t>
      </w:r>
      <w:r>
        <w:rPr>
          <w:rFonts w:hint="eastAsia" w:ascii="宋体" w:hAnsi="宋体" w:cs="仿宋_GB2312"/>
          <w:b/>
          <w:bCs/>
          <w:color w:val="000000" w:themeColor="text1"/>
          <w:sz w:val="24"/>
          <w:u w:val="single"/>
          <w14:textFill>
            <w14:solidFill>
              <w14:schemeClr w14:val="tx1"/>
            </w14:solidFill>
          </w14:textFill>
        </w:rPr>
        <w:t>具体详见附录6</w:t>
      </w:r>
      <w:r>
        <w:rPr>
          <w:rFonts w:hint="eastAsia" w:ascii="宋体" w:hAnsi="宋体" w:cs="仿宋_GB2312"/>
          <w:color w:val="000000" w:themeColor="text1"/>
          <w:sz w:val="24"/>
          <w:u w:val="single"/>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59" w:name="OLE_LINK6"/>
      <w:r>
        <w:rPr>
          <w:rFonts w:hint="eastAsia" w:ascii="宋体" w:hAnsi="宋体" w:cs="仿宋_GB2312"/>
          <w:b/>
          <w:bCs/>
          <w:color w:val="000000" w:themeColor="text1"/>
          <w:sz w:val="24"/>
          <w14:textFill>
            <w14:solidFill>
              <w14:schemeClr w14:val="tx1"/>
            </w14:solidFill>
          </w14:textFill>
        </w:rPr>
        <w:t>具体详见附录8</w:t>
      </w:r>
      <w:bookmarkEnd w:id="959"/>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对所投产品为节能产品、环保标志产品的优惠幅度，以及评审标准和方法详见第六章《</w:t>
      </w:r>
      <w:r>
        <w:rPr>
          <w:rFonts w:ascii="宋体" w:hAnsi="宋体"/>
          <w:color w:val="000000" w:themeColor="text1"/>
          <w:sz w:val="24"/>
          <w14:textFill>
            <w14:solidFill>
              <w14:schemeClr w14:val="tx1"/>
            </w14:solidFill>
          </w14:textFill>
        </w:rPr>
        <w:t>评标程序、评标方法和评标标准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1.在本处提供的证明材料如与响应人所投产品内容（品牌、型号、规格等）不符，视为无效。</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2.如提供虚假材料，响应人须承担相应法律责任。</w:t>
      </w:r>
    </w:p>
    <w:p>
      <w:pPr>
        <w:widowControl/>
        <w:spacing w:line="360" w:lineRule="auto"/>
        <w:jc w:val="left"/>
        <w:rPr>
          <w:rFonts w:ascii="宋体" w:hAnsi="宋体" w:cs="仿宋_GB2312"/>
          <w:bCs/>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themeColor="text1"/>
          <w:sz w:val="24"/>
          <w14:textFill>
            <w14:solidFill>
              <w14:schemeClr w14:val="tx1"/>
            </w14:solidFill>
          </w14:textFill>
        </w:rPr>
        <w:t>关于印发节能产品政府采购品目清单的通知（财库〔2019〕19号）</w:t>
      </w:r>
      <w:r>
        <w:rPr>
          <w:rFonts w:hint="eastAsia" w:ascii="宋体" w:hAnsi="宋体" w:cs="仿宋_GB2312"/>
          <w:bCs/>
          <w:color w:val="000000" w:themeColor="text1"/>
          <w:sz w:val="24"/>
          <w14:textFill>
            <w14:solidFill>
              <w14:schemeClr w14:val="tx1"/>
            </w14:solidFill>
          </w14:textFill>
        </w:rPr>
        <w:fldChar w:fldCharType="end"/>
      </w:r>
      <w:r>
        <w:rPr>
          <w:rFonts w:hint="eastAsia" w:ascii="宋体" w:hAnsi="宋体" w:cs="仿宋_GB2312"/>
          <w:bCs/>
          <w:color w:val="000000" w:themeColor="text1"/>
          <w:sz w:val="24"/>
          <w14:textFill>
            <w14:solidFill>
              <w14:schemeClr w14:val="tx1"/>
            </w14:solidFill>
          </w14:textFill>
        </w:rPr>
        <w:t xml:space="preserve"> 、关于印发环境标志产品政府采购品目清单的通知（财库〔2019〕18号）。</w:t>
      </w:r>
    </w:p>
    <w:p>
      <w:pPr>
        <w:pStyle w:val="5"/>
        <w:tabs>
          <w:tab w:val="left" w:pos="432"/>
        </w:tabs>
        <w:spacing w:line="360" w:lineRule="auto"/>
        <w:jc w:val="left"/>
        <w:rPr>
          <w:rFonts w:hAnsi="宋体" w:cs="宋体"/>
          <w:bCs/>
          <w:sz w:val="24"/>
          <w:szCs w:val="24"/>
        </w:rPr>
      </w:pPr>
      <w:r>
        <w:rPr>
          <w:rFonts w:hAnsi="宋体" w:cs="仿宋_GB2312"/>
          <w:bCs/>
          <w:color w:val="000000" w:themeColor="text1"/>
          <w14:textFill>
            <w14:solidFill>
              <w14:schemeClr w14:val="tx1"/>
            </w14:solidFill>
          </w14:textFill>
        </w:rPr>
        <w:br w:type="page"/>
      </w:r>
      <w:bookmarkStart w:id="960" w:name="_Toc199921595"/>
      <w:bookmarkStart w:id="961" w:name="_Toc218620576"/>
      <w:bookmarkStart w:id="962" w:name="_Toc624"/>
      <w:bookmarkStart w:id="963" w:name="_Toc209958510"/>
      <w:r>
        <w:rPr>
          <w:rFonts w:hint="eastAsia" w:hAnsi="宋体" w:cs="宋体"/>
          <w:bCs/>
          <w:sz w:val="24"/>
          <w:szCs w:val="24"/>
        </w:rPr>
        <w:t>附录1：政府采购促进中小企业发展管理办法</w:t>
      </w:r>
      <w:bookmarkEnd w:id="960"/>
      <w:bookmarkEnd w:id="961"/>
      <w:bookmarkEnd w:id="962"/>
      <w:bookmarkEnd w:id="963"/>
    </w:p>
    <w:p>
      <w:pPr>
        <w:adjustRightInd w:val="0"/>
        <w:snapToGrid w:val="0"/>
        <w:spacing w:line="360" w:lineRule="auto"/>
        <w:jc w:val="center"/>
        <w:rPr>
          <w:rFonts w:ascii="宋体" w:hAnsi="宋体" w:cs="宋体"/>
          <w:bCs/>
        </w:rPr>
      </w:pPr>
      <w:r>
        <w:rPr>
          <w:rFonts w:hint="eastAsia" w:ascii="宋体" w:hAnsi="宋体" w:cs="宋体"/>
          <w:bCs/>
        </w:rPr>
        <w:t>政府采购促进中小企业发展管理办法</w:t>
      </w:r>
    </w:p>
    <w:p>
      <w:pPr>
        <w:spacing w:line="360" w:lineRule="auto"/>
        <w:jc w:val="center"/>
        <w:rPr>
          <w:rFonts w:ascii="宋体" w:hAnsi="宋体" w:cs="宋体"/>
          <w:bCs/>
        </w:rPr>
      </w:pPr>
      <w:r>
        <w:rPr>
          <w:rFonts w:hint="eastAsia" w:ascii="宋体" w:hAnsi="宋体" w:cs="宋体"/>
          <w:bCs/>
        </w:rPr>
        <w:t>财库[2020]46号</w:t>
      </w:r>
    </w:p>
    <w:p>
      <w:pPr>
        <w:spacing w:line="360" w:lineRule="auto"/>
        <w:jc w:val="center"/>
        <w:rPr>
          <w:rFonts w:ascii="宋体" w:hAnsi="宋体" w:cs="宋体"/>
        </w:rPr>
      </w:pPr>
    </w:p>
    <w:p>
      <w:pPr>
        <w:spacing w:line="360" w:lineRule="auto"/>
        <w:rPr>
          <w:rFonts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ascii="宋体" w:hAnsi="宋体" w:cs="宋体"/>
          <w:bCs/>
        </w:rPr>
      </w:pPr>
    </w:p>
    <w:p>
      <w:pPr>
        <w:spacing w:line="360" w:lineRule="auto"/>
        <w:rPr>
          <w:rFonts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ascii="宋体" w:hAnsi="宋体" w:cs="宋体"/>
          <w:bCs/>
        </w:rPr>
      </w:pPr>
      <w:r>
        <w:rPr>
          <w:rFonts w:hint="eastAsia" w:ascii="宋体" w:hAnsi="宋体" w:cs="宋体"/>
          <w:bCs/>
        </w:rPr>
        <w:t>（三）在服务采购项目中，服务由中小企业承接，即提</w:t>
      </w:r>
      <w:bookmarkStart w:id="964" w:name="page2"/>
      <w:bookmarkEnd w:id="964"/>
      <w:r>
        <w:rPr>
          <w:rFonts w:hint="eastAsia" w:ascii="宋体" w:hAnsi="宋体" w:cs="宋体"/>
          <w:bCs/>
        </w:rPr>
        <w:t>供服务的人员为中小企业依照《中华人民共和国劳动合同法》订立劳动合同的从业人员。</w:t>
      </w:r>
    </w:p>
    <w:p>
      <w:pPr>
        <w:spacing w:line="360" w:lineRule="auto"/>
        <w:rPr>
          <w:rFonts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rPr>
      </w:pPr>
      <w:r>
        <w:rPr>
          <w:rFonts w:hint="eastAsia" w:ascii="宋体" w:hAnsi="宋体" w:cs="宋体"/>
          <w:bCs/>
        </w:rPr>
        <w:t>符合下列情形之一的，可不专门面向中小企业预留采购份额：</w:t>
      </w:r>
    </w:p>
    <w:p>
      <w:pPr>
        <w:spacing w:line="360" w:lineRule="auto"/>
        <w:rPr>
          <w:rFonts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65" w:name="page3"/>
      <w:bookmarkEnd w:id="965"/>
    </w:p>
    <w:p>
      <w:pPr>
        <w:spacing w:line="360" w:lineRule="auto"/>
        <w:rPr>
          <w:rFonts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ascii="宋体" w:hAnsi="宋体" w:cs="宋体"/>
          <w:bCs/>
        </w:rPr>
      </w:pPr>
      <w:r>
        <w:rPr>
          <w:rFonts w:hint="eastAsia" w:ascii="宋体" w:hAnsi="宋体" w:cs="宋体"/>
          <w:bCs/>
        </w:rPr>
        <w:t>（四）框架协议采购项目；</w:t>
      </w:r>
    </w:p>
    <w:p>
      <w:pPr>
        <w:spacing w:line="360" w:lineRule="auto"/>
        <w:rPr>
          <w:rFonts w:ascii="宋体" w:hAnsi="宋体" w:cs="宋体"/>
          <w:bCs/>
        </w:rPr>
      </w:pPr>
      <w:r>
        <w:rPr>
          <w:rFonts w:hint="eastAsia" w:ascii="宋体" w:hAnsi="宋体" w:cs="宋体"/>
          <w:bCs/>
        </w:rPr>
        <w:t>（五）省级以上人民政府财政部门规定的其他情形。</w:t>
      </w:r>
    </w:p>
    <w:p>
      <w:pPr>
        <w:spacing w:line="360" w:lineRule="auto"/>
        <w:rPr>
          <w:rFonts w:ascii="宋体" w:hAnsi="宋体" w:cs="宋体"/>
          <w:bCs/>
        </w:rPr>
      </w:pPr>
      <w:r>
        <w:rPr>
          <w:rFonts w:hint="eastAsia" w:ascii="宋体" w:hAnsi="宋体" w:cs="宋体"/>
          <w:bCs/>
        </w:rPr>
        <w:t>除上述情形外，其他均为适宜由中小企业提供的情形。</w:t>
      </w:r>
    </w:p>
    <w:p>
      <w:pPr>
        <w:spacing w:line="360" w:lineRule="auto"/>
        <w:rPr>
          <w:rFonts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rPr>
      </w:pPr>
      <w:r>
        <w:rPr>
          <w:rFonts w:hint="eastAsia" w:ascii="宋体" w:hAnsi="宋体" w:cs="宋体"/>
          <w:bCs/>
        </w:rPr>
        <w:t>（一）将采购项目整体或者设置采购包专门面向中小企业采购；</w:t>
      </w:r>
    </w:p>
    <w:p>
      <w:pPr>
        <w:spacing w:line="360" w:lineRule="auto"/>
        <w:rPr>
          <w:rFonts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66" w:name="page4"/>
      <w:bookmarkEnd w:id="966"/>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67" w:name="page5"/>
      <w:bookmarkEnd w:id="967"/>
      <w:r>
        <w:rPr>
          <w:rFonts w:hint="eastAsia" w:ascii="宋体" w:hAnsi="宋体" w:cs="宋体"/>
          <w:bCs/>
        </w:rPr>
        <w:t>九条有关规定重新组织采购活动。</w:t>
      </w:r>
    </w:p>
    <w:p>
      <w:pPr>
        <w:spacing w:line="360" w:lineRule="auto"/>
        <w:rPr>
          <w:rFonts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ascii="宋体" w:hAnsi="宋体" w:cs="宋体"/>
          <w:bCs/>
        </w:rPr>
      </w:pPr>
      <w:r>
        <w:rPr>
          <w:rFonts w:hint="eastAsia" w:ascii="宋体" w:hAnsi="宋体" w:cs="宋体"/>
          <w:bCs/>
        </w:rPr>
        <w:t>（六）明确采购标的对应的中小企业划分标准所属行业；</w:t>
      </w:r>
    </w:p>
    <w:p>
      <w:pPr>
        <w:spacing w:line="360" w:lineRule="auto"/>
        <w:rPr>
          <w:rFonts w:ascii="宋体" w:hAnsi="宋体" w:cs="宋体"/>
          <w:bCs/>
        </w:rPr>
      </w:pPr>
      <w:r>
        <w:rPr>
          <w:rFonts w:hint="eastAsia" w:ascii="宋体" w:hAnsi="宋体" w:cs="宋体"/>
          <w:bCs/>
        </w:rPr>
        <w:t>（七）法律法规和省级以上人民政府财政部门规定的其他事项。</w:t>
      </w:r>
    </w:p>
    <w:p>
      <w:pPr>
        <w:spacing w:line="360" w:lineRule="auto"/>
        <w:rPr>
          <w:rFonts w:ascii="宋体" w:hAnsi="宋体" w:cs="宋体"/>
          <w:bCs/>
        </w:rPr>
      </w:pPr>
      <w:r>
        <w:rPr>
          <w:rFonts w:hint="eastAsia" w:ascii="宋体" w:hAnsi="宋体" w:cs="宋体"/>
          <w:bCs/>
        </w:rPr>
        <w:t>第十三条 中标、成交供应商享受本办法规定的中小企</w:t>
      </w:r>
      <w:bookmarkStart w:id="968" w:name="page6"/>
      <w:bookmarkEnd w:id="968"/>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69" w:name="page7"/>
      <w:bookmarkEnd w:id="969"/>
    </w:p>
    <w:p>
      <w:pPr>
        <w:spacing w:line="360" w:lineRule="auto"/>
        <w:rPr>
          <w:rFonts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2"/>
        <w:adjustRightInd w:val="0"/>
        <w:snapToGrid w:val="0"/>
        <w:spacing w:line="360" w:lineRule="auto"/>
        <w:ind w:right="-45" w:firstLine="420"/>
        <w:rPr>
          <w:rFonts w:cs="宋体"/>
        </w:rPr>
      </w:pPr>
      <w:r>
        <w:rPr>
          <w:rFonts w:hint="eastAsia" w:cs="宋体"/>
          <w:bCs/>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宋体"/>
          <w:bCs/>
        </w:rPr>
      </w:pPr>
      <w:bookmarkStart w:id="970" w:name="_Toc21554"/>
      <w:bookmarkStart w:id="971" w:name="_Toc497489391"/>
      <w:bookmarkStart w:id="972" w:name="_Toc445916627"/>
      <w:bookmarkStart w:id="973" w:name="_Toc20829"/>
      <w:bookmarkStart w:id="974" w:name="_Toc445984998"/>
      <w:bookmarkStart w:id="975" w:name="_Toc447223799"/>
      <w:bookmarkStart w:id="976" w:name="_Toc12674"/>
      <w:r>
        <w:rPr>
          <w:rFonts w:hint="eastAsia" w:ascii="宋体" w:hAnsi="宋体" w:cs="宋体"/>
          <w:bCs/>
        </w:rPr>
        <w:br w:type="page"/>
      </w:r>
    </w:p>
    <w:p>
      <w:pPr>
        <w:pStyle w:val="5"/>
        <w:tabs>
          <w:tab w:val="left" w:pos="432"/>
        </w:tabs>
        <w:jc w:val="left"/>
        <w:rPr>
          <w:rFonts w:hAnsi="宋体" w:cs="宋体"/>
          <w:bCs/>
          <w:sz w:val="24"/>
          <w:szCs w:val="24"/>
        </w:rPr>
      </w:pPr>
      <w:bookmarkStart w:id="977" w:name="_Toc105425452"/>
      <w:bookmarkStart w:id="978" w:name="_Toc83722638"/>
      <w:bookmarkStart w:id="979" w:name="_Toc1628643191"/>
      <w:bookmarkStart w:id="980" w:name="_Toc85461450"/>
      <w:bookmarkStart w:id="981" w:name="_Toc50760979"/>
      <w:bookmarkStart w:id="982" w:name="_Toc218620577"/>
      <w:bookmarkStart w:id="983" w:name="_Toc199921596"/>
      <w:bookmarkStart w:id="984" w:name="_Toc8999377"/>
      <w:bookmarkStart w:id="985" w:name="_Toc16436"/>
      <w:bookmarkStart w:id="986" w:name="_Toc15435094"/>
      <w:bookmarkStart w:id="987" w:name="_Toc101191899"/>
      <w:bookmarkStart w:id="988" w:name="_Toc102058323"/>
      <w:bookmarkStart w:id="989" w:name="_Toc92789350"/>
      <w:bookmarkStart w:id="990" w:name="_Toc209958511"/>
      <w:r>
        <w:rPr>
          <w:rFonts w:hint="eastAsia" w:hAnsi="宋体" w:cs="宋体"/>
          <w:bCs/>
          <w:sz w:val="24"/>
          <w:szCs w:val="24"/>
        </w:rPr>
        <w:t>附录2：关于印发中小企业划型标准规定的通知</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pPr>
        <w:rPr>
          <w:rFonts w:ascii="宋体" w:hAnsi="宋体" w:cs="宋体"/>
        </w:rPr>
      </w:pPr>
    </w:p>
    <w:p>
      <w:pPr>
        <w:spacing w:line="360" w:lineRule="auto"/>
        <w:jc w:val="center"/>
        <w:rPr>
          <w:rFonts w:ascii="宋体" w:hAnsi="宋体" w:cs="宋体"/>
          <w:spacing w:val="6"/>
          <w:szCs w:val="21"/>
        </w:rPr>
      </w:pPr>
      <w:r>
        <w:rPr>
          <w:rFonts w:hint="eastAsia" w:ascii="宋体" w:hAnsi="宋体" w:cs="宋体"/>
          <w:spacing w:val="6"/>
          <w:szCs w:val="21"/>
        </w:rPr>
        <w:t>工信部联企业〔2011〕300号</w:t>
      </w:r>
    </w:p>
    <w:p>
      <w:pPr>
        <w:pStyle w:val="49"/>
        <w:spacing w:line="360" w:lineRule="auto"/>
        <w:ind w:firstLine="480"/>
        <w:rPr>
          <w:sz w:val="21"/>
          <w:szCs w:val="21"/>
        </w:rPr>
      </w:pPr>
      <w:r>
        <w:rPr>
          <w:rFonts w:hint="eastAsia"/>
          <w:sz w:val="21"/>
          <w:szCs w:val="21"/>
        </w:rPr>
        <w:t>各省、自治区、直辖市人民政府，国务院各部委、各直属机构及有关单位：</w:t>
      </w:r>
    </w:p>
    <w:p>
      <w:pPr>
        <w:pStyle w:val="49"/>
        <w:spacing w:line="360" w:lineRule="auto"/>
        <w:ind w:firstLine="480"/>
        <w:rPr>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9"/>
        <w:spacing w:line="360" w:lineRule="auto"/>
        <w:ind w:firstLine="480"/>
        <w:rPr>
          <w:sz w:val="21"/>
          <w:szCs w:val="21"/>
        </w:rPr>
      </w:pPr>
      <w:r>
        <w:rPr>
          <w:rFonts w:hint="eastAsia"/>
          <w:sz w:val="21"/>
          <w:szCs w:val="21"/>
        </w:rPr>
        <w:t>　　　　　　　　　　　　　　　　　　     　工业和信息化部　国家统计局</w:t>
      </w:r>
    </w:p>
    <w:p>
      <w:pPr>
        <w:pStyle w:val="49"/>
        <w:spacing w:line="360" w:lineRule="auto"/>
        <w:ind w:firstLine="480"/>
        <w:rPr>
          <w:sz w:val="21"/>
          <w:szCs w:val="21"/>
        </w:rPr>
      </w:pPr>
      <w:r>
        <w:rPr>
          <w:rFonts w:hint="eastAsia"/>
          <w:sz w:val="21"/>
          <w:szCs w:val="21"/>
        </w:rPr>
        <w:t>　　　　　　　　　　　　　　　　           国家发展和改革委员会　财政部</w:t>
      </w:r>
    </w:p>
    <w:p>
      <w:pPr>
        <w:pStyle w:val="49"/>
        <w:spacing w:line="360" w:lineRule="auto"/>
        <w:ind w:firstLine="480"/>
        <w:rPr>
          <w:sz w:val="21"/>
          <w:szCs w:val="21"/>
        </w:rPr>
      </w:pPr>
      <w:r>
        <w:rPr>
          <w:rFonts w:hint="eastAsia"/>
          <w:sz w:val="21"/>
          <w:szCs w:val="21"/>
        </w:rPr>
        <w:t>　　　　　　　　　　　　　　　　　　　　  　二○一一年六月十八日</w:t>
      </w:r>
    </w:p>
    <w:p>
      <w:pPr>
        <w:pStyle w:val="49"/>
        <w:spacing w:line="360" w:lineRule="auto"/>
        <w:ind w:firstLine="480"/>
        <w:jc w:val="center"/>
      </w:pPr>
      <w:r>
        <w:rPr>
          <w:rStyle w:val="59"/>
          <w:rFonts w:hint="eastAsia"/>
        </w:rPr>
        <w:t>中小企业划型标准规定</w:t>
      </w:r>
    </w:p>
    <w:p>
      <w:pPr>
        <w:numPr>
          <w:ilvl w:val="0"/>
          <w:numId w:val="17"/>
        </w:numPr>
        <w:spacing w:line="360" w:lineRule="auto"/>
        <w:ind w:firstLine="420" w:firstLineChars="200"/>
        <w:rPr>
          <w:rFonts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17"/>
        </w:numPr>
        <w:spacing w:line="360" w:lineRule="auto"/>
        <w:ind w:firstLine="420" w:firstLineChars="200"/>
        <w:rPr>
          <w:rFonts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17"/>
        </w:numPr>
        <w:spacing w:line="360" w:lineRule="auto"/>
        <w:ind w:firstLine="420" w:firstLineChars="200"/>
        <w:rPr>
          <w:rFonts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17"/>
        </w:numPr>
        <w:spacing w:line="360" w:lineRule="auto"/>
        <w:ind w:firstLine="420" w:firstLineChars="200"/>
        <w:rPr>
          <w:rFonts w:ascii="宋体" w:hAnsi="宋体" w:cs="宋体"/>
        </w:rPr>
      </w:pPr>
      <w:r>
        <w:rPr>
          <w:rFonts w:hint="eastAsia" w:ascii="宋体" w:hAnsi="宋体" w:cs="宋体"/>
        </w:rPr>
        <w:t>各行业划型标准为：</w:t>
      </w:r>
    </w:p>
    <w:p>
      <w:pPr>
        <w:spacing w:line="360" w:lineRule="auto"/>
        <w:rPr>
          <w:rFonts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宋体"/>
        </w:rPr>
      </w:pPr>
      <w:r>
        <w:rPr>
          <w:rFonts w:hint="eastAsia" w:ascii="宋体" w:hAnsi="宋体" w:cs="宋体"/>
        </w:rPr>
        <w:t>（二）</w:t>
      </w:r>
      <w:bookmarkStart w:id="991" w:name="OLE_LINK23"/>
      <w:bookmarkStart w:id="992" w:name="OLE_LINK30"/>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991"/>
      <w:bookmarkEnd w:id="992"/>
    </w:p>
    <w:p>
      <w:pPr>
        <w:spacing w:line="360" w:lineRule="auto"/>
        <w:rPr>
          <w:rFonts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17"/>
        </w:numPr>
        <w:spacing w:line="360" w:lineRule="auto"/>
        <w:ind w:firstLine="420" w:firstLineChars="200"/>
        <w:rPr>
          <w:rFonts w:ascii="宋体" w:hAnsi="宋体" w:cs="宋体"/>
        </w:rPr>
      </w:pPr>
      <w:r>
        <w:rPr>
          <w:rFonts w:hint="eastAsia" w:ascii="宋体" w:hAnsi="宋体" w:cs="宋体"/>
        </w:rPr>
        <w:t>企业类型的划分以统计部门的统计数据为依据。</w:t>
      </w:r>
    </w:p>
    <w:p>
      <w:pPr>
        <w:numPr>
          <w:ilvl w:val="0"/>
          <w:numId w:val="17"/>
        </w:numPr>
        <w:spacing w:line="360" w:lineRule="auto"/>
        <w:ind w:firstLine="420" w:firstLineChars="200"/>
        <w:rPr>
          <w:rFonts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17"/>
        </w:numPr>
        <w:spacing w:line="360" w:lineRule="auto"/>
        <w:ind w:firstLine="420" w:firstLineChars="200"/>
        <w:rPr>
          <w:rFonts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17"/>
        </w:numPr>
        <w:spacing w:line="360" w:lineRule="auto"/>
        <w:ind w:firstLine="420" w:firstLineChars="200"/>
        <w:rPr>
          <w:rFonts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17"/>
        </w:numPr>
        <w:spacing w:line="360" w:lineRule="auto"/>
        <w:ind w:firstLine="420" w:firstLineChars="200"/>
        <w:rPr>
          <w:rFonts w:ascii="宋体" w:hAnsi="宋体" w:cs="宋体"/>
        </w:rPr>
      </w:pPr>
      <w:r>
        <w:rPr>
          <w:rFonts w:hint="eastAsia" w:ascii="宋体" w:hAnsi="宋体" w:cs="宋体"/>
        </w:rPr>
        <w:t>本规定由工业和信息化部、国家统计局会同有关部门负责解释。</w:t>
      </w:r>
    </w:p>
    <w:p>
      <w:pPr>
        <w:numPr>
          <w:ilvl w:val="0"/>
          <w:numId w:val="17"/>
        </w:numPr>
        <w:spacing w:line="360" w:lineRule="auto"/>
        <w:ind w:firstLine="420" w:firstLineChars="200"/>
        <w:rPr>
          <w:rFonts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5"/>
        <w:tabs>
          <w:tab w:val="left" w:pos="432"/>
        </w:tabs>
        <w:jc w:val="left"/>
        <w:rPr>
          <w:rFonts w:hAnsi="宋体" w:cs="宋体"/>
          <w:bCs/>
          <w:sz w:val="24"/>
          <w:szCs w:val="24"/>
        </w:rPr>
      </w:pPr>
      <w:bookmarkStart w:id="993" w:name="_Toc497489392"/>
      <w:bookmarkStart w:id="994" w:name="_Toc15435095"/>
      <w:bookmarkStart w:id="995" w:name="_Toc102058324"/>
      <w:bookmarkStart w:id="996" w:name="_Toc101191900"/>
      <w:bookmarkStart w:id="997" w:name="_Toc779546475"/>
      <w:bookmarkStart w:id="998" w:name="_Toc83722639"/>
      <w:bookmarkStart w:id="999" w:name="_Toc8999378"/>
      <w:bookmarkStart w:id="1000" w:name="_Toc8212"/>
      <w:bookmarkStart w:id="1001" w:name="_Toc92789351"/>
      <w:bookmarkStart w:id="1002" w:name="_Toc105425453"/>
      <w:bookmarkStart w:id="1003" w:name="_Toc50760980"/>
      <w:bookmarkStart w:id="1004" w:name="_Toc85461451"/>
      <w:r>
        <w:rPr>
          <w:rFonts w:hint="eastAsia" w:hAnsi="宋体" w:cs="宋体"/>
          <w:bCs/>
          <w:sz w:val="24"/>
          <w:szCs w:val="24"/>
        </w:rPr>
        <w:br w:type="page"/>
      </w:r>
      <w:bookmarkStart w:id="1005" w:name="_Toc209958512"/>
      <w:bookmarkStart w:id="1006" w:name="_Toc199921597"/>
      <w:bookmarkStart w:id="1007" w:name="_Toc218620578"/>
      <w:bookmarkStart w:id="1008" w:name="_Toc18061"/>
      <w:r>
        <w:rPr>
          <w:rFonts w:hint="eastAsia" w:hAnsi="宋体" w:cs="宋体"/>
          <w:bCs/>
          <w:sz w:val="24"/>
          <w:szCs w:val="24"/>
        </w:rPr>
        <w:t>附录3：财政部 民政部 中国残疾人联合会关于促进残疾人就业政府采购政策的通知</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pPr>
        <w:spacing w:line="360" w:lineRule="auto"/>
        <w:jc w:val="center"/>
        <w:rPr>
          <w:rFonts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9"/>
        <w:shd w:val="clear" w:color="auto" w:fill="FFFFFF"/>
        <w:spacing w:before="0" w:beforeAutospacing="0" w:after="0" w:afterAutospacing="0" w:line="360" w:lineRule="auto"/>
        <w:ind w:firstLine="480"/>
        <w:jc w:val="both"/>
        <w:rPr>
          <w:sz w:val="21"/>
          <w:szCs w:val="21"/>
        </w:rPr>
      </w:pPr>
      <w:bookmarkStart w:id="1009"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09"/>
      <w:r>
        <w:rPr>
          <w:rFonts w:hint="eastAsia"/>
          <w:sz w:val="21"/>
          <w:szCs w:val="21"/>
        </w:rPr>
        <w:t>：</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一、享受政府采购支持政策的残疾人福利性单位应当同时满足以下条件：</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（一）安置的残疾人占本单位在职职工人数的比例不低于25%（含25%），并且安置的残疾人人数不少于10人（含10人）；</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（二）依法与安置的每位残疾人签订了一年以上（含一年）的劳动合同或服务协议；</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（三）为安置的每位残疾人按月足额缴纳了基本养老保险、基本医疗保险、失业保险、工伤保险和生育保险等社会保险费；</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供应商提供的《残疾人福利性单位声明函》与事实不符的，依照《政府采购法》第七十七条第一款的规定追究法律责任。</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9"/>
        <w:shd w:val="clear" w:color="auto" w:fill="FFFFFF"/>
        <w:spacing w:before="0" w:beforeAutospacing="0" w:after="0" w:afterAutospacing="0" w:line="360" w:lineRule="auto"/>
        <w:ind w:firstLine="480"/>
        <w:jc w:val="both"/>
        <w:rPr>
          <w:sz w:val="21"/>
          <w:szCs w:val="21"/>
        </w:rPr>
      </w:pPr>
      <w:r>
        <w:rPr>
          <w:rFonts w:hint="eastAsia"/>
          <w:sz w:val="21"/>
          <w:szCs w:val="21"/>
        </w:rPr>
        <w:t>　　七、本通知自2017年10月1日起执行。</w:t>
      </w:r>
    </w:p>
    <w:p>
      <w:pPr>
        <w:pStyle w:val="49"/>
        <w:shd w:val="clear" w:color="auto" w:fill="FFFFFF"/>
        <w:spacing w:before="0" w:beforeAutospacing="0" w:after="0" w:afterAutospacing="0" w:line="360" w:lineRule="auto"/>
        <w:ind w:firstLine="480"/>
        <w:jc w:val="right"/>
        <w:rPr>
          <w:sz w:val="21"/>
          <w:szCs w:val="21"/>
        </w:rPr>
      </w:pPr>
      <w:r>
        <w:rPr>
          <w:rFonts w:hint="eastAsia"/>
          <w:sz w:val="21"/>
          <w:szCs w:val="21"/>
        </w:rPr>
        <w:t>　　财政部 民政部 中国残疾人联合会</w:t>
      </w:r>
    </w:p>
    <w:p>
      <w:pPr>
        <w:pStyle w:val="49"/>
        <w:shd w:val="clear" w:color="auto" w:fill="FFFFFF"/>
        <w:spacing w:before="0" w:beforeAutospacing="0" w:after="0" w:afterAutospacing="0" w:line="360" w:lineRule="auto"/>
        <w:ind w:firstLine="480"/>
        <w:jc w:val="right"/>
        <w:rPr>
          <w:sz w:val="21"/>
          <w:szCs w:val="21"/>
        </w:rPr>
      </w:pPr>
      <w:r>
        <w:rPr>
          <w:rFonts w:hint="eastAsia"/>
          <w:sz w:val="21"/>
          <w:szCs w:val="21"/>
        </w:rPr>
        <w:t>　　2017年8月22日</w:t>
      </w:r>
    </w:p>
    <w:p>
      <w:pPr>
        <w:widowControl/>
        <w:jc w:val="left"/>
        <w:rPr>
          <w:rFonts w:ascii="宋体" w:hAnsi="宋体" w:cs="宋体"/>
          <w:kern w:val="0"/>
          <w:szCs w:val="21"/>
        </w:rPr>
      </w:pPr>
      <w:r>
        <w:rPr>
          <w:rFonts w:ascii="宋体" w:hAnsi="宋体"/>
          <w:szCs w:val="21"/>
        </w:rPr>
        <w:br w:type="page"/>
      </w:r>
    </w:p>
    <w:p>
      <w:pPr>
        <w:pStyle w:val="5"/>
        <w:tabs>
          <w:tab w:val="left" w:pos="432"/>
        </w:tabs>
        <w:spacing w:line="360" w:lineRule="auto"/>
        <w:jc w:val="left"/>
        <w:rPr>
          <w:rFonts w:hAnsi="宋体" w:cs="宋体"/>
          <w:bCs/>
          <w:sz w:val="24"/>
          <w:szCs w:val="24"/>
        </w:rPr>
      </w:pPr>
      <w:bookmarkStart w:id="1010" w:name="_Toc209958513"/>
      <w:bookmarkStart w:id="1011" w:name="_Toc218620579"/>
      <w:bookmarkStart w:id="1012" w:name="_Toc199921598"/>
      <w:r>
        <w:rPr>
          <w:rFonts w:hint="eastAsia" w:hAnsi="宋体" w:cs="宋体"/>
          <w:bCs/>
          <w:sz w:val="24"/>
          <w:szCs w:val="24"/>
        </w:rPr>
        <w:t>附录4：财政部 司法部 关于政府采购支持监狱企业发展有关问题的通知</w:t>
      </w:r>
      <w:bookmarkEnd w:id="1010"/>
      <w:bookmarkEnd w:id="1011"/>
      <w:bookmarkEnd w:id="1012"/>
      <w:r>
        <w:rPr>
          <w:rFonts w:hint="eastAsia" w:hAnsi="宋体" w:cs="宋体"/>
          <w:bCs/>
          <w:sz w:val="24"/>
          <w:szCs w:val="24"/>
        </w:rPr>
        <w:t xml:space="preserve">  </w:t>
      </w:r>
    </w:p>
    <w:p>
      <w:pPr>
        <w:pStyle w:val="7"/>
        <w:snapToGrid w:val="0"/>
        <w:rPr>
          <w:rFonts w:hAnsi="宋体"/>
        </w:rPr>
      </w:pPr>
    </w:p>
    <w:p>
      <w:pPr>
        <w:pStyle w:val="7"/>
        <w:snapToGrid w:val="0"/>
        <w:ind w:firstLine="0"/>
        <w:jc w:val="center"/>
        <w:rPr>
          <w:rFonts w:hAnsi="宋体"/>
        </w:rPr>
      </w:pPr>
      <w:r>
        <w:rPr>
          <w:rFonts w:hint="eastAsia" w:hAnsi="宋体"/>
        </w:rPr>
        <w:t>2014年6月10日 财库〔2014〕68号</w:t>
      </w:r>
    </w:p>
    <w:p>
      <w:pPr>
        <w:pStyle w:val="7"/>
        <w:snapToGrid w:val="0"/>
        <w:rPr>
          <w:rFonts w:hAnsi="宋体"/>
        </w:rPr>
      </w:pPr>
    </w:p>
    <w:p>
      <w:pPr>
        <w:pStyle w:val="49"/>
        <w:shd w:val="clear" w:color="auto" w:fill="FFFFFF"/>
        <w:spacing w:before="0" w:beforeAutospacing="0" w:after="0" w:afterAutospacing="0" w:line="360" w:lineRule="auto"/>
        <w:ind w:firstLine="480" w:firstLineChars="200"/>
        <w:jc w:val="both"/>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9"/>
        <w:shd w:val="clear" w:color="auto" w:fill="FFFFFF"/>
        <w:spacing w:before="0" w:beforeAutospacing="0" w:after="0" w:afterAutospacing="0" w:line="360" w:lineRule="auto"/>
        <w:ind w:firstLine="480" w:firstLineChars="200"/>
        <w:jc w:val="both"/>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9"/>
        <w:shd w:val="clear" w:color="auto" w:fill="FFFFFF"/>
        <w:spacing w:before="0" w:beforeAutospacing="0" w:after="0" w:afterAutospacing="0" w:line="360" w:lineRule="auto"/>
        <w:ind w:firstLine="480" w:firstLineChars="200"/>
        <w:jc w:val="both"/>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9"/>
        <w:shd w:val="clear" w:color="auto" w:fill="FFFFFF"/>
        <w:spacing w:before="0" w:beforeAutospacing="0" w:after="0" w:afterAutospacing="0" w:line="360" w:lineRule="auto"/>
        <w:ind w:firstLine="480" w:firstLineChars="200"/>
        <w:jc w:val="both"/>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9"/>
        <w:shd w:val="clear" w:color="auto" w:fill="FFFFFF"/>
        <w:spacing w:before="0" w:beforeAutospacing="0" w:after="0" w:afterAutospacing="0" w:line="360" w:lineRule="auto"/>
        <w:ind w:firstLine="480" w:firstLineChars="200"/>
        <w:jc w:val="both"/>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9"/>
        <w:shd w:val="clear" w:color="auto" w:fill="FFFFFF"/>
        <w:spacing w:before="0" w:beforeAutospacing="0" w:after="0" w:afterAutospacing="0" w:line="360" w:lineRule="auto"/>
        <w:ind w:firstLine="480" w:firstLineChars="200"/>
        <w:jc w:val="both"/>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9"/>
        <w:shd w:val="clear" w:color="auto" w:fill="FFFFFF"/>
        <w:spacing w:before="0" w:beforeAutospacing="0" w:after="0" w:afterAutospacing="0" w:line="360" w:lineRule="auto"/>
        <w:ind w:firstLine="480" w:firstLineChars="200"/>
        <w:jc w:val="both"/>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ascii="宋体" w:hAnsi="宋体" w:cs="宋体"/>
          <w:kern w:val="0"/>
          <w:sz w:val="24"/>
        </w:rPr>
      </w:pPr>
      <w:r>
        <w:rPr>
          <w:rFonts w:ascii="宋体" w:hAnsi="宋体"/>
        </w:rPr>
        <w:br w:type="page"/>
      </w:r>
    </w:p>
    <w:p>
      <w:pPr>
        <w:pStyle w:val="5"/>
        <w:tabs>
          <w:tab w:val="left" w:pos="432"/>
        </w:tabs>
        <w:spacing w:line="360" w:lineRule="auto"/>
        <w:jc w:val="left"/>
        <w:rPr>
          <w:rFonts w:hAnsi="宋体" w:cs="宋体"/>
          <w:bCs/>
          <w:sz w:val="24"/>
          <w:szCs w:val="24"/>
        </w:rPr>
      </w:pPr>
      <w:bookmarkStart w:id="1013" w:name="_Toc199921599"/>
      <w:bookmarkStart w:id="1014" w:name="_Toc209958514"/>
      <w:bookmarkStart w:id="1015" w:name="_Toc218620580"/>
      <w:r>
        <w:rPr>
          <w:rFonts w:hint="eastAsia" w:hAnsi="宋体" w:cs="宋体"/>
          <w:bCs/>
          <w:sz w:val="24"/>
          <w:szCs w:val="24"/>
        </w:rPr>
        <w:t>附录5：关于进一步加大政府采购支持中小企业力度的通知</w:t>
      </w:r>
      <w:bookmarkEnd w:id="1013"/>
      <w:bookmarkEnd w:id="1014"/>
      <w:bookmarkEnd w:id="1015"/>
    </w:p>
    <w:p>
      <w:pPr>
        <w:jc w:val="center"/>
        <w:rPr>
          <w:rFonts w:ascii="宋体" w:hAnsi="宋体"/>
          <w:sz w:val="24"/>
        </w:rPr>
      </w:pPr>
      <w:r>
        <w:rPr>
          <w:rFonts w:hint="eastAsia" w:ascii="宋体" w:hAnsi="宋体"/>
          <w:sz w:val="24"/>
        </w:rPr>
        <w:t>财库〔2022〕19号</w:t>
      </w:r>
    </w:p>
    <w:p>
      <w:pPr>
        <w:pStyle w:val="49"/>
        <w:shd w:val="clear" w:color="auto" w:fill="FFFFFF"/>
        <w:spacing w:before="0" w:beforeAutospacing="0" w:after="225" w:afterAutospacing="0" w:line="360" w:lineRule="auto"/>
      </w:pPr>
      <w:r>
        <w:rPr>
          <w:rFonts w:hint="eastAsia"/>
        </w:rPr>
        <w:t>各中央预算单位，各省、自治区、直辖市、计划单列市财政厅（局），新疆生产建设兵团财政局：</w:t>
      </w:r>
    </w:p>
    <w:p>
      <w:pPr>
        <w:pStyle w:val="49"/>
        <w:shd w:val="clear" w:color="auto" w:fill="FFFFFF"/>
        <w:spacing w:before="0" w:beforeAutospacing="0" w:after="225" w:afterAutospacing="0" w:line="360" w:lineRule="auto"/>
        <w:ind w:firstLine="480"/>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9"/>
        <w:shd w:val="clear" w:color="auto" w:fill="FFFFFF"/>
        <w:spacing w:before="0" w:beforeAutospacing="0" w:after="0" w:afterAutospacing="0" w:line="360" w:lineRule="auto"/>
        <w:ind w:firstLine="480"/>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9"/>
        <w:shd w:val="clear" w:color="auto" w:fill="FFFFFF"/>
        <w:spacing w:before="0" w:beforeAutospacing="0" w:after="0" w:afterAutospacing="0" w:line="360" w:lineRule="auto"/>
        <w:ind w:firstLine="480"/>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9"/>
        <w:shd w:val="clear" w:color="auto" w:fill="FFFFFF"/>
        <w:spacing w:before="0" w:beforeAutospacing="0" w:after="0" w:afterAutospacing="0" w:line="360" w:lineRule="auto"/>
        <w:ind w:firstLine="480"/>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9"/>
        <w:shd w:val="clear" w:color="auto" w:fill="FFFFFF"/>
        <w:spacing w:before="0" w:beforeAutospacing="0" w:after="0" w:afterAutospacing="0" w:line="360" w:lineRule="auto"/>
        <w:ind w:firstLine="480"/>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9"/>
        <w:shd w:val="clear" w:color="auto" w:fill="FFFFFF"/>
        <w:spacing w:before="0" w:beforeAutospacing="0" w:after="225" w:afterAutospacing="0" w:line="360" w:lineRule="auto"/>
        <w:ind w:firstLine="480"/>
      </w:pPr>
      <w:r>
        <w:rPr>
          <w:rFonts w:hint="eastAsia"/>
        </w:rPr>
        <w:t>本通知自2022年7月1日起执行。</w:t>
      </w:r>
    </w:p>
    <w:p>
      <w:pPr>
        <w:pStyle w:val="49"/>
        <w:shd w:val="clear" w:color="auto" w:fill="FFFFFF"/>
        <w:spacing w:before="0" w:beforeAutospacing="0" w:after="0" w:afterAutospacing="0" w:line="360" w:lineRule="auto"/>
        <w:jc w:val="right"/>
      </w:pPr>
      <w:r>
        <w:rPr>
          <w:rFonts w:hint="eastAsia"/>
        </w:rPr>
        <w:t>财政部</w:t>
      </w:r>
      <w:r>
        <w:rPr>
          <w:rFonts w:hint="eastAsia"/>
        </w:rPr>
        <w:br w:type="textWrapping"/>
      </w:r>
      <w:r>
        <w:rPr>
          <w:rFonts w:hint="eastAsia"/>
        </w:rPr>
        <w:t>2022年5月30日</w:t>
      </w:r>
    </w:p>
    <w:p>
      <w:pPr>
        <w:widowControl/>
        <w:spacing w:line="360" w:lineRule="auto"/>
        <w:jc w:val="left"/>
        <w:rPr>
          <w:rFonts w:ascii="宋体" w:hAnsi="宋体"/>
          <w:kern w:val="0"/>
          <w:sz w:val="24"/>
        </w:rPr>
      </w:pPr>
      <w:r>
        <w:rPr>
          <w:rFonts w:ascii="宋体" w:hAnsi="宋体"/>
          <w:kern w:val="0"/>
          <w:sz w:val="24"/>
        </w:rPr>
        <w:br w:type="page"/>
      </w:r>
    </w:p>
    <w:p>
      <w:pPr>
        <w:pStyle w:val="5"/>
        <w:tabs>
          <w:tab w:val="left" w:pos="432"/>
        </w:tabs>
        <w:spacing w:line="360" w:lineRule="auto"/>
        <w:jc w:val="left"/>
        <w:rPr>
          <w:rFonts w:hAnsi="宋体" w:cs="宋体"/>
          <w:bCs/>
          <w:sz w:val="24"/>
          <w:szCs w:val="24"/>
        </w:rPr>
      </w:pPr>
      <w:bookmarkStart w:id="1016" w:name="_Toc218620581"/>
      <w:bookmarkStart w:id="1017" w:name="_Toc199921600"/>
      <w:bookmarkStart w:id="1018" w:name="_Toc209958515"/>
      <w:bookmarkStart w:id="1019" w:name="_Toc92789352"/>
      <w:bookmarkStart w:id="1020" w:name="_Toc85461452"/>
      <w:bookmarkStart w:id="1021" w:name="_Toc83722640"/>
      <w:bookmarkStart w:id="1022" w:name="_Toc101191901"/>
      <w:bookmarkStart w:id="1023" w:name="_Toc9219"/>
      <w:bookmarkStart w:id="1024" w:name="_Toc102058325"/>
      <w:bookmarkStart w:id="1025" w:name="_Toc39874978"/>
      <w:bookmarkStart w:id="1026" w:name="_Toc105425454"/>
      <w:r>
        <w:rPr>
          <w:rFonts w:hint="eastAsia" w:hAnsi="宋体" w:cs="宋体"/>
          <w:bCs/>
          <w:sz w:val="24"/>
          <w:szCs w:val="24"/>
        </w:rPr>
        <w:t>附录6：财政部 发展改革委关于印发节能产品政府采购品目清单的通知</w:t>
      </w:r>
      <w:bookmarkEnd w:id="1016"/>
      <w:bookmarkEnd w:id="1017"/>
      <w:bookmarkEnd w:id="1018"/>
    </w:p>
    <w:p>
      <w:pPr>
        <w:spacing w:line="360" w:lineRule="auto"/>
        <w:ind w:firstLine="480" w:firstLineChars="200"/>
        <w:jc w:val="center"/>
        <w:rPr>
          <w:rFonts w:ascii="宋体" w:hAnsi="宋体"/>
          <w:sz w:val="24"/>
        </w:rPr>
      </w:pPr>
      <w:r>
        <w:rPr>
          <w:rFonts w:hint="eastAsia" w:ascii="宋体" w:hAnsi="宋体" w:cs="宋体"/>
          <w:sz w:val="24"/>
        </w:rPr>
        <w:t>（财库〔2019〕19号）</w:t>
      </w: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ascii="宋体" w:hAnsi="宋体" w:cs="宋体"/>
          <w:szCs w:val="21"/>
        </w:rPr>
      </w:pPr>
      <w:r>
        <w:rPr>
          <w:rFonts w:ascii="宋体" w:hAnsi="宋体"/>
          <w:sz w:val="24"/>
        </w:rPr>
        <w:t xml:space="preserve"> </w:t>
      </w:r>
    </w:p>
    <w:p>
      <w:pPr>
        <w:rPr>
          <w:rFonts w:ascii="宋体" w:hAnsi="宋体" w:cs="宋体"/>
        </w:rPr>
      </w:pPr>
    </w:p>
    <w:p>
      <w:pPr>
        <w:tabs>
          <w:tab w:val="left" w:pos="7088"/>
        </w:tabs>
        <w:spacing w:before="602" w:after="302" w:line="360" w:lineRule="auto"/>
        <w:ind w:right="226"/>
        <w:rPr>
          <w:rFonts w:ascii="宋体" w:hAnsi="宋体" w:cs="宋体"/>
        </w:rPr>
      </w:pPr>
      <w:r>
        <w:rPr>
          <w:rFonts w:hint="eastAsia" w:ascii="宋体" w:hAnsi="宋体" w:cs="宋体"/>
        </w:rPr>
        <w:drawing>
          <wp:inline distT="0" distB="0" distL="114300" distR="114300">
            <wp:extent cx="5274945" cy="6802120"/>
            <wp:effectExtent l="0" t="0" r="1905" b="17780"/>
            <wp:docPr id="29"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传输文件\WeChat Files\wxid_9890248905412\FileStorage\Temp\1666628018257.png"/>
                    <pic:cNvPicPr>
                      <a:picLocks noChangeAspect="1"/>
                    </pic:cNvPicPr>
                  </pic:nvPicPr>
                  <pic:blipFill>
                    <a:blip r:embed="rId11"/>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0"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传输文件\WeChat Files\wxid_9890248905412\FileStorage\Temp\1666628028421.png"/>
                    <pic:cNvPicPr>
                      <a:picLocks noChangeAspect="1"/>
                    </pic:cNvPicPr>
                  </pic:nvPicPr>
                  <pic:blipFill>
                    <a:blip r:embed="rId12"/>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31"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传输文件\WeChat Files\wxid_9890248905412\FileStorage\Temp\1666628035161.png"/>
                    <pic:cNvPicPr>
                      <a:picLocks noChangeAspect="1"/>
                    </pic:cNvPicPr>
                  </pic:nvPicPr>
                  <pic:blipFill>
                    <a:blip r:embed="rId13"/>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ascii="宋体" w:hAnsi="宋体" w:cs="宋体"/>
        </w:rPr>
      </w:pPr>
      <w:r>
        <w:rPr>
          <w:rFonts w:hint="eastAsia" w:ascii="宋体" w:hAnsi="宋体" w:cs="宋体"/>
        </w:rPr>
        <w:drawing>
          <wp:inline distT="0" distB="0" distL="114300" distR="114300">
            <wp:extent cx="5082540" cy="7635240"/>
            <wp:effectExtent l="0" t="0" r="3810" b="3810"/>
            <wp:docPr id="32"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传输文件\WeChat Files\wxid_9890248905412\FileStorage\Temp\1666628055209.png"/>
                    <pic:cNvPicPr>
                      <a:picLocks noChangeAspect="1"/>
                    </pic:cNvPicPr>
                  </pic:nvPicPr>
                  <pic:blipFill>
                    <a:blip r:embed="rId14"/>
                    <a:stretch>
                      <a:fillRect/>
                    </a:stretch>
                  </pic:blipFill>
                  <pic:spPr>
                    <a:xfrm>
                      <a:off x="0" y="0"/>
                      <a:ext cx="5082540" cy="763524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5"/>
        <w:tabs>
          <w:tab w:val="left" w:pos="432"/>
        </w:tabs>
        <w:spacing w:line="360" w:lineRule="auto"/>
        <w:jc w:val="left"/>
        <w:rPr>
          <w:rFonts w:hAnsi="宋体" w:cs="宋体"/>
          <w:bCs/>
          <w:sz w:val="24"/>
          <w:szCs w:val="24"/>
        </w:rPr>
      </w:pPr>
      <w:bookmarkStart w:id="1027" w:name="_Toc218620582"/>
      <w:bookmarkStart w:id="1028" w:name="_Toc209958516"/>
      <w:bookmarkStart w:id="1029" w:name="_Toc199921601"/>
      <w:r>
        <w:rPr>
          <w:rFonts w:hint="eastAsia" w:hAnsi="宋体" w:cs="宋体"/>
          <w:bCs/>
          <w:sz w:val="24"/>
          <w:szCs w:val="24"/>
        </w:rPr>
        <w:t>附录7：关于印发环境标志产品政府采购品目清单的通知</w:t>
      </w:r>
      <w:bookmarkEnd w:id="1027"/>
      <w:bookmarkEnd w:id="1028"/>
      <w:bookmarkEnd w:id="1029"/>
    </w:p>
    <w:p>
      <w:pPr>
        <w:jc w:val="center"/>
        <w:rPr>
          <w:rFonts w:ascii="宋体" w:hAnsi="宋体"/>
          <w:sz w:val="24"/>
        </w:rPr>
      </w:pPr>
      <w:r>
        <w:rPr>
          <w:rFonts w:hint="eastAsia" w:ascii="宋体" w:hAnsi="宋体"/>
          <w:sz w:val="24"/>
        </w:rPr>
        <w:t>财库〔2019〕18号</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0" distR="0">
            <wp:extent cx="4626610" cy="6482715"/>
            <wp:effectExtent l="0" t="0" r="2540" b="0"/>
            <wp:docPr id="85"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WeChat Files\wxid_9890248905412\FileStorage\Temp\17480013191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sz w:val="24"/>
        </w:rPr>
        <w:drawing>
          <wp:inline distT="0" distB="0" distL="0" distR="0">
            <wp:extent cx="4721860" cy="6264275"/>
            <wp:effectExtent l="0" t="0" r="2540" b="3175"/>
            <wp:docPr id="86"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WeChat Files\wxid_9890248905412\FileStorage\Temp\17480013294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721860" cy="6455410"/>
            <wp:effectExtent l="0" t="0" r="2540" b="2540"/>
            <wp:docPr id="87"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WeChat Files\wxid_9890248905412\FileStorage\Temp\17480013374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845050" cy="6714490"/>
            <wp:effectExtent l="0" t="0" r="0" b="0"/>
            <wp:docPr id="88"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WeChat Files\wxid_9890248905412\FileStorage\Temp\17480013463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5"/>
        <w:tabs>
          <w:tab w:val="left" w:pos="432"/>
        </w:tabs>
        <w:spacing w:line="360" w:lineRule="auto"/>
        <w:jc w:val="left"/>
        <w:rPr>
          <w:rFonts w:hAnsi="宋体" w:cs="宋体"/>
          <w:bCs/>
          <w:sz w:val="24"/>
          <w:szCs w:val="24"/>
        </w:rPr>
      </w:pPr>
      <w:bookmarkStart w:id="1030" w:name="_Toc199921602"/>
      <w:bookmarkStart w:id="1031" w:name="_Toc218620583"/>
      <w:bookmarkStart w:id="1032" w:name="_Toc209958517"/>
      <w:r>
        <w:rPr>
          <w:rFonts w:hint="eastAsia" w:hAnsi="宋体" w:cs="宋体"/>
          <w:bCs/>
          <w:sz w:val="24"/>
          <w:szCs w:val="24"/>
        </w:rPr>
        <w:t>附录8：</w:t>
      </w:r>
      <w:bookmarkEnd w:id="1019"/>
      <w:bookmarkEnd w:id="1020"/>
      <w:bookmarkEnd w:id="1021"/>
      <w:r>
        <w:rPr>
          <w:rFonts w:hint="eastAsia" w:hAnsi="宋体" w:cs="宋体"/>
          <w:bCs/>
          <w:sz w:val="24"/>
          <w:szCs w:val="24"/>
        </w:rPr>
        <w:t>市场监管总局关于发布参与实施政府采购节能产品、环境标志产品认证机构名录的公告</w:t>
      </w:r>
      <w:bookmarkEnd w:id="1022"/>
      <w:bookmarkEnd w:id="1023"/>
      <w:bookmarkEnd w:id="1024"/>
      <w:bookmarkEnd w:id="1025"/>
      <w:bookmarkEnd w:id="1026"/>
      <w:bookmarkEnd w:id="1030"/>
      <w:bookmarkEnd w:id="1031"/>
      <w:bookmarkEnd w:id="1032"/>
    </w:p>
    <w:p>
      <w:pPr>
        <w:spacing w:line="360" w:lineRule="auto"/>
        <w:jc w:val="center"/>
        <w:rPr>
          <w:rFonts w:ascii="宋体" w:hAnsi="宋体" w:cs="宋体"/>
        </w:rPr>
      </w:pPr>
      <w:r>
        <w:rPr>
          <w:rFonts w:hint="eastAsia" w:ascii="宋体" w:hAnsi="宋体" w:cs="宋体"/>
        </w:rPr>
        <w:t>市场监管总局关于发布参与实施政府采购节能产品、</w:t>
      </w:r>
    </w:p>
    <w:p>
      <w:pPr>
        <w:spacing w:line="360" w:lineRule="auto"/>
        <w:jc w:val="center"/>
        <w:rPr>
          <w:rFonts w:ascii="宋体" w:hAnsi="宋体" w:cs="宋体"/>
        </w:rPr>
      </w:pPr>
      <w:r>
        <w:rPr>
          <w:rFonts w:hint="eastAsia" w:ascii="宋体" w:hAnsi="宋体" w:cs="宋体"/>
        </w:rPr>
        <w:t>环境标志产品认证机构名录的公告</w:t>
      </w:r>
    </w:p>
    <w:p>
      <w:pPr>
        <w:spacing w:line="360" w:lineRule="auto"/>
        <w:jc w:val="center"/>
        <w:rPr>
          <w:rFonts w:ascii="宋体" w:hAnsi="宋体" w:cs="宋体"/>
        </w:rPr>
      </w:pPr>
      <w:r>
        <w:rPr>
          <w:rFonts w:hint="eastAsia" w:ascii="宋体" w:hAnsi="宋体" w:cs="宋体"/>
        </w:rPr>
        <w:t>2019年第16号</w:t>
      </w:r>
    </w:p>
    <w:p>
      <w:pPr>
        <w:pStyle w:val="49"/>
        <w:spacing w:before="680" w:beforeAutospacing="0" w:after="632" w:afterAutospacing="0" w:line="360" w:lineRule="auto"/>
        <w:ind w:left="302" w:right="226" w:firstLine="480"/>
        <w:rPr>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9"/>
        <w:spacing w:before="680" w:beforeAutospacing="0" w:after="632" w:afterAutospacing="0" w:line="360" w:lineRule="auto"/>
        <w:ind w:left="302" w:right="226" w:firstLine="480"/>
        <w:rPr>
          <w:sz w:val="21"/>
          <w:szCs w:val="21"/>
        </w:rPr>
      </w:pPr>
    </w:p>
    <w:p>
      <w:pPr>
        <w:pStyle w:val="49"/>
        <w:spacing w:before="680" w:beforeAutospacing="0" w:after="632" w:afterAutospacing="0" w:line="360" w:lineRule="auto"/>
        <w:ind w:left="302" w:right="226" w:firstLine="480"/>
        <w:rPr>
          <w:sz w:val="21"/>
          <w:szCs w:val="21"/>
        </w:rPr>
      </w:pPr>
      <w:r>
        <w:rPr>
          <w:rFonts w:hint="eastAsia"/>
          <w:sz w:val="21"/>
          <w:szCs w:val="21"/>
        </w:rPr>
        <w:t>　　自本公告发布后，新增认证机构应尽快完成政府采购认证信息系统对接，对接完成后方可开展相关认证工作。</w:t>
      </w:r>
    </w:p>
    <w:p>
      <w:pPr>
        <w:pStyle w:val="49"/>
        <w:spacing w:before="680" w:beforeAutospacing="0" w:after="632" w:afterAutospacing="0" w:line="360" w:lineRule="auto"/>
        <w:ind w:left="302" w:right="226" w:firstLine="480"/>
        <w:jc w:val="right"/>
        <w:rPr>
          <w:sz w:val="21"/>
          <w:szCs w:val="21"/>
        </w:rPr>
      </w:pPr>
      <w:r>
        <w:rPr>
          <w:rFonts w:hint="eastAsia"/>
          <w:sz w:val="21"/>
          <w:szCs w:val="21"/>
        </w:rPr>
        <w:t>市场监管总局</w:t>
      </w:r>
    </w:p>
    <w:p>
      <w:pPr>
        <w:pStyle w:val="49"/>
        <w:spacing w:before="680" w:beforeAutospacing="0" w:after="632" w:afterAutospacing="0" w:line="360" w:lineRule="auto"/>
        <w:ind w:left="302" w:right="226" w:firstLine="480"/>
        <w:jc w:val="right"/>
        <w:rPr>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ascii="宋体" w:hAnsi="宋体" w:cs="宋体"/>
          <w:sz w:val="28"/>
          <w:szCs w:val="28"/>
        </w:rPr>
      </w:pPr>
      <w:r>
        <w:rPr>
          <w:rFonts w:hint="eastAsia" w:ascii="宋体" w:hAnsi="宋体" w:cs="宋体"/>
          <w:szCs w:val="21"/>
        </w:rPr>
        <w:t>（此件公开发布）</w:t>
      </w:r>
    </w:p>
    <w:p>
      <w:pPr>
        <w:widowControl/>
        <w:jc w:val="left"/>
        <w:rPr>
          <w:rFonts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ascii="宋体" w:hAnsi="宋体" w:cs="宋体"/>
        </w:rPr>
      </w:pPr>
      <w:r>
        <w:rPr>
          <w:rFonts w:hint="eastAsia" w:ascii="宋体" w:hAnsi="宋体" w:cs="宋体"/>
          <w:sz w:val="28"/>
          <w:szCs w:val="28"/>
        </w:rPr>
        <w:t>参与实施政府采购节能产品认证机构名录</w:t>
      </w:r>
    </w:p>
    <w:tbl>
      <w:tblPr>
        <w:tblStyle w:val="55"/>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北京赛西认证有限责任公司</w:t>
            </w:r>
          </w:p>
          <w:p>
            <w:pPr>
              <w:spacing w:beforeAutospacing="1" w:afterAutospacing="1" w:line="360" w:lineRule="auto"/>
              <w:rPr>
                <w:rFonts w:ascii="宋体" w:hAnsi="宋体" w:cs="宋体"/>
              </w:rPr>
            </w:pPr>
            <w:r>
              <w:rPr>
                <w:rFonts w:hint="eastAsia" w:ascii="宋体" w:hAnsi="宋体" w:cs="宋体"/>
              </w:rPr>
              <w:t>中国网络安全审查技术与认证中心</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p>
            <w:pPr>
              <w:spacing w:beforeAutospacing="1" w:afterAutospacing="1" w:line="360" w:lineRule="auto"/>
              <w:rPr>
                <w:rFonts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北京泰瑞特认证有限责任公司</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北京鉴衡认证中心</w:t>
            </w:r>
          </w:p>
          <w:p>
            <w:pPr>
              <w:spacing w:beforeAutospacing="1" w:afterAutospacing="1" w:line="360" w:lineRule="auto"/>
              <w:rPr>
                <w:rFonts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北京新华节水产品认证有限公司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bl>
    <w:p>
      <w:pPr>
        <w:spacing w:before="602" w:after="302" w:line="360" w:lineRule="auto"/>
        <w:ind w:left="302" w:right="226"/>
        <w:jc w:val="center"/>
        <w:rPr>
          <w:rFonts w:ascii="宋体" w:hAnsi="宋体" w:cs="宋体"/>
        </w:rPr>
      </w:pPr>
      <w:r>
        <w:rPr>
          <w:rFonts w:hint="eastAsia" w:ascii="宋体" w:hAnsi="宋体" w:cs="宋体"/>
        </w:rPr>
        <w:t> </w:t>
      </w:r>
    </w:p>
    <w:p>
      <w:pPr>
        <w:spacing w:before="602" w:after="302" w:line="360" w:lineRule="auto"/>
        <w:ind w:left="302" w:right="226"/>
        <w:jc w:val="center"/>
        <w:rPr>
          <w:rFonts w:ascii="宋体" w:hAnsi="宋体" w:cs="宋体"/>
          <w:sz w:val="28"/>
          <w:szCs w:val="28"/>
        </w:rPr>
      </w:pPr>
      <w:r>
        <w:rPr>
          <w:rFonts w:hint="eastAsia" w:ascii="宋体" w:hAnsi="宋体" w:cs="宋体"/>
          <w:sz w:val="28"/>
          <w:szCs w:val="28"/>
        </w:rPr>
        <w:t>参与实施政府采购环境标志产品认证机构名录 </w:t>
      </w:r>
    </w:p>
    <w:tbl>
      <w:tblPr>
        <w:tblStyle w:val="55"/>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中环联合（北京）认证中心有限公司</w:t>
            </w:r>
          </w:p>
          <w:p>
            <w:pPr>
              <w:spacing w:beforeAutospacing="1" w:afterAutospacing="1" w:line="360" w:lineRule="auto"/>
              <w:jc w:val="center"/>
              <w:rPr>
                <w:rFonts w:ascii="宋体" w:hAnsi="宋体" w:cs="宋体"/>
              </w:rPr>
            </w:pPr>
            <w:r>
              <w:rPr>
                <w:rFonts w:hint="eastAsia" w:ascii="宋体" w:hAnsi="宋体" w:cs="宋体"/>
              </w:rPr>
              <w:t>中标合信（北京）认证有限公司</w:t>
            </w:r>
          </w:p>
          <w:p>
            <w:pPr>
              <w:spacing w:beforeAutospacing="1" w:afterAutospacing="1" w:line="360" w:lineRule="auto"/>
              <w:jc w:val="center"/>
              <w:rPr>
                <w:rFonts w:ascii="宋体" w:hAnsi="宋体" w:cs="宋体"/>
              </w:rPr>
            </w:pPr>
            <w:r>
              <w:rPr>
                <w:rFonts w:hint="eastAsia" w:ascii="宋体" w:hAnsi="宋体" w:cs="宋体"/>
              </w:rPr>
              <w:t>中环协（北京）认证有限公司</w:t>
            </w:r>
          </w:p>
          <w:p>
            <w:pPr>
              <w:spacing w:beforeAutospacing="1" w:afterAutospacing="1" w:line="360" w:lineRule="auto"/>
              <w:jc w:val="center"/>
              <w:rPr>
                <w:rFonts w:ascii="宋体" w:hAnsi="宋体" w:cs="宋体"/>
              </w:rPr>
            </w:pPr>
            <w:r>
              <w:rPr>
                <w:rFonts w:hint="eastAsia" w:ascii="宋体" w:hAnsi="宋体" w:cs="宋体"/>
              </w:rPr>
              <w:t>天津华诚认证有限公司</w:t>
            </w:r>
          </w:p>
        </w:tc>
      </w:tr>
    </w:tbl>
    <w:p>
      <w:pPr>
        <w:spacing w:line="360" w:lineRule="auto"/>
        <w:rPr>
          <w:rFonts w:ascii="宋体" w:hAnsi="宋体" w:cs="宋体"/>
        </w:rPr>
      </w:pPr>
    </w:p>
    <w:p>
      <w:pPr>
        <w:widowControl/>
        <w:jc w:val="left"/>
        <w:rPr>
          <w:rFonts w:ascii="宋体" w:hAnsi="宋体" w:cs="宋体"/>
          <w:b/>
          <w:sz w:val="24"/>
          <w:lang w:val="zh-CN"/>
        </w:rPr>
      </w:pPr>
      <w:r>
        <w:rPr>
          <w:rFonts w:ascii="宋体" w:hAnsi="宋体" w:cs="宋体"/>
          <w:lang w:val="zh-CN"/>
        </w:rPr>
        <w:br w:type="page"/>
      </w:r>
    </w:p>
    <w:p>
      <w:pPr>
        <w:pStyle w:val="5"/>
        <w:tabs>
          <w:tab w:val="left" w:pos="432"/>
        </w:tabs>
        <w:spacing w:line="360" w:lineRule="auto"/>
        <w:jc w:val="left"/>
        <w:rPr>
          <w:rFonts w:hAnsi="宋体" w:cs="宋体"/>
          <w:bCs/>
          <w:sz w:val="24"/>
          <w:szCs w:val="24"/>
        </w:rPr>
      </w:pPr>
      <w:bookmarkStart w:id="1033" w:name="_Toc199921604"/>
      <w:bookmarkStart w:id="1034" w:name="_Toc209958518"/>
      <w:bookmarkStart w:id="1035" w:name="_Toc218620584"/>
      <w:bookmarkStart w:id="1036"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33"/>
      <w:bookmarkEnd w:id="1034"/>
      <w:bookmarkEnd w:id="1035"/>
    </w:p>
    <w:p>
      <w:pPr>
        <w:spacing w:line="360" w:lineRule="auto"/>
        <w:jc w:val="center"/>
        <w:rPr>
          <w:rFonts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ascii="宋体" w:hAnsi="宋体"/>
          <w:sz w:val="24"/>
        </w:rPr>
      </w:pPr>
      <w:r>
        <w:rPr>
          <w:rFonts w:hint="eastAsia" w:ascii="宋体" w:hAnsi="宋体"/>
          <w:sz w:val="24"/>
        </w:rPr>
        <w:t>财库〔2016〕125号</w:t>
      </w:r>
    </w:p>
    <w:p>
      <w:pPr>
        <w:pStyle w:val="49"/>
        <w:shd w:val="clear" w:color="auto" w:fill="FFFFFF"/>
        <w:spacing w:before="0" w:beforeAutospacing="0" w:after="0" w:afterAutospacing="0" w:line="360" w:lineRule="auto"/>
        <w:textAlignment w:val="baseline"/>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9"/>
        <w:shd w:val="clear" w:color="auto" w:fill="FFFFFF"/>
        <w:spacing w:before="0" w:beforeAutospacing="0" w:after="0" w:afterAutospacing="0" w:line="360" w:lineRule="auto"/>
        <w:textAlignment w:val="baseline"/>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9"/>
        <w:shd w:val="clear" w:color="auto" w:fill="FFFFFF"/>
        <w:spacing w:before="0" w:beforeAutospacing="0" w:after="0" w:afterAutospacing="0" w:line="360" w:lineRule="auto"/>
        <w:textAlignment w:val="baseline"/>
      </w:pPr>
      <w:r>
        <w:rPr>
          <w:rFonts w:hint="eastAsia"/>
        </w:rPr>
        <w:t>　　</w:t>
      </w:r>
      <w:r>
        <w:rPr>
          <w:rStyle w:val="59"/>
        </w:rPr>
        <w:t>一、高度重视信用记录查询及使用工作</w:t>
      </w:r>
    </w:p>
    <w:p>
      <w:pPr>
        <w:pStyle w:val="49"/>
        <w:shd w:val="clear" w:color="auto" w:fill="FFFFFF"/>
        <w:spacing w:before="0" w:beforeAutospacing="0" w:after="0" w:afterAutospacing="0" w:line="360" w:lineRule="auto"/>
        <w:textAlignment w:val="baseline"/>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9"/>
        <w:shd w:val="clear" w:color="auto" w:fill="FFFFFF"/>
        <w:spacing w:before="0" w:beforeAutospacing="0" w:after="0" w:afterAutospacing="0" w:line="360" w:lineRule="auto"/>
        <w:textAlignment w:val="baseline"/>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9"/>
        <w:shd w:val="clear" w:color="auto" w:fill="FFFFFF"/>
        <w:spacing w:before="0" w:beforeAutospacing="0" w:after="0" w:afterAutospacing="0" w:line="360" w:lineRule="auto"/>
        <w:textAlignment w:val="baseline"/>
      </w:pPr>
      <w:r>
        <w:rPr>
          <w:rFonts w:hint="eastAsia"/>
        </w:rPr>
        <w:t>　　</w:t>
      </w:r>
      <w:r>
        <w:rPr>
          <w:rStyle w:val="59"/>
        </w:rPr>
        <w:t>二、认真做好信用记录查询及使用工作</w:t>
      </w:r>
    </w:p>
    <w:p>
      <w:pPr>
        <w:pStyle w:val="49"/>
        <w:shd w:val="clear" w:color="auto" w:fill="FFFFFF"/>
        <w:spacing w:before="0" w:beforeAutospacing="0" w:after="0" w:afterAutospacing="0" w:line="360" w:lineRule="auto"/>
        <w:textAlignment w:val="baseline"/>
      </w:pPr>
      <w:r>
        <w:rPr>
          <w:rFonts w:hint="eastAsia"/>
        </w:rPr>
        <w:t>　　</w:t>
      </w:r>
      <w:r>
        <w:rPr>
          <w:rStyle w:val="59"/>
          <w:rFonts w:hint="eastAsia"/>
        </w:rPr>
        <w:t>（一）总体要求。</w:t>
      </w:r>
    </w:p>
    <w:p>
      <w:pPr>
        <w:pStyle w:val="49"/>
        <w:shd w:val="clear" w:color="auto" w:fill="FFFFFF"/>
        <w:spacing w:before="0" w:beforeAutospacing="0" w:after="0" w:afterAutospacing="0" w:line="360" w:lineRule="auto"/>
        <w:textAlignment w:val="baseline"/>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9"/>
        <w:shd w:val="clear" w:color="auto" w:fill="FFFFFF"/>
        <w:spacing w:before="0" w:beforeAutospacing="0" w:after="0" w:afterAutospacing="0" w:line="360" w:lineRule="auto"/>
        <w:textAlignment w:val="baseline"/>
      </w:pPr>
      <w:r>
        <w:rPr>
          <w:rFonts w:hint="eastAsia"/>
        </w:rPr>
        <w:t>　　</w:t>
      </w:r>
      <w:r>
        <w:rPr>
          <w:rStyle w:val="59"/>
          <w:rFonts w:hint="eastAsia"/>
        </w:rPr>
        <w:t>（二）信用记录查询渠道。</w:t>
      </w:r>
    </w:p>
    <w:p>
      <w:pPr>
        <w:pStyle w:val="49"/>
        <w:shd w:val="clear" w:color="auto" w:fill="FFFFFF"/>
        <w:spacing w:before="0" w:beforeAutospacing="0" w:after="0" w:afterAutospacing="0" w:line="360" w:lineRule="auto"/>
        <w:textAlignment w:val="baseline"/>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9"/>
        <w:shd w:val="clear" w:color="auto" w:fill="FFFFFF"/>
        <w:spacing w:before="0" w:beforeAutospacing="0" w:after="0" w:afterAutospacing="0" w:line="360" w:lineRule="auto"/>
        <w:textAlignment w:val="baseline"/>
      </w:pPr>
      <w:r>
        <w:rPr>
          <w:rFonts w:hint="eastAsia"/>
        </w:rPr>
        <w:t>　　</w:t>
      </w:r>
      <w:r>
        <w:rPr>
          <w:rStyle w:val="59"/>
          <w:rFonts w:hint="eastAsia"/>
        </w:rPr>
        <w:t>（三）信用记录的使用。</w:t>
      </w:r>
    </w:p>
    <w:p>
      <w:pPr>
        <w:pStyle w:val="49"/>
        <w:shd w:val="clear" w:color="auto" w:fill="FFFFFF"/>
        <w:spacing w:before="0" w:beforeAutospacing="0" w:after="0" w:afterAutospacing="0" w:line="360" w:lineRule="auto"/>
        <w:textAlignment w:val="baseline"/>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9"/>
        <w:shd w:val="clear" w:color="auto" w:fill="FFFFFF"/>
        <w:spacing w:before="0" w:beforeAutospacing="0" w:after="0" w:afterAutospacing="0" w:line="360" w:lineRule="auto"/>
        <w:textAlignment w:val="baseline"/>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9"/>
        <w:shd w:val="clear" w:color="auto" w:fill="FFFFFF"/>
        <w:spacing w:before="0" w:beforeAutospacing="0" w:after="0" w:afterAutospacing="0" w:line="360" w:lineRule="auto"/>
        <w:textAlignment w:val="baseline"/>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9"/>
        <w:shd w:val="clear" w:color="auto" w:fill="FFFFFF"/>
        <w:spacing w:before="0" w:beforeAutospacing="0" w:after="0" w:afterAutospacing="0" w:line="360" w:lineRule="auto"/>
        <w:textAlignment w:val="baseline"/>
      </w:pPr>
      <w:r>
        <w:rPr>
          <w:rFonts w:hint="eastAsia"/>
        </w:rPr>
        <w:t>　　3．采购人委托采购代理机构办理政府采购事宜的，应当查询其信用记录，优先选择无不良信用记录的采购代理机构。</w:t>
      </w:r>
    </w:p>
    <w:p>
      <w:pPr>
        <w:pStyle w:val="49"/>
        <w:shd w:val="clear" w:color="auto" w:fill="FFFFFF"/>
        <w:spacing w:before="0" w:beforeAutospacing="0" w:after="0" w:afterAutospacing="0" w:line="360" w:lineRule="auto"/>
        <w:textAlignment w:val="baseline"/>
      </w:pPr>
      <w:r>
        <w:rPr>
          <w:rFonts w:hint="eastAsia"/>
        </w:rPr>
        <w:t>　　4．采购人及采购代理机构应当妥善保管相关主体信用信息，不得用于政府采购以外事项。</w:t>
      </w:r>
    </w:p>
    <w:p>
      <w:pPr>
        <w:pStyle w:val="49"/>
        <w:shd w:val="clear" w:color="auto" w:fill="FFFFFF"/>
        <w:spacing w:before="0" w:beforeAutospacing="0" w:after="0" w:afterAutospacing="0" w:line="360" w:lineRule="auto"/>
        <w:textAlignment w:val="baseline"/>
      </w:pPr>
      <w:r>
        <w:rPr>
          <w:rFonts w:hint="eastAsia"/>
        </w:rPr>
        <w:t>　　</w:t>
      </w:r>
      <w:r>
        <w:rPr>
          <w:rStyle w:val="59"/>
        </w:rPr>
        <w:t>三、工作要求</w:t>
      </w:r>
    </w:p>
    <w:p>
      <w:pPr>
        <w:pStyle w:val="49"/>
        <w:shd w:val="clear" w:color="auto" w:fill="FFFFFF"/>
        <w:spacing w:before="0" w:beforeAutospacing="0" w:after="0" w:afterAutospacing="0" w:line="360" w:lineRule="auto"/>
        <w:textAlignment w:val="baseline"/>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9"/>
        <w:shd w:val="clear" w:color="auto" w:fill="FFFFFF"/>
        <w:spacing w:before="0" w:beforeAutospacing="0" w:after="0" w:afterAutospacing="0" w:line="360" w:lineRule="auto"/>
        <w:textAlignment w:val="baseline"/>
      </w:pPr>
      <w:r>
        <w:rPr>
          <w:rFonts w:hint="eastAsia"/>
        </w:rPr>
        <w:t>　　（二）各级财政部门应当切实加强政府采购信息化建设，做好相关技术保障，建立与相关信用信息平台的数据共享机制，逐步实现信用信息推送、接收、查询、应用的自动化。</w:t>
      </w:r>
    </w:p>
    <w:p>
      <w:pPr>
        <w:pStyle w:val="49"/>
        <w:shd w:val="clear" w:color="auto" w:fill="FFFFFF"/>
        <w:spacing w:before="0" w:beforeAutospacing="0" w:after="0" w:afterAutospacing="0" w:line="360" w:lineRule="auto"/>
        <w:textAlignment w:val="baseline"/>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9"/>
        <w:shd w:val="clear" w:color="auto" w:fill="FFFFFF"/>
        <w:spacing w:before="0" w:beforeAutospacing="0" w:after="0" w:afterAutospacing="0" w:line="360" w:lineRule="auto"/>
        <w:jc w:val="right"/>
        <w:textAlignment w:val="baseline"/>
      </w:pPr>
      <w:r>
        <w:rPr>
          <w:rFonts w:hint="eastAsia"/>
        </w:rPr>
        <w:t>财政部</w:t>
      </w:r>
      <w:r>
        <w:rPr>
          <w:rFonts w:hint="eastAsia"/>
        </w:rPr>
        <w:br w:type="textWrapping"/>
      </w:r>
      <w:r>
        <w:rPr>
          <w:rFonts w:hint="eastAsia"/>
        </w:rPr>
        <w:t>2016年8月1日</w:t>
      </w:r>
    </w:p>
    <w:p>
      <w:pPr>
        <w:widowControl/>
        <w:jc w:val="left"/>
        <w:rPr>
          <w:rFonts w:ascii="宋体" w:hAnsi="宋体" w:cs="宋体"/>
          <w:kern w:val="0"/>
          <w:sz w:val="24"/>
        </w:rPr>
      </w:pPr>
    </w:p>
    <w:p>
      <w:pPr>
        <w:widowControl/>
        <w:jc w:val="left"/>
        <w:rPr>
          <w:rFonts w:ascii="宋体" w:hAnsi="宋体" w:cs="宋体"/>
          <w:b/>
          <w:bCs/>
          <w:kern w:val="44"/>
          <w:sz w:val="24"/>
        </w:rPr>
      </w:pPr>
      <w:r>
        <w:rPr>
          <w:rFonts w:ascii="宋体" w:hAnsi="宋体" w:cs="宋体"/>
          <w:bCs/>
          <w:sz w:val="24"/>
        </w:rPr>
        <w:br w:type="page"/>
      </w:r>
    </w:p>
    <w:bookmarkEnd w:id="1036"/>
    <w:p>
      <w:pPr>
        <w:pStyle w:val="5"/>
        <w:tabs>
          <w:tab w:val="left" w:pos="432"/>
        </w:tabs>
        <w:spacing w:line="360" w:lineRule="auto"/>
        <w:jc w:val="left"/>
        <w:rPr>
          <w:rFonts w:hAnsi="宋体" w:cs="宋体"/>
          <w:bCs/>
          <w:sz w:val="24"/>
          <w:szCs w:val="24"/>
        </w:rPr>
      </w:pPr>
      <w:bookmarkStart w:id="1037" w:name="_Toc209958520"/>
      <w:bookmarkStart w:id="1038" w:name="_Toc218620585"/>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37"/>
      <w:bookmarkEnd w:id="1038"/>
    </w:p>
    <w:p>
      <w:pPr>
        <w:widowControl/>
        <w:spacing w:line="360" w:lineRule="auto"/>
        <w:jc w:val="center"/>
        <w:rPr>
          <w:rFonts w:ascii="宋体" w:hAnsi="宋体" w:cs="宋体"/>
          <w:bCs/>
          <w:sz w:val="24"/>
        </w:rPr>
      </w:pPr>
      <w:r>
        <w:rPr>
          <w:rFonts w:hint="eastAsia" w:ascii="宋体" w:hAnsi="宋体" w:cs="宋体"/>
          <w:bCs/>
          <w:sz w:val="24"/>
        </w:rPr>
        <w:t>财办库〔2020〕123号</w:t>
      </w:r>
    </w:p>
    <w:p>
      <w:pPr>
        <w:widowControl/>
        <w:spacing w:line="360" w:lineRule="auto"/>
        <w:jc w:val="left"/>
        <w:rPr>
          <w:rFonts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ascii="宋体" w:hAnsi="宋体" w:cs="宋体"/>
          <w:bCs/>
          <w:sz w:val="24"/>
        </w:rPr>
      </w:pPr>
    </w:p>
    <w:p>
      <w:pPr>
        <w:widowControl/>
        <w:spacing w:line="360" w:lineRule="auto"/>
        <w:jc w:val="right"/>
        <w:rPr>
          <w:rFonts w:ascii="宋体" w:hAnsi="宋体" w:cs="宋体"/>
          <w:bCs/>
          <w:sz w:val="24"/>
        </w:rPr>
      </w:pPr>
    </w:p>
    <w:p>
      <w:pPr>
        <w:widowControl/>
        <w:spacing w:line="360" w:lineRule="auto"/>
        <w:jc w:val="right"/>
        <w:rPr>
          <w:rFonts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ascii="宋体" w:hAnsi="宋体" w:cs="宋体"/>
          <w:bCs/>
          <w:sz w:val="24"/>
        </w:rPr>
      </w:pPr>
      <w:r>
        <w:rPr>
          <w:rFonts w:ascii="宋体" w:hAnsi="宋体" w:cs="宋体"/>
          <w:bCs/>
          <w:sz w:val="24"/>
        </w:rPr>
        <w:br w:type="page"/>
      </w:r>
    </w:p>
    <w:p>
      <w:pPr>
        <w:pStyle w:val="5"/>
        <w:tabs>
          <w:tab w:val="left" w:pos="432"/>
        </w:tabs>
        <w:spacing w:line="360" w:lineRule="auto"/>
        <w:jc w:val="left"/>
        <w:rPr>
          <w:rFonts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9"/>
        <w:shd w:val="clear" w:color="auto" w:fill="FFFFFF"/>
        <w:spacing w:before="0" w:beforeAutospacing="0" w:after="0" w:afterAutospacing="0"/>
        <w:jc w:val="center"/>
        <w:rPr>
          <w:color w:val="333333"/>
          <w:sz w:val="36"/>
          <w:szCs w:val="36"/>
        </w:rPr>
      </w:pPr>
      <w:bookmarkStart w:id="1039" w:name="OLE_LINK21"/>
      <w:r>
        <w:rPr>
          <w:rStyle w:val="59"/>
          <w:rFonts w:hint="eastAsia"/>
          <w:color w:val="333333"/>
          <w:sz w:val="36"/>
          <w:szCs w:val="36"/>
        </w:rPr>
        <w:t>国务院办公厅关于在政府采购中</w:t>
      </w:r>
    </w:p>
    <w:p>
      <w:pPr>
        <w:pStyle w:val="49"/>
        <w:shd w:val="clear" w:color="auto" w:fill="FFFFFF"/>
        <w:spacing w:before="0" w:beforeAutospacing="0" w:after="0" w:afterAutospacing="0"/>
        <w:jc w:val="center"/>
        <w:rPr>
          <w:color w:val="333333"/>
          <w:sz w:val="36"/>
          <w:szCs w:val="36"/>
        </w:rPr>
      </w:pPr>
      <w:r>
        <w:rPr>
          <w:rStyle w:val="59"/>
          <w:rFonts w:hint="eastAsia"/>
          <w:color w:val="333333"/>
          <w:sz w:val="36"/>
          <w:szCs w:val="36"/>
        </w:rPr>
        <w:t>实施本国产品标准及相关政策的通知</w:t>
      </w:r>
    </w:p>
    <w:p>
      <w:pPr>
        <w:pStyle w:val="49"/>
        <w:shd w:val="clear" w:color="auto" w:fill="FFFFFF"/>
        <w:spacing w:before="30" w:beforeAutospacing="0" w:after="30" w:afterAutospacing="0"/>
        <w:ind w:firstLine="480"/>
        <w:rPr>
          <w:color w:val="333333"/>
        </w:rPr>
      </w:pPr>
    </w:p>
    <w:p>
      <w:pPr>
        <w:pStyle w:val="49"/>
        <w:shd w:val="clear" w:color="auto" w:fill="FFFFFF"/>
        <w:spacing w:before="0" w:beforeAutospacing="0" w:after="0" w:afterAutospacing="0"/>
        <w:jc w:val="right"/>
        <w:rPr>
          <w:color w:val="333333"/>
        </w:rPr>
      </w:pPr>
      <w:r>
        <w:rPr>
          <w:rFonts w:hint="eastAsia"/>
          <w:color w:val="333333"/>
        </w:rPr>
        <w:t>国办发〔2025〕34号  </w:t>
      </w:r>
    </w:p>
    <w:p>
      <w:pPr>
        <w:pStyle w:val="49"/>
        <w:shd w:val="clear" w:color="auto" w:fill="FFFFFF"/>
        <w:spacing w:before="30" w:beforeAutospacing="0" w:after="30" w:afterAutospacing="0"/>
        <w:rPr>
          <w:color w:val="333333"/>
        </w:rPr>
      </w:pPr>
      <w:r>
        <w:rPr>
          <w:rFonts w:hint="eastAsia"/>
          <w:color w:val="333333"/>
        </w:rPr>
        <w:t>各省、自治区、直辖市人民政府，国务院各部委、各直属机构：</w:t>
      </w:r>
    </w:p>
    <w:p>
      <w:pPr>
        <w:pStyle w:val="49"/>
        <w:shd w:val="clear" w:color="auto" w:fill="FFFFFF"/>
        <w:spacing w:before="30" w:beforeAutospacing="0" w:after="30" w:afterAutospacing="0"/>
        <w:ind w:firstLine="480"/>
        <w:rPr>
          <w:color w:val="333333"/>
        </w:rPr>
      </w:pPr>
      <w:r>
        <w:rPr>
          <w:rFonts w:hint="eastAsia"/>
          <w:color w:val="333333"/>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9"/>
        <w:shd w:val="clear" w:color="auto" w:fill="FFFFFF"/>
        <w:spacing w:before="0" w:beforeAutospacing="0" w:after="0" w:afterAutospacing="0"/>
        <w:ind w:firstLine="480"/>
        <w:rPr>
          <w:color w:val="333333"/>
        </w:rPr>
      </w:pPr>
      <w:r>
        <w:rPr>
          <w:rStyle w:val="59"/>
          <w:rFonts w:hint="eastAsia"/>
          <w:color w:val="333333"/>
        </w:rPr>
        <w:t>一、本国产品标准</w:t>
      </w:r>
    </w:p>
    <w:p>
      <w:pPr>
        <w:pStyle w:val="49"/>
        <w:shd w:val="clear" w:color="auto" w:fill="FFFFFF"/>
        <w:spacing w:before="30" w:beforeAutospacing="0" w:after="30" w:afterAutospacing="0"/>
        <w:ind w:firstLine="480"/>
        <w:rPr>
          <w:color w:val="333333"/>
        </w:rPr>
      </w:pPr>
      <w:r>
        <w:rPr>
          <w:rFonts w:hint="eastAsia"/>
          <w:color w:val="333333"/>
        </w:rPr>
        <w:t>本国产品应当符合以下条件：</w:t>
      </w:r>
    </w:p>
    <w:p>
      <w:pPr>
        <w:pStyle w:val="49"/>
        <w:shd w:val="clear" w:color="auto" w:fill="FFFFFF"/>
        <w:spacing w:before="0" w:beforeAutospacing="0" w:after="0" w:afterAutospacing="0"/>
        <w:ind w:firstLine="480"/>
        <w:rPr>
          <w:color w:val="333333"/>
        </w:rPr>
      </w:pPr>
      <w:r>
        <w:rPr>
          <w:rFonts w:hint="eastAsia"/>
          <w:color w:val="333333"/>
        </w:rPr>
        <w:t>（一）在中国境内生产</w:t>
      </w:r>
    </w:p>
    <w:p>
      <w:pPr>
        <w:pStyle w:val="49"/>
        <w:shd w:val="clear" w:color="auto" w:fill="FFFFFF"/>
        <w:spacing w:before="30" w:beforeAutospacing="0" w:after="30" w:afterAutospacing="0"/>
        <w:ind w:firstLine="480"/>
        <w:rPr>
          <w:color w:val="333333"/>
        </w:rPr>
      </w:pPr>
      <w:r>
        <w:rPr>
          <w:rFonts w:hint="eastAsia"/>
          <w:color w:val="333333"/>
        </w:rPr>
        <w:t>产品应当在中国境内生产，即在中华人民共和国关境内实现从原材料、组件到产品的属性改变。</w:t>
      </w:r>
    </w:p>
    <w:p>
      <w:pPr>
        <w:pStyle w:val="49"/>
        <w:shd w:val="clear" w:color="auto" w:fill="FFFFFF"/>
        <w:spacing w:before="30" w:beforeAutospacing="0" w:after="30" w:afterAutospacing="0"/>
        <w:ind w:firstLine="480"/>
        <w:rPr>
          <w:color w:val="333333"/>
        </w:rPr>
      </w:pPr>
      <w:r>
        <w:rPr>
          <w:rFonts w:hint="eastAsia"/>
          <w:color w:val="333333"/>
        </w:rPr>
        <w:t>属性改变是指经过制造、加工或者组装等工序，产生完全不同于原材料、组件的新产品，并具有新的名称和特征（用途）。属性改变不包括以下细微操作：</w:t>
      </w:r>
    </w:p>
    <w:p>
      <w:pPr>
        <w:pStyle w:val="49"/>
        <w:shd w:val="clear" w:color="auto" w:fill="FFFFFF"/>
        <w:spacing w:before="30" w:beforeAutospacing="0" w:after="30" w:afterAutospacing="0"/>
        <w:ind w:firstLine="480"/>
        <w:rPr>
          <w:color w:val="333333"/>
        </w:rPr>
      </w:pPr>
      <w:r>
        <w:rPr>
          <w:rFonts w:hint="eastAsia"/>
          <w:color w:val="333333"/>
        </w:rPr>
        <w:t>1.为确保产品在运输或者储存期间保持某种状态而进行的操作；</w:t>
      </w:r>
    </w:p>
    <w:p>
      <w:pPr>
        <w:pStyle w:val="49"/>
        <w:shd w:val="clear" w:color="auto" w:fill="FFFFFF"/>
        <w:spacing w:before="30" w:beforeAutospacing="0" w:after="30" w:afterAutospacing="0"/>
        <w:ind w:firstLine="480"/>
        <w:rPr>
          <w:color w:val="333333"/>
        </w:rPr>
      </w:pPr>
      <w:r>
        <w:rPr>
          <w:rFonts w:hint="eastAsia"/>
          <w:color w:val="333333"/>
        </w:rPr>
        <w:t>2.为产品运输或者销售进行的包装或者展示；</w:t>
      </w:r>
    </w:p>
    <w:p>
      <w:pPr>
        <w:pStyle w:val="49"/>
        <w:shd w:val="clear" w:color="auto" w:fill="FFFFFF"/>
        <w:spacing w:before="30" w:beforeAutospacing="0" w:after="30" w:afterAutospacing="0"/>
        <w:ind w:firstLine="480"/>
        <w:rPr>
          <w:color w:val="333333"/>
        </w:rPr>
      </w:pPr>
      <w:r>
        <w:rPr>
          <w:rFonts w:hint="eastAsia"/>
          <w:color w:val="333333"/>
        </w:rPr>
        <w:t>3.在产品或者其包装上粘贴或者印刷品牌、标志、标识以及其他用于区别的标记；</w:t>
      </w:r>
    </w:p>
    <w:p>
      <w:pPr>
        <w:pStyle w:val="49"/>
        <w:shd w:val="clear" w:color="auto" w:fill="FFFFFF"/>
        <w:spacing w:before="30" w:beforeAutospacing="0" w:after="30" w:afterAutospacing="0"/>
        <w:ind w:firstLine="480"/>
        <w:rPr>
          <w:color w:val="333333"/>
        </w:rPr>
      </w:pPr>
      <w:r>
        <w:rPr>
          <w:rFonts w:hint="eastAsia"/>
          <w:color w:val="333333"/>
        </w:rPr>
        <w:t>4.简单的上漆、磨光和分装；</w:t>
      </w:r>
    </w:p>
    <w:p>
      <w:pPr>
        <w:pStyle w:val="49"/>
        <w:shd w:val="clear" w:color="auto" w:fill="FFFFFF"/>
        <w:spacing w:before="30" w:beforeAutospacing="0" w:after="30" w:afterAutospacing="0"/>
        <w:ind w:firstLine="480"/>
        <w:rPr>
          <w:color w:val="333333"/>
        </w:rPr>
      </w:pPr>
      <w:r>
        <w:rPr>
          <w:rFonts w:hint="eastAsia"/>
          <w:color w:val="333333"/>
        </w:rPr>
        <w:t>5.其他不属于属性改变的情形。</w:t>
      </w:r>
    </w:p>
    <w:p>
      <w:pPr>
        <w:pStyle w:val="49"/>
        <w:shd w:val="clear" w:color="auto" w:fill="FFFFFF"/>
        <w:spacing w:before="0" w:beforeAutospacing="0" w:after="0" w:afterAutospacing="0"/>
        <w:ind w:firstLine="480"/>
        <w:rPr>
          <w:color w:val="333333"/>
        </w:rPr>
      </w:pPr>
      <w:r>
        <w:rPr>
          <w:rFonts w:hint="eastAsia"/>
          <w:color w:val="333333"/>
        </w:rPr>
        <w:t>（二）在中国境内生产的组件成本占比达到规定比例</w:t>
      </w:r>
    </w:p>
    <w:p>
      <w:pPr>
        <w:pStyle w:val="49"/>
        <w:shd w:val="clear" w:color="auto" w:fill="FFFFFF"/>
        <w:spacing w:before="30" w:beforeAutospacing="0" w:after="30" w:afterAutospacing="0"/>
        <w:ind w:firstLine="480"/>
        <w:rPr>
          <w:color w:val="333333"/>
        </w:rPr>
      </w:pPr>
      <w:r>
        <w:rPr>
          <w:rFonts w:hint="eastAsia"/>
          <w:color w:val="333333"/>
        </w:rPr>
        <w:t>产品在中国境内生产的组件成本占比应当达到规定比例，计算公式为：</w:t>
      </w:r>
    </w:p>
    <w:p>
      <w:pPr>
        <w:pStyle w:val="49"/>
        <w:shd w:val="clear" w:color="auto" w:fill="FFFFFF"/>
        <w:spacing w:before="30" w:beforeAutospacing="0" w:after="30" w:afterAutospacing="0"/>
        <w:ind w:firstLine="480"/>
        <w:rPr>
          <w:color w:val="333333"/>
        </w:rPr>
      </w:pPr>
      <w:r>
        <w:rPr>
          <w:color w:val="333333"/>
        </w:rPr>
        <w:drawing>
          <wp:inline distT="0" distB="0" distL="0" distR="0">
            <wp:extent cx="2731135" cy="391795"/>
            <wp:effectExtent l="0" t="0" r="0" b="8255"/>
            <wp:docPr id="2"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pStyle w:val="49"/>
        <w:shd w:val="clear" w:color="auto" w:fill="FFFFFF"/>
        <w:spacing w:before="30" w:beforeAutospacing="0" w:after="30" w:afterAutospacing="0"/>
        <w:ind w:firstLine="480"/>
        <w:rPr>
          <w:color w:val="333333"/>
        </w:rPr>
      </w:pPr>
      <w:r>
        <w:rPr>
          <w:rFonts w:hint="eastAsia"/>
          <w:color w:val="333333"/>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9"/>
        <w:shd w:val="clear" w:color="auto" w:fill="FFFFFF"/>
        <w:spacing w:before="0" w:beforeAutospacing="0" w:after="0" w:afterAutospacing="0"/>
        <w:ind w:firstLine="480"/>
        <w:rPr>
          <w:color w:val="333333"/>
        </w:rPr>
      </w:pPr>
      <w:r>
        <w:rPr>
          <w:rFonts w:hint="eastAsia"/>
          <w:color w:val="333333"/>
        </w:rPr>
        <w:t>（三）特定产品的关键组件、关键工序符合相关要求</w:t>
      </w:r>
    </w:p>
    <w:p>
      <w:pPr>
        <w:pStyle w:val="49"/>
        <w:shd w:val="clear" w:color="auto" w:fill="FFFFFF"/>
        <w:spacing w:before="30" w:beforeAutospacing="0" w:after="30" w:afterAutospacing="0"/>
        <w:ind w:firstLine="480"/>
        <w:rPr>
          <w:color w:val="333333"/>
        </w:rPr>
      </w:pPr>
      <w:r>
        <w:rPr>
          <w:rFonts w:hint="eastAsia"/>
          <w:color w:val="333333"/>
        </w:rPr>
        <w:t>对特定产品，在符合本通知第一条第（一）项和第（二）项条件的基础上，应当符合财政部会同有关行业主管部门确定的其关键组件、关键工序在中国境内生产、完成等要求。</w:t>
      </w:r>
    </w:p>
    <w:p>
      <w:pPr>
        <w:pStyle w:val="49"/>
        <w:shd w:val="clear" w:color="auto" w:fill="FFFFFF"/>
        <w:spacing w:before="30" w:beforeAutospacing="0" w:after="30" w:afterAutospacing="0"/>
        <w:ind w:firstLine="480"/>
        <w:rPr>
          <w:color w:val="333333"/>
        </w:rPr>
      </w:pPr>
      <w:r>
        <w:rPr>
          <w:rFonts w:hint="eastAsia"/>
          <w:color w:val="333333"/>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9"/>
        <w:shd w:val="clear" w:color="auto" w:fill="FFFFFF"/>
        <w:spacing w:before="0" w:beforeAutospacing="0" w:after="0" w:afterAutospacing="0"/>
        <w:ind w:firstLine="480"/>
        <w:rPr>
          <w:color w:val="333333"/>
        </w:rPr>
      </w:pPr>
      <w:r>
        <w:rPr>
          <w:rStyle w:val="59"/>
          <w:rFonts w:hint="eastAsia"/>
          <w:color w:val="333333"/>
        </w:rPr>
        <w:t>二、本国产品标准的适用范围</w:t>
      </w:r>
    </w:p>
    <w:p>
      <w:pPr>
        <w:pStyle w:val="49"/>
        <w:shd w:val="clear" w:color="auto" w:fill="FFFFFF"/>
        <w:spacing w:before="30" w:beforeAutospacing="0" w:after="30" w:afterAutospacing="0"/>
        <w:ind w:firstLine="480"/>
        <w:rPr>
          <w:color w:val="333333"/>
        </w:rPr>
      </w:pPr>
      <w:r>
        <w:rPr>
          <w:rFonts w:hint="eastAsia"/>
          <w:color w:val="333333"/>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9"/>
        <w:shd w:val="clear" w:color="auto" w:fill="FFFFFF"/>
        <w:spacing w:before="0" w:beforeAutospacing="0" w:after="0" w:afterAutospacing="0"/>
        <w:ind w:firstLine="480"/>
        <w:rPr>
          <w:color w:val="333333"/>
        </w:rPr>
      </w:pPr>
      <w:r>
        <w:rPr>
          <w:rStyle w:val="59"/>
          <w:rFonts w:hint="eastAsia"/>
          <w:color w:val="333333"/>
        </w:rPr>
        <w:t>三、对本国产品的支持政策</w:t>
      </w:r>
    </w:p>
    <w:p>
      <w:pPr>
        <w:pStyle w:val="49"/>
        <w:shd w:val="clear" w:color="auto" w:fill="FFFFFF"/>
        <w:spacing w:before="30" w:beforeAutospacing="0" w:after="30" w:afterAutospacing="0"/>
        <w:ind w:firstLine="480"/>
        <w:rPr>
          <w:color w:val="333333"/>
        </w:rPr>
      </w:pPr>
      <w:r>
        <w:rPr>
          <w:rFonts w:hint="eastAsia"/>
          <w:color w:val="333333"/>
        </w:rPr>
        <w:t>政府采购活动中既有本国产品又有非本国产品参与竞争的，依法对本国产品给予价格评审优惠，对本国产品的报价给予20%的价格扣除，用扣除后的价格参与评审。</w:t>
      </w:r>
    </w:p>
    <w:p>
      <w:pPr>
        <w:pStyle w:val="49"/>
        <w:shd w:val="clear" w:color="auto" w:fill="FFFFFF"/>
        <w:spacing w:before="30" w:beforeAutospacing="0" w:after="30" w:afterAutospacing="0"/>
        <w:ind w:firstLine="480"/>
        <w:rPr>
          <w:color w:val="333333"/>
        </w:rPr>
      </w:pPr>
      <w:r>
        <w:rPr>
          <w:rFonts w:hint="eastAsia"/>
          <w:color w:val="333333"/>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9"/>
        <w:shd w:val="clear" w:color="auto" w:fill="FFFFFF"/>
        <w:spacing w:before="0" w:beforeAutospacing="0" w:after="0" w:afterAutospacing="0"/>
        <w:ind w:firstLine="480"/>
        <w:rPr>
          <w:color w:val="333333"/>
        </w:rPr>
      </w:pPr>
      <w:r>
        <w:rPr>
          <w:rStyle w:val="59"/>
          <w:rFonts w:hint="eastAsia"/>
          <w:color w:val="333333"/>
        </w:rPr>
        <w:t>四、政策执行要求</w:t>
      </w:r>
    </w:p>
    <w:p>
      <w:pPr>
        <w:pStyle w:val="49"/>
        <w:shd w:val="clear" w:color="auto" w:fill="FFFFFF"/>
        <w:spacing w:before="0" w:beforeAutospacing="0" w:after="0" w:afterAutospacing="0"/>
        <w:ind w:firstLine="480"/>
        <w:rPr>
          <w:color w:val="333333"/>
        </w:rPr>
      </w:pPr>
      <w:r>
        <w:rPr>
          <w:rFonts w:hint="eastAsia"/>
          <w:color w:val="333333"/>
        </w:rPr>
        <w:t>（一）产品在中国境内生产的组件成本核算规则。产品在中国境内生产的组件成本，按照《中国境内生产的组件成本核算基本规则》（见附件1）计算。</w:t>
      </w:r>
    </w:p>
    <w:p>
      <w:pPr>
        <w:pStyle w:val="49"/>
        <w:shd w:val="clear" w:color="auto" w:fill="FFFFFF"/>
        <w:spacing w:before="0" w:beforeAutospacing="0" w:after="0" w:afterAutospacing="0"/>
        <w:ind w:firstLine="480"/>
        <w:rPr>
          <w:color w:val="333333"/>
        </w:rPr>
      </w:pPr>
      <w:r>
        <w:rPr>
          <w:rFonts w:hint="eastAsia"/>
          <w:color w:val="333333"/>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40" w:name="OLE_LINK8"/>
      <w:r>
        <w:rPr>
          <w:rFonts w:hint="eastAsia"/>
          <w:color w:val="333333"/>
        </w:rPr>
        <w:t>符合要求的《声明函》或有关证明文件的</w:t>
      </w:r>
      <w:bookmarkEnd w:id="1040"/>
      <w:r>
        <w:rPr>
          <w:rFonts w:hint="eastAsia"/>
          <w:color w:val="333333"/>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9"/>
        <w:shd w:val="clear" w:color="auto" w:fill="FFFFFF"/>
        <w:spacing w:before="30" w:beforeAutospacing="0" w:after="30" w:afterAutospacing="0"/>
        <w:ind w:firstLine="480"/>
        <w:rPr>
          <w:color w:val="333333"/>
        </w:rPr>
      </w:pPr>
      <w:r>
        <w:rPr>
          <w:rFonts w:hint="eastAsia"/>
          <w:color w:val="333333"/>
        </w:rPr>
        <w:t>采购人、采购代理机构应当随中标、成交结果同时公告中标、成交供应商提供的《声明函》或有关证明文件。</w:t>
      </w:r>
    </w:p>
    <w:p>
      <w:pPr>
        <w:pStyle w:val="49"/>
        <w:shd w:val="clear" w:color="auto" w:fill="FFFFFF"/>
        <w:spacing w:before="0" w:beforeAutospacing="0" w:after="0" w:afterAutospacing="0"/>
        <w:ind w:firstLine="480"/>
        <w:rPr>
          <w:color w:val="333333"/>
        </w:rPr>
      </w:pPr>
      <w:r>
        <w:rPr>
          <w:rFonts w:hint="eastAsia"/>
          <w:color w:val="333333"/>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9"/>
        <w:shd w:val="clear" w:color="auto" w:fill="FFFFFF"/>
        <w:spacing w:before="30" w:beforeAutospacing="0" w:after="30" w:afterAutospacing="0"/>
        <w:ind w:firstLine="480"/>
        <w:rPr>
          <w:color w:val="333333"/>
        </w:rPr>
      </w:pPr>
      <w:r>
        <w:rPr>
          <w:rFonts w:hint="eastAsia"/>
          <w:color w:val="333333"/>
        </w:rPr>
        <w:t>（四）中华人民共和国缔结或者共同参加的国际条约、协定对政府采购中本国产品政策另有规定的，按照有关条约、协定执行。</w:t>
      </w:r>
    </w:p>
    <w:p>
      <w:pPr>
        <w:pStyle w:val="49"/>
        <w:shd w:val="clear" w:color="auto" w:fill="FFFFFF"/>
        <w:spacing w:before="0" w:beforeAutospacing="0" w:after="0" w:afterAutospacing="0"/>
        <w:ind w:firstLine="480"/>
        <w:rPr>
          <w:color w:val="333333"/>
        </w:rPr>
      </w:pPr>
      <w:r>
        <w:rPr>
          <w:rStyle w:val="59"/>
          <w:rFonts w:hint="eastAsia"/>
          <w:color w:val="333333"/>
        </w:rPr>
        <w:t>五、争议处理</w:t>
      </w:r>
    </w:p>
    <w:p>
      <w:pPr>
        <w:pStyle w:val="49"/>
        <w:shd w:val="clear" w:color="auto" w:fill="FFFFFF"/>
        <w:spacing w:before="30" w:beforeAutospacing="0" w:after="30" w:afterAutospacing="0"/>
        <w:ind w:firstLine="480"/>
        <w:rPr>
          <w:color w:val="333333"/>
        </w:rPr>
      </w:pPr>
      <w:r>
        <w:rPr>
          <w:rFonts w:hint="eastAsia"/>
          <w:color w:val="333333"/>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9"/>
        <w:shd w:val="clear" w:color="auto" w:fill="FFFFFF"/>
        <w:spacing w:before="30" w:beforeAutospacing="0" w:after="30" w:afterAutospacing="0"/>
        <w:ind w:firstLine="480"/>
        <w:rPr>
          <w:color w:val="333333"/>
        </w:rPr>
      </w:pPr>
      <w:r>
        <w:rPr>
          <w:rFonts w:hint="eastAsia"/>
          <w:color w:val="333333"/>
        </w:rPr>
        <w:t>（一）政府采购投诉处理、监督检查中，对产品或组件是否在中国境内生产存在争议的，按照以下原则处理：</w:t>
      </w:r>
    </w:p>
    <w:p>
      <w:pPr>
        <w:pStyle w:val="49"/>
        <w:shd w:val="clear" w:color="auto" w:fill="FFFFFF"/>
        <w:spacing w:before="30" w:beforeAutospacing="0" w:after="30" w:afterAutospacing="0"/>
        <w:ind w:firstLine="480"/>
        <w:rPr>
          <w:color w:val="333333"/>
        </w:rPr>
      </w:pPr>
      <w:r>
        <w:rPr>
          <w:rFonts w:hint="eastAsia"/>
          <w:color w:val="333333"/>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9"/>
        <w:shd w:val="clear" w:color="auto" w:fill="FFFFFF"/>
        <w:spacing w:before="30" w:beforeAutospacing="0" w:after="30" w:afterAutospacing="0"/>
        <w:ind w:firstLine="480"/>
        <w:rPr>
          <w:color w:val="333333"/>
        </w:rPr>
      </w:pPr>
      <w:r>
        <w:rPr>
          <w:rFonts w:hint="eastAsia"/>
          <w:color w:val="333333"/>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9"/>
        <w:shd w:val="clear" w:color="auto" w:fill="FFFFFF"/>
        <w:spacing w:before="30" w:beforeAutospacing="0" w:after="30" w:afterAutospacing="0"/>
        <w:ind w:firstLine="480"/>
        <w:rPr>
          <w:color w:val="333333"/>
        </w:rPr>
      </w:pPr>
      <w:r>
        <w:rPr>
          <w:rFonts w:hint="eastAsia"/>
          <w:color w:val="333333"/>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9"/>
        <w:shd w:val="clear" w:color="auto" w:fill="FFFFFF"/>
        <w:spacing w:before="30" w:beforeAutospacing="0" w:after="30" w:afterAutospacing="0"/>
        <w:ind w:firstLine="480"/>
        <w:rPr>
          <w:color w:val="333333"/>
        </w:rPr>
      </w:pPr>
      <w:r>
        <w:rPr>
          <w:rFonts w:hint="eastAsia"/>
          <w:color w:val="333333"/>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9"/>
        <w:shd w:val="clear" w:color="auto" w:fill="FFFFFF"/>
        <w:spacing w:before="30" w:beforeAutospacing="0" w:after="30" w:afterAutospacing="0"/>
        <w:ind w:firstLine="480"/>
        <w:rPr>
          <w:color w:val="333333"/>
        </w:rPr>
      </w:pPr>
      <w:r>
        <w:rPr>
          <w:rFonts w:hint="eastAsia"/>
          <w:color w:val="333333"/>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9"/>
        <w:shd w:val="clear" w:color="auto" w:fill="FFFFFF"/>
        <w:spacing w:before="30" w:beforeAutospacing="0" w:after="30" w:afterAutospacing="0"/>
        <w:ind w:firstLine="480"/>
        <w:rPr>
          <w:color w:val="333333"/>
        </w:rPr>
      </w:pPr>
      <w:r>
        <w:rPr>
          <w:rFonts w:hint="eastAsia"/>
          <w:color w:val="333333"/>
        </w:rPr>
        <w:t>本通知自2026年1月1日起施行。</w:t>
      </w:r>
    </w:p>
    <w:p>
      <w:pPr>
        <w:pStyle w:val="49"/>
        <w:shd w:val="clear" w:color="auto" w:fill="FFFFFF"/>
        <w:spacing w:before="30" w:beforeAutospacing="0" w:after="30" w:afterAutospacing="0"/>
        <w:ind w:firstLine="480"/>
        <w:rPr>
          <w:color w:val="333333"/>
        </w:rPr>
      </w:pPr>
      <w:r>
        <w:rPr>
          <w:rFonts w:hint="eastAsia"/>
          <w:color w:val="333333"/>
        </w:rPr>
        <w:t>附件：1.中国境内生产的组件成本核算基本规则</w:t>
      </w:r>
    </w:p>
    <w:p>
      <w:pPr>
        <w:pStyle w:val="49"/>
        <w:shd w:val="clear" w:color="auto" w:fill="FFFFFF"/>
        <w:spacing w:before="30" w:beforeAutospacing="0" w:after="30" w:afterAutospacing="0"/>
        <w:ind w:firstLine="480"/>
        <w:rPr>
          <w:color w:val="333333"/>
        </w:rPr>
      </w:pPr>
      <w:r>
        <w:rPr>
          <w:rFonts w:hint="eastAsia"/>
          <w:color w:val="333333"/>
        </w:rPr>
        <w:t>　　　2.关于符合本国产品标准的声明函</w:t>
      </w:r>
    </w:p>
    <w:p>
      <w:pPr>
        <w:pStyle w:val="49"/>
        <w:shd w:val="clear" w:color="auto" w:fill="FFFFFF"/>
        <w:spacing w:before="30" w:beforeAutospacing="0" w:after="30" w:afterAutospacing="0"/>
        <w:jc w:val="right"/>
        <w:rPr>
          <w:color w:val="333333"/>
        </w:rPr>
      </w:pPr>
      <w:r>
        <w:rPr>
          <w:rFonts w:hint="eastAsia"/>
          <w:color w:val="333333"/>
        </w:rPr>
        <w:t>国务院办公厅         </w:t>
      </w:r>
    </w:p>
    <w:p>
      <w:pPr>
        <w:pStyle w:val="49"/>
        <w:shd w:val="clear" w:color="auto" w:fill="FFFFFF"/>
        <w:spacing w:before="30" w:beforeAutospacing="0" w:after="30" w:afterAutospacing="0"/>
        <w:jc w:val="right"/>
        <w:rPr>
          <w:color w:val="333333"/>
        </w:rPr>
      </w:pPr>
      <w:r>
        <w:rPr>
          <w:rFonts w:hint="eastAsia"/>
          <w:color w:val="333333"/>
        </w:rPr>
        <w:t>2025年9月28日    </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p>
    <w:p>
      <w:pPr>
        <w:widowControl/>
        <w:jc w:val="left"/>
        <w:rPr>
          <w:rStyle w:val="59"/>
          <w:rFonts w:ascii="宋体" w:hAnsi="宋体" w:cs="宋体"/>
          <w:color w:val="333333"/>
          <w:kern w:val="0"/>
          <w:sz w:val="24"/>
        </w:rPr>
      </w:pPr>
      <w:r>
        <w:rPr>
          <w:rStyle w:val="59"/>
          <w:rFonts w:ascii="宋体" w:hAnsi="宋体"/>
          <w:color w:val="333333"/>
        </w:rPr>
        <w:br w:type="page"/>
      </w:r>
    </w:p>
    <w:p>
      <w:pPr>
        <w:pStyle w:val="49"/>
        <w:shd w:val="clear" w:color="auto" w:fill="FFFFFF"/>
        <w:spacing w:before="0" w:beforeAutospacing="0" w:after="0" w:afterAutospacing="0"/>
        <w:rPr>
          <w:color w:val="333333"/>
        </w:rPr>
      </w:pPr>
      <w:r>
        <w:rPr>
          <w:rStyle w:val="59"/>
          <w:rFonts w:hint="eastAsia"/>
          <w:color w:val="333333"/>
        </w:rPr>
        <w:t>附件1</w:t>
      </w:r>
    </w:p>
    <w:p>
      <w:pPr>
        <w:pStyle w:val="49"/>
        <w:shd w:val="clear" w:color="auto" w:fill="FFFFFF"/>
        <w:spacing w:before="30" w:beforeAutospacing="0" w:after="30" w:afterAutospacing="0"/>
        <w:ind w:firstLine="480"/>
        <w:rPr>
          <w:color w:val="333333"/>
        </w:rPr>
      </w:pPr>
    </w:p>
    <w:p>
      <w:pPr>
        <w:pStyle w:val="49"/>
        <w:shd w:val="clear" w:color="auto" w:fill="FFFFFF"/>
        <w:spacing w:before="0" w:beforeAutospacing="0" w:after="0" w:afterAutospacing="0"/>
        <w:jc w:val="center"/>
        <w:rPr>
          <w:color w:val="333333"/>
          <w:sz w:val="36"/>
          <w:szCs w:val="36"/>
        </w:rPr>
      </w:pPr>
      <w:r>
        <w:rPr>
          <w:rStyle w:val="59"/>
          <w:rFonts w:hint="eastAsia"/>
          <w:color w:val="333333"/>
          <w:sz w:val="36"/>
          <w:szCs w:val="36"/>
        </w:rPr>
        <w:t>中国境内生产的组件成本核算基本规则</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r>
        <w:rPr>
          <w:rFonts w:hint="eastAsia"/>
          <w:color w:val="333333"/>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9"/>
        <w:shd w:val="clear" w:color="auto" w:fill="FFFFFF"/>
        <w:spacing w:before="30" w:beforeAutospacing="0" w:after="30" w:afterAutospacing="0"/>
        <w:ind w:firstLine="480"/>
        <w:rPr>
          <w:color w:val="333333"/>
        </w:rPr>
      </w:pPr>
      <w:r>
        <w:rPr>
          <w:rFonts w:hint="eastAsia"/>
          <w:color w:val="333333"/>
        </w:rPr>
        <w:t>一、产品的一级组件是指直接组成产品的组件。产品的二级组件是指直接组成产品一级组件的组件。一级组件不可分解的，视同二级组件。</w:t>
      </w:r>
    </w:p>
    <w:p>
      <w:pPr>
        <w:pStyle w:val="49"/>
        <w:shd w:val="clear" w:color="auto" w:fill="FFFFFF"/>
        <w:spacing w:before="30" w:beforeAutospacing="0" w:after="30" w:afterAutospacing="0"/>
        <w:ind w:firstLine="480"/>
        <w:rPr>
          <w:color w:val="333333"/>
        </w:rPr>
      </w:pPr>
      <w:r>
        <w:rPr>
          <w:rFonts w:hint="eastAsia"/>
          <w:color w:val="333333"/>
        </w:rPr>
        <w:t>二、二级组件在中国境内生产的，其全部成本计入中国境内生产的组件成本；二级组件不在中国境内生产的，其成本不计入中国境内生产的组件成本。</w:t>
      </w:r>
    </w:p>
    <w:p>
      <w:pPr>
        <w:pStyle w:val="49"/>
        <w:shd w:val="clear" w:color="auto" w:fill="FFFFFF"/>
        <w:spacing w:before="30" w:beforeAutospacing="0" w:after="30" w:afterAutospacing="0"/>
        <w:ind w:firstLine="480"/>
        <w:rPr>
          <w:color w:val="333333"/>
        </w:rPr>
      </w:pPr>
      <w:r>
        <w:rPr>
          <w:rFonts w:hint="eastAsia"/>
          <w:color w:val="333333"/>
        </w:rPr>
        <w:t>三、产品总成本和组件成本以相关会计核算数据、采购合同、进货记录等为基础进行计算。</w:t>
      </w:r>
    </w:p>
    <w:p>
      <w:pPr>
        <w:pStyle w:val="49"/>
        <w:shd w:val="clear" w:color="auto" w:fill="FFFFFF"/>
        <w:spacing w:before="30" w:beforeAutospacing="0" w:after="30" w:afterAutospacing="0"/>
        <w:ind w:firstLine="480"/>
        <w:rPr>
          <w:color w:val="333333"/>
        </w:rPr>
      </w:pPr>
      <w:r>
        <w:rPr>
          <w:rFonts w:hint="eastAsia"/>
          <w:color w:val="333333"/>
        </w:rPr>
        <w:t>四、需要对成本核算规则予以进一步明确的其他有关事项，由财政部会同有关部门另行规定。</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p>
    <w:p>
      <w:pPr>
        <w:widowControl/>
        <w:jc w:val="left"/>
        <w:rPr>
          <w:rStyle w:val="59"/>
          <w:rFonts w:ascii="宋体" w:hAnsi="宋体" w:cs="宋体"/>
          <w:color w:val="333333"/>
          <w:kern w:val="0"/>
          <w:sz w:val="24"/>
        </w:rPr>
      </w:pPr>
      <w:r>
        <w:rPr>
          <w:rStyle w:val="59"/>
          <w:rFonts w:ascii="宋体" w:hAnsi="宋体"/>
          <w:color w:val="333333"/>
        </w:rPr>
        <w:br w:type="page"/>
      </w:r>
    </w:p>
    <w:p>
      <w:pPr>
        <w:pStyle w:val="49"/>
        <w:shd w:val="clear" w:color="auto" w:fill="FFFFFF"/>
        <w:spacing w:before="0" w:beforeAutospacing="0" w:after="0" w:afterAutospacing="0"/>
        <w:rPr>
          <w:color w:val="333333"/>
        </w:rPr>
      </w:pPr>
      <w:r>
        <w:rPr>
          <w:rStyle w:val="59"/>
          <w:rFonts w:hint="eastAsia"/>
          <w:color w:val="333333"/>
        </w:rPr>
        <w:t>附件2</w:t>
      </w:r>
    </w:p>
    <w:p>
      <w:pPr>
        <w:pStyle w:val="49"/>
        <w:shd w:val="clear" w:color="auto" w:fill="FFFFFF"/>
        <w:spacing w:before="30" w:beforeAutospacing="0" w:after="30" w:afterAutospacing="0"/>
        <w:ind w:firstLine="480"/>
        <w:rPr>
          <w:color w:val="333333"/>
        </w:rPr>
      </w:pPr>
    </w:p>
    <w:p>
      <w:pPr>
        <w:pStyle w:val="49"/>
        <w:shd w:val="clear" w:color="auto" w:fill="FFFFFF"/>
        <w:spacing w:before="0" w:beforeAutospacing="0" w:after="0" w:afterAutospacing="0"/>
        <w:jc w:val="center"/>
        <w:rPr>
          <w:color w:val="333333"/>
          <w:sz w:val="36"/>
          <w:szCs w:val="36"/>
        </w:rPr>
      </w:pPr>
      <w:r>
        <w:rPr>
          <w:rStyle w:val="59"/>
          <w:rFonts w:hint="eastAsia"/>
          <w:color w:val="333333"/>
          <w:sz w:val="36"/>
          <w:szCs w:val="36"/>
        </w:rPr>
        <w:t>关于符合本国产品标准的声明函</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r>
        <w:rPr>
          <w:rFonts w:hint="eastAsia"/>
          <w:color w:val="333333"/>
        </w:rPr>
        <w:t>本公司（单位）郑重声明，根据《国务院办公厅关于在政府采购中实施本国产品标准及相关政策的通知》（国办发〔2025〕34号）的规定，本公司（单位）提供的以下产品属于本国产品。具体情况如下：</w:t>
      </w:r>
    </w:p>
    <w:p>
      <w:pPr>
        <w:pStyle w:val="49"/>
        <w:shd w:val="clear" w:color="auto" w:fill="FFFFFF"/>
        <w:spacing w:before="0" w:beforeAutospacing="0" w:after="0" w:afterAutospacing="0"/>
        <w:ind w:firstLine="480"/>
        <w:rPr>
          <w:color w:val="333333"/>
        </w:rPr>
      </w:pPr>
      <w:r>
        <w:rPr>
          <w:rFonts w:hint="eastAsia"/>
          <w:color w:val="333333"/>
        </w:rPr>
        <w:t>1.</w:t>
      </w:r>
      <w:r>
        <w:rPr>
          <w:rStyle w:val="62"/>
          <w:rFonts w:hint="eastAsia"/>
          <w:color w:val="333333"/>
        </w:rPr>
        <w:t>（产品名称1）</w:t>
      </w:r>
      <w:r>
        <w:rPr>
          <w:rStyle w:val="62"/>
          <w:rFonts w:hint="eastAsia"/>
          <w:color w:val="333333"/>
          <w:vertAlign w:val="superscript"/>
        </w:rPr>
        <w:t>1</w:t>
      </w:r>
      <w:r>
        <w:rPr>
          <w:rFonts w:hint="eastAsia"/>
          <w:color w:val="333333"/>
        </w:rPr>
        <w:t>，生产厂为</w:t>
      </w:r>
      <w:r>
        <w:rPr>
          <w:rStyle w:val="62"/>
          <w:rFonts w:hint="eastAsia"/>
          <w:color w:val="333333"/>
        </w:rPr>
        <w:t>（厂名）</w:t>
      </w:r>
      <w:r>
        <w:rPr>
          <w:rStyle w:val="62"/>
          <w:rFonts w:hint="eastAsia"/>
          <w:color w:val="333333"/>
          <w:vertAlign w:val="superscript"/>
        </w:rPr>
        <w:t>2</w:t>
      </w:r>
      <w:r>
        <w:rPr>
          <w:rFonts w:hint="eastAsia"/>
          <w:color w:val="333333"/>
        </w:rPr>
        <w:t>，厂址为</w:t>
      </w:r>
      <w:r>
        <w:rPr>
          <w:rStyle w:val="62"/>
          <w:rFonts w:hint="eastAsia"/>
          <w:color w:val="333333"/>
        </w:rPr>
        <w:t>（生产厂址）</w:t>
      </w:r>
      <w:r>
        <w:rPr>
          <w:rFonts w:hint="eastAsia"/>
          <w:color w:val="333333"/>
        </w:rPr>
        <w:t>。</w:t>
      </w:r>
      <w:r>
        <w:rPr>
          <w:rStyle w:val="62"/>
          <w:rFonts w:hint="eastAsia"/>
          <w:color w:val="333333"/>
        </w:rPr>
        <w:t>（产品名称1）</w:t>
      </w:r>
      <w:r>
        <w:rPr>
          <w:rFonts w:hint="eastAsia"/>
          <w:color w:val="333333"/>
        </w:rPr>
        <w:t>的中国境内生产的组件成本占比≥</w:t>
      </w:r>
      <w:r>
        <w:rPr>
          <w:rStyle w:val="62"/>
          <w:rFonts w:hint="eastAsia"/>
          <w:color w:val="333333"/>
        </w:rPr>
        <w:t>（规定比例）</w:t>
      </w:r>
      <w:r>
        <w:rPr>
          <w:rStyle w:val="62"/>
          <w:rFonts w:hint="eastAsia"/>
          <w:color w:val="333333"/>
          <w:vertAlign w:val="superscript"/>
        </w:rPr>
        <w:t>3</w:t>
      </w:r>
      <w:r>
        <w:rPr>
          <w:rFonts w:hint="eastAsia"/>
          <w:color w:val="333333"/>
        </w:rPr>
        <w:t>。</w:t>
      </w:r>
      <w:r>
        <w:rPr>
          <w:rStyle w:val="62"/>
          <w:rFonts w:hint="eastAsia"/>
          <w:color w:val="333333"/>
        </w:rPr>
        <w:t>（产品名称1）</w:t>
      </w:r>
      <w:r>
        <w:rPr>
          <w:rFonts w:hint="eastAsia"/>
          <w:color w:val="333333"/>
        </w:rPr>
        <w:t>的</w:t>
      </w:r>
      <w:r>
        <w:rPr>
          <w:rStyle w:val="62"/>
          <w:rFonts w:hint="eastAsia"/>
          <w:color w:val="333333"/>
        </w:rPr>
        <w:t>（关键组件）</w:t>
      </w:r>
      <w:r>
        <w:rPr>
          <w:rStyle w:val="62"/>
          <w:rFonts w:hint="eastAsia"/>
          <w:color w:val="333333"/>
          <w:vertAlign w:val="superscript"/>
        </w:rPr>
        <w:t>4</w:t>
      </w:r>
      <w:r>
        <w:rPr>
          <w:rFonts w:hint="eastAsia"/>
          <w:color w:val="333333"/>
        </w:rPr>
        <w:t>在中国境内生产。</w:t>
      </w:r>
      <w:r>
        <w:rPr>
          <w:rStyle w:val="62"/>
          <w:rFonts w:hint="eastAsia"/>
          <w:color w:val="333333"/>
        </w:rPr>
        <w:t>（产品名称1）</w:t>
      </w:r>
      <w:r>
        <w:rPr>
          <w:rFonts w:hint="eastAsia"/>
          <w:color w:val="333333"/>
        </w:rPr>
        <w:t>的</w:t>
      </w:r>
      <w:r>
        <w:rPr>
          <w:rStyle w:val="62"/>
          <w:rFonts w:hint="eastAsia"/>
          <w:color w:val="333333"/>
        </w:rPr>
        <w:t>（关键工序）</w:t>
      </w:r>
      <w:r>
        <w:rPr>
          <w:rStyle w:val="62"/>
          <w:rFonts w:hint="eastAsia"/>
          <w:color w:val="333333"/>
          <w:vertAlign w:val="superscript"/>
        </w:rPr>
        <w:t>5</w:t>
      </w:r>
      <w:r>
        <w:rPr>
          <w:rFonts w:hint="eastAsia"/>
          <w:color w:val="333333"/>
        </w:rPr>
        <w:t>在中国境内完成。</w:t>
      </w:r>
    </w:p>
    <w:p>
      <w:pPr>
        <w:pStyle w:val="49"/>
        <w:shd w:val="clear" w:color="auto" w:fill="FFFFFF"/>
        <w:spacing w:before="0" w:beforeAutospacing="0" w:after="0" w:afterAutospacing="0"/>
        <w:ind w:firstLine="480"/>
        <w:rPr>
          <w:color w:val="333333"/>
        </w:rPr>
      </w:pPr>
      <w:r>
        <w:rPr>
          <w:rFonts w:hint="eastAsia"/>
          <w:color w:val="333333"/>
        </w:rPr>
        <w:t>2.</w:t>
      </w:r>
      <w:r>
        <w:rPr>
          <w:rStyle w:val="62"/>
          <w:rFonts w:hint="eastAsia"/>
          <w:color w:val="333333"/>
        </w:rPr>
        <w:t>（产品名称2）</w:t>
      </w:r>
      <w:r>
        <w:rPr>
          <w:rFonts w:hint="eastAsia"/>
          <w:color w:val="333333"/>
        </w:rPr>
        <w:t>，生产厂为</w:t>
      </w:r>
      <w:r>
        <w:rPr>
          <w:rStyle w:val="62"/>
          <w:rFonts w:hint="eastAsia"/>
          <w:color w:val="333333"/>
        </w:rPr>
        <w:t>（厂名）</w:t>
      </w:r>
      <w:r>
        <w:rPr>
          <w:rFonts w:hint="eastAsia"/>
          <w:color w:val="333333"/>
        </w:rPr>
        <w:t>，厂址为</w:t>
      </w:r>
      <w:r>
        <w:rPr>
          <w:rStyle w:val="62"/>
          <w:rFonts w:hint="eastAsia"/>
          <w:color w:val="333333"/>
        </w:rPr>
        <w:t>（生产厂址）</w:t>
      </w:r>
      <w:r>
        <w:rPr>
          <w:rFonts w:hint="eastAsia"/>
          <w:color w:val="333333"/>
        </w:rPr>
        <w:t>。</w:t>
      </w:r>
      <w:r>
        <w:rPr>
          <w:rStyle w:val="62"/>
          <w:rFonts w:hint="eastAsia"/>
          <w:color w:val="333333"/>
        </w:rPr>
        <w:t>（产品名称2）</w:t>
      </w:r>
      <w:r>
        <w:rPr>
          <w:rFonts w:hint="eastAsia"/>
          <w:color w:val="333333"/>
        </w:rPr>
        <w:t>的中国境内生产的组件成本占比≥</w:t>
      </w:r>
      <w:r>
        <w:rPr>
          <w:rStyle w:val="62"/>
          <w:rFonts w:hint="eastAsia"/>
          <w:color w:val="333333"/>
        </w:rPr>
        <w:t>（规定比例）</w:t>
      </w:r>
      <w:r>
        <w:rPr>
          <w:rFonts w:hint="eastAsia"/>
          <w:color w:val="333333"/>
        </w:rPr>
        <w:t>。</w:t>
      </w:r>
      <w:r>
        <w:rPr>
          <w:rStyle w:val="62"/>
          <w:rFonts w:hint="eastAsia"/>
          <w:color w:val="333333"/>
        </w:rPr>
        <w:t>（产品名称2）</w:t>
      </w:r>
      <w:r>
        <w:rPr>
          <w:rFonts w:hint="eastAsia"/>
          <w:color w:val="333333"/>
        </w:rPr>
        <w:t>的</w:t>
      </w:r>
      <w:r>
        <w:rPr>
          <w:rStyle w:val="62"/>
          <w:rFonts w:hint="eastAsia"/>
          <w:color w:val="333333"/>
        </w:rPr>
        <w:t>（关键组件）</w:t>
      </w:r>
      <w:r>
        <w:rPr>
          <w:rFonts w:hint="eastAsia"/>
          <w:color w:val="333333"/>
        </w:rPr>
        <w:t>在中国境内生产。</w:t>
      </w:r>
      <w:r>
        <w:rPr>
          <w:rStyle w:val="62"/>
          <w:rFonts w:hint="eastAsia"/>
          <w:color w:val="333333"/>
        </w:rPr>
        <w:t>（产品名称2）</w:t>
      </w:r>
      <w:r>
        <w:rPr>
          <w:rFonts w:hint="eastAsia"/>
          <w:color w:val="333333"/>
        </w:rPr>
        <w:t>的</w:t>
      </w:r>
      <w:r>
        <w:rPr>
          <w:rStyle w:val="62"/>
          <w:rFonts w:hint="eastAsia"/>
          <w:color w:val="333333"/>
        </w:rPr>
        <w:t>（关键工序）</w:t>
      </w:r>
      <w:r>
        <w:rPr>
          <w:rFonts w:hint="eastAsia"/>
          <w:color w:val="333333"/>
        </w:rPr>
        <w:t>在中国境内完成。</w:t>
      </w:r>
    </w:p>
    <w:p>
      <w:pPr>
        <w:pStyle w:val="49"/>
        <w:shd w:val="clear" w:color="auto" w:fill="FFFFFF"/>
        <w:spacing w:before="30" w:beforeAutospacing="0" w:after="30" w:afterAutospacing="0"/>
        <w:ind w:firstLine="480"/>
        <w:rPr>
          <w:color w:val="333333"/>
        </w:rPr>
      </w:pPr>
      <w:r>
        <w:rPr>
          <w:rFonts w:hint="eastAsia"/>
          <w:color w:val="333333"/>
        </w:rPr>
        <w:t>……</w:t>
      </w:r>
    </w:p>
    <w:p>
      <w:pPr>
        <w:pStyle w:val="49"/>
        <w:shd w:val="clear" w:color="auto" w:fill="FFFFFF"/>
        <w:spacing w:before="30" w:beforeAutospacing="0" w:after="30" w:afterAutospacing="0"/>
        <w:ind w:firstLine="480"/>
        <w:rPr>
          <w:color w:val="333333"/>
        </w:rPr>
      </w:pPr>
      <w:r>
        <w:rPr>
          <w:rFonts w:hint="eastAsia"/>
          <w:color w:val="333333"/>
        </w:rPr>
        <w:t>本公司（单位）对上述声明内容的真实性负责。如有虚假，愿承担相应法律责任。</w:t>
      </w:r>
    </w:p>
    <w:p>
      <w:pPr>
        <w:pStyle w:val="49"/>
        <w:shd w:val="clear" w:color="auto" w:fill="FFFFFF"/>
        <w:spacing w:before="30" w:beforeAutospacing="0" w:after="30" w:afterAutospacing="0"/>
        <w:ind w:firstLine="480"/>
        <w:jc w:val="right"/>
        <w:rPr>
          <w:color w:val="333333"/>
        </w:rPr>
      </w:pPr>
      <w:r>
        <w:rPr>
          <w:rFonts w:hint="eastAsia"/>
          <w:color w:val="333333"/>
        </w:rPr>
        <w:t>公司（单位）名称（盖章）：      </w:t>
      </w:r>
    </w:p>
    <w:p>
      <w:pPr>
        <w:pStyle w:val="49"/>
        <w:shd w:val="clear" w:color="auto" w:fill="FFFFFF"/>
        <w:spacing w:before="30" w:beforeAutospacing="0" w:after="30" w:afterAutospacing="0"/>
        <w:ind w:firstLine="480"/>
        <w:jc w:val="right"/>
        <w:rPr>
          <w:color w:val="333333"/>
        </w:rPr>
      </w:pPr>
      <w:r>
        <w:rPr>
          <w:rFonts w:hint="eastAsia"/>
          <w:color w:val="333333"/>
        </w:rPr>
        <w:t>日期：　　　　　年　　月　日    </w:t>
      </w: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ind w:firstLine="480"/>
        <w:rPr>
          <w:color w:val="333333"/>
        </w:rPr>
      </w:pPr>
    </w:p>
    <w:p>
      <w:pPr>
        <w:pStyle w:val="49"/>
        <w:shd w:val="clear" w:color="auto" w:fill="FFFFFF"/>
        <w:spacing w:before="30" w:beforeAutospacing="0" w:after="30" w:afterAutospacing="0"/>
        <w:rPr>
          <w:color w:val="333333"/>
        </w:rPr>
      </w:pPr>
      <w:r>
        <w:rPr>
          <w:rFonts w:hint="eastAsia"/>
          <w:color w:val="333333"/>
        </w:rPr>
        <w:t>_____________________________</w:t>
      </w:r>
    </w:p>
    <w:p>
      <w:pPr>
        <w:pStyle w:val="49"/>
        <w:shd w:val="clear" w:color="auto" w:fill="FFFFFF"/>
        <w:spacing w:before="0" w:beforeAutospacing="0" w:after="0" w:afterAutospacing="0"/>
        <w:ind w:firstLine="480"/>
        <w:rPr>
          <w:color w:val="333333"/>
        </w:rPr>
      </w:pPr>
      <w:r>
        <w:rPr>
          <w:rFonts w:hint="eastAsia"/>
          <w:color w:val="333333"/>
        </w:rPr>
        <w:t>1.产品如有型号，请在“产品名称”栏一并填写。</w:t>
      </w:r>
    </w:p>
    <w:p>
      <w:pPr>
        <w:pStyle w:val="49"/>
        <w:shd w:val="clear" w:color="auto" w:fill="FFFFFF"/>
        <w:spacing w:before="0" w:beforeAutospacing="0" w:after="0" w:afterAutospacing="0"/>
        <w:ind w:firstLine="480"/>
        <w:rPr>
          <w:color w:val="333333"/>
        </w:rPr>
      </w:pPr>
      <w:r>
        <w:rPr>
          <w:rFonts w:hint="eastAsia"/>
          <w:color w:val="333333"/>
        </w:rPr>
        <w:t>2.生产厂名与厂址应与生产厂营业执照载明的相关信息保持一致。</w:t>
      </w:r>
    </w:p>
    <w:p>
      <w:pPr>
        <w:pStyle w:val="49"/>
        <w:shd w:val="clear" w:color="auto" w:fill="FFFFFF"/>
        <w:spacing w:before="0" w:beforeAutospacing="0" w:after="0" w:afterAutospacing="0"/>
        <w:ind w:firstLine="480"/>
        <w:rPr>
          <w:color w:val="333333"/>
        </w:rPr>
      </w:pPr>
      <w:r>
        <w:rPr>
          <w:rFonts w:hint="eastAsia"/>
          <w:color w:val="333333"/>
        </w:rPr>
        <w:t>3.该产品的中国境内生产的组件成本占比相关要求实施前，“规定比例”栏可不填，下同。</w:t>
      </w:r>
    </w:p>
    <w:p>
      <w:pPr>
        <w:pStyle w:val="49"/>
        <w:shd w:val="clear" w:color="auto" w:fill="FFFFFF"/>
        <w:spacing w:before="0" w:beforeAutospacing="0" w:after="0" w:afterAutospacing="0"/>
        <w:ind w:firstLine="480"/>
        <w:rPr>
          <w:color w:val="333333"/>
        </w:rPr>
      </w:pPr>
      <w:r>
        <w:rPr>
          <w:rFonts w:hint="eastAsia"/>
          <w:color w:val="333333"/>
        </w:rPr>
        <w:t>4.该产品的关键组件要求实施前，“关键组件”栏可不填，下同。</w:t>
      </w:r>
    </w:p>
    <w:p>
      <w:pPr>
        <w:pStyle w:val="49"/>
        <w:shd w:val="clear" w:color="auto" w:fill="FFFFFF"/>
        <w:spacing w:before="0" w:beforeAutospacing="0" w:after="0" w:afterAutospacing="0"/>
        <w:ind w:firstLine="480"/>
        <w:rPr>
          <w:color w:val="333333"/>
        </w:rPr>
      </w:pPr>
      <w:r>
        <w:rPr>
          <w:rFonts w:hint="eastAsia"/>
          <w:color w:val="333333"/>
        </w:rPr>
        <w:t>5.该产品的关键工序要求实施前，“关键工序”栏可不填，下同。</w:t>
      </w:r>
    </w:p>
    <w:bookmarkEnd w:id="1039"/>
    <w:p>
      <w:pPr>
        <w:rPr>
          <w:rFonts w:ascii="宋体" w:hAnsi="宋体"/>
        </w:rPr>
      </w:pPr>
    </w:p>
    <w:p>
      <w:pPr>
        <w:rPr>
          <w:rFonts w:ascii="宋体" w:hAnsi="宋体"/>
        </w:rPr>
      </w:pPr>
      <w:r>
        <w:rPr>
          <w:rFonts w:ascii="宋体" w:hAnsi="宋体"/>
        </w:rPr>
        <w:br w:type="page"/>
      </w:r>
    </w:p>
    <w:p>
      <w:pPr>
        <w:pStyle w:val="5"/>
        <w:spacing w:line="360" w:lineRule="auto"/>
        <w:jc w:val="left"/>
        <w:rPr>
          <w:rFonts w:hAnsi="宋体"/>
          <w:bCs/>
          <w:sz w:val="24"/>
          <w:szCs w:val="24"/>
        </w:rPr>
      </w:pPr>
      <w:bookmarkStart w:id="1041" w:name="_Toc218620586"/>
      <w:bookmarkStart w:id="1042" w:name="_Toc209958521"/>
      <w:bookmarkStart w:id="1043" w:name="_Toc203404616"/>
      <w:bookmarkStart w:id="1044" w:name="OLE_LINK188"/>
      <w:bookmarkStart w:id="1045" w:name="OLE_LINK187"/>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9"/>
        <w:shd w:val="clear" w:color="auto" w:fill="FFFFFF"/>
        <w:spacing w:before="0" w:beforeAutospacing="0" w:after="0" w:afterAutospacing="0"/>
        <w:jc w:val="center"/>
        <w:rPr>
          <w:rStyle w:val="59"/>
          <w:color w:val="333333"/>
          <w:sz w:val="36"/>
          <w:szCs w:val="36"/>
        </w:rPr>
      </w:pPr>
      <w:r>
        <w:rPr>
          <w:rStyle w:val="59"/>
          <w:color w:val="333333"/>
          <w:sz w:val="36"/>
          <w:szCs w:val="36"/>
        </w:rPr>
        <w:t>关于推动解决政府采购异常低价问题的通知</w:t>
      </w:r>
    </w:p>
    <w:p>
      <w:pPr>
        <w:shd w:val="clear" w:color="auto" w:fill="FFFFFF"/>
        <w:spacing w:line="480" w:lineRule="atLeast"/>
        <w:jc w:val="center"/>
        <w:textAlignment w:val="baseline"/>
        <w:rPr>
          <w:rFonts w:ascii="宋体" w:hAnsi="宋体" w:cs="Calibri"/>
          <w:b/>
          <w:color w:val="383838"/>
          <w:szCs w:val="21"/>
        </w:rPr>
      </w:pPr>
      <w:r>
        <w:rPr>
          <w:rFonts w:ascii="宋体" w:hAnsi="宋体" w:cs="Calibri"/>
          <w:b/>
          <w:color w:val="383838"/>
          <w:szCs w:val="21"/>
        </w:rPr>
        <w:t>财库〔2026〕2号</w:t>
      </w:r>
    </w:p>
    <w:p>
      <w:pPr>
        <w:shd w:val="clear" w:color="auto" w:fill="FFFFFF"/>
        <w:spacing w:line="480" w:lineRule="atLeast"/>
        <w:jc w:val="center"/>
        <w:textAlignment w:val="baseline"/>
        <w:rPr>
          <w:rFonts w:ascii="宋体" w:hAnsi="宋体" w:cs="Calibri"/>
          <w:b/>
          <w:color w:val="383838"/>
          <w:szCs w:val="21"/>
        </w:rPr>
      </w:pPr>
    </w:p>
    <w:p>
      <w:pPr>
        <w:shd w:val="clear" w:color="auto" w:fill="FFFFFF"/>
        <w:spacing w:line="480" w:lineRule="atLeast"/>
        <w:textAlignment w:val="baseline"/>
        <w:rPr>
          <w:rFonts w:ascii="宋体" w:hAnsi="宋体" w:cs="Calibri"/>
          <w:color w:val="383838"/>
          <w:szCs w:val="21"/>
        </w:rPr>
      </w:pPr>
      <w:r>
        <w:rPr>
          <w:rFonts w:hint="eastAsia" w:ascii="宋体" w:hAnsi="宋体" w:cs="Calibri"/>
          <w:color w:val="383838"/>
        </w:rPr>
        <w:t>各中央预算单位，各省、自治区、直辖市、计划单列市财政厅（局），新疆生产建设兵团财政局：</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一、加强政府采购需求管理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二、强化政府采购异常低价审查</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3.投标（响应）报价低于采购项目最高限价45%的，即投标（响应）报价&lt;采购项目最高限价×45%；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相关法律法规对供应商报价有规定的，从其规定。</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三、加强政府采购履约验收管理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本通知自2026年2月1日起施行。</w:t>
      </w:r>
    </w:p>
    <w:p>
      <w:pPr>
        <w:shd w:val="clear" w:color="auto" w:fill="FFFFFF"/>
        <w:spacing w:line="588" w:lineRule="atLeast"/>
        <w:ind w:firstLine="640"/>
        <w:textAlignment w:val="baseline"/>
        <w:rPr>
          <w:rFonts w:ascii="宋体" w:hAnsi="宋体" w:cs="宋体"/>
          <w:color w:val="383838"/>
          <w:sz w:val="24"/>
        </w:rPr>
      </w:pPr>
    </w:p>
    <w:p>
      <w:pPr>
        <w:pStyle w:val="49"/>
        <w:shd w:val="clear" w:color="auto" w:fill="FFFFFF"/>
        <w:spacing w:before="75" w:beforeAutospacing="0" w:after="330" w:afterAutospacing="0"/>
        <w:jc w:val="right"/>
        <w:textAlignment w:val="baseline"/>
        <w:rPr>
          <w:color w:val="383838"/>
        </w:rPr>
      </w:pPr>
      <w:r>
        <w:rPr>
          <w:color w:val="383838"/>
        </w:rPr>
        <w:t>财政部</w:t>
      </w:r>
    </w:p>
    <w:p>
      <w:pPr>
        <w:pStyle w:val="49"/>
        <w:shd w:val="clear" w:color="auto" w:fill="FFFFFF"/>
        <w:spacing w:before="75" w:beforeAutospacing="0" w:after="330" w:afterAutospacing="0"/>
        <w:jc w:val="right"/>
        <w:textAlignment w:val="baseline"/>
        <w:rPr>
          <w:color w:val="383838"/>
        </w:rPr>
      </w:pPr>
      <w:r>
        <w:rPr>
          <w:color w:val="383838"/>
        </w:rPr>
        <w:t>2026年1月14日</w:t>
      </w:r>
    </w:p>
    <w:p>
      <w:pPr>
        <w:rPr>
          <w:rFonts w:ascii="宋体" w:hAnsi="宋体"/>
          <w:kern w:val="44"/>
        </w:rPr>
      </w:pPr>
      <w:r>
        <w:rPr>
          <w:rFonts w:ascii="宋体" w:hAnsi="宋体"/>
        </w:rPr>
        <w:t xml:space="preserve"> </w:t>
      </w:r>
      <w:r>
        <w:rPr>
          <w:rFonts w:ascii="宋体" w:hAnsi="宋体"/>
        </w:rPr>
        <w:br w:type="page"/>
      </w:r>
    </w:p>
    <w:p>
      <w:pPr>
        <w:pStyle w:val="5"/>
        <w:spacing w:line="360" w:lineRule="auto"/>
        <w:jc w:val="left"/>
        <w:rPr>
          <w:rFonts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41"/>
      <w:bookmarkEnd w:id="1042"/>
      <w:bookmarkEnd w:id="1043"/>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ascii="宋体" w:hAnsi="宋体" w:cs="宋体"/>
          <w:kern w:val="0"/>
          <w:sz w:val="24"/>
        </w:rPr>
      </w:pP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9"/>
        <w:shd w:val="clear" w:color="auto" w:fill="FFFFFF"/>
        <w:spacing w:before="0" w:beforeAutospacing="0" w:after="0" w:afterAutospacing="0" w:line="560" w:lineRule="atLeast"/>
        <w:ind w:left="1678" w:hanging="1040"/>
      </w:pPr>
    </w:p>
    <w:p>
      <w:pPr>
        <w:pStyle w:val="49"/>
        <w:shd w:val="clear" w:color="auto" w:fill="FFFFFF"/>
        <w:spacing w:before="0" w:beforeAutospacing="0" w:after="0" w:afterAutospacing="0" w:line="560" w:lineRule="atLeast"/>
        <w:ind w:firstLine="640"/>
        <w:jc w:val="both"/>
      </w:pPr>
      <w:r>
        <w:rPr>
          <w:rStyle w:val="522"/>
          <w:rFonts w:hint="eastAsia"/>
          <w:szCs w:val="32"/>
        </w:rPr>
        <w:t> </w:t>
      </w:r>
    </w:p>
    <w:p>
      <w:pPr>
        <w:pStyle w:val="49"/>
        <w:shd w:val="clear" w:color="auto" w:fill="FFFFFF"/>
        <w:spacing w:before="0" w:beforeAutospacing="0" w:after="0" w:afterAutospacing="0" w:line="560" w:lineRule="atLeast"/>
        <w:ind w:firstLine="5440"/>
        <w:jc w:val="right"/>
      </w:pPr>
      <w:r>
        <w:rPr>
          <w:rStyle w:val="522"/>
        </w:rPr>
        <w:t>市场监管总局</w:t>
      </w:r>
    </w:p>
    <w:p>
      <w:pPr>
        <w:pStyle w:val="49"/>
        <w:shd w:val="clear" w:color="auto" w:fill="FFFFFF"/>
        <w:spacing w:before="0" w:beforeAutospacing="0" w:after="0" w:afterAutospacing="0" w:line="560" w:lineRule="atLeast"/>
        <w:ind w:firstLine="5440"/>
        <w:jc w:val="right"/>
      </w:pPr>
      <w:r>
        <w:t>2023年8月10日</w:t>
      </w:r>
    </w:p>
    <w:p>
      <w:pPr>
        <w:pStyle w:val="49"/>
        <w:shd w:val="clear" w:color="auto" w:fill="FFFFFF"/>
        <w:spacing w:before="0" w:beforeAutospacing="0" w:after="0" w:afterAutospacing="0" w:line="594" w:lineRule="atLeast"/>
      </w:pPr>
      <w:r>
        <w:rPr>
          <w:rStyle w:val="522"/>
          <w:sz w:val="44"/>
          <w:szCs w:val="44"/>
        </w:rPr>
        <w:br w:type="page"/>
      </w:r>
      <w:r>
        <w:rPr>
          <w:rFonts w:hint="eastAsia"/>
          <w:szCs w:val="32"/>
        </w:rPr>
        <w:t>附件</w:t>
      </w:r>
      <w:r>
        <w:rPr>
          <w:szCs w:val="32"/>
        </w:rPr>
        <w:t>1</w:t>
      </w:r>
    </w:p>
    <w:p>
      <w:pPr>
        <w:widowControl/>
        <w:shd w:val="clear" w:color="auto" w:fill="FFFFFF"/>
        <w:spacing w:line="594" w:lineRule="atLeast"/>
        <w:jc w:val="center"/>
        <w:rPr>
          <w:rFonts w:ascii="宋体" w:hAnsi="宋体" w:cs="宋体"/>
          <w:kern w:val="0"/>
          <w:sz w:val="24"/>
        </w:rPr>
      </w:pPr>
      <w:r>
        <w:rPr>
          <w:rFonts w:hint="eastAsia" w:ascii="宋体" w:hAnsi="宋体" w:cs="宋体"/>
          <w:kern w:val="0"/>
          <w:sz w:val="44"/>
          <w:szCs w:val="44"/>
        </w:rPr>
        <w:t>强制性产品认证目录</w:t>
      </w:r>
    </w:p>
    <w:tbl>
      <w:tblPr>
        <w:tblStyle w:val="55"/>
        <w:tblW w:w="9498" w:type="dxa"/>
        <w:tblInd w:w="-743" w:type="dxa"/>
        <w:tblLayout w:type="fixed"/>
        <w:tblCellMar>
          <w:top w:w="0" w:type="dxa"/>
          <w:left w:w="0" w:type="dxa"/>
          <w:bottom w:w="0" w:type="dxa"/>
          <w:right w:w="0" w:type="dxa"/>
        </w:tblCellMar>
      </w:tblPr>
      <w:tblGrid>
        <w:gridCol w:w="1560"/>
        <w:gridCol w:w="7938"/>
      </w:tblGrid>
      <w:tr>
        <w:tblPrEx>
          <w:tblCellMar>
            <w:top w:w="0" w:type="dxa"/>
            <w:left w:w="0" w:type="dxa"/>
            <w:bottom w:w="0" w:type="dxa"/>
            <w:right w:w="0" w:type="dxa"/>
          </w:tblCellMar>
        </w:tblPrEx>
        <w:tc>
          <w:tcPr>
            <w:tcW w:w="15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90" w:lineRule="atLeast"/>
              <w:jc w:val="left"/>
              <w:rPr>
                <w:rFonts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七、家用和类似用途</w:t>
            </w:r>
          </w:p>
          <w:p>
            <w:pPr>
              <w:widowControl/>
              <w:spacing w:line="500" w:lineRule="atLeast"/>
              <w:jc w:val="center"/>
              <w:rPr>
                <w:rFonts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35.液体加热器和</w:t>
            </w:r>
            <w:bookmarkStart w:id="1046" w:name="OLE_LINK212"/>
            <w:bookmarkStart w:id="1047" w:name="OLE_LINK211"/>
            <w:r>
              <w:rPr>
                <w:rFonts w:ascii="宋体" w:hAnsi="宋体"/>
                <w:kern w:val="0"/>
                <w:sz w:val="23"/>
                <w:szCs w:val="23"/>
              </w:rPr>
              <w:t>冷热饮水机</w:t>
            </w:r>
            <w:bookmarkEnd w:id="1046"/>
            <w:bookmarkEnd w:id="1047"/>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八、电子产品及安全</w:t>
            </w:r>
          </w:p>
          <w:p>
            <w:pPr>
              <w:widowControl/>
              <w:spacing w:line="500" w:lineRule="atLeast"/>
              <w:jc w:val="center"/>
              <w:rPr>
                <w:rFonts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192" w:lineRule="atLeast"/>
              <w:jc w:val="left"/>
              <w:rPr>
                <w:rFonts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十、车辆及安全附件</w:t>
            </w:r>
          </w:p>
          <w:p>
            <w:pPr>
              <w:widowControl/>
              <w:spacing w:line="500" w:lineRule="atLeast"/>
              <w:jc w:val="center"/>
              <w:rPr>
                <w:rFonts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90" w:lineRule="atLeast"/>
              <w:jc w:val="left"/>
              <w:rPr>
                <w:rFonts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十六、家用燃气器具</w:t>
            </w:r>
          </w:p>
          <w:p>
            <w:pPr>
              <w:widowControl/>
              <w:spacing w:line="500" w:lineRule="atLeast"/>
              <w:jc w:val="center"/>
              <w:rPr>
                <w:rFonts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9"/>
        <w:shd w:val="clear" w:color="auto" w:fill="FFFFFF"/>
        <w:spacing w:before="0" w:beforeAutospacing="0" w:after="0" w:afterAutospacing="0" w:line="480" w:lineRule="atLeast"/>
        <w:jc w:val="center"/>
      </w:pPr>
    </w:p>
    <w:bookmarkEnd w:id="1044"/>
    <w:bookmarkEnd w:id="1045"/>
    <w:p>
      <w:pPr>
        <w:rPr>
          <w:rFonts w:ascii="宋体" w:hAnsi="宋体"/>
        </w:rPr>
      </w:pPr>
    </w:p>
    <w:p>
      <w:pPr>
        <w:widowControl/>
        <w:spacing w:line="360" w:lineRule="auto"/>
        <w:jc w:val="right"/>
        <w:rPr>
          <w:rFonts w:ascii="宋体" w:hAnsi="宋体" w:cs="宋体"/>
          <w:bCs/>
          <w:sz w:val="24"/>
        </w:rPr>
      </w:pPr>
    </w:p>
    <w:p>
      <w:pPr>
        <w:widowControl/>
        <w:jc w:val="center"/>
        <w:rPr>
          <w:rFonts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ascii="宋体" w:hAnsi="宋体" w:cs="宋体"/>
          <w:bCs/>
          <w:sz w:val="24"/>
        </w:rPr>
      </w:pPr>
      <w:r>
        <w:rPr>
          <w:rFonts w:hint="eastAsia" w:ascii="宋体" w:hAnsi="宋体" w:cs="宋体"/>
          <w:bCs/>
          <w:sz w:val="24"/>
        </w:rPr>
        <w:t>二、商品包装环保要求</w:t>
      </w:r>
    </w:p>
    <w:p>
      <w:pPr>
        <w:widowControl/>
        <w:spacing w:line="360" w:lineRule="auto"/>
        <w:jc w:val="left"/>
        <w:rPr>
          <w:rFonts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ascii="宋体" w:hAnsi="宋体" w:cs="宋体"/>
          <w:bCs/>
          <w:sz w:val="28"/>
          <w:szCs w:val="28"/>
        </w:rPr>
      </w:pPr>
      <w:r>
        <w:rPr>
          <w:rFonts w:hint="eastAsia" w:ascii="宋体" w:hAnsi="宋体" w:cs="宋体"/>
          <w:bCs/>
          <w:sz w:val="28"/>
          <w:szCs w:val="28"/>
        </w:rPr>
        <w:t>快递包装政府采购需求标准（试行）</w:t>
      </w:r>
    </w:p>
    <w:p>
      <w:pPr>
        <w:widowControl/>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ascii="宋体" w:hAnsi="宋体" w:cs="宋体"/>
          <w:bCs/>
          <w:sz w:val="24"/>
        </w:rPr>
      </w:pPr>
      <w:r>
        <w:rPr>
          <w:rFonts w:hint="eastAsia" w:ascii="宋体" w:hAnsi="宋体" w:cs="宋体"/>
          <w:bCs/>
          <w:sz w:val="24"/>
        </w:rPr>
        <w:t>二、快递包装环保要求</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ascii="宋体" w:hAnsi="宋体" w:cs="宋体"/>
          <w:bCs/>
          <w:sz w:val="24"/>
        </w:rPr>
      </w:pPr>
      <w:r>
        <w:rPr>
          <w:rFonts w:hint="eastAsia" w:ascii="宋体" w:hAnsi="宋体" w:cs="宋体"/>
          <w:bCs/>
          <w:sz w:val="24"/>
        </w:rPr>
        <w:t>10.快递应使用电子面单；</w:t>
      </w:r>
    </w:p>
    <w:p>
      <w:pPr>
        <w:widowControl/>
        <w:spacing w:line="360" w:lineRule="auto"/>
        <w:jc w:val="left"/>
        <w:rPr>
          <w:rFonts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ascii="宋体" w:hAnsi="宋体" w:cs="宋体"/>
          <w:bCs/>
          <w:sz w:val="24"/>
        </w:rPr>
      </w:pPr>
      <w:r>
        <w:rPr>
          <w:rFonts w:hint="eastAsia" w:ascii="宋体" w:hAnsi="宋体" w:cs="宋体"/>
          <w:bCs/>
          <w:sz w:val="24"/>
        </w:rPr>
        <w:t>3.快递包装所使用的塑料包装的生物降解率的检测按照GB/T 20197-2006《降解塑料的定义、分类、标识和降解性能要求》规定的方法进行。</w:t>
      </w:r>
    </w:p>
    <w:p>
      <w:pPr>
        <w:widowControl/>
        <w:spacing w:line="360" w:lineRule="auto"/>
        <w:jc w:val="left"/>
        <w:rPr>
          <w:rFonts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ascii="宋体" w:hAnsi="宋体" w:cs="仿宋_GB2312"/>
          <w:b/>
          <w:bCs/>
          <w:color w:val="000000" w:themeColor="text1"/>
          <w:kern w:val="0"/>
          <w:sz w:val="24"/>
          <w:szCs w:val="20"/>
          <w:u w:val="single"/>
          <w14:textFill>
            <w14:solidFill>
              <w14:schemeClr w14:val="tx1"/>
            </w14:solidFill>
          </w14:textFill>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8D16969-5046-4D7A-96ED-C6F36684A4D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1576D3E-101D-4AA0-8863-BAAE2D310F21}"/>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702EAAC1-597F-442A-9F48-CEAB36E265EB}"/>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Segoe UI Symbol"/>
    <w:panose1 w:val="00000000000000000000"/>
    <w:charset w:val="00"/>
    <w:family w:val="swiss"/>
    <w:pitch w:val="default"/>
    <w:sig w:usb0="00000000" w:usb1="00000000" w:usb2="00000000" w:usb3="00000000" w:csb0="00000001" w:csb1="00000000"/>
  </w:font>
  <w:font w:name="font-weight : 400">
    <w:altName w:val="微软雅黑"/>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Segoe Print"/>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4" w:fontKey="{FE4DC6A7-2267-411C-928E-B151B3DE2361}"/>
  </w:font>
  <w:font w:name="Inter">
    <w:panose1 w:val="020B0502030000000004"/>
    <w:charset w:val="00"/>
    <w:family w:val="auto"/>
    <w:pitch w:val="default"/>
    <w:sig w:usb0="E00002FF" w:usb1="1200A1FF" w:usb2="00000001" w:usb3="00000000" w:csb0="0000019F" w:csb1="00000000"/>
    <w:embedRegular r:id="rId5" w:fontKey="{DDCA13E9-EE21-4B17-8688-008CCA78AD51}"/>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framePr w:wrap="around" w:vAnchor="text" w:hAnchor="margin" w:xAlign="right" w:y="1"/>
      <w:rPr>
        <w:rStyle w:val="60"/>
      </w:rPr>
    </w:pPr>
    <w:r>
      <w:rPr>
        <w:rStyle w:val="60"/>
      </w:rPr>
      <w:fldChar w:fldCharType="begin"/>
    </w:r>
    <w:r>
      <w:rPr>
        <w:rStyle w:val="60"/>
      </w:rPr>
      <w:instrText xml:space="preserve">PAGE  </w:instrText>
    </w:r>
    <w:r>
      <w:rPr>
        <w:rStyle w:val="60"/>
      </w:rPr>
      <w:fldChar w:fldCharType="end"/>
    </w:r>
  </w:p>
  <w:p>
    <w:pPr>
      <w:pStyle w:val="35"/>
      <w:ind w:right="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1"/>
      </w:pBdr>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0A"/>
    <w:multiLevelType w:val="multilevel"/>
    <w:tmpl w:val="0000000A"/>
    <w:lvl w:ilvl="0" w:tentative="0">
      <w:start w:val="1"/>
      <w:numFmt w:val="decimal"/>
      <w:pStyle w:val="123"/>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lowerLetter"/>
      <w:pStyle w:val="198"/>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3">
    <w:nsid w:val="00000013"/>
    <w:multiLevelType w:val="singleLevel"/>
    <w:tmpl w:val="00000013"/>
    <w:lvl w:ilvl="0" w:tentative="0">
      <w:start w:val="1"/>
      <w:numFmt w:val="decimal"/>
      <w:pStyle w:val="168"/>
      <w:lvlText w:val="%1."/>
      <w:lvlJc w:val="left"/>
      <w:pPr>
        <w:tabs>
          <w:tab w:val="left" w:pos="360"/>
        </w:tabs>
        <w:ind w:left="360" w:hanging="360"/>
      </w:pPr>
      <w:rPr>
        <w:rFonts w:hint="default"/>
      </w:rPr>
    </w:lvl>
  </w:abstractNum>
  <w:abstractNum w:abstractNumId="4">
    <w:nsid w:val="00000026"/>
    <w:multiLevelType w:val="multilevel"/>
    <w:tmpl w:val="00000026"/>
    <w:lvl w:ilvl="0" w:tentative="0">
      <w:start w:val="1"/>
      <w:numFmt w:val="decimal"/>
      <w:pStyle w:val="117"/>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6"/>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3"/>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52"/>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61"/>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4"/>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7"/>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5">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5"/>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6">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0000002F"/>
    <w:multiLevelType w:val="multilevel"/>
    <w:tmpl w:val="0000002F"/>
    <w:lvl w:ilvl="0" w:tentative="0">
      <w:start w:val="1"/>
      <w:numFmt w:val="decimal"/>
      <w:pStyle w:val="122"/>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4F55ADE"/>
    <w:multiLevelType w:val="multilevel"/>
    <w:tmpl w:val="04F55AD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9">
    <w:nsid w:val="0E230849"/>
    <w:multiLevelType w:val="multilevel"/>
    <w:tmpl w:val="0E230849"/>
    <w:lvl w:ilvl="0" w:tentative="0">
      <w:start w:val="1"/>
      <w:numFmt w:val="decimal"/>
      <w:pStyle w:val="223"/>
      <w:lvlText w:val="%1"/>
      <w:lvlJc w:val="left"/>
      <w:pPr>
        <w:ind w:left="680" w:hanging="680"/>
      </w:pPr>
      <w:rPr>
        <w:rFonts w:hint="eastAsia" w:ascii="宋体" w:hAnsi="宋体" w:eastAsia="宋体"/>
      </w:rPr>
    </w:lvl>
    <w:lvl w:ilvl="1" w:tentative="0">
      <w:start w:val="1"/>
      <w:numFmt w:val="decimal"/>
      <w:pStyle w:val="224"/>
      <w:lvlText w:val="%1.%2"/>
      <w:lvlJc w:val="left"/>
      <w:pPr>
        <w:ind w:left="851" w:hanging="851"/>
      </w:pPr>
      <w:rPr>
        <w:rFonts w:hint="eastAsia" w:ascii="宋体" w:hAnsi="宋体" w:eastAsia="宋体"/>
        <w:color w:val="auto"/>
      </w:rPr>
    </w:lvl>
    <w:lvl w:ilvl="2" w:tentative="0">
      <w:start w:val="1"/>
      <w:numFmt w:val="decimal"/>
      <w:pStyle w:val="225"/>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0">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Theme="minorEastAsia" w:hAnsiTheme="minorEastAsia" w:eastAsiaTheme="minor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1">
    <w:nsid w:val="1667154C"/>
    <w:multiLevelType w:val="multilevel"/>
    <w:tmpl w:val="1667154C"/>
    <w:lvl w:ilvl="0" w:tentative="0">
      <w:start w:val="1"/>
      <w:numFmt w:val="decimal"/>
      <w:pStyle w:val="360"/>
      <w:lvlText w:val="%1"/>
      <w:lvlJc w:val="left"/>
      <w:pPr>
        <w:tabs>
          <w:tab w:val="left" w:pos="900"/>
        </w:tabs>
        <w:ind w:left="900" w:hanging="900"/>
      </w:pPr>
      <w:rPr>
        <w:rFonts w:hint="eastAsia"/>
      </w:rPr>
    </w:lvl>
    <w:lvl w:ilvl="1" w:tentative="0">
      <w:start w:val="1"/>
      <w:numFmt w:val="decimal"/>
      <w:pStyle w:val="359"/>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61"/>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14">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5">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6">
    <w:nsid w:val="59F6D0D3"/>
    <w:multiLevelType w:val="singleLevel"/>
    <w:tmpl w:val="59F6D0D3"/>
    <w:lvl w:ilvl="0" w:tentative="0">
      <w:start w:val="1"/>
      <w:numFmt w:val="chineseCounting"/>
      <w:suff w:val="nothing"/>
      <w:lvlText w:val="%1、"/>
      <w:lvlJc w:val="left"/>
    </w:lvl>
  </w:abstractNum>
  <w:num w:numId="1">
    <w:abstractNumId w:val="4"/>
  </w:num>
  <w:num w:numId="2">
    <w:abstractNumId w:val="7"/>
  </w:num>
  <w:num w:numId="3">
    <w:abstractNumId w:val="1"/>
  </w:num>
  <w:num w:numId="4">
    <w:abstractNumId w:val="5"/>
  </w:num>
  <w:num w:numId="5">
    <w:abstractNumId w:val="3"/>
  </w:num>
  <w:num w:numId="6">
    <w:abstractNumId w:val="2"/>
  </w:num>
  <w:num w:numId="7">
    <w:abstractNumId w:val="9"/>
  </w:num>
  <w:num w:numId="8">
    <w:abstractNumId w:val="11"/>
  </w:num>
  <w:num w:numId="9">
    <w:abstractNumId w:val="6"/>
  </w:num>
  <w:num w:numId="10">
    <w:abstractNumId w:val="13"/>
  </w:num>
  <w:num w:numId="11">
    <w:abstractNumId w:val="0"/>
  </w:num>
  <w:num w:numId="12">
    <w:abstractNumId w:val="14"/>
  </w:num>
  <w:num w:numId="13">
    <w:abstractNumId w:val="10"/>
  </w:num>
  <w:num w:numId="14">
    <w:abstractNumId w:val="12"/>
  </w:num>
  <w:num w:numId="15">
    <w:abstractNumId w:val="15"/>
  </w:num>
  <w:num w:numId="16">
    <w:abstractNumId w:val="8"/>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E6"/>
    <w:rsid w:val="00063AB9"/>
    <w:rsid w:val="000640A5"/>
    <w:rsid w:val="00064564"/>
    <w:rsid w:val="000645FE"/>
    <w:rsid w:val="000649EC"/>
    <w:rsid w:val="00064D2F"/>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D5E"/>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D78"/>
    <w:rsid w:val="000C6EBF"/>
    <w:rsid w:val="000C6F06"/>
    <w:rsid w:val="000C6F5F"/>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AA6"/>
    <w:rsid w:val="00234AED"/>
    <w:rsid w:val="00234B77"/>
    <w:rsid w:val="00234BF1"/>
    <w:rsid w:val="00234FFC"/>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2FC"/>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650"/>
    <w:rsid w:val="00520A8B"/>
    <w:rsid w:val="00521016"/>
    <w:rsid w:val="005210E0"/>
    <w:rsid w:val="0052125C"/>
    <w:rsid w:val="005215D4"/>
    <w:rsid w:val="00521663"/>
    <w:rsid w:val="005217E8"/>
    <w:rsid w:val="00521851"/>
    <w:rsid w:val="0052192E"/>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DF4"/>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7C"/>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AE0"/>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6ED"/>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3F1"/>
    <w:rsid w:val="00757564"/>
    <w:rsid w:val="00757659"/>
    <w:rsid w:val="007577CB"/>
    <w:rsid w:val="007600FB"/>
    <w:rsid w:val="00760258"/>
    <w:rsid w:val="007602C9"/>
    <w:rsid w:val="00760386"/>
    <w:rsid w:val="00760816"/>
    <w:rsid w:val="00760C0D"/>
    <w:rsid w:val="00760FB1"/>
    <w:rsid w:val="007612CA"/>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71C"/>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B67"/>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025"/>
    <w:rsid w:val="00966189"/>
    <w:rsid w:val="00966A2D"/>
    <w:rsid w:val="00966D41"/>
    <w:rsid w:val="00966F99"/>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2D"/>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4A6"/>
    <w:rsid w:val="00AF7535"/>
    <w:rsid w:val="00AF799C"/>
    <w:rsid w:val="00AF7CE4"/>
    <w:rsid w:val="00B00000"/>
    <w:rsid w:val="00B003EC"/>
    <w:rsid w:val="00B00B19"/>
    <w:rsid w:val="00B00D80"/>
    <w:rsid w:val="00B00F03"/>
    <w:rsid w:val="00B012CC"/>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7E"/>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C3"/>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6F9"/>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4D27"/>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4C68D7"/>
    <w:rsid w:val="01604217"/>
    <w:rsid w:val="01FA5805"/>
    <w:rsid w:val="02486E33"/>
    <w:rsid w:val="02736662"/>
    <w:rsid w:val="02CF7A3A"/>
    <w:rsid w:val="0470002E"/>
    <w:rsid w:val="04B360C1"/>
    <w:rsid w:val="056D178C"/>
    <w:rsid w:val="05F70801"/>
    <w:rsid w:val="0613161F"/>
    <w:rsid w:val="06CB35C4"/>
    <w:rsid w:val="077D4340"/>
    <w:rsid w:val="07A47FA9"/>
    <w:rsid w:val="07B02DFC"/>
    <w:rsid w:val="09B86599"/>
    <w:rsid w:val="0B401717"/>
    <w:rsid w:val="0B660C1A"/>
    <w:rsid w:val="0BCE066E"/>
    <w:rsid w:val="0BE65DF4"/>
    <w:rsid w:val="0BE86EEE"/>
    <w:rsid w:val="0CDF2F6F"/>
    <w:rsid w:val="0D480CF4"/>
    <w:rsid w:val="0D782A7C"/>
    <w:rsid w:val="0DC900F6"/>
    <w:rsid w:val="0DCC43E3"/>
    <w:rsid w:val="0ECB2AFF"/>
    <w:rsid w:val="0FAA561B"/>
    <w:rsid w:val="0FDF5034"/>
    <w:rsid w:val="101D3AF7"/>
    <w:rsid w:val="105A5869"/>
    <w:rsid w:val="11EA5BE4"/>
    <w:rsid w:val="11F56B6F"/>
    <w:rsid w:val="12CB18A0"/>
    <w:rsid w:val="13B96E17"/>
    <w:rsid w:val="13D051BB"/>
    <w:rsid w:val="14243948"/>
    <w:rsid w:val="142D7C09"/>
    <w:rsid w:val="14870AD5"/>
    <w:rsid w:val="14885C9A"/>
    <w:rsid w:val="14933A29"/>
    <w:rsid w:val="1564021E"/>
    <w:rsid w:val="16125DAF"/>
    <w:rsid w:val="1701199D"/>
    <w:rsid w:val="1712445D"/>
    <w:rsid w:val="17F93E0B"/>
    <w:rsid w:val="1A9058A9"/>
    <w:rsid w:val="1AB01F69"/>
    <w:rsid w:val="1B5A57C5"/>
    <w:rsid w:val="1C455CA5"/>
    <w:rsid w:val="1C675A41"/>
    <w:rsid w:val="1D2C69D2"/>
    <w:rsid w:val="1DBB18AB"/>
    <w:rsid w:val="1E3F4303"/>
    <w:rsid w:val="1EAA1060"/>
    <w:rsid w:val="1EB32C36"/>
    <w:rsid w:val="2039750C"/>
    <w:rsid w:val="20E271CE"/>
    <w:rsid w:val="21637D6D"/>
    <w:rsid w:val="21A319E8"/>
    <w:rsid w:val="22263266"/>
    <w:rsid w:val="22C57048"/>
    <w:rsid w:val="239E00B4"/>
    <w:rsid w:val="23BE3576"/>
    <w:rsid w:val="24156E1F"/>
    <w:rsid w:val="243B2FEE"/>
    <w:rsid w:val="250C37AD"/>
    <w:rsid w:val="251E74A4"/>
    <w:rsid w:val="25C3437A"/>
    <w:rsid w:val="25E15AE3"/>
    <w:rsid w:val="26A42060"/>
    <w:rsid w:val="26EC6870"/>
    <w:rsid w:val="273A295D"/>
    <w:rsid w:val="27843CE5"/>
    <w:rsid w:val="28196F2C"/>
    <w:rsid w:val="28235435"/>
    <w:rsid w:val="28470060"/>
    <w:rsid w:val="28EE5876"/>
    <w:rsid w:val="28FC3596"/>
    <w:rsid w:val="29AA30DA"/>
    <w:rsid w:val="29FB2415"/>
    <w:rsid w:val="2AB23619"/>
    <w:rsid w:val="2B5B5B5C"/>
    <w:rsid w:val="2B7A5339"/>
    <w:rsid w:val="2BEDCB12"/>
    <w:rsid w:val="2C4810FA"/>
    <w:rsid w:val="2ECC1C8B"/>
    <w:rsid w:val="2EDE27BE"/>
    <w:rsid w:val="2F03376A"/>
    <w:rsid w:val="2FCB5706"/>
    <w:rsid w:val="2FCD06EB"/>
    <w:rsid w:val="30DA198B"/>
    <w:rsid w:val="31817E50"/>
    <w:rsid w:val="31BA0043"/>
    <w:rsid w:val="32152698"/>
    <w:rsid w:val="329C56D5"/>
    <w:rsid w:val="32C11E4B"/>
    <w:rsid w:val="32CD354C"/>
    <w:rsid w:val="32DD2181"/>
    <w:rsid w:val="32EB653A"/>
    <w:rsid w:val="33FE6BE1"/>
    <w:rsid w:val="345965C5"/>
    <w:rsid w:val="36FA338C"/>
    <w:rsid w:val="37103BA1"/>
    <w:rsid w:val="37EDF4F5"/>
    <w:rsid w:val="393C3BD7"/>
    <w:rsid w:val="3BCB6780"/>
    <w:rsid w:val="3BDA58E1"/>
    <w:rsid w:val="3C9D5E15"/>
    <w:rsid w:val="3CBF1831"/>
    <w:rsid w:val="3DB75AD1"/>
    <w:rsid w:val="3DEE62BF"/>
    <w:rsid w:val="3DFFB930"/>
    <w:rsid w:val="3E73290A"/>
    <w:rsid w:val="3EEB66BF"/>
    <w:rsid w:val="3F982986"/>
    <w:rsid w:val="3FDEA7DB"/>
    <w:rsid w:val="3FFBE3E2"/>
    <w:rsid w:val="404B5A00"/>
    <w:rsid w:val="40CC7652"/>
    <w:rsid w:val="411A73CB"/>
    <w:rsid w:val="41762B1F"/>
    <w:rsid w:val="42CD0A98"/>
    <w:rsid w:val="42FB203E"/>
    <w:rsid w:val="431A0C09"/>
    <w:rsid w:val="444F574B"/>
    <w:rsid w:val="44B903DB"/>
    <w:rsid w:val="45556501"/>
    <w:rsid w:val="46A43D2C"/>
    <w:rsid w:val="46CC15CD"/>
    <w:rsid w:val="47E2567D"/>
    <w:rsid w:val="480E2158"/>
    <w:rsid w:val="480F57AF"/>
    <w:rsid w:val="48233A15"/>
    <w:rsid w:val="48384D06"/>
    <w:rsid w:val="492312D0"/>
    <w:rsid w:val="49286AB2"/>
    <w:rsid w:val="496A6DE7"/>
    <w:rsid w:val="4B3A7DC7"/>
    <w:rsid w:val="4B65373A"/>
    <w:rsid w:val="4B8D6483"/>
    <w:rsid w:val="4CEB48AD"/>
    <w:rsid w:val="4D00163A"/>
    <w:rsid w:val="4D6E0833"/>
    <w:rsid w:val="4DF740D0"/>
    <w:rsid w:val="4E973F34"/>
    <w:rsid w:val="4EAA113E"/>
    <w:rsid w:val="4EFB0E9B"/>
    <w:rsid w:val="4F0F5BE3"/>
    <w:rsid w:val="4F2103FD"/>
    <w:rsid w:val="4F48437E"/>
    <w:rsid w:val="4F4DDC4D"/>
    <w:rsid w:val="5070230F"/>
    <w:rsid w:val="514C5C89"/>
    <w:rsid w:val="514D1A43"/>
    <w:rsid w:val="51596183"/>
    <w:rsid w:val="520B25A1"/>
    <w:rsid w:val="5233158F"/>
    <w:rsid w:val="52422029"/>
    <w:rsid w:val="52E87329"/>
    <w:rsid w:val="52FC7DC9"/>
    <w:rsid w:val="53215482"/>
    <w:rsid w:val="535E2C1C"/>
    <w:rsid w:val="536568BD"/>
    <w:rsid w:val="54D90AD4"/>
    <w:rsid w:val="55040901"/>
    <w:rsid w:val="55A81B98"/>
    <w:rsid w:val="55BF3C80"/>
    <w:rsid w:val="55E528CE"/>
    <w:rsid w:val="55F02DB1"/>
    <w:rsid w:val="56861391"/>
    <w:rsid w:val="56DF05DE"/>
    <w:rsid w:val="56F70118"/>
    <w:rsid w:val="57BD69DA"/>
    <w:rsid w:val="57FC6189"/>
    <w:rsid w:val="59D70523"/>
    <w:rsid w:val="59EF0258"/>
    <w:rsid w:val="59F40D00"/>
    <w:rsid w:val="5A347163"/>
    <w:rsid w:val="5B54551A"/>
    <w:rsid w:val="5B963C9D"/>
    <w:rsid w:val="5BBA5184"/>
    <w:rsid w:val="5C226CF3"/>
    <w:rsid w:val="5C9F091B"/>
    <w:rsid w:val="5CA22D1D"/>
    <w:rsid w:val="5D7A51F0"/>
    <w:rsid w:val="5DD0156B"/>
    <w:rsid w:val="5E0B036F"/>
    <w:rsid w:val="5EFE417B"/>
    <w:rsid w:val="5F073306"/>
    <w:rsid w:val="5F1D1F5A"/>
    <w:rsid w:val="5F4D6E91"/>
    <w:rsid w:val="5F56244B"/>
    <w:rsid w:val="5F5F73B9"/>
    <w:rsid w:val="5F9252D0"/>
    <w:rsid w:val="5FD51E19"/>
    <w:rsid w:val="5FFFD8C0"/>
    <w:rsid w:val="600B02EA"/>
    <w:rsid w:val="60196513"/>
    <w:rsid w:val="604F305A"/>
    <w:rsid w:val="619260ED"/>
    <w:rsid w:val="61A11B07"/>
    <w:rsid w:val="61C46B55"/>
    <w:rsid w:val="62861287"/>
    <w:rsid w:val="63795759"/>
    <w:rsid w:val="63BF6D23"/>
    <w:rsid w:val="64BFAF20"/>
    <w:rsid w:val="64F61BE2"/>
    <w:rsid w:val="65601830"/>
    <w:rsid w:val="656E5C27"/>
    <w:rsid w:val="65C74899"/>
    <w:rsid w:val="65E7D84C"/>
    <w:rsid w:val="660E3674"/>
    <w:rsid w:val="6637C928"/>
    <w:rsid w:val="677019ED"/>
    <w:rsid w:val="67E91E66"/>
    <w:rsid w:val="6838144E"/>
    <w:rsid w:val="68636F31"/>
    <w:rsid w:val="686719DE"/>
    <w:rsid w:val="686B2462"/>
    <w:rsid w:val="68AA7398"/>
    <w:rsid w:val="6A797903"/>
    <w:rsid w:val="6AA0644F"/>
    <w:rsid w:val="6AB5580B"/>
    <w:rsid w:val="6B3B6738"/>
    <w:rsid w:val="6BA46F9F"/>
    <w:rsid w:val="6CDF0224"/>
    <w:rsid w:val="6D405B9F"/>
    <w:rsid w:val="6E002AA7"/>
    <w:rsid w:val="6E1753FD"/>
    <w:rsid w:val="6E300441"/>
    <w:rsid w:val="6EF5249C"/>
    <w:rsid w:val="6F297B74"/>
    <w:rsid w:val="6F3EF8F4"/>
    <w:rsid w:val="6F97D24A"/>
    <w:rsid w:val="703C0F56"/>
    <w:rsid w:val="7054013A"/>
    <w:rsid w:val="71895C77"/>
    <w:rsid w:val="71CF3736"/>
    <w:rsid w:val="71E909FE"/>
    <w:rsid w:val="742C597A"/>
    <w:rsid w:val="7499002B"/>
    <w:rsid w:val="75297821"/>
    <w:rsid w:val="75906307"/>
    <w:rsid w:val="75B5A293"/>
    <w:rsid w:val="75F95673"/>
    <w:rsid w:val="762D089E"/>
    <w:rsid w:val="76443AB5"/>
    <w:rsid w:val="77407BB6"/>
    <w:rsid w:val="77735706"/>
    <w:rsid w:val="77BE7064"/>
    <w:rsid w:val="77EB940F"/>
    <w:rsid w:val="77FE53E9"/>
    <w:rsid w:val="77FFD178"/>
    <w:rsid w:val="786579EC"/>
    <w:rsid w:val="78B72AEB"/>
    <w:rsid w:val="78BE65B5"/>
    <w:rsid w:val="7A9D6DC7"/>
    <w:rsid w:val="7AF73C51"/>
    <w:rsid w:val="7B1B7BB6"/>
    <w:rsid w:val="7B6770D5"/>
    <w:rsid w:val="7B7F2F1D"/>
    <w:rsid w:val="7BC506FF"/>
    <w:rsid w:val="7BDBDEEB"/>
    <w:rsid w:val="7BFCFFC7"/>
    <w:rsid w:val="7CD306DB"/>
    <w:rsid w:val="7DF3DCD2"/>
    <w:rsid w:val="7EB644E4"/>
    <w:rsid w:val="7F77E014"/>
    <w:rsid w:val="7F7E4AED"/>
    <w:rsid w:val="7F7FEAE7"/>
    <w:rsid w:val="7F8D4A12"/>
    <w:rsid w:val="7F97D7F2"/>
    <w:rsid w:val="7FBFA80E"/>
    <w:rsid w:val="7FD7EDB6"/>
    <w:rsid w:val="7FFF3B73"/>
    <w:rsid w:val="8FBF7C1A"/>
    <w:rsid w:val="97FF4143"/>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F1E69"/>
    <w:rsid w:val="EF7CB3D9"/>
    <w:rsid w:val="EF7E56C0"/>
    <w:rsid w:val="EFFD903C"/>
    <w:rsid w:val="F3FBC3B0"/>
    <w:rsid w:val="F5DF601C"/>
    <w:rsid w:val="F6B9DB1D"/>
    <w:rsid w:val="F9F3A651"/>
    <w:rsid w:val="FB2767F0"/>
    <w:rsid w:val="FBFF0D9D"/>
    <w:rsid w:val="FD7D5ACF"/>
    <w:rsid w:val="FDDF97A4"/>
    <w:rsid w:val="FE35255F"/>
    <w:rsid w:val="FEFFEEF7"/>
    <w:rsid w:val="FF9FAC0E"/>
    <w:rsid w:val="FFDA53F0"/>
    <w:rsid w:val="FFFC599E"/>
    <w:rsid w:val="FFFF9DF6"/>
    <w:rsid w:val="FFFFB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qFormat="1" w:unhideWhenUsed="0" w:uiPriority="0" w:semiHidden="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68"/>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6">
    <w:name w:val="heading 2"/>
    <w:basedOn w:val="1"/>
    <w:next w:val="7"/>
    <w:link w:val="69"/>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8">
    <w:name w:val="heading 3"/>
    <w:basedOn w:val="1"/>
    <w:next w:val="7"/>
    <w:link w:val="7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9">
    <w:name w:val="heading 4"/>
    <w:basedOn w:val="1"/>
    <w:next w:val="1"/>
    <w:link w:val="72"/>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10">
    <w:name w:val="heading 5"/>
    <w:basedOn w:val="1"/>
    <w:next w:val="1"/>
    <w:link w:val="73"/>
    <w:qFormat/>
    <w:uiPriority w:val="0"/>
    <w:pPr>
      <w:keepNext/>
      <w:keepLines/>
      <w:adjustRightInd w:val="0"/>
      <w:spacing w:before="280" w:after="290" w:line="376" w:lineRule="atLeast"/>
      <w:textAlignment w:val="baseline"/>
      <w:outlineLvl w:val="4"/>
    </w:pPr>
    <w:rPr>
      <w:b/>
      <w:kern w:val="0"/>
      <w:sz w:val="28"/>
      <w:szCs w:val="20"/>
    </w:rPr>
  </w:style>
  <w:style w:type="paragraph" w:styleId="11">
    <w:name w:val="heading 6"/>
    <w:basedOn w:val="1"/>
    <w:next w:val="1"/>
    <w:link w:val="74"/>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2">
    <w:name w:val="heading 7"/>
    <w:basedOn w:val="1"/>
    <w:next w:val="1"/>
    <w:link w:val="75"/>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3">
    <w:name w:val="heading 8"/>
    <w:basedOn w:val="1"/>
    <w:next w:val="1"/>
    <w:link w:val="76"/>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77"/>
    <w:autoRedefine/>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8">
    <w:name w:val="Default Paragraph Font"/>
    <w:unhideWhenUsed/>
    <w:qFormat/>
    <w:uiPriority w:val="1"/>
  </w:style>
  <w:style w:type="table" w:default="1" w:styleId="55">
    <w:name w:val="Normal Table"/>
    <w:autoRedefine/>
    <w:unhideWhenUsed/>
    <w:qFormat/>
    <w:uiPriority w:val="99"/>
    <w:tblPr>
      <w:tblCellMar>
        <w:top w:w="0" w:type="dxa"/>
        <w:left w:w="108" w:type="dxa"/>
        <w:bottom w:w="0" w:type="dxa"/>
        <w:right w:w="108" w:type="dxa"/>
      </w:tblCellMar>
    </w:tblPr>
  </w:style>
  <w:style w:type="paragraph" w:customStyle="1" w:styleId="2">
    <w:name w:val="*正文"/>
    <w:basedOn w:val="3"/>
    <w:autoRedefine/>
    <w:qFormat/>
    <w:uiPriority w:val="0"/>
  </w:style>
  <w:style w:type="paragraph" w:customStyle="1" w:styleId="3">
    <w:name w:val="正文样式"/>
    <w:basedOn w:val="1"/>
    <w:next w:val="1"/>
    <w:autoRedefine/>
    <w:qFormat/>
    <w:uiPriority w:val="7"/>
    <w:pPr>
      <w:ind w:firstLine="480"/>
    </w:pPr>
  </w:style>
  <w:style w:type="paragraph" w:styleId="4">
    <w:name w:val="macro"/>
    <w:link w:val="528"/>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7">
    <w:name w:val="Normal Indent"/>
    <w:basedOn w:val="1"/>
    <w:link w:val="70"/>
    <w:autoRedefine/>
    <w:qFormat/>
    <w:uiPriority w:val="99"/>
    <w:pPr>
      <w:autoSpaceDE w:val="0"/>
      <w:autoSpaceDN w:val="0"/>
      <w:adjustRightInd w:val="0"/>
      <w:ind w:firstLine="420"/>
      <w:jc w:val="left"/>
    </w:pPr>
    <w:rPr>
      <w:rFonts w:ascii="宋体"/>
      <w:sz w:val="24"/>
    </w:rPr>
  </w:style>
  <w:style w:type="paragraph" w:styleId="15">
    <w:name w:val="toc 7"/>
    <w:basedOn w:val="1"/>
    <w:next w:val="1"/>
    <w:autoRedefine/>
    <w:qFormat/>
    <w:uiPriority w:val="99"/>
    <w:pPr>
      <w:ind w:left="2520" w:leftChars="1200"/>
    </w:pPr>
  </w:style>
  <w:style w:type="paragraph" w:styleId="16">
    <w:name w:val="List Number"/>
    <w:basedOn w:val="17"/>
    <w:unhideWhenUsed/>
    <w:qFormat/>
    <w:uiPriority w:val="99"/>
    <w:pPr>
      <w:tabs>
        <w:tab w:val="left" w:pos="360"/>
      </w:tabs>
      <w:spacing w:line="360" w:lineRule="auto"/>
      <w:ind w:left="360" w:hanging="360"/>
    </w:pPr>
    <w:rPr>
      <w:rFonts w:ascii="宋体"/>
      <w:szCs w:val="21"/>
      <w:lang w:val="zh-CN"/>
    </w:rPr>
  </w:style>
  <w:style w:type="paragraph" w:customStyle="1" w:styleId="17">
    <w:name w:val="List Paragraph"/>
    <w:basedOn w:val="1"/>
    <w:link w:val="109"/>
    <w:qFormat/>
    <w:uiPriority w:val="34"/>
    <w:pPr>
      <w:ind w:firstLine="420" w:firstLineChars="200"/>
    </w:pPr>
    <w:rPr>
      <w:rFonts w:ascii="Calibri" w:hAnsi="Calibri"/>
      <w:szCs w:val="22"/>
    </w:rPr>
  </w:style>
  <w:style w:type="paragraph" w:styleId="18">
    <w:name w:val="caption"/>
    <w:basedOn w:val="1"/>
    <w:next w:val="1"/>
    <w:qFormat/>
    <w:uiPriority w:val="99"/>
    <w:pPr>
      <w:spacing w:line="480" w:lineRule="auto"/>
    </w:pPr>
    <w:rPr>
      <w:rFonts w:ascii="华文中宋" w:hAnsi="华文中宋" w:eastAsia="华文中宋"/>
      <w:sz w:val="36"/>
      <w:szCs w:val="20"/>
    </w:rPr>
  </w:style>
  <w:style w:type="paragraph" w:styleId="19">
    <w:name w:val="Document Map"/>
    <w:basedOn w:val="1"/>
    <w:link w:val="78"/>
    <w:autoRedefine/>
    <w:qFormat/>
    <w:uiPriority w:val="99"/>
    <w:pPr>
      <w:shd w:val="clear" w:color="auto" w:fill="000080"/>
    </w:pPr>
  </w:style>
  <w:style w:type="paragraph" w:styleId="20">
    <w:name w:val="annotation text"/>
    <w:basedOn w:val="1"/>
    <w:link w:val="79"/>
    <w:autoRedefine/>
    <w:qFormat/>
    <w:uiPriority w:val="99"/>
    <w:pPr>
      <w:jc w:val="left"/>
    </w:pPr>
  </w:style>
  <w:style w:type="paragraph" w:styleId="21">
    <w:name w:val="Body Text 3"/>
    <w:basedOn w:val="1"/>
    <w:link w:val="80"/>
    <w:qFormat/>
    <w:uiPriority w:val="99"/>
    <w:pPr>
      <w:spacing w:after="120"/>
    </w:pPr>
    <w:rPr>
      <w:sz w:val="16"/>
      <w:szCs w:val="16"/>
    </w:rPr>
  </w:style>
  <w:style w:type="paragraph" w:styleId="22">
    <w:name w:val="Body Text"/>
    <w:basedOn w:val="1"/>
    <w:next w:val="23"/>
    <w:link w:val="81"/>
    <w:qFormat/>
    <w:uiPriority w:val="99"/>
    <w:pPr>
      <w:tabs>
        <w:tab w:val="left" w:pos="567"/>
      </w:tabs>
      <w:spacing w:before="120" w:line="22" w:lineRule="atLeast"/>
    </w:pPr>
    <w:rPr>
      <w:rFonts w:ascii="宋体" w:hAnsi="宋体"/>
      <w:sz w:val="24"/>
    </w:rPr>
  </w:style>
  <w:style w:type="paragraph" w:customStyle="1" w:styleId="23">
    <w:name w:val="目录 11"/>
    <w:next w:val="1"/>
    <w:qFormat/>
    <w:uiPriority w:val="0"/>
    <w:pPr>
      <w:wordWrap w:val="0"/>
      <w:jc w:val="both"/>
    </w:pPr>
    <w:rPr>
      <w:rFonts w:ascii="Calibri" w:hAnsi="Calibri" w:eastAsia="宋体" w:cs="Calibri"/>
      <w:sz w:val="21"/>
      <w:szCs w:val="22"/>
      <w:lang w:val="en-US" w:eastAsia="zh-CN" w:bidi="ar-SA"/>
    </w:rPr>
  </w:style>
  <w:style w:type="paragraph" w:styleId="24">
    <w:name w:val="Body Text Indent"/>
    <w:basedOn w:val="1"/>
    <w:next w:val="1"/>
    <w:link w:val="82"/>
    <w:qFormat/>
    <w:uiPriority w:val="99"/>
    <w:pPr>
      <w:spacing w:line="360" w:lineRule="auto"/>
      <w:ind w:firstLine="570"/>
    </w:pPr>
    <w:rPr>
      <w:sz w:val="24"/>
    </w:rPr>
  </w:style>
  <w:style w:type="paragraph" w:styleId="25">
    <w:name w:val="List 2"/>
    <w:basedOn w:val="1"/>
    <w:qFormat/>
    <w:uiPriority w:val="99"/>
    <w:pPr>
      <w:ind w:left="100" w:leftChars="200" w:hanging="200" w:hangingChars="200"/>
    </w:pPr>
  </w:style>
  <w:style w:type="paragraph" w:styleId="26">
    <w:name w:val="Block Text"/>
    <w:basedOn w:val="1"/>
    <w:qFormat/>
    <w:uiPriority w:val="99"/>
    <w:pPr>
      <w:widowControl/>
      <w:ind w:left="480" w:right="-341" w:firstLine="513"/>
    </w:pPr>
    <w:rPr>
      <w:kern w:val="0"/>
      <w:sz w:val="24"/>
      <w:szCs w:val="20"/>
    </w:rPr>
  </w:style>
  <w:style w:type="paragraph" w:styleId="27">
    <w:name w:val="index 4"/>
    <w:basedOn w:val="1"/>
    <w:next w:val="1"/>
    <w:unhideWhenUsed/>
    <w:qFormat/>
    <w:uiPriority w:val="99"/>
    <w:pPr>
      <w:ind w:left="600" w:leftChars="600"/>
    </w:pPr>
  </w:style>
  <w:style w:type="paragraph" w:styleId="28">
    <w:name w:val="toc 5"/>
    <w:basedOn w:val="1"/>
    <w:next w:val="1"/>
    <w:qFormat/>
    <w:uiPriority w:val="99"/>
    <w:pPr>
      <w:ind w:left="1680" w:leftChars="800"/>
    </w:pPr>
  </w:style>
  <w:style w:type="paragraph" w:styleId="29">
    <w:name w:val="toc 3"/>
    <w:basedOn w:val="1"/>
    <w:next w:val="1"/>
    <w:qFormat/>
    <w:uiPriority w:val="99"/>
    <w:pPr>
      <w:ind w:left="840" w:leftChars="400"/>
    </w:pPr>
  </w:style>
  <w:style w:type="paragraph" w:styleId="30">
    <w:name w:val="Plain Text"/>
    <w:basedOn w:val="1"/>
    <w:link w:val="83"/>
    <w:qFormat/>
    <w:uiPriority w:val="99"/>
    <w:rPr>
      <w:rFonts w:hint="eastAsia" w:ascii="宋体" w:hAnsi="Courier New"/>
      <w:szCs w:val="20"/>
    </w:rPr>
  </w:style>
  <w:style w:type="paragraph" w:styleId="31">
    <w:name w:val="toc 8"/>
    <w:basedOn w:val="1"/>
    <w:next w:val="1"/>
    <w:qFormat/>
    <w:uiPriority w:val="99"/>
    <w:pPr>
      <w:ind w:left="2940" w:leftChars="1400"/>
    </w:pPr>
  </w:style>
  <w:style w:type="paragraph" w:styleId="32">
    <w:name w:val="Date"/>
    <w:basedOn w:val="1"/>
    <w:next w:val="1"/>
    <w:link w:val="84"/>
    <w:qFormat/>
    <w:uiPriority w:val="99"/>
    <w:pPr>
      <w:ind w:left="100" w:leftChars="2500"/>
    </w:pPr>
    <w:rPr>
      <w:rFonts w:ascii="仿宋_GB2312" w:hAnsi="宋体" w:eastAsia="仿宋_GB2312"/>
      <w:color w:val="000000"/>
      <w:sz w:val="24"/>
    </w:rPr>
  </w:style>
  <w:style w:type="paragraph" w:styleId="33">
    <w:name w:val="Body Text Indent 2"/>
    <w:basedOn w:val="1"/>
    <w:link w:val="85"/>
    <w:qFormat/>
    <w:uiPriority w:val="99"/>
    <w:pPr>
      <w:ind w:firstLine="480" w:firstLineChars="200"/>
    </w:pPr>
    <w:rPr>
      <w:rFonts w:ascii="仿宋_GB2312" w:eastAsia="仿宋_GB2312"/>
      <w:sz w:val="24"/>
    </w:rPr>
  </w:style>
  <w:style w:type="paragraph" w:styleId="34">
    <w:name w:val="Balloon Text"/>
    <w:basedOn w:val="1"/>
    <w:link w:val="86"/>
    <w:qFormat/>
    <w:uiPriority w:val="99"/>
    <w:rPr>
      <w:sz w:val="18"/>
      <w:szCs w:val="18"/>
    </w:rPr>
  </w:style>
  <w:style w:type="paragraph" w:styleId="35">
    <w:name w:val="footer"/>
    <w:basedOn w:val="1"/>
    <w:link w:val="87"/>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6">
    <w:name w:val="header"/>
    <w:basedOn w:val="1"/>
    <w:link w:val="88"/>
    <w:qFormat/>
    <w:uiPriority w:val="99"/>
    <w:pPr>
      <w:pBdr>
        <w:bottom w:val="single" w:color="auto" w:sz="6" w:space="1"/>
      </w:pBdr>
      <w:tabs>
        <w:tab w:val="center" w:pos="4153"/>
        <w:tab w:val="right" w:pos="8306"/>
      </w:tabs>
      <w:snapToGrid w:val="0"/>
      <w:jc w:val="center"/>
    </w:pPr>
    <w:rPr>
      <w:sz w:val="18"/>
      <w:szCs w:val="18"/>
    </w:rPr>
  </w:style>
  <w:style w:type="paragraph" w:styleId="37">
    <w:name w:val="toc 1"/>
    <w:basedOn w:val="1"/>
    <w:next w:val="1"/>
    <w:qFormat/>
    <w:uiPriority w:val="39"/>
    <w:pPr>
      <w:tabs>
        <w:tab w:val="left" w:pos="1050"/>
        <w:tab w:val="right" w:leader="dot" w:pos="8937"/>
      </w:tabs>
      <w:spacing w:line="300" w:lineRule="auto"/>
    </w:pPr>
    <w:rPr>
      <w:rFonts w:ascii="宋体" w:hAnsi="宋体"/>
      <w:b/>
      <w:sz w:val="24"/>
    </w:rPr>
  </w:style>
  <w:style w:type="paragraph" w:styleId="38">
    <w:name w:val="toc 4"/>
    <w:basedOn w:val="1"/>
    <w:next w:val="1"/>
    <w:qFormat/>
    <w:uiPriority w:val="99"/>
    <w:pPr>
      <w:ind w:left="1260" w:leftChars="600"/>
    </w:pPr>
  </w:style>
  <w:style w:type="paragraph" w:styleId="39">
    <w:name w:val="Subtitle"/>
    <w:basedOn w:val="1"/>
    <w:next w:val="1"/>
    <w:link w:val="419"/>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40">
    <w:name w:val="footnote text"/>
    <w:basedOn w:val="1"/>
    <w:link w:val="270"/>
    <w:autoRedefine/>
    <w:unhideWhenUsed/>
    <w:qFormat/>
    <w:uiPriority w:val="99"/>
    <w:pPr>
      <w:adjustRightInd w:val="0"/>
      <w:spacing w:line="312" w:lineRule="atLeast"/>
      <w:jc w:val="left"/>
    </w:pPr>
    <w:rPr>
      <w:kern w:val="0"/>
      <w:sz w:val="18"/>
      <w:szCs w:val="20"/>
      <w:lang w:val="zh-CN"/>
    </w:rPr>
  </w:style>
  <w:style w:type="paragraph" w:styleId="41">
    <w:name w:val="toc 6"/>
    <w:basedOn w:val="1"/>
    <w:next w:val="1"/>
    <w:qFormat/>
    <w:uiPriority w:val="99"/>
    <w:pPr>
      <w:ind w:left="2100" w:leftChars="1000"/>
    </w:pPr>
  </w:style>
  <w:style w:type="paragraph" w:styleId="42">
    <w:name w:val="Body Text Indent 3"/>
    <w:basedOn w:val="1"/>
    <w:link w:val="89"/>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3">
    <w:name w:val="index 9"/>
    <w:basedOn w:val="1"/>
    <w:next w:val="1"/>
    <w:qFormat/>
    <w:uiPriority w:val="0"/>
    <w:pPr>
      <w:ind w:left="1600" w:leftChars="1600"/>
    </w:pPr>
  </w:style>
  <w:style w:type="paragraph" w:styleId="44">
    <w:name w:val="table of figures"/>
    <w:basedOn w:val="1"/>
    <w:next w:val="1"/>
    <w:unhideWhenUsed/>
    <w:qFormat/>
    <w:uiPriority w:val="99"/>
    <w:pPr>
      <w:ind w:left="840" w:hanging="420"/>
    </w:pPr>
    <w:rPr>
      <w:szCs w:val="20"/>
    </w:rPr>
  </w:style>
  <w:style w:type="paragraph" w:styleId="45">
    <w:name w:val="toc 2"/>
    <w:basedOn w:val="1"/>
    <w:next w:val="1"/>
    <w:qFormat/>
    <w:uiPriority w:val="99"/>
    <w:pPr>
      <w:tabs>
        <w:tab w:val="right" w:leader="dot" w:pos="8937"/>
      </w:tabs>
      <w:spacing w:line="312" w:lineRule="auto"/>
      <w:ind w:left="420" w:leftChars="200"/>
    </w:pPr>
  </w:style>
  <w:style w:type="paragraph" w:styleId="46">
    <w:name w:val="toc 9"/>
    <w:basedOn w:val="1"/>
    <w:next w:val="1"/>
    <w:qFormat/>
    <w:uiPriority w:val="99"/>
    <w:pPr>
      <w:ind w:left="3360" w:leftChars="1600"/>
    </w:pPr>
  </w:style>
  <w:style w:type="paragraph" w:styleId="47">
    <w:name w:val="Body Text 2"/>
    <w:basedOn w:val="1"/>
    <w:link w:val="271"/>
    <w:unhideWhenUsed/>
    <w:qFormat/>
    <w:uiPriority w:val="99"/>
    <w:pPr>
      <w:adjustRightInd w:val="0"/>
      <w:spacing w:line="360" w:lineRule="atLeast"/>
    </w:pPr>
    <w:rPr>
      <w:rFonts w:ascii="宋体" w:hAnsi="宋体"/>
      <w:kern w:val="0"/>
      <w:sz w:val="24"/>
      <w:u w:val="single"/>
      <w:lang w:val="zh-CN"/>
    </w:rPr>
  </w:style>
  <w:style w:type="paragraph" w:styleId="48">
    <w:name w:val="HTML Preformatted"/>
    <w:basedOn w:val="1"/>
    <w:link w:val="9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9">
    <w:name w:val="Normal (Web)"/>
    <w:basedOn w:val="1"/>
    <w:link w:val="266"/>
    <w:unhideWhenUsed/>
    <w:qFormat/>
    <w:uiPriority w:val="99"/>
    <w:pPr>
      <w:widowControl/>
      <w:spacing w:before="100" w:beforeAutospacing="1" w:after="100" w:afterAutospacing="1"/>
      <w:jc w:val="left"/>
    </w:pPr>
    <w:rPr>
      <w:rFonts w:ascii="宋体" w:hAnsi="宋体" w:cs="宋体"/>
      <w:kern w:val="0"/>
      <w:sz w:val="24"/>
    </w:rPr>
  </w:style>
  <w:style w:type="paragraph" w:styleId="50">
    <w:name w:val="index 1"/>
    <w:basedOn w:val="1"/>
    <w:next w:val="1"/>
    <w:autoRedefine/>
    <w:qFormat/>
    <w:uiPriority w:val="99"/>
    <w:rPr>
      <w:szCs w:val="20"/>
    </w:rPr>
  </w:style>
  <w:style w:type="paragraph" w:styleId="51">
    <w:name w:val="Title"/>
    <w:basedOn w:val="1"/>
    <w:link w:val="91"/>
    <w:autoRedefine/>
    <w:qFormat/>
    <w:uiPriority w:val="99"/>
    <w:pPr>
      <w:jc w:val="center"/>
      <w:outlineLvl w:val="0"/>
    </w:pPr>
    <w:rPr>
      <w:b/>
      <w:sz w:val="32"/>
      <w:szCs w:val="20"/>
    </w:rPr>
  </w:style>
  <w:style w:type="paragraph" w:styleId="52">
    <w:name w:val="annotation subject"/>
    <w:basedOn w:val="20"/>
    <w:next w:val="20"/>
    <w:link w:val="92"/>
    <w:autoRedefine/>
    <w:qFormat/>
    <w:uiPriority w:val="99"/>
    <w:rPr>
      <w:b/>
      <w:bCs/>
    </w:rPr>
  </w:style>
  <w:style w:type="paragraph" w:styleId="53">
    <w:name w:val="Body Text First Indent"/>
    <w:basedOn w:val="22"/>
    <w:link w:val="273"/>
    <w:autoRedefine/>
    <w:unhideWhenUsed/>
    <w:qFormat/>
    <w:uiPriority w:val="99"/>
    <w:pPr>
      <w:spacing w:before="0" w:after="120" w:line="240" w:lineRule="auto"/>
      <w:ind w:firstLine="420" w:firstLineChars="100"/>
    </w:pPr>
    <w:rPr>
      <w:rFonts w:ascii="Times New Roman" w:hAnsi="Times New Roman"/>
      <w:sz w:val="21"/>
    </w:rPr>
  </w:style>
  <w:style w:type="paragraph" w:styleId="54">
    <w:name w:val="Body Text First Indent 2"/>
    <w:basedOn w:val="24"/>
    <w:next w:val="45"/>
    <w:link w:val="93"/>
    <w:autoRedefine/>
    <w:qFormat/>
    <w:uiPriority w:val="99"/>
    <w:pPr>
      <w:spacing w:after="120" w:line="480" w:lineRule="exact"/>
      <w:ind w:left="420" w:leftChars="200" w:firstLine="420" w:firstLineChars="200"/>
    </w:pPr>
    <w:rPr>
      <w:szCs w:val="20"/>
    </w:rPr>
  </w:style>
  <w:style w:type="table" w:styleId="56">
    <w:name w:val="Table Grid"/>
    <w:basedOn w:val="55"/>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7">
    <w:name w:val="Medium Grid 1 Accent 2"/>
    <w:basedOn w:val="55"/>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9">
    <w:name w:val="Strong"/>
    <w:autoRedefine/>
    <w:qFormat/>
    <w:uiPriority w:val="22"/>
    <w:rPr>
      <w:b/>
      <w:bCs/>
    </w:rPr>
  </w:style>
  <w:style w:type="character" w:styleId="60">
    <w:name w:val="page number"/>
    <w:autoRedefine/>
    <w:qFormat/>
    <w:uiPriority w:val="0"/>
  </w:style>
  <w:style w:type="character" w:styleId="61">
    <w:name w:val="FollowedHyperlink"/>
    <w:autoRedefine/>
    <w:qFormat/>
    <w:uiPriority w:val="99"/>
    <w:rPr>
      <w:color w:val="800080"/>
      <w:u w:val="single"/>
    </w:rPr>
  </w:style>
  <w:style w:type="character" w:styleId="62">
    <w:name w:val="Emphasis"/>
    <w:autoRedefine/>
    <w:qFormat/>
    <w:uiPriority w:val="20"/>
    <w:rPr>
      <w:color w:val="CC0033"/>
    </w:rPr>
  </w:style>
  <w:style w:type="character" w:styleId="63">
    <w:name w:val="Hyperlink"/>
    <w:autoRedefine/>
    <w:qFormat/>
    <w:uiPriority w:val="99"/>
    <w:rPr>
      <w:color w:val="0000FF"/>
      <w:u w:val="single"/>
    </w:rPr>
  </w:style>
  <w:style w:type="character" w:styleId="64">
    <w:name w:val="annotation reference"/>
    <w:autoRedefine/>
    <w:qFormat/>
    <w:uiPriority w:val="99"/>
    <w:rPr>
      <w:sz w:val="21"/>
      <w:szCs w:val="21"/>
    </w:rPr>
  </w:style>
  <w:style w:type="character" w:styleId="65">
    <w:name w:val="HTML Cite"/>
    <w:autoRedefine/>
    <w:qFormat/>
    <w:uiPriority w:val="0"/>
    <w:rPr>
      <w:i/>
      <w:iCs/>
    </w:rPr>
  </w:style>
  <w:style w:type="character" w:styleId="66">
    <w:name w:val="footnote reference"/>
    <w:autoRedefine/>
    <w:unhideWhenUsed/>
    <w:qFormat/>
    <w:uiPriority w:val="0"/>
    <w:rPr>
      <w:vertAlign w:val="superscript"/>
    </w:rPr>
  </w:style>
  <w:style w:type="character" w:customStyle="1" w:styleId="67">
    <w:name w:val="标题 2 字符"/>
    <w:autoRedefine/>
    <w:qFormat/>
    <w:locked/>
    <w:uiPriority w:val="0"/>
    <w:rPr>
      <w:rFonts w:hint="default" w:ascii="Arial" w:hAnsi="Arial" w:eastAsia="宋体" w:cs="Arial"/>
      <w:sz w:val="28"/>
      <w:lang w:val="zh-CN" w:eastAsia="zh-CN"/>
    </w:rPr>
  </w:style>
  <w:style w:type="character" w:customStyle="1" w:styleId="68">
    <w:name w:val="标题 1 字符1"/>
    <w:link w:val="5"/>
    <w:autoRedefine/>
    <w:qFormat/>
    <w:uiPriority w:val="0"/>
    <w:rPr>
      <w:rFonts w:ascii="宋体"/>
      <w:b/>
      <w:kern w:val="44"/>
      <w:sz w:val="32"/>
    </w:rPr>
  </w:style>
  <w:style w:type="character" w:customStyle="1" w:styleId="69">
    <w:name w:val="标题 2 字符1"/>
    <w:link w:val="6"/>
    <w:autoRedefine/>
    <w:qFormat/>
    <w:uiPriority w:val="0"/>
    <w:rPr>
      <w:rFonts w:ascii="Arial" w:hAnsi="Arial" w:eastAsia="黑体"/>
      <w:b/>
      <w:sz w:val="30"/>
      <w:lang w:val="en-US" w:eastAsia="zh-CN" w:bidi="ar-SA"/>
    </w:rPr>
  </w:style>
  <w:style w:type="character" w:customStyle="1" w:styleId="70">
    <w:name w:val="正文缩进 字符3"/>
    <w:link w:val="7"/>
    <w:autoRedefine/>
    <w:qFormat/>
    <w:uiPriority w:val="0"/>
    <w:rPr>
      <w:rFonts w:ascii="宋体" w:eastAsia="宋体"/>
      <w:kern w:val="2"/>
      <w:sz w:val="24"/>
      <w:szCs w:val="24"/>
      <w:lang w:val="en-US" w:eastAsia="zh-CN" w:bidi="ar-SA"/>
    </w:rPr>
  </w:style>
  <w:style w:type="character" w:customStyle="1" w:styleId="71">
    <w:name w:val="标题 3 字符2"/>
    <w:link w:val="8"/>
    <w:autoRedefine/>
    <w:qFormat/>
    <w:uiPriority w:val="9"/>
    <w:rPr>
      <w:rFonts w:ascii="宋体" w:eastAsia="宋体"/>
      <w:b/>
      <w:sz w:val="24"/>
      <w:u w:val="single"/>
      <w:lang w:val="en-US" w:eastAsia="zh-CN" w:bidi="ar-SA"/>
    </w:rPr>
  </w:style>
  <w:style w:type="character" w:customStyle="1" w:styleId="72">
    <w:name w:val="标题 4 字符1"/>
    <w:link w:val="9"/>
    <w:autoRedefine/>
    <w:qFormat/>
    <w:uiPriority w:val="0"/>
    <w:rPr>
      <w:rFonts w:ascii="Arial" w:hAnsi="Arial" w:eastAsia="黑体"/>
      <w:b/>
      <w:sz w:val="28"/>
    </w:rPr>
  </w:style>
  <w:style w:type="character" w:customStyle="1" w:styleId="73">
    <w:name w:val="标题 5 字符1"/>
    <w:link w:val="10"/>
    <w:autoRedefine/>
    <w:qFormat/>
    <w:uiPriority w:val="0"/>
    <w:rPr>
      <w:b/>
      <w:sz w:val="28"/>
    </w:rPr>
  </w:style>
  <w:style w:type="character" w:customStyle="1" w:styleId="74">
    <w:name w:val="标题 6 字符1"/>
    <w:link w:val="11"/>
    <w:autoRedefine/>
    <w:qFormat/>
    <w:uiPriority w:val="0"/>
    <w:rPr>
      <w:rFonts w:ascii="Arial" w:hAnsi="Arial" w:eastAsia="黑体"/>
      <w:b/>
      <w:sz w:val="24"/>
    </w:rPr>
  </w:style>
  <w:style w:type="character" w:customStyle="1" w:styleId="75">
    <w:name w:val="标题 7 字符1"/>
    <w:link w:val="12"/>
    <w:autoRedefine/>
    <w:qFormat/>
    <w:uiPriority w:val="0"/>
    <w:rPr>
      <w:b/>
      <w:sz w:val="24"/>
    </w:rPr>
  </w:style>
  <w:style w:type="character" w:customStyle="1" w:styleId="76">
    <w:name w:val="标题 8 字符1"/>
    <w:link w:val="13"/>
    <w:autoRedefine/>
    <w:qFormat/>
    <w:uiPriority w:val="0"/>
    <w:rPr>
      <w:rFonts w:ascii="Arial" w:hAnsi="Arial" w:eastAsia="黑体"/>
      <w:sz w:val="24"/>
    </w:rPr>
  </w:style>
  <w:style w:type="character" w:customStyle="1" w:styleId="77">
    <w:name w:val="标题 9 字符1"/>
    <w:link w:val="14"/>
    <w:autoRedefine/>
    <w:qFormat/>
    <w:uiPriority w:val="0"/>
    <w:rPr>
      <w:rFonts w:ascii="Arial" w:hAnsi="Arial" w:eastAsia="黑体"/>
      <w:sz w:val="21"/>
    </w:rPr>
  </w:style>
  <w:style w:type="character" w:customStyle="1" w:styleId="78">
    <w:name w:val="文档结构图 字符1"/>
    <w:link w:val="19"/>
    <w:autoRedefine/>
    <w:qFormat/>
    <w:uiPriority w:val="0"/>
    <w:rPr>
      <w:kern w:val="2"/>
      <w:sz w:val="21"/>
      <w:szCs w:val="24"/>
      <w:shd w:val="clear" w:color="auto" w:fill="000080"/>
    </w:rPr>
  </w:style>
  <w:style w:type="character" w:customStyle="1" w:styleId="79">
    <w:name w:val="批注文字 字符3"/>
    <w:link w:val="20"/>
    <w:autoRedefine/>
    <w:qFormat/>
    <w:uiPriority w:val="99"/>
    <w:rPr>
      <w:kern w:val="2"/>
      <w:sz w:val="21"/>
      <w:szCs w:val="24"/>
    </w:rPr>
  </w:style>
  <w:style w:type="character" w:customStyle="1" w:styleId="80">
    <w:name w:val="正文文本 3 字符1"/>
    <w:link w:val="21"/>
    <w:autoRedefine/>
    <w:qFormat/>
    <w:uiPriority w:val="0"/>
    <w:rPr>
      <w:kern w:val="2"/>
      <w:sz w:val="16"/>
      <w:szCs w:val="16"/>
    </w:rPr>
  </w:style>
  <w:style w:type="character" w:customStyle="1" w:styleId="81">
    <w:name w:val="正文文本 字符1"/>
    <w:link w:val="22"/>
    <w:autoRedefine/>
    <w:qFormat/>
    <w:uiPriority w:val="0"/>
    <w:rPr>
      <w:rFonts w:ascii="宋体" w:hAnsi="宋体"/>
      <w:kern w:val="2"/>
      <w:sz w:val="24"/>
      <w:szCs w:val="24"/>
    </w:rPr>
  </w:style>
  <w:style w:type="character" w:customStyle="1" w:styleId="82">
    <w:name w:val="正文文本缩进 字符1"/>
    <w:link w:val="24"/>
    <w:autoRedefine/>
    <w:qFormat/>
    <w:uiPriority w:val="0"/>
    <w:rPr>
      <w:rFonts w:eastAsia="宋体"/>
      <w:kern w:val="2"/>
      <w:sz w:val="24"/>
      <w:szCs w:val="24"/>
      <w:lang w:val="en-US" w:eastAsia="zh-CN" w:bidi="ar-SA"/>
    </w:rPr>
  </w:style>
  <w:style w:type="character" w:customStyle="1" w:styleId="83">
    <w:name w:val="纯文本 字符2"/>
    <w:link w:val="30"/>
    <w:autoRedefine/>
    <w:qFormat/>
    <w:uiPriority w:val="99"/>
    <w:rPr>
      <w:rFonts w:hint="eastAsia" w:ascii="宋体" w:hAnsi="Courier New" w:eastAsia="宋体" w:cs="宋体"/>
      <w:kern w:val="2"/>
      <w:sz w:val="21"/>
    </w:rPr>
  </w:style>
  <w:style w:type="character" w:customStyle="1" w:styleId="84">
    <w:name w:val="日期 字符2"/>
    <w:link w:val="32"/>
    <w:autoRedefine/>
    <w:qFormat/>
    <w:uiPriority w:val="99"/>
    <w:rPr>
      <w:rFonts w:ascii="仿宋_GB2312" w:hAnsi="宋体" w:eastAsia="仿宋_GB2312"/>
      <w:color w:val="000000"/>
      <w:kern w:val="2"/>
      <w:sz w:val="24"/>
      <w:szCs w:val="24"/>
    </w:rPr>
  </w:style>
  <w:style w:type="character" w:customStyle="1" w:styleId="85">
    <w:name w:val="正文文本缩进 2 字符1"/>
    <w:link w:val="33"/>
    <w:autoRedefine/>
    <w:qFormat/>
    <w:uiPriority w:val="0"/>
    <w:rPr>
      <w:rFonts w:ascii="仿宋_GB2312" w:eastAsia="仿宋_GB2312"/>
      <w:kern w:val="2"/>
      <w:sz w:val="24"/>
      <w:szCs w:val="24"/>
    </w:rPr>
  </w:style>
  <w:style w:type="character" w:customStyle="1" w:styleId="86">
    <w:name w:val="批注框文本 字符2"/>
    <w:link w:val="34"/>
    <w:autoRedefine/>
    <w:qFormat/>
    <w:uiPriority w:val="0"/>
    <w:rPr>
      <w:kern w:val="2"/>
      <w:sz w:val="18"/>
      <w:szCs w:val="18"/>
    </w:rPr>
  </w:style>
  <w:style w:type="character" w:customStyle="1" w:styleId="87">
    <w:name w:val="页脚 字符2"/>
    <w:link w:val="35"/>
    <w:autoRedefine/>
    <w:qFormat/>
    <w:uiPriority w:val="0"/>
    <w:rPr>
      <w:rFonts w:ascii="宋体" w:eastAsia="宋体"/>
      <w:sz w:val="18"/>
      <w:lang w:val="en-US" w:eastAsia="zh-CN" w:bidi="ar-SA"/>
    </w:rPr>
  </w:style>
  <w:style w:type="character" w:customStyle="1" w:styleId="88">
    <w:name w:val="页眉 字符2"/>
    <w:link w:val="36"/>
    <w:autoRedefine/>
    <w:qFormat/>
    <w:uiPriority w:val="99"/>
    <w:rPr>
      <w:rFonts w:eastAsia="宋体"/>
      <w:kern w:val="2"/>
      <w:sz w:val="18"/>
      <w:szCs w:val="18"/>
      <w:lang w:val="en-US" w:eastAsia="zh-CN" w:bidi="ar-SA"/>
    </w:rPr>
  </w:style>
  <w:style w:type="character" w:customStyle="1" w:styleId="89">
    <w:name w:val="正文文本缩进 3 字符1"/>
    <w:link w:val="42"/>
    <w:autoRedefine/>
    <w:qFormat/>
    <w:uiPriority w:val="99"/>
    <w:rPr>
      <w:rFonts w:ascii="宋体"/>
      <w:sz w:val="24"/>
    </w:rPr>
  </w:style>
  <w:style w:type="character" w:customStyle="1" w:styleId="90">
    <w:name w:val="HTML 预设格式 字符1"/>
    <w:link w:val="48"/>
    <w:autoRedefine/>
    <w:qFormat/>
    <w:uiPriority w:val="0"/>
    <w:rPr>
      <w:rFonts w:ascii="宋体" w:hAnsi="宋体" w:cs="宋体"/>
      <w:sz w:val="24"/>
      <w:szCs w:val="24"/>
    </w:rPr>
  </w:style>
  <w:style w:type="character" w:customStyle="1" w:styleId="91">
    <w:name w:val="标题 字符1"/>
    <w:link w:val="51"/>
    <w:autoRedefine/>
    <w:qFormat/>
    <w:uiPriority w:val="0"/>
    <w:rPr>
      <w:b/>
      <w:kern w:val="2"/>
      <w:sz w:val="32"/>
    </w:rPr>
  </w:style>
  <w:style w:type="character" w:customStyle="1" w:styleId="92">
    <w:name w:val="批注主题 字符2"/>
    <w:link w:val="52"/>
    <w:autoRedefine/>
    <w:qFormat/>
    <w:uiPriority w:val="0"/>
    <w:rPr>
      <w:rFonts w:ascii="Times New Roman" w:hAnsi="Times New Roman" w:eastAsia="宋体" w:cs="Times New Roman"/>
      <w:b/>
      <w:bCs/>
      <w:kern w:val="2"/>
      <w:sz w:val="21"/>
      <w:szCs w:val="24"/>
      <w:lang w:val="en-US" w:eastAsia="zh-CN" w:bidi="ar-SA"/>
    </w:rPr>
  </w:style>
  <w:style w:type="character" w:customStyle="1" w:styleId="93">
    <w:name w:val="正文首行缩进 2 字符"/>
    <w:link w:val="54"/>
    <w:autoRedefine/>
    <w:qFormat/>
    <w:uiPriority w:val="99"/>
    <w:rPr>
      <w:rFonts w:eastAsia="宋体"/>
      <w:kern w:val="2"/>
      <w:sz w:val="24"/>
      <w:szCs w:val="24"/>
      <w:lang w:val="en-US" w:eastAsia="zh-CN" w:bidi="ar-SA"/>
    </w:rPr>
  </w:style>
  <w:style w:type="character" w:customStyle="1" w:styleId="94">
    <w:name w:val="批注文字 字符"/>
    <w:autoRedefine/>
    <w:qFormat/>
    <w:uiPriority w:val="99"/>
    <w:rPr>
      <w:rFonts w:ascii="Times New Roman" w:hAnsi="Times New Roman" w:eastAsia="宋体" w:cs="Times New Roman"/>
      <w:sz w:val="24"/>
      <w:lang w:val="en-US" w:eastAsia="zh-CN" w:bidi="ar-SA"/>
    </w:rPr>
  </w:style>
  <w:style w:type="character" w:customStyle="1" w:styleId="95">
    <w:name w:val="c21"/>
    <w:autoRedefine/>
    <w:qFormat/>
    <w:uiPriority w:val="0"/>
    <w:rPr>
      <w:rFonts w:hint="default" w:ascii="ˎ̥" w:hAnsi="ˎ̥"/>
      <w:color w:val="000000"/>
      <w:sz w:val="20"/>
      <w:szCs w:val="20"/>
      <w:u w:val="none"/>
    </w:rPr>
  </w:style>
  <w:style w:type="character" w:customStyle="1" w:styleId="96">
    <w:name w:val="title4"/>
    <w:autoRedefine/>
    <w:qFormat/>
    <w:uiPriority w:val="0"/>
    <w:rPr>
      <w:b/>
      <w:bCs/>
      <w:color w:val="1D87B3"/>
      <w:sz w:val="15"/>
      <w:szCs w:val="15"/>
    </w:rPr>
  </w:style>
  <w:style w:type="character" w:customStyle="1" w:styleId="97">
    <w:name w:val="标题 2 Char Char"/>
    <w:autoRedefine/>
    <w:qFormat/>
    <w:uiPriority w:val="0"/>
    <w:rPr>
      <w:rFonts w:ascii="Arial" w:hAnsi="Arial" w:eastAsia="黑体"/>
      <w:b/>
      <w:bCs/>
      <w:kern w:val="2"/>
      <w:sz w:val="32"/>
      <w:szCs w:val="32"/>
      <w:lang w:val="en-US" w:eastAsia="zh-CN" w:bidi="ar-SA"/>
    </w:rPr>
  </w:style>
  <w:style w:type="character" w:customStyle="1" w:styleId="98">
    <w:name w:val="black1"/>
    <w:autoRedefine/>
    <w:qFormat/>
    <w:uiPriority w:val="0"/>
    <w:rPr>
      <w:color w:val="000000"/>
    </w:rPr>
  </w:style>
  <w:style w:type="character" w:customStyle="1" w:styleId="99">
    <w:name w:val="street-address"/>
    <w:autoRedefine/>
    <w:qFormat/>
    <w:uiPriority w:val="0"/>
  </w:style>
  <w:style w:type="character" w:customStyle="1" w:styleId="100">
    <w:name w:val="locality"/>
    <w:autoRedefine/>
    <w:qFormat/>
    <w:uiPriority w:val="0"/>
  </w:style>
  <w:style w:type="character" w:customStyle="1" w:styleId="101">
    <w:name w:val="正文文本缩进 Char1"/>
    <w:link w:val="102"/>
    <w:autoRedefine/>
    <w:qFormat/>
    <w:uiPriority w:val="0"/>
    <w:rPr>
      <w:rFonts w:ascii="宋体" w:hAnsi="宋体" w:eastAsia="宋体"/>
      <w:sz w:val="24"/>
      <w:szCs w:val="24"/>
      <w:lang w:bidi="ar-SA"/>
    </w:rPr>
  </w:style>
  <w:style w:type="paragraph" w:customStyle="1" w:styleId="102">
    <w:name w:val="正文文本缩进1"/>
    <w:basedOn w:val="1"/>
    <w:link w:val="101"/>
    <w:autoRedefine/>
    <w:qFormat/>
    <w:uiPriority w:val="0"/>
    <w:pPr>
      <w:spacing w:line="480" w:lineRule="exact"/>
      <w:ind w:firstLine="480" w:firstLineChars="200"/>
    </w:pPr>
    <w:rPr>
      <w:rFonts w:ascii="宋体" w:hAnsi="宋体"/>
      <w:kern w:val="0"/>
      <w:sz w:val="24"/>
    </w:rPr>
  </w:style>
  <w:style w:type="character" w:customStyle="1" w:styleId="103">
    <w:name w:val="Char Char11"/>
    <w:autoRedefine/>
    <w:qFormat/>
    <w:uiPriority w:val="0"/>
    <w:rPr>
      <w:rFonts w:ascii="宋体" w:eastAsia="宋体"/>
      <w:b/>
      <w:sz w:val="24"/>
      <w:u w:val="single"/>
      <w:lang w:val="en-US" w:eastAsia="zh-CN" w:bidi="ar-SA"/>
    </w:rPr>
  </w:style>
  <w:style w:type="character" w:customStyle="1" w:styleId="104">
    <w:name w:val="txt"/>
    <w:autoRedefine/>
    <w:qFormat/>
    <w:uiPriority w:val="0"/>
  </w:style>
  <w:style w:type="character" w:customStyle="1" w:styleId="105">
    <w:name w:val="正文缩进 Char Char"/>
    <w:link w:val="106"/>
    <w:autoRedefine/>
    <w:qFormat/>
    <w:uiPriority w:val="0"/>
    <w:rPr>
      <w:rFonts w:ascii="宋体" w:eastAsia="宋体"/>
      <w:snapToGrid w:val="0"/>
      <w:color w:val="000000"/>
      <w:kern w:val="28"/>
      <w:sz w:val="28"/>
      <w:lang w:bidi="ar-SA"/>
    </w:rPr>
  </w:style>
  <w:style w:type="paragraph" w:customStyle="1" w:styleId="106">
    <w:name w:val="正文缩进1"/>
    <w:basedOn w:val="1"/>
    <w:link w:val="105"/>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7">
    <w:name w:val="普通文字1 Char1"/>
    <w:autoRedefine/>
    <w:qFormat/>
    <w:uiPriority w:val="0"/>
    <w:rPr>
      <w:rFonts w:ascii="宋体" w:hAnsi="Courier New" w:eastAsia="宋体"/>
      <w:kern w:val="2"/>
      <w:sz w:val="21"/>
      <w:lang w:val="en-US" w:eastAsia="zh-CN" w:bidi="ar-SA"/>
    </w:rPr>
  </w:style>
  <w:style w:type="character" w:customStyle="1" w:styleId="108">
    <w:name w:val="chanpin1"/>
    <w:autoRedefine/>
    <w:qFormat/>
    <w:uiPriority w:val="0"/>
    <w:rPr>
      <w:rFonts w:hint="default" w:ascii="ˎ̥" w:hAnsi="ˎ̥"/>
      <w:color w:val="000000"/>
      <w:sz w:val="20"/>
      <w:szCs w:val="20"/>
      <w:u w:val="none"/>
    </w:rPr>
  </w:style>
  <w:style w:type="character" w:customStyle="1" w:styleId="109">
    <w:name w:val="列出段落 字符"/>
    <w:link w:val="17"/>
    <w:autoRedefine/>
    <w:qFormat/>
    <w:uiPriority w:val="34"/>
    <w:rPr>
      <w:rFonts w:ascii="Calibri" w:hAnsi="Calibri" w:eastAsia="宋体"/>
      <w:kern w:val="2"/>
      <w:sz w:val="21"/>
      <w:szCs w:val="22"/>
      <w:lang w:val="en-US" w:eastAsia="zh-CN" w:bidi="ar-SA"/>
    </w:rPr>
  </w:style>
  <w:style w:type="character" w:customStyle="1" w:styleId="110">
    <w:name w:val="标题 3 Char Char"/>
    <w:autoRedefine/>
    <w:qFormat/>
    <w:uiPriority w:val="0"/>
    <w:rPr>
      <w:rFonts w:eastAsia="宋体"/>
      <w:b/>
      <w:bCs/>
      <w:kern w:val="2"/>
      <w:sz w:val="32"/>
      <w:szCs w:val="32"/>
      <w:lang w:val="en-US" w:eastAsia="zh-CN" w:bidi="ar-SA"/>
    </w:rPr>
  </w:style>
  <w:style w:type="character" w:customStyle="1" w:styleId="111">
    <w:name w:val="段1 Char"/>
    <w:autoRedefine/>
    <w:qFormat/>
    <w:uiPriority w:val="0"/>
    <w:rPr>
      <w:rFonts w:ascii="宋体" w:eastAsia="宋体"/>
      <w:sz w:val="24"/>
      <w:lang w:val="en-US" w:eastAsia="zh-CN" w:bidi="ar-SA"/>
    </w:rPr>
  </w:style>
  <w:style w:type="character" w:customStyle="1" w:styleId="112">
    <w:name w:val="chanpin拷贝"/>
    <w:autoRedefine/>
    <w:qFormat/>
    <w:uiPriority w:val="0"/>
  </w:style>
  <w:style w:type="character" w:customStyle="1" w:styleId="113">
    <w:name w:val="纯文本 Char1"/>
    <w:autoRedefine/>
    <w:qFormat/>
    <w:uiPriority w:val="0"/>
    <w:rPr>
      <w:rFonts w:ascii="宋体" w:hAnsi="Courier New" w:eastAsia="宋体"/>
      <w:kern w:val="2"/>
      <w:sz w:val="21"/>
      <w:lang w:val="en-US" w:eastAsia="zh-CN" w:bidi="ar-SA"/>
    </w:rPr>
  </w:style>
  <w:style w:type="character" w:customStyle="1" w:styleId="114">
    <w:name w:val="apple-style-span"/>
    <w:autoRedefine/>
    <w:qFormat/>
    <w:uiPriority w:val="0"/>
    <w:rPr>
      <w:rFonts w:cs="Times New Roman"/>
    </w:rPr>
  </w:style>
  <w:style w:type="paragraph" w:customStyle="1" w:styleId="115">
    <w:name w:val="二级条标题"/>
    <w:basedOn w:val="116"/>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6">
    <w:name w:val="一级条标题"/>
    <w:basedOn w:val="117"/>
    <w:next w:val="1"/>
    <w:autoRedefine/>
    <w:qFormat/>
    <w:uiPriority w:val="99"/>
    <w:pPr>
      <w:numPr>
        <w:ilvl w:val="1"/>
      </w:numPr>
      <w:tabs>
        <w:tab w:val="left" w:pos="360"/>
        <w:tab w:val="left" w:pos="840"/>
      </w:tabs>
      <w:ind w:left="0" w:hanging="840"/>
      <w:outlineLvl w:val="1"/>
    </w:pPr>
  </w:style>
  <w:style w:type="paragraph" w:customStyle="1" w:styleId="117">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8">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19">
    <w:name w:val="字元 字元"/>
    <w:basedOn w:val="1"/>
    <w:autoRedefine/>
    <w:qFormat/>
    <w:uiPriority w:val="99"/>
    <w:rPr>
      <w:rFonts w:ascii="Tahoma" w:hAnsi="Tahoma"/>
      <w:sz w:val="24"/>
      <w:szCs w:val="20"/>
    </w:rPr>
  </w:style>
  <w:style w:type="paragraph" w:customStyle="1" w:styleId="120">
    <w:name w:val="Char3 Char Char Char"/>
    <w:basedOn w:val="1"/>
    <w:autoRedefine/>
    <w:qFormat/>
    <w:uiPriority w:val="99"/>
    <w:rPr>
      <w:rFonts w:ascii="Tahoma" w:hAnsi="Tahoma"/>
      <w:sz w:val="24"/>
      <w:szCs w:val="20"/>
    </w:rPr>
  </w:style>
  <w:style w:type="paragraph" w:customStyle="1" w:styleId="121">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22">
    <w:name w:val="项目编号2"/>
    <w:basedOn w:val="123"/>
    <w:autoRedefine/>
    <w:qFormat/>
    <w:uiPriority w:val="99"/>
    <w:pPr>
      <w:numPr>
        <w:numId w:val="2"/>
      </w:numPr>
    </w:pPr>
  </w:style>
  <w:style w:type="paragraph" w:customStyle="1" w:styleId="123">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4">
    <w:name w:val="图中文字"/>
    <w:basedOn w:val="1"/>
    <w:autoRedefine/>
    <w:qFormat/>
    <w:uiPriority w:val="99"/>
    <w:pPr>
      <w:adjustRightInd w:val="0"/>
      <w:snapToGrid w:val="0"/>
      <w:spacing w:line="0" w:lineRule="atLeast"/>
      <w:jc w:val="center"/>
    </w:pPr>
    <w:rPr>
      <w:sz w:val="24"/>
      <w:szCs w:val="20"/>
    </w:rPr>
  </w:style>
  <w:style w:type="paragraph" w:customStyle="1" w:styleId="125">
    <w:name w:val="xl46"/>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6">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7">
    <w:name w:val="Char2"/>
    <w:basedOn w:val="1"/>
    <w:autoRedefine/>
    <w:qFormat/>
    <w:uiPriority w:val="99"/>
    <w:rPr>
      <w:rFonts w:ascii="Tahoma" w:hAnsi="Tahoma"/>
      <w:sz w:val="24"/>
      <w:szCs w:val="20"/>
    </w:rPr>
  </w:style>
  <w:style w:type="paragraph" w:customStyle="1" w:styleId="128">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9">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0">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31">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2">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33">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4">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5">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6">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7">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8">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9">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0">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41">
    <w:name w:val="font8"/>
    <w:basedOn w:val="1"/>
    <w:autoRedefine/>
    <w:qFormat/>
    <w:uiPriority w:val="99"/>
    <w:pPr>
      <w:widowControl/>
      <w:spacing w:before="100" w:beforeAutospacing="1" w:after="100" w:afterAutospacing="1"/>
      <w:jc w:val="left"/>
    </w:pPr>
    <w:rPr>
      <w:kern w:val="0"/>
      <w:sz w:val="36"/>
      <w:szCs w:val="36"/>
    </w:rPr>
  </w:style>
  <w:style w:type="paragraph" w:customStyle="1" w:styleId="142">
    <w:name w:val="Char"/>
    <w:basedOn w:val="1"/>
    <w:autoRedefine/>
    <w:qFormat/>
    <w:uiPriority w:val="99"/>
    <w:pPr>
      <w:tabs>
        <w:tab w:val="left" w:pos="360"/>
      </w:tabs>
    </w:pPr>
    <w:rPr>
      <w:sz w:val="24"/>
    </w:rPr>
  </w:style>
  <w:style w:type="paragraph" w:customStyle="1" w:styleId="143">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4">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5">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1"/>
    <w:basedOn w:val="19"/>
    <w:autoRedefine/>
    <w:qFormat/>
    <w:uiPriority w:val="99"/>
    <w:rPr>
      <w:rFonts w:ascii="Tahoma" w:hAnsi="Tahoma"/>
      <w:sz w:val="24"/>
    </w:rPr>
  </w:style>
  <w:style w:type="paragraph" w:customStyle="1" w:styleId="147">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8">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9">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50">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51">
    <w:name w:val="Char1 Char Char Char1"/>
    <w:basedOn w:val="1"/>
    <w:autoRedefine/>
    <w:qFormat/>
    <w:uiPriority w:val="99"/>
    <w:rPr>
      <w:rFonts w:ascii="Tahoma" w:hAnsi="Tahoma" w:cs="仿宋_GB2312"/>
      <w:sz w:val="24"/>
      <w:szCs w:val="28"/>
    </w:rPr>
  </w:style>
  <w:style w:type="paragraph" w:customStyle="1" w:styleId="152">
    <w:name w:val="四级条标题"/>
    <w:basedOn w:val="153"/>
    <w:next w:val="1"/>
    <w:autoRedefine/>
    <w:qFormat/>
    <w:uiPriority w:val="99"/>
    <w:pPr>
      <w:numPr>
        <w:ilvl w:val="4"/>
      </w:numPr>
      <w:tabs>
        <w:tab w:val="left" w:pos="360"/>
        <w:tab w:val="left" w:pos="840"/>
      </w:tabs>
      <w:ind w:left="0" w:hanging="840"/>
      <w:outlineLvl w:val="4"/>
    </w:pPr>
  </w:style>
  <w:style w:type="paragraph" w:customStyle="1" w:styleId="153">
    <w:name w:val="三级条标题"/>
    <w:basedOn w:val="115"/>
    <w:next w:val="1"/>
    <w:autoRedefine/>
    <w:qFormat/>
    <w:uiPriority w:val="99"/>
    <w:pPr>
      <w:numPr>
        <w:ilvl w:val="3"/>
        <w:numId w:val="1"/>
      </w:numPr>
      <w:ind w:left="0" w:hanging="840"/>
      <w:outlineLvl w:val="3"/>
    </w:pPr>
  </w:style>
  <w:style w:type="paragraph" w:customStyle="1" w:styleId="154">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5">
    <w:name w:val="样式 标题 2 + 宋体 五号 行距: 单倍行距"/>
    <w:basedOn w:val="6"/>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6">
    <w:name w:val="List Paragraph1"/>
    <w:basedOn w:val="1"/>
    <w:autoRedefine/>
    <w:qFormat/>
    <w:uiPriority w:val="99"/>
    <w:pPr>
      <w:ind w:firstLine="420" w:firstLineChars="200"/>
    </w:pPr>
    <w:rPr>
      <w:rFonts w:ascii="Calibri" w:hAnsi="Calibri"/>
      <w:szCs w:val="22"/>
    </w:rPr>
  </w:style>
  <w:style w:type="paragraph" w:customStyle="1" w:styleId="157">
    <w:name w:val="项目符号1"/>
    <w:basedOn w:val="158"/>
    <w:autoRedefine/>
    <w:qFormat/>
    <w:uiPriority w:val="99"/>
    <w:pPr>
      <w:ind w:left="-25" w:firstLine="0"/>
    </w:pPr>
  </w:style>
  <w:style w:type="paragraph" w:customStyle="1" w:styleId="158">
    <w:name w:val="正文文本样式"/>
    <w:basedOn w:val="1"/>
    <w:autoRedefine/>
    <w:qFormat/>
    <w:uiPriority w:val="99"/>
    <w:pPr>
      <w:spacing w:line="360" w:lineRule="auto"/>
      <w:ind w:firstLine="482"/>
    </w:pPr>
    <w:rPr>
      <w:rFonts w:cs="宋体"/>
      <w:sz w:val="24"/>
      <w:szCs w:val="20"/>
    </w:rPr>
  </w:style>
  <w:style w:type="paragraph" w:customStyle="1" w:styleId="159">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60">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61">
    <w:name w:val="五级条标题"/>
    <w:basedOn w:val="152"/>
    <w:next w:val="1"/>
    <w:autoRedefine/>
    <w:qFormat/>
    <w:uiPriority w:val="99"/>
    <w:pPr>
      <w:numPr>
        <w:ilvl w:val="5"/>
      </w:numPr>
      <w:ind w:left="0" w:hanging="840"/>
      <w:outlineLvl w:val="5"/>
    </w:pPr>
  </w:style>
  <w:style w:type="paragraph" w:customStyle="1" w:styleId="162">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3">
    <w:name w:val="文档正文"/>
    <w:basedOn w:val="1"/>
    <w:autoRedefine/>
    <w:qFormat/>
    <w:uiPriority w:val="99"/>
    <w:pPr>
      <w:snapToGrid w:val="0"/>
      <w:spacing w:before="120" w:after="120" w:line="180" w:lineRule="auto"/>
    </w:pPr>
    <w:rPr>
      <w:rFonts w:ascii="Arial" w:hAnsi="Arial"/>
      <w:szCs w:val="20"/>
    </w:rPr>
  </w:style>
  <w:style w:type="paragraph" w:customStyle="1" w:styleId="164">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5">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6">
    <w:name w:val="Char Char Char1 Char"/>
    <w:basedOn w:val="1"/>
    <w:autoRedefine/>
    <w:qFormat/>
    <w:uiPriority w:val="99"/>
    <w:rPr>
      <w:rFonts w:ascii="Tahoma" w:hAnsi="Tahoma"/>
      <w:sz w:val="24"/>
      <w:szCs w:val="20"/>
    </w:rPr>
  </w:style>
  <w:style w:type="paragraph" w:customStyle="1" w:styleId="167">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8">
    <w:name w:val="1名"/>
    <w:basedOn w:val="1"/>
    <w:autoRedefine/>
    <w:qFormat/>
    <w:uiPriority w:val="99"/>
    <w:pPr>
      <w:numPr>
        <w:ilvl w:val="0"/>
        <w:numId w:val="5"/>
      </w:numPr>
      <w:spacing w:before="120"/>
    </w:pPr>
    <w:rPr>
      <w:rFonts w:ascii="宋体"/>
      <w:sz w:val="28"/>
      <w:szCs w:val="20"/>
    </w:rPr>
  </w:style>
  <w:style w:type="paragraph" w:customStyle="1" w:styleId="169">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70">
    <w:name w:val="Char Char Char1 Char1"/>
    <w:basedOn w:val="1"/>
    <w:autoRedefine/>
    <w:qFormat/>
    <w:uiPriority w:val="99"/>
    <w:rPr>
      <w:rFonts w:ascii="Tahoma" w:hAnsi="Tahoma"/>
      <w:sz w:val="24"/>
      <w:szCs w:val="20"/>
    </w:rPr>
  </w:style>
  <w:style w:type="paragraph" w:customStyle="1" w:styleId="171">
    <w:name w:val="Char Char Char Char Char Char Char Char Char Char"/>
    <w:basedOn w:val="1"/>
    <w:autoRedefine/>
    <w:qFormat/>
    <w:uiPriority w:val="99"/>
  </w:style>
  <w:style w:type="paragraph" w:customStyle="1" w:styleId="172">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73">
    <w:name w:val="Char1"/>
    <w:basedOn w:val="1"/>
    <w:autoRedefine/>
    <w:qFormat/>
    <w:uiPriority w:val="99"/>
    <w:pPr>
      <w:tabs>
        <w:tab w:val="left" w:pos="360"/>
      </w:tabs>
    </w:pPr>
    <w:rPr>
      <w:sz w:val="24"/>
    </w:rPr>
  </w:style>
  <w:style w:type="paragraph" w:customStyle="1" w:styleId="174">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5">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6">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7">
    <w:name w:val="默认段落字体 Para Char Char Char Char"/>
    <w:basedOn w:val="1"/>
    <w:autoRedefine/>
    <w:qFormat/>
    <w:uiPriority w:val="99"/>
    <w:rPr>
      <w:rFonts w:ascii="Arial" w:hAnsi="Arial" w:cs="Arial"/>
      <w:szCs w:val="21"/>
    </w:rPr>
  </w:style>
  <w:style w:type="paragraph" w:customStyle="1" w:styleId="178">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9">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80">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81">
    <w:name w:val="Char Char Char"/>
    <w:basedOn w:val="1"/>
    <w:autoRedefine/>
    <w:qFormat/>
    <w:uiPriority w:val="99"/>
    <w:rPr>
      <w:rFonts w:ascii="Tahoma" w:hAnsi="Tahoma"/>
      <w:sz w:val="24"/>
      <w:szCs w:val="20"/>
    </w:rPr>
  </w:style>
  <w:style w:type="paragraph" w:customStyle="1" w:styleId="182">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3">
    <w:name w:val="缺省文本"/>
    <w:basedOn w:val="1"/>
    <w:autoRedefine/>
    <w:qFormat/>
    <w:uiPriority w:val="99"/>
    <w:pPr>
      <w:autoSpaceDE w:val="0"/>
      <w:autoSpaceDN w:val="0"/>
      <w:adjustRightInd w:val="0"/>
      <w:jc w:val="left"/>
    </w:pPr>
    <w:rPr>
      <w:kern w:val="0"/>
      <w:sz w:val="24"/>
    </w:rPr>
  </w:style>
  <w:style w:type="paragraph" w:customStyle="1" w:styleId="184">
    <w:name w:val="Char Char Char1"/>
    <w:basedOn w:val="1"/>
    <w:autoRedefine/>
    <w:qFormat/>
    <w:uiPriority w:val="99"/>
    <w:rPr>
      <w:rFonts w:ascii="Tahoma" w:hAnsi="Tahoma"/>
      <w:sz w:val="24"/>
      <w:szCs w:val="20"/>
    </w:rPr>
  </w:style>
  <w:style w:type="paragraph" w:customStyle="1" w:styleId="185">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6">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7">
    <w:name w:val="样式2"/>
    <w:basedOn w:val="50"/>
    <w:autoRedefine/>
    <w:qFormat/>
    <w:uiPriority w:val="99"/>
    <w:pPr>
      <w:spacing w:line="360" w:lineRule="auto"/>
      <w:jc w:val="center"/>
    </w:pPr>
    <w:rPr>
      <w:sz w:val="24"/>
    </w:rPr>
  </w:style>
  <w:style w:type="paragraph" w:customStyle="1" w:styleId="188">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9">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90">
    <w:name w:val="正文 + 楷体_GB2312"/>
    <w:basedOn w:val="1"/>
    <w:autoRedefine/>
    <w:qFormat/>
    <w:uiPriority w:val="99"/>
    <w:pPr>
      <w:widowControl/>
      <w:jc w:val="left"/>
    </w:pPr>
    <w:rPr>
      <w:rFonts w:ascii="楷体_GB2312" w:eastAsia="楷体_GB2312" w:cs="Arial"/>
      <w:kern w:val="0"/>
      <w:sz w:val="24"/>
    </w:rPr>
  </w:style>
  <w:style w:type="paragraph" w:customStyle="1" w:styleId="191">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92">
    <w:name w:val="1 Char Char Char Char"/>
    <w:basedOn w:val="1"/>
    <w:autoRedefine/>
    <w:qFormat/>
    <w:uiPriority w:val="99"/>
    <w:rPr>
      <w:rFonts w:ascii="Tahoma" w:hAnsi="Tahoma"/>
      <w:sz w:val="24"/>
      <w:szCs w:val="20"/>
    </w:rPr>
  </w:style>
  <w:style w:type="paragraph" w:customStyle="1" w:styleId="193">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4">
    <w:name w:val="列出段落1"/>
    <w:basedOn w:val="1"/>
    <w:autoRedefine/>
    <w:qFormat/>
    <w:uiPriority w:val="99"/>
    <w:pPr>
      <w:ind w:firstLine="420" w:firstLineChars="200"/>
    </w:pPr>
    <w:rPr>
      <w:rFonts w:ascii="Calibri" w:hAnsi="Calibri"/>
      <w:szCs w:val="22"/>
    </w:rPr>
  </w:style>
  <w:style w:type="paragraph" w:customStyle="1" w:styleId="195">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6">
    <w:name w:val="字元 字元1"/>
    <w:basedOn w:val="1"/>
    <w:autoRedefine/>
    <w:qFormat/>
    <w:uiPriority w:val="99"/>
    <w:rPr>
      <w:rFonts w:ascii="Tahoma" w:hAnsi="Tahoma"/>
      <w:sz w:val="24"/>
      <w:szCs w:val="20"/>
    </w:rPr>
  </w:style>
  <w:style w:type="paragraph" w:customStyle="1" w:styleId="197">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198">
    <w:name w:val="项目编号3"/>
    <w:basedOn w:val="158"/>
    <w:autoRedefine/>
    <w:qFormat/>
    <w:uiPriority w:val="99"/>
    <w:pPr>
      <w:numPr>
        <w:ilvl w:val="0"/>
        <w:numId w:val="6"/>
      </w:numPr>
    </w:pPr>
  </w:style>
  <w:style w:type="paragraph" w:customStyle="1" w:styleId="199">
    <w:name w:val="Char21"/>
    <w:basedOn w:val="1"/>
    <w:autoRedefine/>
    <w:qFormat/>
    <w:uiPriority w:val="99"/>
    <w:rPr>
      <w:rFonts w:ascii="Tahoma" w:hAnsi="Tahoma"/>
      <w:sz w:val="24"/>
      <w:szCs w:val="20"/>
    </w:rPr>
  </w:style>
  <w:style w:type="paragraph" w:customStyle="1" w:styleId="200">
    <w:name w:val="表格文字"/>
    <w:basedOn w:val="24"/>
    <w:autoRedefine/>
    <w:qFormat/>
    <w:uiPriority w:val="99"/>
    <w:pPr>
      <w:spacing w:before="20" w:after="20" w:line="240" w:lineRule="auto"/>
      <w:ind w:firstLine="0"/>
    </w:pPr>
    <w:rPr>
      <w:rFonts w:ascii="Century Gothic" w:hAnsi="Century Gothic"/>
      <w:sz w:val="20"/>
      <w:szCs w:val="20"/>
    </w:rPr>
  </w:style>
  <w:style w:type="paragraph" w:customStyle="1" w:styleId="201">
    <w:name w:val="Char Char Char Char Char Char Char Char Char Char1"/>
    <w:basedOn w:val="1"/>
    <w:autoRedefine/>
    <w:qFormat/>
    <w:uiPriority w:val="99"/>
    <w:rPr>
      <w:rFonts w:ascii="宋体" w:hAnsi="宋体" w:cs="Courier New"/>
      <w:sz w:val="32"/>
      <w:szCs w:val="32"/>
    </w:rPr>
  </w:style>
  <w:style w:type="paragraph" w:customStyle="1" w:styleId="202">
    <w:name w:val="正文文本样式 加粗"/>
    <w:basedOn w:val="158"/>
    <w:autoRedefine/>
    <w:qFormat/>
    <w:uiPriority w:val="99"/>
    <w:rPr>
      <w:b/>
    </w:rPr>
  </w:style>
  <w:style w:type="paragraph" w:customStyle="1" w:styleId="203">
    <w:name w:val="Char2 Char Char Char Char Char Char"/>
    <w:basedOn w:val="1"/>
    <w:autoRedefine/>
    <w:qFormat/>
    <w:uiPriority w:val="99"/>
    <w:pPr>
      <w:widowControl/>
      <w:spacing w:line="400" w:lineRule="exact"/>
      <w:jc w:val="center"/>
    </w:pPr>
  </w:style>
  <w:style w:type="paragraph" w:customStyle="1" w:styleId="204">
    <w:name w:val="Char Char4"/>
    <w:basedOn w:val="1"/>
    <w:autoRedefine/>
    <w:qFormat/>
    <w:uiPriority w:val="99"/>
    <w:pPr>
      <w:widowControl/>
      <w:spacing w:line="400" w:lineRule="exact"/>
      <w:jc w:val="center"/>
    </w:pPr>
  </w:style>
  <w:style w:type="paragraph" w:customStyle="1" w:styleId="205">
    <w:name w:val="Char3 Char Char Char1"/>
    <w:basedOn w:val="1"/>
    <w:autoRedefine/>
    <w:qFormat/>
    <w:uiPriority w:val="99"/>
    <w:rPr>
      <w:rFonts w:ascii="Tahoma" w:hAnsi="Tahoma"/>
      <w:sz w:val="24"/>
      <w:szCs w:val="20"/>
    </w:rPr>
  </w:style>
  <w:style w:type="paragraph" w:customStyle="1" w:styleId="206">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7">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08">
    <w:name w:val="中等深浅网格 1 - 强调文字颜色 2 Char"/>
    <w:link w:val="209"/>
    <w:autoRedefine/>
    <w:qFormat/>
    <w:uiPriority w:val="0"/>
    <w:rPr>
      <w:kern w:val="2"/>
      <w:sz w:val="21"/>
      <w:szCs w:val="24"/>
      <w:lang w:val="zh-CN" w:eastAsia="zh-CN"/>
    </w:rPr>
  </w:style>
  <w:style w:type="paragraph" w:customStyle="1" w:styleId="209">
    <w:name w:val="1"/>
    <w:link w:val="208"/>
    <w:autoRedefine/>
    <w:qFormat/>
    <w:uiPriority w:val="0"/>
    <w:rPr>
      <w:rFonts w:ascii="Times New Roman" w:hAnsi="Times New Roman" w:eastAsia="宋体" w:cs="Times New Roman"/>
      <w:kern w:val="2"/>
      <w:sz w:val="21"/>
      <w:szCs w:val="24"/>
      <w:lang w:val="zh-CN" w:eastAsia="zh-CN" w:bidi="ar-SA"/>
    </w:rPr>
  </w:style>
  <w:style w:type="paragraph" w:customStyle="1" w:styleId="210">
    <w:name w:val="图文"/>
    <w:basedOn w:val="1"/>
    <w:autoRedefine/>
    <w:qFormat/>
    <w:uiPriority w:val="99"/>
    <w:pPr>
      <w:adjustRightInd w:val="0"/>
      <w:snapToGrid w:val="0"/>
      <w:spacing w:after="50" w:line="360" w:lineRule="auto"/>
    </w:pPr>
    <w:rPr>
      <w:sz w:val="24"/>
    </w:rPr>
  </w:style>
  <w:style w:type="paragraph" w:customStyle="1" w:styleId="211">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12">
    <w:name w:val="正文表格"/>
    <w:basedOn w:val="1"/>
    <w:link w:val="213"/>
    <w:autoRedefine/>
    <w:qFormat/>
    <w:uiPriority w:val="0"/>
    <w:pPr>
      <w:adjustRightInd w:val="0"/>
      <w:snapToGrid w:val="0"/>
      <w:jc w:val="left"/>
    </w:pPr>
    <w:rPr>
      <w:rFonts w:ascii="宋体" w:hAnsi="宋体"/>
      <w:color w:val="000000"/>
      <w:szCs w:val="21"/>
    </w:rPr>
  </w:style>
  <w:style w:type="character" w:customStyle="1" w:styleId="213">
    <w:name w:val="正文表格 Char"/>
    <w:link w:val="212"/>
    <w:autoRedefine/>
    <w:qFormat/>
    <w:uiPriority w:val="0"/>
    <w:rPr>
      <w:rFonts w:ascii="宋体" w:hAnsi="宋体"/>
      <w:color w:val="000000"/>
      <w:kern w:val="2"/>
      <w:sz w:val="21"/>
      <w:szCs w:val="21"/>
    </w:rPr>
  </w:style>
  <w:style w:type="paragraph" w:customStyle="1" w:styleId="214">
    <w:name w:val="正文重点"/>
    <w:basedOn w:val="1"/>
    <w:link w:val="215"/>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5">
    <w:name w:val="正文重点 Char"/>
    <w:link w:val="214"/>
    <w:autoRedefine/>
    <w:qFormat/>
    <w:uiPriority w:val="0"/>
    <w:rPr>
      <w:b/>
      <w:sz w:val="24"/>
    </w:rPr>
  </w:style>
  <w:style w:type="paragraph" w:customStyle="1" w:styleId="216">
    <w:name w:val="标题1-附件"/>
    <w:basedOn w:val="5"/>
    <w:autoRedefine/>
    <w:qFormat/>
    <w:uiPriority w:val="99"/>
    <w:pPr>
      <w:jc w:val="left"/>
    </w:pPr>
    <w:rPr>
      <w:sz w:val="24"/>
      <w:szCs w:val="24"/>
    </w:rPr>
  </w:style>
  <w:style w:type="paragraph" w:customStyle="1" w:styleId="217">
    <w:name w:val="正文小标题"/>
    <w:basedOn w:val="1"/>
    <w:next w:val="7"/>
    <w:link w:val="218"/>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18">
    <w:name w:val="正文小标题 Char"/>
    <w:link w:val="217"/>
    <w:autoRedefine/>
    <w:qFormat/>
    <w:uiPriority w:val="0"/>
    <w:rPr>
      <w:rFonts w:ascii="宋体" w:hAnsi="宋体"/>
      <w:b/>
      <w:i/>
      <w:color w:val="FF0000"/>
      <w:kern w:val="2"/>
      <w:sz w:val="24"/>
    </w:rPr>
  </w:style>
  <w:style w:type="paragraph" w:customStyle="1" w:styleId="219">
    <w:name w:val="正文大标题"/>
    <w:basedOn w:val="217"/>
    <w:next w:val="7"/>
    <w:link w:val="220"/>
    <w:autoRedefine/>
    <w:qFormat/>
    <w:uiPriority w:val="0"/>
    <w:pPr>
      <w:jc w:val="center"/>
    </w:pPr>
    <w:rPr>
      <w:i w:val="0"/>
      <w:color w:val="000000"/>
      <w:sz w:val="28"/>
      <w:szCs w:val="21"/>
    </w:rPr>
  </w:style>
  <w:style w:type="character" w:customStyle="1" w:styleId="220">
    <w:name w:val="正文大标题 Char"/>
    <w:link w:val="219"/>
    <w:autoRedefine/>
    <w:qFormat/>
    <w:uiPriority w:val="0"/>
    <w:rPr>
      <w:rFonts w:ascii="宋体" w:hAnsi="宋体"/>
      <w:b/>
      <w:color w:val="000000"/>
      <w:kern w:val="2"/>
      <w:sz w:val="28"/>
      <w:szCs w:val="21"/>
    </w:rPr>
  </w:style>
  <w:style w:type="paragraph" w:customStyle="1" w:styleId="221">
    <w:name w:val="注释"/>
    <w:basedOn w:val="1"/>
    <w:link w:val="222"/>
    <w:autoRedefine/>
    <w:qFormat/>
    <w:uiPriority w:val="0"/>
    <w:pPr>
      <w:adjustRightInd w:val="0"/>
      <w:snapToGrid w:val="0"/>
      <w:ind w:left="420" w:hanging="420" w:hangingChars="200"/>
      <w:jc w:val="left"/>
    </w:pPr>
    <w:rPr>
      <w:rFonts w:ascii="宋体" w:hAnsi="宋体"/>
      <w:szCs w:val="21"/>
    </w:rPr>
  </w:style>
  <w:style w:type="character" w:customStyle="1" w:styleId="222">
    <w:name w:val="注释 Char"/>
    <w:link w:val="221"/>
    <w:autoRedefine/>
    <w:qFormat/>
    <w:uiPriority w:val="0"/>
    <w:rPr>
      <w:rFonts w:ascii="宋体" w:hAnsi="宋体"/>
      <w:kern w:val="2"/>
      <w:sz w:val="21"/>
      <w:szCs w:val="21"/>
    </w:rPr>
  </w:style>
  <w:style w:type="paragraph" w:customStyle="1" w:styleId="223">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4">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5">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6">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7">
    <w:name w:val="表格1"/>
    <w:basedOn w:val="1"/>
    <w:autoRedefine/>
    <w:qFormat/>
    <w:uiPriority w:val="99"/>
    <w:pPr>
      <w:ind w:firstLine="480" w:firstLineChars="200"/>
      <w:jc w:val="center"/>
    </w:pPr>
    <w:rPr>
      <w:sz w:val="24"/>
      <w:szCs w:val="20"/>
    </w:rPr>
  </w:style>
  <w:style w:type="character" w:customStyle="1" w:styleId="228">
    <w:name w:val="纯文本 字符1"/>
    <w:autoRedefine/>
    <w:qFormat/>
    <w:uiPriority w:val="0"/>
    <w:rPr>
      <w:rFonts w:ascii="宋体" w:hAnsi="Courier New"/>
    </w:rPr>
  </w:style>
  <w:style w:type="character" w:customStyle="1" w:styleId="229">
    <w:name w:val="bjh-p"/>
    <w:autoRedefine/>
    <w:qFormat/>
    <w:uiPriority w:val="0"/>
  </w:style>
  <w:style w:type="paragraph" w:customStyle="1" w:styleId="230">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31">
    <w:name w:val="正文格式 Char"/>
    <w:link w:val="232"/>
    <w:autoRedefine/>
    <w:qFormat/>
    <w:locked/>
    <w:uiPriority w:val="0"/>
    <w:rPr>
      <w:rFonts w:ascii="宋体" w:hAnsi="宋体"/>
      <w:sz w:val="24"/>
      <w:szCs w:val="24"/>
      <w:lang w:val="en-GB"/>
    </w:rPr>
  </w:style>
  <w:style w:type="paragraph" w:customStyle="1" w:styleId="232">
    <w:name w:val="正文格式"/>
    <w:basedOn w:val="1"/>
    <w:link w:val="231"/>
    <w:autoRedefine/>
    <w:qFormat/>
    <w:uiPriority w:val="0"/>
    <w:pPr>
      <w:spacing w:beforeLines="50" w:line="360" w:lineRule="auto"/>
      <w:ind w:firstLine="480" w:firstLineChars="200"/>
    </w:pPr>
    <w:rPr>
      <w:rFonts w:ascii="宋体" w:hAnsi="宋体"/>
      <w:kern w:val="0"/>
      <w:sz w:val="24"/>
      <w:lang w:val="en-GB"/>
    </w:rPr>
  </w:style>
  <w:style w:type="character" w:customStyle="1" w:styleId="233">
    <w:name w:val="标题 3 Char"/>
    <w:autoRedefine/>
    <w:qFormat/>
    <w:uiPriority w:val="0"/>
    <w:rPr>
      <w:rFonts w:ascii="宋体" w:eastAsia="宋体"/>
      <w:b/>
      <w:sz w:val="24"/>
      <w:u w:val="single"/>
      <w:lang w:val="en-US" w:eastAsia="zh-CN" w:bidi="ar-SA"/>
    </w:rPr>
  </w:style>
  <w:style w:type="character" w:customStyle="1" w:styleId="234">
    <w:name w:val="正文缩进 Char"/>
    <w:autoRedefine/>
    <w:qFormat/>
    <w:uiPriority w:val="0"/>
    <w:rPr>
      <w:rFonts w:ascii="宋体" w:eastAsia="宋体"/>
      <w:kern w:val="2"/>
      <w:sz w:val="24"/>
      <w:szCs w:val="24"/>
      <w:lang w:val="en-US" w:eastAsia="zh-CN" w:bidi="ar-SA"/>
    </w:rPr>
  </w:style>
  <w:style w:type="character" w:customStyle="1" w:styleId="235">
    <w:name w:val="Char Char111"/>
    <w:autoRedefine/>
    <w:qFormat/>
    <w:uiPriority w:val="0"/>
    <w:rPr>
      <w:rFonts w:ascii="宋体" w:eastAsia="宋体"/>
      <w:b/>
      <w:sz w:val="24"/>
      <w:u w:val="single"/>
      <w:lang w:val="en-US" w:eastAsia="zh-CN" w:bidi="ar-SA"/>
    </w:rPr>
  </w:style>
  <w:style w:type="character" w:customStyle="1" w:styleId="236">
    <w:name w:val="正文文本缩进 Char"/>
    <w:autoRedefine/>
    <w:qFormat/>
    <w:uiPriority w:val="0"/>
    <w:rPr>
      <w:rFonts w:eastAsia="宋体"/>
      <w:kern w:val="2"/>
      <w:sz w:val="24"/>
      <w:szCs w:val="24"/>
      <w:lang w:val="en-US" w:eastAsia="zh-CN" w:bidi="ar-SA"/>
    </w:rPr>
  </w:style>
  <w:style w:type="character" w:customStyle="1" w:styleId="237">
    <w:name w:val="列出段落 Char"/>
    <w:autoRedefine/>
    <w:qFormat/>
    <w:uiPriority w:val="0"/>
    <w:rPr>
      <w:rFonts w:ascii="Calibri" w:hAnsi="Calibri" w:eastAsia="宋体"/>
      <w:kern w:val="2"/>
      <w:sz w:val="21"/>
      <w:szCs w:val="22"/>
      <w:lang w:val="en-US" w:eastAsia="zh-CN" w:bidi="ar-SA"/>
    </w:rPr>
  </w:style>
  <w:style w:type="character" w:customStyle="1" w:styleId="238">
    <w:name w:val="页眉 Char"/>
    <w:autoRedefine/>
    <w:qFormat/>
    <w:uiPriority w:val="0"/>
    <w:rPr>
      <w:rFonts w:eastAsia="宋体"/>
      <w:kern w:val="2"/>
      <w:sz w:val="18"/>
      <w:szCs w:val="18"/>
      <w:lang w:val="en-US" w:eastAsia="zh-CN" w:bidi="ar-SA"/>
    </w:rPr>
  </w:style>
  <w:style w:type="character" w:customStyle="1" w:styleId="239">
    <w:name w:val="标题 2 Char"/>
    <w:autoRedefine/>
    <w:qFormat/>
    <w:uiPriority w:val="99"/>
    <w:rPr>
      <w:rFonts w:ascii="Arial" w:hAnsi="Arial" w:eastAsia="黑体"/>
      <w:b/>
      <w:sz w:val="30"/>
      <w:lang w:val="en-US" w:eastAsia="zh-CN" w:bidi="ar-SA"/>
    </w:rPr>
  </w:style>
  <w:style w:type="paragraph" w:customStyle="1" w:styleId="240">
    <w:name w:val="字元 字元2"/>
    <w:basedOn w:val="1"/>
    <w:autoRedefine/>
    <w:qFormat/>
    <w:uiPriority w:val="99"/>
    <w:rPr>
      <w:rFonts w:ascii="Tahoma" w:hAnsi="Tahoma"/>
      <w:sz w:val="24"/>
      <w:szCs w:val="20"/>
    </w:rPr>
  </w:style>
  <w:style w:type="paragraph" w:customStyle="1" w:styleId="241">
    <w:name w:val="Char3 Char Char Char2"/>
    <w:basedOn w:val="1"/>
    <w:autoRedefine/>
    <w:qFormat/>
    <w:uiPriority w:val="99"/>
    <w:rPr>
      <w:rFonts w:ascii="Tahoma" w:hAnsi="Tahoma"/>
      <w:sz w:val="24"/>
      <w:szCs w:val="20"/>
    </w:rPr>
  </w:style>
  <w:style w:type="paragraph" w:customStyle="1" w:styleId="242">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43">
    <w:name w:val="Char3"/>
    <w:basedOn w:val="1"/>
    <w:autoRedefine/>
    <w:qFormat/>
    <w:uiPriority w:val="99"/>
    <w:pPr>
      <w:tabs>
        <w:tab w:val="left" w:pos="360"/>
      </w:tabs>
    </w:pPr>
    <w:rPr>
      <w:sz w:val="24"/>
    </w:rPr>
  </w:style>
  <w:style w:type="paragraph" w:customStyle="1" w:styleId="244">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5">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6">
    <w:name w:val="列出段落2"/>
    <w:basedOn w:val="1"/>
    <w:autoRedefine/>
    <w:qFormat/>
    <w:uiPriority w:val="99"/>
    <w:pPr>
      <w:ind w:firstLine="420" w:firstLineChars="200"/>
    </w:pPr>
    <w:rPr>
      <w:rFonts w:ascii="Calibri" w:hAnsi="Calibri"/>
      <w:szCs w:val="22"/>
    </w:rPr>
  </w:style>
  <w:style w:type="paragraph" w:customStyle="1" w:styleId="247">
    <w:name w:val="Char Char Char1 Char2"/>
    <w:basedOn w:val="1"/>
    <w:autoRedefine/>
    <w:qFormat/>
    <w:uiPriority w:val="99"/>
    <w:rPr>
      <w:rFonts w:ascii="Tahoma" w:hAnsi="Tahoma"/>
      <w:sz w:val="24"/>
      <w:szCs w:val="20"/>
    </w:rPr>
  </w:style>
  <w:style w:type="paragraph" w:customStyle="1" w:styleId="248">
    <w:name w:val="Char Char Char2"/>
    <w:basedOn w:val="1"/>
    <w:autoRedefine/>
    <w:qFormat/>
    <w:uiPriority w:val="99"/>
    <w:rPr>
      <w:rFonts w:ascii="Tahoma" w:hAnsi="Tahoma"/>
      <w:sz w:val="24"/>
      <w:szCs w:val="20"/>
    </w:rPr>
  </w:style>
  <w:style w:type="paragraph" w:customStyle="1" w:styleId="249">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50">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51">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52">
    <w:name w:val="Char22"/>
    <w:basedOn w:val="1"/>
    <w:autoRedefine/>
    <w:qFormat/>
    <w:uiPriority w:val="99"/>
    <w:rPr>
      <w:rFonts w:ascii="Tahoma" w:hAnsi="Tahoma"/>
      <w:sz w:val="24"/>
      <w:szCs w:val="20"/>
    </w:rPr>
  </w:style>
  <w:style w:type="paragraph" w:customStyle="1" w:styleId="253">
    <w:name w:val="Char Char Char Char Char Char Char Char Char Char2"/>
    <w:basedOn w:val="1"/>
    <w:autoRedefine/>
    <w:qFormat/>
    <w:uiPriority w:val="99"/>
    <w:rPr>
      <w:rFonts w:ascii="宋体" w:hAnsi="宋体" w:cs="Courier New"/>
      <w:sz w:val="32"/>
      <w:szCs w:val="32"/>
    </w:rPr>
  </w:style>
  <w:style w:type="paragraph" w:customStyle="1" w:styleId="254">
    <w:name w:val="Char2 Char Char Char Char Char Char1"/>
    <w:basedOn w:val="1"/>
    <w:autoRedefine/>
    <w:qFormat/>
    <w:uiPriority w:val="99"/>
    <w:pPr>
      <w:widowControl/>
      <w:spacing w:line="400" w:lineRule="exact"/>
      <w:jc w:val="center"/>
    </w:pPr>
  </w:style>
  <w:style w:type="character" w:customStyle="1" w:styleId="255">
    <w:name w:val="页脚 Char"/>
    <w:autoRedefine/>
    <w:qFormat/>
    <w:uiPriority w:val="0"/>
    <w:rPr>
      <w:rFonts w:ascii="宋体" w:eastAsia="宋体"/>
      <w:sz w:val="18"/>
      <w:lang w:val="en-US" w:eastAsia="zh-CN" w:bidi="ar-SA"/>
    </w:rPr>
  </w:style>
  <w:style w:type="paragraph" w:customStyle="1" w:styleId="256">
    <w:name w:val="Char Char41"/>
    <w:basedOn w:val="1"/>
    <w:autoRedefine/>
    <w:qFormat/>
    <w:uiPriority w:val="99"/>
    <w:pPr>
      <w:widowControl/>
      <w:spacing w:line="400" w:lineRule="exact"/>
      <w:jc w:val="center"/>
    </w:pPr>
  </w:style>
  <w:style w:type="character" w:customStyle="1" w:styleId="257">
    <w:name w:val="批注文字 Char"/>
    <w:autoRedefine/>
    <w:qFormat/>
    <w:uiPriority w:val="99"/>
    <w:rPr>
      <w:kern w:val="2"/>
      <w:sz w:val="21"/>
      <w:szCs w:val="24"/>
    </w:rPr>
  </w:style>
  <w:style w:type="character" w:customStyle="1" w:styleId="258">
    <w:name w:val="标题 Char"/>
    <w:autoRedefine/>
    <w:qFormat/>
    <w:uiPriority w:val="0"/>
    <w:rPr>
      <w:b/>
      <w:kern w:val="2"/>
      <w:sz w:val="32"/>
    </w:rPr>
  </w:style>
  <w:style w:type="paragraph" w:customStyle="1" w:styleId="259">
    <w:name w:val="图例"/>
    <w:basedOn w:val="1"/>
    <w:autoRedefine/>
    <w:qFormat/>
    <w:uiPriority w:val="99"/>
    <w:pPr>
      <w:spacing w:before="120" w:after="120" w:line="360" w:lineRule="auto"/>
      <w:jc w:val="center"/>
    </w:pPr>
    <w:rPr>
      <w:rFonts w:eastAsia="仿宋_GB2312"/>
      <w:b/>
      <w:sz w:val="24"/>
      <w:szCs w:val="20"/>
    </w:rPr>
  </w:style>
  <w:style w:type="table" w:customStyle="1" w:styleId="260">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61">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62">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63">
    <w:name w:val="批注文字 Char2"/>
    <w:autoRedefine/>
    <w:qFormat/>
    <w:locked/>
    <w:uiPriority w:val="0"/>
    <w:rPr>
      <w:szCs w:val="24"/>
    </w:rPr>
  </w:style>
  <w:style w:type="character" w:customStyle="1" w:styleId="264">
    <w:name w:val="cwhdiv-l"/>
    <w:basedOn w:val="58"/>
    <w:autoRedefine/>
    <w:qFormat/>
    <w:uiPriority w:val="0"/>
  </w:style>
  <w:style w:type="character" w:customStyle="1" w:styleId="265">
    <w:name w:val="cwhdiv-r"/>
    <w:basedOn w:val="58"/>
    <w:autoRedefine/>
    <w:qFormat/>
    <w:uiPriority w:val="0"/>
  </w:style>
  <w:style w:type="character" w:customStyle="1" w:styleId="266">
    <w:name w:val="普通(网站) 字符"/>
    <w:link w:val="49"/>
    <w:autoRedefine/>
    <w:qFormat/>
    <w:uiPriority w:val="99"/>
    <w:rPr>
      <w:rFonts w:ascii="宋体" w:hAnsi="宋体" w:cs="宋体"/>
      <w:sz w:val="24"/>
      <w:szCs w:val="24"/>
    </w:rPr>
  </w:style>
  <w:style w:type="paragraph" w:customStyle="1" w:styleId="267">
    <w:name w:val="表"/>
    <w:basedOn w:val="1"/>
    <w:link w:val="268"/>
    <w:autoRedefine/>
    <w:qFormat/>
    <w:uiPriority w:val="0"/>
    <w:pPr>
      <w:spacing w:line="360" w:lineRule="auto"/>
      <w:jc w:val="center"/>
    </w:pPr>
    <w:rPr>
      <w:rFonts w:ascii="宋体" w:hAnsi="宋体" w:cstheme="minorBidi"/>
      <w:sz w:val="24"/>
      <w:szCs w:val="22"/>
    </w:rPr>
  </w:style>
  <w:style w:type="character" w:customStyle="1" w:styleId="268">
    <w:name w:val="表 字符"/>
    <w:basedOn w:val="58"/>
    <w:link w:val="267"/>
    <w:autoRedefine/>
    <w:qFormat/>
    <w:uiPriority w:val="0"/>
    <w:rPr>
      <w:rFonts w:ascii="宋体" w:hAnsi="宋体" w:cstheme="minorBidi"/>
      <w:kern w:val="2"/>
      <w:sz w:val="24"/>
      <w:szCs w:val="22"/>
    </w:rPr>
  </w:style>
  <w:style w:type="character" w:customStyle="1" w:styleId="269">
    <w:name w:val="正文缩进 Char2"/>
    <w:autoRedefine/>
    <w:qFormat/>
    <w:locked/>
    <w:uiPriority w:val="0"/>
    <w:rPr>
      <w:lang w:val="zh-CN" w:eastAsia="zh-CN"/>
    </w:rPr>
  </w:style>
  <w:style w:type="character" w:customStyle="1" w:styleId="270">
    <w:name w:val="脚注文本 字符1"/>
    <w:basedOn w:val="58"/>
    <w:link w:val="40"/>
    <w:autoRedefine/>
    <w:qFormat/>
    <w:uiPriority w:val="99"/>
    <w:rPr>
      <w:sz w:val="18"/>
      <w:lang w:val="zh-CN" w:eastAsia="zh-CN"/>
    </w:rPr>
  </w:style>
  <w:style w:type="character" w:customStyle="1" w:styleId="271">
    <w:name w:val="正文文本 2 字符1"/>
    <w:basedOn w:val="58"/>
    <w:link w:val="47"/>
    <w:autoRedefine/>
    <w:qFormat/>
    <w:uiPriority w:val="99"/>
    <w:rPr>
      <w:rFonts w:ascii="宋体" w:hAnsi="宋体"/>
      <w:sz w:val="24"/>
      <w:szCs w:val="24"/>
      <w:u w:val="single"/>
      <w:lang w:val="zh-CN" w:eastAsia="zh-CN"/>
    </w:rPr>
  </w:style>
  <w:style w:type="character" w:customStyle="1" w:styleId="272">
    <w:name w:val="副标题 Char"/>
    <w:basedOn w:val="58"/>
    <w:autoRedefine/>
    <w:qFormat/>
    <w:uiPriority w:val="0"/>
    <w:rPr>
      <w:rFonts w:asciiTheme="majorHAnsi" w:hAnsiTheme="majorHAnsi" w:cstheme="majorBidi"/>
      <w:b/>
      <w:bCs/>
      <w:kern w:val="28"/>
      <w:sz w:val="32"/>
      <w:szCs w:val="32"/>
    </w:rPr>
  </w:style>
  <w:style w:type="character" w:customStyle="1" w:styleId="273">
    <w:name w:val="正文首行缩进 字符"/>
    <w:basedOn w:val="81"/>
    <w:link w:val="53"/>
    <w:autoRedefine/>
    <w:qFormat/>
    <w:uiPriority w:val="99"/>
    <w:rPr>
      <w:rFonts w:ascii="宋体" w:hAnsi="宋体"/>
      <w:kern w:val="2"/>
      <w:sz w:val="21"/>
      <w:szCs w:val="24"/>
    </w:rPr>
  </w:style>
  <w:style w:type="character" w:customStyle="1" w:styleId="274">
    <w:name w:val="正文加粗 Char"/>
    <w:link w:val="275"/>
    <w:autoRedefine/>
    <w:qFormat/>
    <w:locked/>
    <w:uiPriority w:val="0"/>
    <w:rPr>
      <w:b/>
      <w:sz w:val="24"/>
      <w:szCs w:val="24"/>
    </w:rPr>
  </w:style>
  <w:style w:type="paragraph" w:customStyle="1" w:styleId="275">
    <w:name w:val="正文加粗"/>
    <w:basedOn w:val="1"/>
    <w:next w:val="1"/>
    <w:link w:val="274"/>
    <w:autoRedefine/>
    <w:qFormat/>
    <w:uiPriority w:val="0"/>
    <w:pPr>
      <w:adjustRightInd w:val="0"/>
      <w:snapToGrid w:val="0"/>
      <w:spacing w:line="360" w:lineRule="auto"/>
      <w:ind w:right="240" w:firstLine="480" w:firstLineChars="200"/>
      <w:jc w:val="left"/>
    </w:pPr>
    <w:rPr>
      <w:b/>
      <w:kern w:val="0"/>
      <w:sz w:val="24"/>
    </w:rPr>
  </w:style>
  <w:style w:type="character" w:customStyle="1" w:styleId="276">
    <w:name w:val="xmfy Char Char"/>
    <w:link w:val="277"/>
    <w:autoRedefine/>
    <w:qFormat/>
    <w:locked/>
    <w:uiPriority w:val="0"/>
    <w:rPr>
      <w:rFonts w:ascii="宋体" w:hAnsi="宋体" w:cs="宋体"/>
      <w:sz w:val="28"/>
    </w:rPr>
  </w:style>
  <w:style w:type="paragraph" w:customStyle="1" w:styleId="277">
    <w:name w:val="xmfy"/>
    <w:basedOn w:val="7"/>
    <w:link w:val="276"/>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8">
    <w:name w:val="引用 Char"/>
    <w:link w:val="279"/>
    <w:autoRedefine/>
    <w:qFormat/>
    <w:locked/>
    <w:uiPriority w:val="0"/>
    <w:rPr>
      <w:i/>
      <w:iCs/>
      <w:color w:val="000000"/>
    </w:rPr>
  </w:style>
  <w:style w:type="paragraph" w:customStyle="1" w:styleId="279">
    <w:name w:val="引用1"/>
    <w:basedOn w:val="1"/>
    <w:next w:val="1"/>
    <w:link w:val="278"/>
    <w:autoRedefine/>
    <w:qFormat/>
    <w:uiPriority w:val="0"/>
    <w:rPr>
      <w:i/>
      <w:iCs/>
      <w:color w:val="000000"/>
      <w:kern w:val="0"/>
      <w:sz w:val="20"/>
      <w:szCs w:val="20"/>
    </w:rPr>
  </w:style>
  <w:style w:type="character" w:customStyle="1" w:styleId="280">
    <w:name w:val="标题4 Char Char"/>
    <w:link w:val="281"/>
    <w:autoRedefine/>
    <w:qFormat/>
    <w:locked/>
    <w:uiPriority w:val="0"/>
    <w:rPr>
      <w:rFonts w:ascii="Arial" w:hAnsi="Arial" w:cs="Arial"/>
      <w:b/>
      <w:bCs/>
      <w:sz w:val="24"/>
      <w:szCs w:val="32"/>
    </w:rPr>
  </w:style>
  <w:style w:type="paragraph" w:customStyle="1" w:styleId="281">
    <w:name w:val="标题4"/>
    <w:basedOn w:val="6"/>
    <w:next w:val="27"/>
    <w:link w:val="280"/>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82">
    <w:name w:val="明显引用 Char"/>
    <w:link w:val="283"/>
    <w:autoRedefine/>
    <w:qFormat/>
    <w:locked/>
    <w:uiPriority w:val="0"/>
    <w:rPr>
      <w:b/>
      <w:bCs/>
      <w:i/>
      <w:iCs/>
      <w:color w:val="4F81BD"/>
    </w:rPr>
  </w:style>
  <w:style w:type="paragraph" w:customStyle="1" w:styleId="283">
    <w:name w:val="明显引用1"/>
    <w:basedOn w:val="1"/>
    <w:next w:val="1"/>
    <w:link w:val="282"/>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4">
    <w:name w:val="标题5 Char Char"/>
    <w:link w:val="285"/>
    <w:autoRedefine/>
    <w:qFormat/>
    <w:locked/>
    <w:uiPriority w:val="0"/>
    <w:rPr>
      <w:rFonts w:ascii="Arial" w:hAnsi="Arial" w:cs="Arial"/>
      <w:b/>
      <w:bCs/>
      <w:sz w:val="24"/>
      <w:szCs w:val="32"/>
    </w:rPr>
  </w:style>
  <w:style w:type="paragraph" w:customStyle="1" w:styleId="285">
    <w:name w:val="标题5"/>
    <w:basedOn w:val="8"/>
    <w:link w:val="284"/>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6">
    <w:name w:val="my正文 Char"/>
    <w:link w:val="287"/>
    <w:autoRedefine/>
    <w:qFormat/>
    <w:locked/>
    <w:uiPriority w:val="0"/>
    <w:rPr>
      <w:rFonts w:ascii="宋体" w:hAnsi="宋体"/>
      <w:kern w:val="2"/>
      <w:sz w:val="24"/>
      <w:szCs w:val="22"/>
    </w:rPr>
  </w:style>
  <w:style w:type="paragraph" w:customStyle="1" w:styleId="287">
    <w:name w:val="my正文"/>
    <w:link w:val="286"/>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8">
    <w:name w:val="!BECC正文 Char"/>
    <w:link w:val="289"/>
    <w:autoRedefine/>
    <w:qFormat/>
    <w:locked/>
    <w:uiPriority w:val="0"/>
    <w:rPr>
      <w:sz w:val="24"/>
      <w:szCs w:val="24"/>
    </w:rPr>
  </w:style>
  <w:style w:type="paragraph" w:customStyle="1" w:styleId="289">
    <w:name w:val="!BECC正文"/>
    <w:basedOn w:val="1"/>
    <w:link w:val="288"/>
    <w:autoRedefine/>
    <w:qFormat/>
    <w:uiPriority w:val="0"/>
    <w:pPr>
      <w:tabs>
        <w:tab w:val="left" w:pos="0"/>
      </w:tabs>
      <w:spacing w:beforeLines="50" w:line="360" w:lineRule="auto"/>
      <w:ind w:firstLine="200" w:firstLineChars="200"/>
      <w:contextualSpacing/>
    </w:pPr>
    <w:rPr>
      <w:kern w:val="0"/>
      <w:sz w:val="24"/>
    </w:rPr>
  </w:style>
  <w:style w:type="paragraph" w:customStyle="1" w:styleId="290">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91">
    <w:name w:val="样式 标题 3 + (中文) 黑体 小四 非加粗 段前: 7.8 磅 段后: 0 磅 行距: 固定值 20 磅"/>
    <w:basedOn w:val="8"/>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92">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3">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4">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5">
    <w:name w:val="列出段落3"/>
    <w:basedOn w:val="1"/>
    <w:autoRedefine/>
    <w:qFormat/>
    <w:uiPriority w:val="34"/>
    <w:pPr>
      <w:ind w:firstLine="420" w:firstLineChars="200"/>
    </w:pPr>
    <w:rPr>
      <w:rFonts w:ascii="Calibri" w:hAnsi="Calibri"/>
      <w:szCs w:val="22"/>
    </w:rPr>
  </w:style>
  <w:style w:type="paragraph" w:customStyle="1" w:styleId="296">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7">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8">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9">
    <w:name w:val="图标题"/>
    <w:basedOn w:val="1"/>
    <w:autoRedefine/>
    <w:qFormat/>
    <w:uiPriority w:val="99"/>
    <w:pPr>
      <w:spacing w:line="360" w:lineRule="auto"/>
      <w:jc w:val="center"/>
    </w:pPr>
  </w:style>
  <w:style w:type="paragraph" w:customStyle="1" w:styleId="300">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1">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02">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3">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4">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5">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6">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7">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8">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9">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10">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11">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12">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3">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4">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5">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6">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7">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8">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9">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20">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1">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2">
    <w:name w:val="TOC 标题1"/>
    <w:basedOn w:val="5"/>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23">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4">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5">
    <w:name w:val="样式1"/>
    <w:basedOn w:val="1"/>
    <w:autoRedefine/>
    <w:qFormat/>
    <w:uiPriority w:val="99"/>
    <w:pPr>
      <w:spacing w:before="120" w:after="120" w:line="300" w:lineRule="auto"/>
    </w:pPr>
    <w:rPr>
      <w:rFonts w:ascii="宋体" w:hAnsi="宋体"/>
      <w:b/>
      <w:sz w:val="24"/>
      <w:szCs w:val="20"/>
    </w:rPr>
  </w:style>
  <w:style w:type="paragraph" w:customStyle="1" w:styleId="326">
    <w:name w:val="Style2"/>
    <w:basedOn w:val="1"/>
    <w:autoRedefine/>
    <w:qFormat/>
    <w:uiPriority w:val="99"/>
    <w:pPr>
      <w:adjustRightInd w:val="0"/>
      <w:spacing w:line="533" w:lineRule="exact"/>
      <w:jc w:val="left"/>
    </w:pPr>
    <w:rPr>
      <w:rFonts w:ascii="宋体" w:hAnsi="Calibri"/>
      <w:kern w:val="0"/>
      <w:sz w:val="24"/>
    </w:rPr>
  </w:style>
  <w:style w:type="paragraph" w:customStyle="1" w:styleId="327">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8">
    <w:name w:val="Char1 Char Char Char"/>
    <w:basedOn w:val="1"/>
    <w:autoRedefine/>
    <w:qFormat/>
    <w:uiPriority w:val="99"/>
    <w:rPr>
      <w:rFonts w:ascii="Tahoma" w:hAnsi="Tahoma"/>
      <w:sz w:val="24"/>
      <w:szCs w:val="20"/>
    </w:rPr>
  </w:style>
  <w:style w:type="paragraph" w:customStyle="1" w:styleId="329">
    <w:name w:val="目录"/>
    <w:basedOn w:val="1"/>
    <w:autoRedefine/>
    <w:qFormat/>
    <w:uiPriority w:val="99"/>
    <w:pPr>
      <w:widowControl/>
      <w:jc w:val="center"/>
    </w:pPr>
    <w:rPr>
      <w:rFonts w:ascii="宋体"/>
      <w:b/>
      <w:kern w:val="0"/>
      <w:sz w:val="36"/>
      <w:szCs w:val="20"/>
    </w:rPr>
  </w:style>
  <w:style w:type="paragraph" w:customStyle="1" w:styleId="330">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31">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32">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33">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4">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5">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6">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7">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8">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9">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40">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41">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2">
    <w:name w:val="Style4"/>
    <w:basedOn w:val="1"/>
    <w:autoRedefine/>
    <w:qFormat/>
    <w:uiPriority w:val="99"/>
    <w:pPr>
      <w:adjustRightInd w:val="0"/>
      <w:jc w:val="left"/>
    </w:pPr>
    <w:rPr>
      <w:rFonts w:ascii="宋体" w:hAnsi="Calibri"/>
      <w:kern w:val="0"/>
      <w:sz w:val="24"/>
    </w:rPr>
  </w:style>
  <w:style w:type="paragraph" w:customStyle="1" w:styleId="343">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4">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5">
    <w:name w:val="修订2"/>
    <w:autoRedefine/>
    <w:qFormat/>
    <w:uiPriority w:val="99"/>
    <w:rPr>
      <w:rFonts w:ascii="Calibri" w:hAnsi="Calibri" w:eastAsia="宋体" w:cs="Times New Roman"/>
      <w:kern w:val="2"/>
      <w:sz w:val="21"/>
      <w:szCs w:val="22"/>
      <w:lang w:val="en-US" w:eastAsia="zh-CN" w:bidi="ar-SA"/>
    </w:rPr>
  </w:style>
  <w:style w:type="paragraph" w:customStyle="1" w:styleId="346">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7">
    <w:name w:val="列出段落6"/>
    <w:basedOn w:val="1"/>
    <w:autoRedefine/>
    <w:qFormat/>
    <w:uiPriority w:val="99"/>
    <w:pPr>
      <w:ind w:firstLine="420" w:firstLineChars="200"/>
    </w:pPr>
    <w:rPr>
      <w:rFonts w:ascii="Calibri" w:hAnsi="Calibri"/>
      <w:szCs w:val="22"/>
    </w:rPr>
  </w:style>
  <w:style w:type="paragraph" w:customStyle="1" w:styleId="348">
    <w:name w:val="样式 标题 2 + Times New Roman 四号 非加粗 段前: 5 磅 段后: 0 磅 行距: 固定值 20..."/>
    <w:basedOn w:val="6"/>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9">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50">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1">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2">
    <w:name w:val="Style1"/>
    <w:basedOn w:val="1"/>
    <w:autoRedefine/>
    <w:qFormat/>
    <w:uiPriority w:val="99"/>
    <w:pPr>
      <w:adjustRightInd w:val="0"/>
      <w:jc w:val="left"/>
    </w:pPr>
    <w:rPr>
      <w:rFonts w:ascii="宋体" w:hAnsi="Calibri"/>
      <w:kern w:val="0"/>
      <w:sz w:val="24"/>
    </w:rPr>
  </w:style>
  <w:style w:type="paragraph" w:customStyle="1" w:styleId="353">
    <w:name w:val="列出段落31"/>
    <w:basedOn w:val="1"/>
    <w:autoRedefine/>
    <w:qFormat/>
    <w:uiPriority w:val="99"/>
    <w:pPr>
      <w:ind w:firstLine="420" w:firstLineChars="200"/>
    </w:pPr>
    <w:rPr>
      <w:szCs w:val="20"/>
    </w:rPr>
  </w:style>
  <w:style w:type="paragraph" w:customStyle="1" w:styleId="354">
    <w:name w:val="_Style 251"/>
    <w:basedOn w:val="1"/>
    <w:next w:val="17"/>
    <w:autoRedefine/>
    <w:qFormat/>
    <w:uiPriority w:val="1"/>
    <w:pPr>
      <w:ind w:firstLine="420" w:firstLineChars="200"/>
    </w:pPr>
    <w:rPr>
      <w:rFonts w:ascii="Calibri" w:hAnsi="Calibri"/>
      <w:szCs w:val="22"/>
    </w:rPr>
  </w:style>
  <w:style w:type="paragraph" w:customStyle="1" w:styleId="355">
    <w:name w:val="_Style 261"/>
    <w:basedOn w:val="1"/>
    <w:next w:val="17"/>
    <w:autoRedefine/>
    <w:qFormat/>
    <w:uiPriority w:val="1"/>
    <w:pPr>
      <w:ind w:firstLine="420" w:firstLineChars="200"/>
    </w:pPr>
    <w:rPr>
      <w:rFonts w:ascii="Calibri" w:hAnsi="Calibri"/>
      <w:szCs w:val="22"/>
    </w:rPr>
  </w:style>
  <w:style w:type="paragraph" w:customStyle="1" w:styleId="356">
    <w:name w:val="1.1.1"/>
    <w:basedOn w:val="353"/>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7">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8">
    <w:name w:val="正文（缩进）"/>
    <w:basedOn w:val="1"/>
    <w:autoRedefine/>
    <w:qFormat/>
    <w:uiPriority w:val="99"/>
    <w:pPr>
      <w:spacing w:beforeLines="50"/>
      <w:ind w:firstLine="480"/>
    </w:pPr>
    <w:rPr>
      <w:rFonts w:ascii="Calibri" w:hAnsi="Calibri"/>
      <w:sz w:val="24"/>
      <w:szCs w:val="22"/>
    </w:rPr>
  </w:style>
  <w:style w:type="paragraph" w:customStyle="1" w:styleId="359">
    <w:name w:val="2级小标题"/>
    <w:basedOn w:val="5"/>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60">
    <w:name w:val="1级大标题"/>
    <w:basedOn w:val="5"/>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61">
    <w:name w:val="3级小标题"/>
    <w:basedOn w:val="5"/>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62">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63">
    <w:name w:val="彩色列表 - 强调文字颜色 11"/>
    <w:basedOn w:val="1"/>
    <w:autoRedefine/>
    <w:qFormat/>
    <w:uiPriority w:val="99"/>
    <w:pPr>
      <w:ind w:firstLine="420" w:firstLineChars="200"/>
    </w:pPr>
  </w:style>
  <w:style w:type="character" w:customStyle="1" w:styleId="364">
    <w:name w:val="样式 Char"/>
    <w:link w:val="365"/>
    <w:autoRedefine/>
    <w:qFormat/>
    <w:locked/>
    <w:uiPriority w:val="0"/>
    <w:rPr>
      <w:rFonts w:ascii="宋体" w:hAnsi="宋体"/>
      <w:sz w:val="24"/>
      <w:szCs w:val="24"/>
    </w:rPr>
  </w:style>
  <w:style w:type="paragraph" w:customStyle="1" w:styleId="365">
    <w:name w:val="样式"/>
    <w:link w:val="364"/>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6">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7">
    <w:name w:val="Char Char Char Char Char Char1 Char"/>
    <w:basedOn w:val="1"/>
    <w:autoRedefine/>
    <w:qFormat/>
    <w:uiPriority w:val="99"/>
    <w:pPr>
      <w:widowControl/>
      <w:wordWrap w:val="0"/>
      <w:jc w:val="left"/>
    </w:pPr>
  </w:style>
  <w:style w:type="paragraph" w:customStyle="1" w:styleId="368">
    <w:name w:val="Char1 Char Char1 Char Char Char Char"/>
    <w:basedOn w:val="1"/>
    <w:autoRedefine/>
    <w:qFormat/>
    <w:uiPriority w:val="99"/>
    <w:rPr>
      <w:rFonts w:ascii="Tahoma" w:hAnsi="Tahoma"/>
      <w:sz w:val="24"/>
      <w:szCs w:val="20"/>
    </w:rPr>
  </w:style>
  <w:style w:type="paragraph" w:customStyle="1" w:styleId="369">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70">
    <w:name w:val="Char Char Char Char Char Char1 Char1"/>
    <w:basedOn w:val="1"/>
    <w:autoRedefine/>
    <w:qFormat/>
    <w:uiPriority w:val="99"/>
    <w:pPr>
      <w:widowControl/>
      <w:wordWrap w:val="0"/>
      <w:jc w:val="left"/>
    </w:pPr>
    <w:rPr>
      <w:rFonts w:ascii="Tahoma" w:hAnsi="Tahoma"/>
      <w:sz w:val="24"/>
      <w:szCs w:val="20"/>
    </w:rPr>
  </w:style>
  <w:style w:type="paragraph" w:customStyle="1" w:styleId="371">
    <w:name w:val="标题六"/>
    <w:basedOn w:val="8"/>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72">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3">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4">
    <w:name w:val="样式 正文缩进 + 首行缩进:  2.06 字符"/>
    <w:basedOn w:val="7"/>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5">
    <w:name w:val="1."/>
    <w:basedOn w:val="1"/>
    <w:autoRedefine/>
    <w:qFormat/>
    <w:uiPriority w:val="99"/>
    <w:pPr>
      <w:spacing w:line="360" w:lineRule="auto"/>
    </w:pPr>
    <w:rPr>
      <w:sz w:val="24"/>
    </w:rPr>
  </w:style>
  <w:style w:type="paragraph" w:customStyle="1" w:styleId="376">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7">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8">
    <w:name w:val="Char Char Char Char Char Char Char Char Char Char Char Char Char"/>
    <w:basedOn w:val="1"/>
    <w:autoRedefine/>
    <w:qFormat/>
    <w:uiPriority w:val="99"/>
    <w:rPr>
      <w:rFonts w:ascii="Tahoma" w:hAnsi="Tahoma"/>
      <w:sz w:val="24"/>
      <w:szCs w:val="20"/>
    </w:rPr>
  </w:style>
  <w:style w:type="paragraph" w:customStyle="1" w:styleId="379">
    <w:name w:val="p0"/>
    <w:basedOn w:val="1"/>
    <w:autoRedefine/>
    <w:qFormat/>
    <w:uiPriority w:val="99"/>
    <w:pPr>
      <w:widowControl/>
      <w:jc w:val="left"/>
    </w:pPr>
    <w:rPr>
      <w:rFonts w:ascii="宋体" w:hAnsi="宋体" w:cs="宋体"/>
      <w:kern w:val="0"/>
      <w:sz w:val="24"/>
      <w:szCs w:val="21"/>
    </w:rPr>
  </w:style>
  <w:style w:type="paragraph" w:customStyle="1" w:styleId="380">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81">
    <w:name w:val="默认段落字体 Para Char Char Char Char Char Char Char"/>
    <w:basedOn w:val="19"/>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82">
    <w:name w:val="1)"/>
    <w:basedOn w:val="1"/>
    <w:autoRedefine/>
    <w:qFormat/>
    <w:uiPriority w:val="99"/>
    <w:pPr>
      <w:tabs>
        <w:tab w:val="left" w:pos="900"/>
        <w:tab w:val="left" w:pos="964"/>
      </w:tabs>
      <w:spacing w:line="360" w:lineRule="auto"/>
      <w:ind w:left="420" w:hanging="420"/>
    </w:pPr>
    <w:rPr>
      <w:sz w:val="24"/>
    </w:rPr>
  </w:style>
  <w:style w:type="paragraph" w:customStyle="1" w:styleId="383">
    <w:name w:val="Char Char1 Char Char Char Char Char Char Char"/>
    <w:basedOn w:val="1"/>
    <w:autoRedefine/>
    <w:qFormat/>
    <w:uiPriority w:val="99"/>
    <w:rPr>
      <w:rFonts w:ascii="Tahoma" w:hAnsi="Tahoma"/>
      <w:sz w:val="24"/>
      <w:szCs w:val="20"/>
    </w:rPr>
  </w:style>
  <w:style w:type="paragraph" w:customStyle="1" w:styleId="384">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5">
    <w:name w:val="p15"/>
    <w:basedOn w:val="1"/>
    <w:autoRedefine/>
    <w:qFormat/>
    <w:uiPriority w:val="99"/>
    <w:pPr>
      <w:widowControl/>
      <w:jc w:val="left"/>
    </w:pPr>
    <w:rPr>
      <w:rFonts w:ascii="Calibri" w:hAnsi="Calibri"/>
      <w:kern w:val="0"/>
      <w:sz w:val="24"/>
      <w:szCs w:val="22"/>
    </w:rPr>
  </w:style>
  <w:style w:type="paragraph" w:customStyle="1" w:styleId="386">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7">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8">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0">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1">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2">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3">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4">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5">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6">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7">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8">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9">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400">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1">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402">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403">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4">
    <w:name w:val="修订21"/>
    <w:autoRedefine/>
    <w:qFormat/>
    <w:uiPriority w:val="99"/>
    <w:rPr>
      <w:rFonts w:ascii="Calibri" w:hAnsi="Calibri" w:eastAsia="宋体" w:cs="Times New Roman"/>
      <w:kern w:val="2"/>
      <w:sz w:val="21"/>
      <w:szCs w:val="22"/>
      <w:lang w:val="en-US" w:eastAsia="zh-CN" w:bidi="ar-SA"/>
    </w:rPr>
  </w:style>
  <w:style w:type="character" w:customStyle="1" w:styleId="405">
    <w:name w:val="Placeholder Text"/>
    <w:autoRedefine/>
    <w:semiHidden/>
    <w:qFormat/>
    <w:uiPriority w:val="99"/>
    <w:rPr>
      <w:color w:val="808080"/>
    </w:rPr>
  </w:style>
  <w:style w:type="character" w:customStyle="1" w:styleId="406">
    <w:name w:val="标题 1 Char1"/>
    <w:autoRedefine/>
    <w:qFormat/>
    <w:locked/>
    <w:uiPriority w:val="0"/>
    <w:rPr>
      <w:rFonts w:ascii="黑体" w:cs="宋体"/>
      <w:b/>
      <w:sz w:val="28"/>
      <w:lang w:val="zh-CN"/>
    </w:rPr>
  </w:style>
  <w:style w:type="character" w:customStyle="1" w:styleId="407">
    <w:name w:val="标题 4 Char1"/>
    <w:autoRedefine/>
    <w:semiHidden/>
    <w:qFormat/>
    <w:locked/>
    <w:uiPriority w:val="0"/>
    <w:rPr>
      <w:rFonts w:ascii="Arial" w:hAnsi="Arial" w:eastAsia="仿宋_GB2312"/>
      <w:b/>
      <w:bCs/>
      <w:sz w:val="28"/>
      <w:szCs w:val="28"/>
      <w:lang w:val="zh-CN" w:eastAsia="zh-CN"/>
    </w:rPr>
  </w:style>
  <w:style w:type="character" w:customStyle="1" w:styleId="408">
    <w:name w:val="标题 5 Char1"/>
    <w:autoRedefine/>
    <w:semiHidden/>
    <w:qFormat/>
    <w:locked/>
    <w:uiPriority w:val="0"/>
    <w:rPr>
      <w:rFonts w:ascii="Calibri" w:hAnsi="Calibri"/>
      <w:b/>
      <w:bCs/>
      <w:sz w:val="28"/>
      <w:szCs w:val="28"/>
      <w:lang w:val="zh-CN" w:eastAsia="zh-CN"/>
    </w:rPr>
  </w:style>
  <w:style w:type="character" w:customStyle="1" w:styleId="409">
    <w:name w:val="标题 6 Char1"/>
    <w:autoRedefine/>
    <w:semiHidden/>
    <w:qFormat/>
    <w:locked/>
    <w:uiPriority w:val="0"/>
    <w:rPr>
      <w:rFonts w:ascii="Arial" w:hAnsi="Arial" w:eastAsia="黑体"/>
      <w:b/>
      <w:bCs/>
      <w:sz w:val="24"/>
      <w:szCs w:val="24"/>
      <w:lang w:val="zh-CN"/>
    </w:rPr>
  </w:style>
  <w:style w:type="character" w:customStyle="1" w:styleId="410">
    <w:name w:val="标题 7 Char2"/>
    <w:autoRedefine/>
    <w:semiHidden/>
    <w:qFormat/>
    <w:locked/>
    <w:uiPriority w:val="99"/>
    <w:rPr>
      <w:b/>
      <w:bCs/>
      <w:sz w:val="24"/>
      <w:szCs w:val="24"/>
      <w:lang w:val="zh-CN"/>
    </w:rPr>
  </w:style>
  <w:style w:type="character" w:customStyle="1" w:styleId="411">
    <w:name w:val="标题 8 Char1"/>
    <w:autoRedefine/>
    <w:semiHidden/>
    <w:qFormat/>
    <w:locked/>
    <w:uiPriority w:val="99"/>
    <w:rPr>
      <w:rFonts w:ascii="Arial" w:hAnsi="Arial" w:eastAsia="黑体"/>
      <w:sz w:val="24"/>
      <w:szCs w:val="24"/>
      <w:lang w:val="zh-CN"/>
    </w:rPr>
  </w:style>
  <w:style w:type="character" w:customStyle="1" w:styleId="412">
    <w:name w:val="标题 9 Char1"/>
    <w:autoRedefine/>
    <w:semiHidden/>
    <w:qFormat/>
    <w:locked/>
    <w:uiPriority w:val="99"/>
    <w:rPr>
      <w:rFonts w:ascii="Arial" w:hAnsi="Arial" w:eastAsia="黑体"/>
      <w:szCs w:val="21"/>
      <w:lang w:val="zh-CN"/>
    </w:rPr>
  </w:style>
  <w:style w:type="character" w:customStyle="1" w:styleId="413">
    <w:name w:val="文档结构图 Char2"/>
    <w:autoRedefine/>
    <w:semiHidden/>
    <w:qFormat/>
    <w:locked/>
    <w:uiPriority w:val="99"/>
    <w:rPr>
      <w:rFonts w:eastAsia="Times New Roman"/>
      <w:szCs w:val="24"/>
      <w:shd w:val="clear" w:color="auto" w:fill="000080"/>
      <w:lang w:val="zh-CN" w:eastAsia="zh-CN"/>
    </w:rPr>
  </w:style>
  <w:style w:type="character" w:customStyle="1" w:styleId="414">
    <w:name w:val="正文文本 3 Char1"/>
    <w:autoRedefine/>
    <w:semiHidden/>
    <w:qFormat/>
    <w:locked/>
    <w:uiPriority w:val="99"/>
    <w:rPr>
      <w:rFonts w:eastAsia="Times New Roman"/>
      <w:sz w:val="16"/>
      <w:szCs w:val="16"/>
      <w:lang w:val="zh-CN" w:eastAsia="zh-CN"/>
    </w:rPr>
  </w:style>
  <w:style w:type="character" w:customStyle="1" w:styleId="415">
    <w:name w:val="正文文本 Char2"/>
    <w:autoRedefine/>
    <w:semiHidden/>
    <w:qFormat/>
    <w:locked/>
    <w:uiPriority w:val="99"/>
    <w:rPr>
      <w:rFonts w:eastAsia="Times New Roman"/>
      <w:sz w:val="30"/>
      <w:lang w:val="zh-CN" w:eastAsia="zh-CN"/>
    </w:rPr>
  </w:style>
  <w:style w:type="character" w:customStyle="1" w:styleId="416">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7">
    <w:name w:val="批注框文本 Char2"/>
    <w:autoRedefine/>
    <w:semiHidden/>
    <w:qFormat/>
    <w:locked/>
    <w:uiPriority w:val="99"/>
    <w:rPr>
      <w:rFonts w:eastAsia="Times New Roman"/>
      <w:sz w:val="18"/>
      <w:szCs w:val="18"/>
      <w:lang w:val="zh-CN" w:eastAsia="zh-CN"/>
    </w:rPr>
  </w:style>
  <w:style w:type="character" w:customStyle="1" w:styleId="418">
    <w:name w:val="页脚 Char2"/>
    <w:autoRedefine/>
    <w:semiHidden/>
    <w:qFormat/>
    <w:locked/>
    <w:uiPriority w:val="99"/>
    <w:rPr>
      <w:rFonts w:eastAsia="Times New Roman"/>
      <w:sz w:val="18"/>
      <w:lang w:val="zh-CN" w:eastAsia="zh-CN"/>
    </w:rPr>
  </w:style>
  <w:style w:type="character" w:customStyle="1" w:styleId="419">
    <w:name w:val="副标题 字符1"/>
    <w:link w:val="39"/>
    <w:autoRedefine/>
    <w:qFormat/>
    <w:locked/>
    <w:uiPriority w:val="99"/>
    <w:rPr>
      <w:rFonts w:ascii="Cambria" w:hAnsi="Cambria" w:eastAsia="Times New Roman"/>
      <w:b/>
      <w:bCs/>
      <w:kern w:val="28"/>
      <w:sz w:val="32"/>
      <w:szCs w:val="32"/>
      <w:lang w:val="zh-CN" w:eastAsia="zh-CN"/>
    </w:rPr>
  </w:style>
  <w:style w:type="character" w:customStyle="1" w:styleId="420">
    <w:name w:val="HTML 预设格式 Char2"/>
    <w:autoRedefine/>
    <w:semiHidden/>
    <w:qFormat/>
    <w:locked/>
    <w:uiPriority w:val="0"/>
    <w:rPr>
      <w:rFonts w:ascii="宋体" w:hAnsi="宋体" w:eastAsia="仿宋_GB2312"/>
      <w:sz w:val="24"/>
      <w:szCs w:val="24"/>
      <w:lang w:val="zh-CN" w:eastAsia="zh-CN"/>
    </w:rPr>
  </w:style>
  <w:style w:type="character" w:customStyle="1" w:styleId="421">
    <w:name w:val="标题 Char2"/>
    <w:autoRedefine/>
    <w:qFormat/>
    <w:locked/>
    <w:uiPriority w:val="99"/>
    <w:rPr>
      <w:rFonts w:ascii="Cambria" w:hAnsi="Cambria" w:eastAsia="Times New Roman"/>
      <w:b/>
      <w:bCs/>
      <w:kern w:val="2"/>
      <w:sz w:val="44"/>
      <w:szCs w:val="32"/>
      <w:lang w:val="zh-CN" w:eastAsia="zh-CN"/>
    </w:rPr>
  </w:style>
  <w:style w:type="character" w:customStyle="1" w:styleId="422">
    <w:name w:val="批注主题 Char2"/>
    <w:autoRedefine/>
    <w:semiHidden/>
    <w:qFormat/>
    <w:locked/>
    <w:uiPriority w:val="99"/>
    <w:rPr>
      <w:rFonts w:eastAsia="Times New Roman"/>
      <w:b/>
      <w:bCs/>
      <w:szCs w:val="24"/>
      <w:lang w:val="zh-CN" w:eastAsia="zh-CN"/>
    </w:rPr>
  </w:style>
  <w:style w:type="character" w:customStyle="1" w:styleId="423">
    <w:name w:val="Font Style11"/>
    <w:autoRedefine/>
    <w:qFormat/>
    <w:uiPriority w:val="0"/>
    <w:rPr>
      <w:rFonts w:hint="eastAsia" w:ascii="宋体" w:hAnsi="宋体" w:eastAsia="宋体" w:cs="宋体"/>
      <w:sz w:val="22"/>
      <w:szCs w:val="22"/>
    </w:rPr>
  </w:style>
  <w:style w:type="character" w:customStyle="1" w:styleId="424">
    <w:name w:val="font61"/>
    <w:autoRedefine/>
    <w:qFormat/>
    <w:uiPriority w:val="0"/>
    <w:rPr>
      <w:rFonts w:hint="eastAsia" w:ascii="宋体" w:hAnsi="宋体" w:eastAsia="宋体" w:cs="宋体"/>
      <w:color w:val="000000"/>
      <w:sz w:val="22"/>
      <w:szCs w:val="22"/>
      <w:u w:val="none"/>
    </w:rPr>
  </w:style>
  <w:style w:type="character" w:customStyle="1" w:styleId="425">
    <w:name w:val="不明显强调1"/>
    <w:autoRedefine/>
    <w:qFormat/>
    <w:uiPriority w:val="19"/>
    <w:rPr>
      <w:i/>
      <w:iCs/>
      <w:color w:val="808080"/>
    </w:rPr>
  </w:style>
  <w:style w:type="character" w:customStyle="1" w:styleId="426">
    <w:name w:val="font21"/>
    <w:autoRedefine/>
    <w:qFormat/>
    <w:uiPriority w:val="0"/>
    <w:rPr>
      <w:rFonts w:hint="default" w:ascii="Arial" w:hAnsi="Arial" w:cs="Arial"/>
      <w:color w:val="000000"/>
      <w:sz w:val="20"/>
      <w:szCs w:val="20"/>
      <w:u w:val="none"/>
    </w:rPr>
  </w:style>
  <w:style w:type="character" w:customStyle="1" w:styleId="427">
    <w:name w:val="书籍标题1"/>
    <w:autoRedefine/>
    <w:qFormat/>
    <w:uiPriority w:val="33"/>
    <w:rPr>
      <w:b/>
      <w:bCs/>
      <w:smallCaps/>
      <w:spacing w:val="5"/>
    </w:rPr>
  </w:style>
  <w:style w:type="character" w:customStyle="1" w:styleId="428">
    <w:name w:val="正文文本 Char1"/>
    <w:autoRedefine/>
    <w:qFormat/>
    <w:uiPriority w:val="0"/>
    <w:rPr>
      <w:kern w:val="2"/>
      <w:sz w:val="21"/>
      <w:szCs w:val="22"/>
    </w:rPr>
  </w:style>
  <w:style w:type="character" w:customStyle="1" w:styleId="429">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30">
    <w:name w:val="Font Style13"/>
    <w:autoRedefine/>
    <w:qFormat/>
    <w:uiPriority w:val="0"/>
    <w:rPr>
      <w:rFonts w:hint="eastAsia" w:ascii="宋体" w:hAnsi="宋体" w:eastAsia="宋体" w:cs="宋体"/>
      <w:b/>
      <w:bCs/>
      <w:spacing w:val="500"/>
      <w:sz w:val="48"/>
      <w:szCs w:val="48"/>
    </w:rPr>
  </w:style>
  <w:style w:type="character" w:customStyle="1" w:styleId="431">
    <w:name w:val="text1"/>
    <w:autoRedefine/>
    <w:qFormat/>
    <w:uiPriority w:val="0"/>
    <w:rPr>
      <w:spacing w:val="280"/>
      <w:sz w:val="18"/>
      <w:szCs w:val="18"/>
    </w:rPr>
  </w:style>
  <w:style w:type="character" w:customStyle="1" w:styleId="432">
    <w:name w:val="fontstyle31"/>
    <w:autoRedefine/>
    <w:qFormat/>
    <w:uiPriority w:val="0"/>
    <w:rPr>
      <w:rFonts w:hint="default" w:ascii="ArialMT" w:hAnsi="ArialMT" w:eastAsia="ArialMT" w:cs="ArialMT"/>
      <w:color w:val="000000"/>
      <w:sz w:val="24"/>
      <w:szCs w:val="24"/>
    </w:rPr>
  </w:style>
  <w:style w:type="character" w:customStyle="1" w:styleId="433">
    <w:name w:val="Font Style15"/>
    <w:autoRedefine/>
    <w:qFormat/>
    <w:uiPriority w:val="0"/>
    <w:rPr>
      <w:rFonts w:hint="eastAsia" w:ascii="宋体" w:hAnsi="宋体" w:eastAsia="宋体" w:cs="宋体"/>
      <w:b/>
      <w:bCs/>
      <w:sz w:val="20"/>
      <w:szCs w:val="20"/>
    </w:rPr>
  </w:style>
  <w:style w:type="character" w:customStyle="1" w:styleId="434">
    <w:name w:val="fontstyle41"/>
    <w:autoRedefine/>
    <w:qFormat/>
    <w:uiPriority w:val="0"/>
    <w:rPr>
      <w:rFonts w:hint="default" w:ascii="ArialMT" w:hAnsi="ArialMT" w:eastAsia="ArialMT" w:cs="ArialMT"/>
      <w:color w:val="000000"/>
      <w:sz w:val="24"/>
      <w:szCs w:val="24"/>
    </w:rPr>
  </w:style>
  <w:style w:type="character" w:customStyle="1" w:styleId="435">
    <w:name w:val="font81"/>
    <w:autoRedefine/>
    <w:qFormat/>
    <w:uiPriority w:val="0"/>
    <w:rPr>
      <w:rFonts w:hint="default" w:ascii="Times New Roman" w:hAnsi="Times New Roman" w:cs="Times New Roman"/>
      <w:color w:val="000000"/>
      <w:sz w:val="21"/>
      <w:szCs w:val="21"/>
      <w:u w:val="none"/>
    </w:rPr>
  </w:style>
  <w:style w:type="character" w:customStyle="1" w:styleId="436">
    <w:name w:val="样式 正文 +"/>
    <w:autoRedefine/>
    <w:qFormat/>
    <w:uiPriority w:val="0"/>
    <w:rPr>
      <w:rFonts w:hint="default" w:ascii="Times New Roman" w:hAnsi="Times New Roman" w:eastAsia="Times New Roman" w:cs="Times New Roman"/>
      <w:kern w:val="0"/>
      <w:sz w:val="28"/>
    </w:rPr>
  </w:style>
  <w:style w:type="character" w:customStyle="1" w:styleId="437">
    <w:name w:val="日期 Char1"/>
    <w:autoRedefine/>
    <w:qFormat/>
    <w:uiPriority w:val="0"/>
    <w:rPr>
      <w:kern w:val="2"/>
      <w:sz w:val="21"/>
      <w:szCs w:val="22"/>
    </w:rPr>
  </w:style>
  <w:style w:type="character" w:customStyle="1" w:styleId="438">
    <w:name w:val="font71"/>
    <w:autoRedefine/>
    <w:qFormat/>
    <w:uiPriority w:val="0"/>
    <w:rPr>
      <w:rFonts w:hint="default" w:ascii="Times New Roman" w:hAnsi="Times New Roman" w:cs="Times New Roman"/>
      <w:color w:val="000000"/>
      <w:sz w:val="20"/>
      <w:szCs w:val="20"/>
      <w:u w:val="none"/>
    </w:rPr>
  </w:style>
  <w:style w:type="character" w:customStyle="1" w:styleId="439">
    <w:name w:val="明显参考1"/>
    <w:autoRedefine/>
    <w:qFormat/>
    <w:uiPriority w:val="32"/>
    <w:rPr>
      <w:b/>
      <w:bCs/>
      <w:smallCaps/>
      <w:color w:val="C0504D"/>
      <w:spacing w:val="5"/>
      <w:u w:val="single"/>
    </w:rPr>
  </w:style>
  <w:style w:type="character" w:customStyle="1" w:styleId="440">
    <w:name w:val="Font Style16"/>
    <w:autoRedefine/>
    <w:qFormat/>
    <w:uiPriority w:val="0"/>
    <w:rPr>
      <w:rFonts w:hint="default" w:ascii="Times New Roman" w:hAnsi="Times New Roman" w:cs="Times New Roman"/>
      <w:sz w:val="22"/>
      <w:szCs w:val="22"/>
    </w:rPr>
  </w:style>
  <w:style w:type="character" w:customStyle="1" w:styleId="441">
    <w:name w:val="HTML 预设格式 Char1"/>
    <w:autoRedefine/>
    <w:qFormat/>
    <w:uiPriority w:val="0"/>
    <w:rPr>
      <w:rFonts w:hint="default" w:ascii="Courier New" w:hAnsi="Courier New" w:cs="Courier New"/>
      <w:kern w:val="2"/>
    </w:rPr>
  </w:style>
  <w:style w:type="character" w:customStyle="1" w:styleId="442">
    <w:name w:val="不明显参考1"/>
    <w:autoRedefine/>
    <w:qFormat/>
    <w:uiPriority w:val="31"/>
    <w:rPr>
      <w:smallCaps/>
      <w:color w:val="C0504D"/>
      <w:u w:val="single"/>
    </w:rPr>
  </w:style>
  <w:style w:type="character" w:customStyle="1" w:styleId="443">
    <w:name w:val="批注文字 Char Char"/>
    <w:autoRedefine/>
    <w:qFormat/>
    <w:uiPriority w:val="0"/>
    <w:rPr>
      <w:rFonts w:hint="eastAsia" w:ascii="宋体" w:hAnsi="Times New Roman" w:eastAsia="宋体" w:cs="Times New Roman"/>
      <w:sz w:val="28"/>
      <w:szCs w:val="20"/>
    </w:rPr>
  </w:style>
  <w:style w:type="character" w:customStyle="1" w:styleId="444">
    <w:name w:val="批注主题 Char1"/>
    <w:autoRedefine/>
    <w:qFormat/>
    <w:uiPriority w:val="0"/>
    <w:rPr>
      <w:b/>
      <w:bCs/>
      <w:kern w:val="2"/>
      <w:sz w:val="21"/>
      <w:szCs w:val="22"/>
    </w:rPr>
  </w:style>
  <w:style w:type="character" w:customStyle="1" w:styleId="445">
    <w:name w:val="文档结构图 Char1"/>
    <w:autoRedefine/>
    <w:qFormat/>
    <w:uiPriority w:val="0"/>
    <w:rPr>
      <w:rFonts w:hint="eastAsia" w:ascii="宋体" w:hAnsi="宋体" w:eastAsia="宋体"/>
      <w:kern w:val="2"/>
      <w:sz w:val="18"/>
      <w:szCs w:val="18"/>
    </w:rPr>
  </w:style>
  <w:style w:type="character" w:customStyle="1" w:styleId="446">
    <w:name w:val="font141"/>
    <w:autoRedefine/>
    <w:qFormat/>
    <w:uiPriority w:val="0"/>
    <w:rPr>
      <w:rFonts w:hint="eastAsia" w:ascii="宋体" w:hAnsi="宋体" w:eastAsia="宋体" w:cs="宋体"/>
      <w:color w:val="000000"/>
      <w:sz w:val="22"/>
      <w:szCs w:val="22"/>
      <w:u w:val="none"/>
    </w:rPr>
  </w:style>
  <w:style w:type="character" w:customStyle="1" w:styleId="447">
    <w:name w:val="Font Style18"/>
    <w:autoRedefine/>
    <w:qFormat/>
    <w:uiPriority w:val="0"/>
    <w:rPr>
      <w:rFonts w:hint="default" w:ascii="Candara" w:hAnsi="Candara" w:cs="Candara"/>
      <w:spacing w:val="-20"/>
      <w:sz w:val="20"/>
      <w:szCs w:val="20"/>
    </w:rPr>
  </w:style>
  <w:style w:type="character" w:customStyle="1" w:styleId="448">
    <w:name w:val="明显引用 Char1"/>
    <w:autoRedefine/>
    <w:qFormat/>
    <w:uiPriority w:val="30"/>
    <w:rPr>
      <w:rFonts w:hint="default" w:ascii="Calibri" w:hAnsi="Calibri" w:eastAsia="宋体" w:cs="Times New Roman"/>
      <w:b/>
      <w:bCs/>
      <w:i/>
      <w:iCs/>
      <w:color w:val="4F81BD"/>
    </w:rPr>
  </w:style>
  <w:style w:type="character" w:customStyle="1" w:styleId="449">
    <w:name w:val="明显强调1"/>
    <w:autoRedefine/>
    <w:qFormat/>
    <w:uiPriority w:val="21"/>
    <w:rPr>
      <w:b/>
      <w:bCs/>
      <w:i/>
      <w:iCs/>
      <w:color w:val="4F81BD"/>
    </w:rPr>
  </w:style>
  <w:style w:type="character" w:customStyle="1" w:styleId="450">
    <w:name w:val="副标题 Char1"/>
    <w:autoRedefine/>
    <w:qFormat/>
    <w:uiPriority w:val="0"/>
    <w:rPr>
      <w:rFonts w:hint="default" w:ascii="Cambria" w:hAnsi="Cambria" w:cs="Times New Roman"/>
      <w:b/>
      <w:bCs/>
      <w:kern w:val="28"/>
      <w:sz w:val="32"/>
      <w:szCs w:val="32"/>
    </w:rPr>
  </w:style>
  <w:style w:type="character" w:customStyle="1" w:styleId="451">
    <w:name w:val="font41"/>
    <w:autoRedefine/>
    <w:qFormat/>
    <w:uiPriority w:val="0"/>
    <w:rPr>
      <w:rFonts w:hint="eastAsia" w:ascii="宋体" w:hAnsi="宋体" w:eastAsia="宋体" w:cs="宋体"/>
      <w:color w:val="000000"/>
      <w:sz w:val="21"/>
      <w:szCs w:val="21"/>
      <w:u w:val="none"/>
    </w:rPr>
  </w:style>
  <w:style w:type="character" w:customStyle="1" w:styleId="452">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53">
    <w:name w:val="文字加横线"/>
    <w:autoRedefine/>
    <w:qFormat/>
    <w:uiPriority w:val="0"/>
    <w:rPr>
      <w:u w:val="single"/>
    </w:rPr>
  </w:style>
  <w:style w:type="character" w:customStyle="1" w:styleId="454">
    <w:name w:val="fontstyle11"/>
    <w:autoRedefine/>
    <w:qFormat/>
    <w:uiPriority w:val="0"/>
    <w:rPr>
      <w:rFonts w:hint="eastAsia" w:ascii="宋体" w:hAnsi="宋体" w:eastAsia="宋体" w:cs="宋体"/>
      <w:color w:val="000000"/>
      <w:sz w:val="24"/>
      <w:szCs w:val="24"/>
    </w:rPr>
  </w:style>
  <w:style w:type="character" w:customStyle="1" w:styleId="455">
    <w:name w:val="textcontents"/>
    <w:autoRedefine/>
    <w:qFormat/>
    <w:uiPriority w:val="0"/>
    <w:rPr>
      <w:rFonts w:hint="default" w:ascii="Times New Roman" w:hAnsi="Times New Roman" w:cs="Times New Roman"/>
    </w:rPr>
  </w:style>
  <w:style w:type="character" w:customStyle="1" w:styleId="456">
    <w:name w:val="引用 Char1"/>
    <w:autoRedefine/>
    <w:qFormat/>
    <w:uiPriority w:val="29"/>
    <w:rPr>
      <w:rFonts w:hint="default" w:ascii="Calibri" w:hAnsi="Calibri" w:eastAsia="宋体" w:cs="Times New Roman"/>
      <w:i/>
      <w:iCs/>
      <w:color w:val="000000"/>
    </w:rPr>
  </w:style>
  <w:style w:type="character" w:customStyle="1" w:styleId="457">
    <w:name w:val="fontstyle21"/>
    <w:autoRedefine/>
    <w:qFormat/>
    <w:uiPriority w:val="0"/>
    <w:rPr>
      <w:rFonts w:hint="default" w:ascii="Arial-BoldMT" w:hAnsi="Arial-BoldMT" w:eastAsia="Arial-BoldMT" w:cs="Arial-BoldMT"/>
      <w:b/>
      <w:color w:val="000000"/>
      <w:sz w:val="24"/>
      <w:szCs w:val="24"/>
    </w:rPr>
  </w:style>
  <w:style w:type="character" w:customStyle="1" w:styleId="458">
    <w:name w:val="fontstyle01"/>
    <w:autoRedefine/>
    <w:qFormat/>
    <w:uiPriority w:val="0"/>
    <w:rPr>
      <w:rFonts w:hint="eastAsia" w:ascii="宋体" w:hAnsi="宋体" w:eastAsia="宋体" w:cs="宋体"/>
      <w:color w:val="000000"/>
      <w:sz w:val="32"/>
      <w:szCs w:val="32"/>
    </w:rPr>
  </w:style>
  <w:style w:type="character" w:customStyle="1" w:styleId="459">
    <w:name w:val="style11"/>
    <w:autoRedefine/>
    <w:qFormat/>
    <w:uiPriority w:val="0"/>
    <w:rPr>
      <w:color w:val="000000"/>
      <w:sz w:val="18"/>
      <w:szCs w:val="18"/>
    </w:rPr>
  </w:style>
  <w:style w:type="character" w:customStyle="1" w:styleId="460">
    <w:name w:val="font112"/>
    <w:autoRedefine/>
    <w:qFormat/>
    <w:uiPriority w:val="0"/>
    <w:rPr>
      <w:rFonts w:hint="eastAsia" w:ascii="宋体" w:hAnsi="宋体" w:eastAsia="宋体" w:cs="宋体"/>
      <w:color w:val="000000"/>
      <w:sz w:val="20"/>
      <w:szCs w:val="20"/>
      <w:u w:val="none"/>
    </w:rPr>
  </w:style>
  <w:style w:type="character" w:customStyle="1" w:styleId="461">
    <w:name w:val="Font Style14"/>
    <w:autoRedefine/>
    <w:qFormat/>
    <w:uiPriority w:val="0"/>
    <w:rPr>
      <w:rFonts w:hint="eastAsia" w:ascii="宋体" w:hAnsi="宋体" w:eastAsia="宋体" w:cs="宋体"/>
      <w:sz w:val="22"/>
      <w:szCs w:val="22"/>
    </w:rPr>
  </w:style>
  <w:style w:type="character" w:customStyle="1" w:styleId="462">
    <w:name w:val="批注框文本 Char1"/>
    <w:autoRedefine/>
    <w:qFormat/>
    <w:uiPriority w:val="0"/>
    <w:rPr>
      <w:kern w:val="2"/>
      <w:sz w:val="18"/>
      <w:szCs w:val="18"/>
    </w:rPr>
  </w:style>
  <w:style w:type="character" w:customStyle="1" w:styleId="463">
    <w:name w:val="15"/>
    <w:autoRedefine/>
    <w:qFormat/>
    <w:uiPriority w:val="0"/>
    <w:rPr>
      <w:rFonts w:hint="default" w:ascii="Times New Roman" w:hAnsi="Times New Roman" w:cs="Times New Roman"/>
      <w:sz w:val="21"/>
      <w:szCs w:val="21"/>
    </w:rPr>
  </w:style>
  <w:style w:type="character" w:customStyle="1" w:styleId="464">
    <w:name w:val="标题 3 字符1"/>
    <w:autoRedefine/>
    <w:qFormat/>
    <w:locked/>
    <w:uiPriority w:val="9"/>
    <w:rPr>
      <w:b/>
      <w:sz w:val="32"/>
      <w:lang w:val="zh-CN"/>
    </w:rPr>
  </w:style>
  <w:style w:type="character" w:customStyle="1" w:styleId="465">
    <w:name w:val="标题 1 字符"/>
    <w:autoRedefine/>
    <w:qFormat/>
    <w:locked/>
    <w:uiPriority w:val="0"/>
    <w:rPr>
      <w:rFonts w:hint="eastAsia" w:ascii="黑体" w:hAnsi="Times New Roman" w:eastAsia="宋体" w:cs="宋体"/>
      <w:b/>
      <w:sz w:val="28"/>
      <w:lang w:val="zh-CN" w:eastAsia="zh-CN"/>
    </w:rPr>
  </w:style>
  <w:style w:type="character" w:customStyle="1" w:styleId="466">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7">
    <w:name w:val="标题 4 字符"/>
    <w:autoRedefine/>
    <w:qFormat/>
    <w:locked/>
    <w:uiPriority w:val="0"/>
    <w:rPr>
      <w:rFonts w:hint="default" w:ascii="Arial" w:hAnsi="Arial" w:eastAsia="仿宋_GB2312" w:cs="Times New Roman"/>
      <w:b/>
      <w:bCs/>
      <w:sz w:val="28"/>
      <w:szCs w:val="28"/>
    </w:rPr>
  </w:style>
  <w:style w:type="character" w:customStyle="1" w:styleId="468">
    <w:name w:val="标题 5 字符"/>
    <w:autoRedefine/>
    <w:qFormat/>
    <w:locked/>
    <w:uiPriority w:val="0"/>
    <w:rPr>
      <w:rFonts w:hint="default" w:ascii="Calibri" w:hAnsi="Calibri" w:eastAsia="宋体" w:cs="宋体"/>
      <w:b/>
      <w:bCs/>
      <w:sz w:val="28"/>
      <w:szCs w:val="28"/>
    </w:rPr>
  </w:style>
  <w:style w:type="character" w:customStyle="1" w:styleId="469">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70">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71">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72">
    <w:name w:val="标题 9 字符"/>
    <w:autoRedefine/>
    <w:qFormat/>
    <w:locked/>
    <w:uiPriority w:val="99"/>
    <w:rPr>
      <w:rFonts w:hint="default" w:ascii="Arial" w:hAnsi="Arial" w:eastAsia="黑体" w:cs="Times New Roman"/>
      <w:kern w:val="0"/>
      <w:szCs w:val="21"/>
      <w:lang w:val="zh-CN" w:eastAsia="zh-CN"/>
    </w:rPr>
  </w:style>
  <w:style w:type="character" w:customStyle="1" w:styleId="473">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4">
    <w:name w:val="批注文字 字符1"/>
    <w:autoRedefine/>
    <w:qFormat/>
    <w:locked/>
    <w:uiPriority w:val="99"/>
    <w:rPr>
      <w:rFonts w:hint="default" w:ascii="Times New Roman" w:hAnsi="Times New Roman" w:eastAsia="宋体" w:cs="Times New Roman"/>
      <w:szCs w:val="24"/>
    </w:rPr>
  </w:style>
  <w:style w:type="character" w:customStyle="1" w:styleId="475">
    <w:name w:val="正文文本 3 字符"/>
    <w:autoRedefine/>
    <w:qFormat/>
    <w:locked/>
    <w:uiPriority w:val="99"/>
    <w:rPr>
      <w:rFonts w:hint="default" w:ascii="Times New Roman" w:hAnsi="Times New Roman" w:eastAsia="Times New Roman" w:cs="Times New Roman"/>
      <w:sz w:val="16"/>
      <w:szCs w:val="16"/>
    </w:rPr>
  </w:style>
  <w:style w:type="character" w:customStyle="1" w:styleId="476">
    <w:name w:val="正文文本 字符"/>
    <w:autoRedefine/>
    <w:qFormat/>
    <w:locked/>
    <w:uiPriority w:val="99"/>
    <w:rPr>
      <w:rFonts w:hint="default" w:ascii="Times New Roman" w:hAnsi="Times New Roman" w:eastAsia="Times New Roman" w:cs="Times New Roman"/>
      <w:sz w:val="30"/>
      <w:szCs w:val="20"/>
    </w:rPr>
  </w:style>
  <w:style w:type="character" w:customStyle="1" w:styleId="477">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8">
    <w:name w:val="日期 字符1"/>
    <w:autoRedefine/>
    <w:qFormat/>
    <w:uiPriority w:val="0"/>
    <w:rPr>
      <w:rFonts w:hint="default" w:ascii="Times New Roman" w:hAnsi="Times New Roman" w:eastAsia="宋体" w:cs="Times New Roman"/>
      <w:sz w:val="24"/>
      <w:szCs w:val="20"/>
    </w:rPr>
  </w:style>
  <w:style w:type="character" w:customStyle="1" w:styleId="479">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80">
    <w:name w:val="批注框文本 字符1"/>
    <w:autoRedefine/>
    <w:qFormat/>
    <w:locked/>
    <w:uiPriority w:val="0"/>
    <w:rPr>
      <w:rFonts w:hint="default" w:ascii="Times New Roman" w:hAnsi="Times New Roman" w:eastAsia="Times New Roman" w:cs="Times New Roman"/>
      <w:sz w:val="18"/>
      <w:szCs w:val="18"/>
    </w:rPr>
  </w:style>
  <w:style w:type="character" w:customStyle="1" w:styleId="481">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82">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83">
    <w:name w:val="副标题 字符"/>
    <w:autoRedefine/>
    <w:qFormat/>
    <w:locked/>
    <w:uiPriority w:val="0"/>
    <w:rPr>
      <w:rFonts w:hint="default" w:ascii="Cambria" w:hAnsi="Cambria" w:eastAsia="Times New Roman" w:cs="Times New Roman"/>
      <w:b/>
      <w:bCs/>
      <w:kern w:val="28"/>
      <w:sz w:val="32"/>
      <w:szCs w:val="32"/>
    </w:rPr>
  </w:style>
  <w:style w:type="character" w:customStyle="1" w:styleId="484">
    <w:name w:val="脚注文本 字符"/>
    <w:autoRedefine/>
    <w:qFormat/>
    <w:uiPriority w:val="0"/>
    <w:rPr>
      <w:rFonts w:hint="default" w:ascii="Times New Roman" w:hAnsi="Times New Roman" w:eastAsia="宋体" w:cs="Times New Roman"/>
      <w:kern w:val="0"/>
      <w:sz w:val="18"/>
      <w:szCs w:val="20"/>
    </w:rPr>
  </w:style>
  <w:style w:type="character" w:customStyle="1" w:styleId="485">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6">
    <w:name w:val="正文文本 2 字符"/>
    <w:autoRedefine/>
    <w:qFormat/>
    <w:uiPriority w:val="99"/>
    <w:rPr>
      <w:rFonts w:hint="eastAsia" w:ascii="宋体" w:hAnsi="宋体" w:eastAsia="宋体" w:cs="Times New Roman"/>
      <w:sz w:val="24"/>
      <w:szCs w:val="24"/>
      <w:u w:val="single"/>
    </w:rPr>
  </w:style>
  <w:style w:type="character" w:customStyle="1" w:styleId="487">
    <w:name w:val="HTML 预设格式 字符"/>
    <w:autoRedefine/>
    <w:qFormat/>
    <w:locked/>
    <w:uiPriority w:val="0"/>
    <w:rPr>
      <w:rFonts w:hint="eastAsia" w:ascii="宋体" w:hAnsi="宋体" w:eastAsia="仿宋_GB2312" w:cs="Times New Roman"/>
      <w:kern w:val="0"/>
      <w:sz w:val="24"/>
      <w:szCs w:val="24"/>
    </w:rPr>
  </w:style>
  <w:style w:type="character" w:customStyle="1" w:styleId="488">
    <w:name w:val="标题 字符"/>
    <w:autoRedefine/>
    <w:qFormat/>
    <w:locked/>
    <w:uiPriority w:val="99"/>
    <w:rPr>
      <w:rFonts w:hint="default" w:ascii="Cambria" w:hAnsi="Cambria" w:eastAsia="Times New Roman"/>
      <w:b/>
      <w:bCs/>
      <w:kern w:val="2"/>
      <w:sz w:val="44"/>
      <w:szCs w:val="32"/>
    </w:rPr>
  </w:style>
  <w:style w:type="character" w:customStyle="1" w:styleId="489">
    <w:name w:val="批注主题 字符1"/>
    <w:autoRedefine/>
    <w:qFormat/>
    <w:locked/>
    <w:uiPriority w:val="0"/>
    <w:rPr>
      <w:rFonts w:hint="default" w:ascii="Times New Roman" w:hAnsi="Times New Roman" w:eastAsia="Times New Roman" w:cs="Times New Roman"/>
      <w:b/>
      <w:bCs/>
      <w:szCs w:val="24"/>
    </w:rPr>
  </w:style>
  <w:style w:type="character" w:customStyle="1" w:styleId="490">
    <w:name w:val="页眉 字符"/>
    <w:autoRedefine/>
    <w:qFormat/>
    <w:uiPriority w:val="99"/>
    <w:rPr>
      <w:sz w:val="18"/>
      <w:szCs w:val="18"/>
    </w:rPr>
  </w:style>
  <w:style w:type="character" w:customStyle="1" w:styleId="491">
    <w:name w:val="页脚 字符"/>
    <w:autoRedefine/>
    <w:qFormat/>
    <w:uiPriority w:val="99"/>
    <w:rPr>
      <w:sz w:val="18"/>
      <w:szCs w:val="18"/>
    </w:rPr>
  </w:style>
  <w:style w:type="character" w:customStyle="1" w:styleId="492">
    <w:name w:val="标题 3 字符"/>
    <w:autoRedefine/>
    <w:qFormat/>
    <w:uiPriority w:val="0"/>
    <w:rPr>
      <w:rFonts w:hint="eastAsia" w:ascii="宋体" w:hAnsi="宋体" w:eastAsia="宋体"/>
      <w:bCs/>
      <w:sz w:val="21"/>
      <w:szCs w:val="21"/>
    </w:rPr>
  </w:style>
  <w:style w:type="character" w:customStyle="1" w:styleId="493">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4">
    <w:name w:val="日期 字符"/>
    <w:autoRedefine/>
    <w:qFormat/>
    <w:uiPriority w:val="99"/>
    <w:rPr>
      <w:sz w:val="21"/>
      <w:szCs w:val="22"/>
    </w:rPr>
  </w:style>
  <w:style w:type="character" w:customStyle="1" w:styleId="495">
    <w:name w:val="批注框文本 字符"/>
    <w:autoRedefine/>
    <w:qFormat/>
    <w:uiPriority w:val="99"/>
    <w:rPr>
      <w:sz w:val="18"/>
      <w:szCs w:val="18"/>
    </w:rPr>
  </w:style>
  <w:style w:type="character" w:customStyle="1" w:styleId="496">
    <w:name w:val="批注主题 字符"/>
    <w:autoRedefine/>
    <w:qFormat/>
    <w:uiPriority w:val="99"/>
    <w:rPr>
      <w:b/>
      <w:bCs/>
      <w:kern w:val="2"/>
      <w:sz w:val="21"/>
      <w:szCs w:val="22"/>
    </w:rPr>
  </w:style>
  <w:style w:type="character" w:customStyle="1" w:styleId="497">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8">
    <w:name w:val="批注文字 字符2"/>
    <w:autoRedefine/>
    <w:qFormat/>
    <w:locked/>
    <w:uiPriority w:val="0"/>
    <w:rPr>
      <w:rFonts w:hint="default" w:ascii="Times New Roman" w:hAnsi="Times New Roman" w:eastAsia="宋体" w:cs="Times New Roman"/>
      <w:szCs w:val="24"/>
    </w:rPr>
  </w:style>
  <w:style w:type="character" w:customStyle="1" w:styleId="499">
    <w:name w:val="正文缩进 字符2"/>
    <w:autoRedefine/>
    <w:qFormat/>
    <w:locked/>
    <w:uiPriority w:val="0"/>
    <w:rPr>
      <w:rFonts w:hint="default" w:ascii="Times New Roman" w:hAnsi="Times New Roman" w:eastAsia="宋体" w:cs="Times New Roman"/>
      <w:kern w:val="0"/>
      <w:sz w:val="20"/>
      <w:szCs w:val="20"/>
    </w:rPr>
  </w:style>
  <w:style w:type="character" w:customStyle="1" w:styleId="500">
    <w:name w:val="正文首行缩进 2 Char1"/>
    <w:basedOn w:val="236"/>
    <w:autoRedefine/>
    <w:semiHidden/>
    <w:qFormat/>
    <w:uiPriority w:val="99"/>
    <w:rPr>
      <w:rFonts w:hint="default" w:ascii="Calibri" w:hAnsi="Calibri" w:eastAsia="宋体" w:cs="Calibri"/>
      <w:kern w:val="2"/>
      <w:sz w:val="21"/>
      <w:szCs w:val="22"/>
      <w:lang w:val="en-US" w:eastAsia="zh-CN" w:bidi="ar-SA"/>
    </w:rPr>
  </w:style>
  <w:style w:type="character" w:customStyle="1" w:styleId="501">
    <w:name w:val="正文文本缩进 3 Char1"/>
    <w:autoRedefine/>
    <w:qFormat/>
    <w:uiPriority w:val="0"/>
    <w:rPr>
      <w:kern w:val="2"/>
      <w:sz w:val="16"/>
      <w:szCs w:val="16"/>
    </w:rPr>
  </w:style>
  <w:style w:type="character" w:customStyle="1" w:styleId="502">
    <w:name w:val="结束语 Char1"/>
    <w:autoRedefine/>
    <w:qFormat/>
    <w:uiPriority w:val="0"/>
    <w:rPr>
      <w:kern w:val="2"/>
      <w:sz w:val="21"/>
    </w:rPr>
  </w:style>
  <w:style w:type="character" w:customStyle="1" w:styleId="503">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4">
    <w:name w:val="msonormal"/>
    <w:autoRedefine/>
    <w:qFormat/>
    <w:uiPriority w:val="0"/>
    <w:rPr>
      <w:rFonts w:hint="default" w:ascii="Tahoma" w:hAnsi="Tahoma" w:eastAsia="仿宋_GB2312" w:cs="Tahoma"/>
      <w:kern w:val="2"/>
      <w:sz w:val="24"/>
      <w:lang w:val="en-US" w:eastAsia="ar-SA" w:bidi="ar-SA"/>
    </w:rPr>
  </w:style>
  <w:style w:type="character" w:customStyle="1" w:styleId="505">
    <w:name w:val="正文首行缩进 Char1"/>
    <w:autoRedefine/>
    <w:qFormat/>
    <w:uiPriority w:val="0"/>
    <w:rPr>
      <w:rFonts w:hint="eastAsia" w:ascii="宋体" w:hAnsi="宋体" w:eastAsia="宋体"/>
      <w:kern w:val="2"/>
      <w:sz w:val="21"/>
      <w:szCs w:val="24"/>
    </w:rPr>
  </w:style>
  <w:style w:type="character" w:customStyle="1" w:styleId="506">
    <w:name w:val="WW-默认段落字体"/>
    <w:autoRedefine/>
    <w:qFormat/>
    <w:uiPriority w:val="0"/>
  </w:style>
  <w:style w:type="character" w:customStyle="1" w:styleId="507">
    <w:name w:val="正文文本 3 Char2"/>
    <w:autoRedefine/>
    <w:qFormat/>
    <w:uiPriority w:val="0"/>
    <w:rPr>
      <w:rFonts w:hint="default" w:ascii="Calibri" w:hAnsi="Calibri" w:cs="Calibri"/>
      <w:kern w:val="2"/>
      <w:sz w:val="16"/>
      <w:szCs w:val="16"/>
    </w:rPr>
  </w:style>
  <w:style w:type="character" w:customStyle="1" w:styleId="508">
    <w:name w:val="正文文本缩进 3 Char2"/>
    <w:autoRedefine/>
    <w:qFormat/>
    <w:uiPriority w:val="0"/>
    <w:rPr>
      <w:rFonts w:hint="default" w:ascii="Calibri" w:hAnsi="Calibri" w:cs="Calibri"/>
      <w:kern w:val="2"/>
      <w:sz w:val="16"/>
      <w:szCs w:val="16"/>
    </w:rPr>
  </w:style>
  <w:style w:type="character" w:customStyle="1" w:styleId="509">
    <w:name w:val="正文文本缩进 2 Char2"/>
    <w:autoRedefine/>
    <w:qFormat/>
    <w:uiPriority w:val="0"/>
    <w:rPr>
      <w:rFonts w:hint="default" w:ascii="Calibri" w:hAnsi="Calibri" w:cs="Calibri"/>
      <w:kern w:val="2"/>
      <w:sz w:val="21"/>
      <w:szCs w:val="22"/>
    </w:rPr>
  </w:style>
  <w:style w:type="character" w:customStyle="1" w:styleId="510">
    <w:name w:val="vu61wz24xka"/>
    <w:autoRedefine/>
    <w:qFormat/>
    <w:uiPriority w:val="0"/>
  </w:style>
  <w:style w:type="character" w:customStyle="1" w:styleId="511">
    <w:name w:val="tjdpxq74904"/>
    <w:autoRedefine/>
    <w:qFormat/>
    <w:uiPriority w:val="0"/>
  </w:style>
  <w:style w:type="character" w:customStyle="1" w:styleId="512">
    <w:name w:val="gj6pbv7a4"/>
    <w:autoRedefine/>
    <w:qFormat/>
    <w:uiPriority w:val="0"/>
  </w:style>
  <w:style w:type="character" w:customStyle="1" w:styleId="513">
    <w:name w:val="vqd08s3i"/>
    <w:autoRedefine/>
    <w:qFormat/>
    <w:uiPriority w:val="0"/>
  </w:style>
  <w:style w:type="character" w:customStyle="1" w:styleId="514">
    <w:name w:val="i4dt25oa"/>
    <w:autoRedefine/>
    <w:qFormat/>
    <w:uiPriority w:val="0"/>
  </w:style>
  <w:style w:type="character" w:customStyle="1" w:styleId="515">
    <w:name w:val="bw21zv1o44"/>
    <w:autoRedefine/>
    <w:qFormat/>
    <w:uiPriority w:val="0"/>
  </w:style>
  <w:style w:type="character" w:customStyle="1" w:styleId="516">
    <w:name w:val="font131"/>
    <w:autoRedefine/>
    <w:qFormat/>
    <w:uiPriority w:val="0"/>
    <w:rPr>
      <w:rFonts w:hint="eastAsia" w:ascii="宋体" w:hAnsi="宋体" w:eastAsia="宋体" w:cs="宋体"/>
      <w:color w:val="000000"/>
      <w:sz w:val="24"/>
      <w:szCs w:val="24"/>
      <w:u w:val="none"/>
    </w:rPr>
  </w:style>
  <w:style w:type="paragraph" w:customStyle="1" w:styleId="517">
    <w:name w:val=".Listenabsatz"/>
    <w:basedOn w:val="1"/>
    <w:next w:val="17"/>
    <w:link w:val="518"/>
    <w:autoRedefine/>
    <w:qFormat/>
    <w:uiPriority w:val="34"/>
    <w:pPr>
      <w:ind w:firstLine="420" w:firstLineChars="200"/>
    </w:pPr>
    <w:rPr>
      <w:rFonts w:ascii="等线" w:hAnsi="等线" w:eastAsia="等线"/>
      <w:szCs w:val="22"/>
    </w:rPr>
  </w:style>
  <w:style w:type="character" w:customStyle="1" w:styleId="518">
    <w:name w:val="列表段落 字符"/>
    <w:link w:val="517"/>
    <w:autoRedefine/>
    <w:qFormat/>
    <w:uiPriority w:val="34"/>
    <w:rPr>
      <w:rFonts w:ascii="等线" w:hAnsi="等线" w:eastAsia="等线"/>
      <w:kern w:val="2"/>
      <w:sz w:val="21"/>
      <w:szCs w:val="22"/>
    </w:rPr>
  </w:style>
  <w:style w:type="character" w:customStyle="1" w:styleId="519">
    <w:name w:val="font51"/>
    <w:basedOn w:val="58"/>
    <w:autoRedefine/>
    <w:qFormat/>
    <w:uiPriority w:val="0"/>
    <w:rPr>
      <w:rFonts w:hint="eastAsia" w:ascii="宋体" w:hAnsi="宋体" w:eastAsia="宋体" w:cs="宋体"/>
      <w:color w:val="FF0000"/>
      <w:sz w:val="21"/>
      <w:szCs w:val="21"/>
      <w:u w:val="none"/>
    </w:rPr>
  </w:style>
  <w:style w:type="paragraph" w:customStyle="1" w:styleId="520">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21">
    <w:name w:val="普通(网站) Char1"/>
    <w:autoRedefine/>
    <w:qFormat/>
    <w:uiPriority w:val="99"/>
    <w:rPr>
      <w:rFonts w:ascii="宋体" w:hAnsi="宋体"/>
      <w:sz w:val="24"/>
      <w:szCs w:val="24"/>
    </w:rPr>
  </w:style>
  <w:style w:type="character" w:customStyle="1" w:styleId="522">
    <w:name w:val="text-tag"/>
    <w:autoRedefine/>
    <w:qFormat/>
    <w:uiPriority w:val="0"/>
  </w:style>
  <w:style w:type="paragraph" w:customStyle="1" w:styleId="523">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524">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525">
    <w:name w:val="网格型1"/>
    <w:basedOn w:val="55"/>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6">
    <w:name w:val="中等深浅网格 1 - 着色 21"/>
    <w:basedOn w:val="55"/>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7">
    <w:name w:val="Table Normal1"/>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28">
    <w:name w:val="宏文本 字符"/>
    <w:basedOn w:val="58"/>
    <w:link w:val="4"/>
    <w:autoRedefine/>
    <w:qFormat/>
    <w:uiPriority w:val="0"/>
    <w:rPr>
      <w:rFonts w:ascii="Arial Narrow" w:hAnsi="Arial Narrow"/>
    </w:rPr>
  </w:style>
  <w:style w:type="paragraph" w:customStyle="1" w:styleId="529">
    <w:name w:val="tc"/>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5F9E74-8588-48E5-B122-52A76F4DEC8F}">
  <ds:schemaRefs/>
</ds:datastoreItem>
</file>

<file path=docProps/app.xml><?xml version="1.0" encoding="utf-8"?>
<Properties xmlns="http://schemas.openxmlformats.org/officeDocument/2006/extended-properties" xmlns:vt="http://schemas.openxmlformats.org/officeDocument/2006/docPropsVTypes">
  <Template>Normal</Template>
  <Pages>147</Pages>
  <Words>10121</Words>
  <Characters>10645</Characters>
  <Lines>570</Lines>
  <Paragraphs>160</Paragraphs>
  <TotalTime>12</TotalTime>
  <ScaleCrop>false</ScaleCrop>
  <LinksUpToDate>false</LinksUpToDate>
  <CharactersWithSpaces>10793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2026-04-19T23:56:00Z</dcterms:created>
  <dcterms:modified xsi:type="dcterms:W3CDTF">2026-05-12T03:16:28Z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A881C3CC6CD7482EB2AA5CF0929E92E1_12</vt:lpwstr>
  </property>
  <property fmtid="{D5CDD505-2E9C-101B-9397-08002B2CF9AE}" pid="4" name="KSOTemplateDocerSaveRecord">
    <vt:lpwstr>eyJoZGlkIjoiYmI1NjAxYjBiMzQ2YTM4NWVkNjdkZDUyMzM0MmJkZDkiLCJ1c2VySWQiOiI3NTE2ODQ3MjIifQ==</vt:lpwstr>
  </property>
</Properties>
</file>